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hint="eastAsia" w:ascii="宋体" w:hAnsi="宋体" w:eastAsia="宋体" w:cs="Times New Roman"/>
          <w:b/>
          <w:bCs/>
          <w:color w:val="auto"/>
          <w:sz w:val="28"/>
          <w:szCs w:val="28"/>
          <w:highlight w:val="none"/>
        </w:rPr>
      </w:pPr>
    </w:p>
    <w:p>
      <w:pPr>
        <w:spacing w:line="360" w:lineRule="auto"/>
        <w:rPr>
          <w:rFonts w:ascii="宋体" w:hAnsi="宋体" w:eastAsia="宋体" w:cs="Times New Roman"/>
          <w:b/>
          <w:bCs/>
          <w:color w:val="auto"/>
          <w:spacing w:val="100"/>
          <w:sz w:val="28"/>
          <w:szCs w:val="28"/>
          <w:highlight w:val="none"/>
        </w:rPr>
      </w:pPr>
    </w:p>
    <w:p>
      <w:pPr>
        <w:spacing w:line="360" w:lineRule="auto"/>
        <w:jc w:val="center"/>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 xml:space="preserve">项目名称：2021年海珠区民办残疾人社会服务机构资助项目第三方服务评估和质量监察、社区精神康复综合服务中心第三方业务督导和服务质量评估以及残疾人家庭无障碍改造专项提升工作第三方抽检验收服务项目 </w:t>
      </w:r>
    </w:p>
    <w:p>
      <w:pPr>
        <w:spacing w:line="360" w:lineRule="auto"/>
        <w:jc w:val="center"/>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 xml:space="preserve">项目编号：202106-184098-0080  </w:t>
      </w:r>
    </w:p>
    <w:p>
      <w:pPr>
        <w:spacing w:line="360" w:lineRule="auto"/>
        <w:rPr>
          <w:rFonts w:ascii="宋体" w:hAnsi="宋体" w:eastAsia="宋体" w:cs="Times New Roman"/>
          <w:color w:val="auto"/>
          <w:sz w:val="84"/>
          <w:szCs w:val="24"/>
          <w:highlight w:val="none"/>
        </w:rPr>
      </w:pPr>
    </w:p>
    <w:p>
      <w:pPr>
        <w:spacing w:line="360" w:lineRule="auto"/>
        <w:ind w:firstLine="1687" w:firstLineChars="200"/>
        <w:rPr>
          <w:rFonts w:hint="eastAsia" w:ascii="宋体" w:hAnsi="宋体" w:eastAsia="宋体" w:cs="Times New Roman"/>
          <w:b/>
          <w:color w:val="auto"/>
          <w:sz w:val="84"/>
          <w:szCs w:val="24"/>
          <w:highlight w:val="none"/>
        </w:rPr>
      </w:pPr>
    </w:p>
    <w:p>
      <w:pPr>
        <w:spacing w:line="360" w:lineRule="auto"/>
        <w:ind w:firstLine="1687" w:firstLineChars="200"/>
        <w:rPr>
          <w:rFonts w:hint="eastAsia" w:ascii="宋体" w:hAnsi="宋体" w:eastAsia="宋体" w:cs="Times New Roman"/>
          <w:b/>
          <w:color w:val="auto"/>
          <w:sz w:val="84"/>
          <w:szCs w:val="24"/>
          <w:highlight w:val="none"/>
        </w:rPr>
      </w:pPr>
      <w:r>
        <w:rPr>
          <w:rFonts w:hint="eastAsia" w:ascii="宋体" w:hAnsi="宋体" w:eastAsia="宋体" w:cs="Times New Roman"/>
          <w:b/>
          <w:color w:val="auto"/>
          <w:sz w:val="84"/>
          <w:szCs w:val="24"/>
          <w:highlight w:val="none"/>
        </w:rPr>
        <w:t>公开遴选文件</w:t>
      </w:r>
    </w:p>
    <w:p>
      <w:pPr>
        <w:spacing w:line="360" w:lineRule="auto"/>
        <w:rPr>
          <w:rFonts w:ascii="宋体" w:hAnsi="宋体" w:eastAsia="宋体" w:cs="Times New Roman"/>
          <w:color w:val="auto"/>
          <w:sz w:val="32"/>
          <w:szCs w:val="32"/>
          <w:highlight w:val="none"/>
        </w:rPr>
      </w:pPr>
    </w:p>
    <w:p>
      <w:pPr>
        <w:spacing w:line="360" w:lineRule="auto"/>
        <w:rPr>
          <w:rFonts w:ascii="宋体" w:hAnsi="宋体" w:eastAsia="宋体" w:cs="Times New Roman"/>
          <w:color w:val="auto"/>
          <w:sz w:val="32"/>
          <w:szCs w:val="32"/>
          <w:highlight w:val="none"/>
        </w:rPr>
      </w:pPr>
    </w:p>
    <w:p>
      <w:pPr>
        <w:spacing w:line="360" w:lineRule="auto"/>
        <w:rPr>
          <w:rFonts w:ascii="宋体" w:hAnsi="宋体" w:eastAsia="宋体" w:cs="Times New Roman"/>
          <w:color w:val="auto"/>
          <w:sz w:val="32"/>
          <w:szCs w:val="32"/>
          <w:highlight w:val="none"/>
        </w:rPr>
      </w:pPr>
    </w:p>
    <w:p>
      <w:pPr>
        <w:spacing w:line="360" w:lineRule="auto"/>
        <w:rPr>
          <w:rFonts w:ascii="宋体" w:hAnsi="宋体" w:eastAsia="宋体" w:cs="Times New Roman"/>
          <w:color w:val="auto"/>
          <w:sz w:val="32"/>
          <w:szCs w:val="32"/>
          <w:highlight w:val="none"/>
        </w:rPr>
      </w:pPr>
    </w:p>
    <w:p>
      <w:pPr>
        <w:spacing w:line="360" w:lineRule="auto"/>
        <w:rPr>
          <w:rFonts w:ascii="宋体" w:hAnsi="宋体" w:eastAsia="宋体" w:cs="Times New Roman"/>
          <w:color w:val="auto"/>
          <w:sz w:val="32"/>
          <w:szCs w:val="32"/>
          <w:highlight w:val="none"/>
        </w:rPr>
      </w:pPr>
    </w:p>
    <w:p>
      <w:pPr>
        <w:spacing w:line="360" w:lineRule="auto"/>
        <w:rPr>
          <w:rFonts w:ascii="宋体" w:hAnsi="宋体" w:eastAsia="宋体" w:cs="Times New Roman"/>
          <w:color w:val="auto"/>
          <w:sz w:val="32"/>
          <w:szCs w:val="32"/>
          <w:highlight w:val="none"/>
        </w:rPr>
      </w:pPr>
    </w:p>
    <w:p>
      <w:pPr>
        <w:snapToGrid w:val="0"/>
        <w:spacing w:line="360" w:lineRule="auto"/>
        <w:ind w:firstLine="1205" w:firstLineChars="400"/>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采   购   人：</w:t>
      </w:r>
      <w:r>
        <w:rPr>
          <w:rFonts w:hint="eastAsia" w:ascii="宋体" w:hAnsi="宋体" w:eastAsia="宋体" w:cs="宋体"/>
          <w:b/>
          <w:bCs/>
          <w:color w:val="auto"/>
          <w:sz w:val="30"/>
          <w:szCs w:val="30"/>
          <w:highlight w:val="none"/>
        </w:rPr>
        <w:t>广州市海珠区残疾人康复服务中心</w:t>
      </w:r>
      <w:r>
        <w:rPr>
          <w:rFonts w:hint="eastAsia" w:ascii="宋体" w:hAnsi="宋体" w:eastAsia="宋体" w:cs="Times New Roman"/>
          <w:b/>
          <w:color w:val="auto"/>
          <w:sz w:val="30"/>
          <w:szCs w:val="30"/>
          <w:highlight w:val="none"/>
        </w:rPr>
        <w:t xml:space="preserve">  </w:t>
      </w:r>
    </w:p>
    <w:p>
      <w:pPr>
        <w:snapToGrid w:val="0"/>
        <w:spacing w:line="360" w:lineRule="auto"/>
        <w:ind w:firstLine="1205" w:firstLineChars="400"/>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采购代理机构：广州市信怡招标代理有限公司</w:t>
      </w:r>
    </w:p>
    <w:p>
      <w:pPr>
        <w:snapToGrid w:val="0"/>
        <w:spacing w:line="360" w:lineRule="auto"/>
        <w:ind w:firstLine="1205" w:firstLineChars="400"/>
        <w:rPr>
          <w:rFonts w:ascii="宋体" w:hAnsi="宋体" w:eastAsia="宋体" w:cs="Times New Roman"/>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567" w:right="1304" w:bottom="567" w:left="1361" w:header="567" w:footer="737" w:gutter="0"/>
          <w:cols w:space="720" w:num="1"/>
          <w:titlePg/>
          <w:docGrid w:linePitch="312" w:charSpace="0"/>
        </w:sectPr>
      </w:pPr>
      <w:r>
        <w:rPr>
          <w:rFonts w:hint="eastAsia" w:ascii="宋体" w:hAnsi="宋体" w:eastAsia="宋体" w:cs="Times New Roman"/>
          <w:b/>
          <w:color w:val="auto"/>
          <w:sz w:val="30"/>
          <w:szCs w:val="30"/>
          <w:highlight w:val="none"/>
        </w:rPr>
        <w:t>日        期：</w:t>
      </w:r>
      <w:bookmarkStart w:id="0" w:name="_Toc14450806"/>
      <w:bookmarkStart w:id="1" w:name="_Toc28489433"/>
      <w:r>
        <w:rPr>
          <w:rFonts w:hint="eastAsia" w:ascii="宋体" w:hAnsi="宋体" w:eastAsia="宋体" w:cs="Times New Roman"/>
          <w:b/>
          <w:color w:val="auto"/>
          <w:sz w:val="30"/>
          <w:szCs w:val="30"/>
          <w:highlight w:val="none"/>
        </w:rPr>
        <w:t xml:space="preserve"> 二○二一年</w:t>
      </w:r>
    </w:p>
    <w:p>
      <w:pPr>
        <w:spacing w:before="120" w:beforeLines="50" w:after="120" w:afterLines="50" w:line="360" w:lineRule="auto"/>
        <w:rPr>
          <w:rFonts w:ascii="宋体" w:hAnsi="宋体" w:eastAsia="宋体" w:cs="Times New Roman"/>
          <w:b/>
          <w:color w:val="auto"/>
          <w:sz w:val="36"/>
          <w:szCs w:val="24"/>
          <w:highlight w:val="none"/>
        </w:rPr>
      </w:pPr>
    </w:p>
    <w:p>
      <w:pPr>
        <w:spacing w:before="120" w:beforeLines="50" w:after="120" w:afterLines="50" w:line="360" w:lineRule="auto"/>
        <w:jc w:val="center"/>
        <w:rPr>
          <w:rFonts w:ascii="宋体" w:hAnsi="宋体" w:eastAsia="宋体" w:cs="Times New Roman"/>
          <w:b/>
          <w:color w:val="auto"/>
          <w:sz w:val="36"/>
          <w:szCs w:val="24"/>
          <w:highlight w:val="none"/>
        </w:rPr>
      </w:pPr>
    </w:p>
    <w:p>
      <w:pPr>
        <w:spacing w:line="360" w:lineRule="auto"/>
        <w:jc w:val="center"/>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温馨提示</w:t>
      </w:r>
    </w:p>
    <w:p>
      <w:pPr>
        <w:spacing w:line="360" w:lineRule="auto"/>
        <w:rPr>
          <w:rFonts w:hint="eastAsia" w:ascii="宋体" w:hAnsi="宋体" w:eastAsia="宋体" w:cs="Times New Roman"/>
          <w:color w:val="auto"/>
          <w:szCs w:val="21"/>
          <w:highlight w:val="none"/>
        </w:rPr>
      </w:pPr>
    </w:p>
    <w:p>
      <w:pPr>
        <w:numPr>
          <w:ilvl w:val="0"/>
          <w:numId w:val="1"/>
        </w:numPr>
        <w:tabs>
          <w:tab w:val="left" w:pos="540"/>
        </w:tabs>
        <w:spacing w:line="600" w:lineRule="auto"/>
        <w:ind w:left="851" w:hanging="851"/>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如无另行说明，投标/报价文件递交时间为投标/报价文件</w:t>
      </w:r>
      <w:r>
        <w:rPr>
          <w:rFonts w:hint="eastAsia" w:ascii="宋体" w:hAnsi="宋体" w:eastAsia="宋体" w:cs="Times New Roman"/>
          <w:b/>
          <w:color w:val="auto"/>
          <w:szCs w:val="21"/>
          <w:highlight w:val="none"/>
          <w:u w:val="single"/>
        </w:rPr>
        <w:t>递交截止时间之前30分钟</w:t>
      </w:r>
      <w:r>
        <w:rPr>
          <w:rFonts w:hint="eastAsia" w:ascii="宋体" w:hAnsi="宋体" w:eastAsia="宋体" w:cs="Times New Roman"/>
          <w:color w:val="auto"/>
          <w:szCs w:val="21"/>
          <w:highlight w:val="none"/>
        </w:rPr>
        <w:t>内。</w:t>
      </w:r>
    </w:p>
    <w:p>
      <w:pPr>
        <w:numPr>
          <w:ilvl w:val="0"/>
          <w:numId w:val="1"/>
        </w:numPr>
        <w:tabs>
          <w:tab w:val="left" w:pos="540"/>
        </w:tabs>
        <w:spacing w:line="600" w:lineRule="auto"/>
        <w:ind w:left="851" w:hanging="85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为避免因迟到而失去投标/报价资格，请</w:t>
      </w:r>
      <w:r>
        <w:rPr>
          <w:rFonts w:hint="eastAsia" w:ascii="宋体" w:hAnsi="宋体" w:eastAsia="宋体" w:cs="Times New Roman"/>
          <w:b/>
          <w:color w:val="auto"/>
          <w:szCs w:val="21"/>
          <w:highlight w:val="none"/>
          <w:u w:val="single"/>
        </w:rPr>
        <w:t>适当提前到达</w:t>
      </w:r>
      <w:r>
        <w:rPr>
          <w:rFonts w:hint="eastAsia" w:ascii="宋体" w:hAnsi="宋体" w:eastAsia="宋体" w:cs="Times New Roman"/>
          <w:color w:val="auto"/>
          <w:szCs w:val="21"/>
          <w:highlight w:val="none"/>
        </w:rPr>
        <w:t>。</w:t>
      </w:r>
    </w:p>
    <w:p>
      <w:pPr>
        <w:numPr>
          <w:ilvl w:val="0"/>
          <w:numId w:val="1"/>
        </w:numPr>
        <w:tabs>
          <w:tab w:val="left" w:pos="540"/>
        </w:tabs>
        <w:spacing w:line="600" w:lineRule="auto"/>
        <w:ind w:left="851" w:hanging="85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投标/报价文件应按顺序</w:t>
      </w:r>
      <w:r>
        <w:rPr>
          <w:rFonts w:hint="eastAsia" w:ascii="宋体" w:hAnsi="宋体" w:eastAsia="宋体" w:cs="Times New Roman"/>
          <w:b/>
          <w:color w:val="auto"/>
          <w:szCs w:val="21"/>
          <w:highlight w:val="none"/>
          <w:u w:val="single"/>
        </w:rPr>
        <w:t>编制页码</w:t>
      </w:r>
      <w:r>
        <w:rPr>
          <w:rFonts w:hint="eastAsia" w:ascii="宋体" w:hAnsi="宋体" w:eastAsia="宋体" w:cs="Times New Roman"/>
          <w:color w:val="auto"/>
          <w:szCs w:val="21"/>
          <w:highlight w:val="none"/>
        </w:rPr>
        <w:t>。</w:t>
      </w:r>
    </w:p>
    <w:p>
      <w:pPr>
        <w:numPr>
          <w:ilvl w:val="0"/>
          <w:numId w:val="1"/>
        </w:numPr>
        <w:tabs>
          <w:tab w:val="left" w:pos="540"/>
        </w:tabs>
        <w:spacing w:line="600" w:lineRule="auto"/>
        <w:ind w:left="851" w:hanging="85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请仔细检查投标/报价文件是否已按公开遴选文件要求</w:t>
      </w:r>
      <w:r>
        <w:rPr>
          <w:rFonts w:hint="eastAsia" w:ascii="宋体" w:hAnsi="宋体" w:eastAsia="宋体" w:cs="Times New Roman"/>
          <w:b/>
          <w:color w:val="auto"/>
          <w:szCs w:val="21"/>
          <w:highlight w:val="none"/>
          <w:u w:val="single"/>
        </w:rPr>
        <w:t>盖章、签名、签署日期</w:t>
      </w:r>
      <w:r>
        <w:rPr>
          <w:rFonts w:hint="eastAsia" w:ascii="宋体" w:hAnsi="宋体" w:eastAsia="宋体" w:cs="Times New Roman"/>
          <w:color w:val="auto"/>
          <w:szCs w:val="21"/>
          <w:highlight w:val="none"/>
        </w:rPr>
        <w:t>。</w:t>
      </w:r>
    </w:p>
    <w:p>
      <w:pPr>
        <w:numPr>
          <w:ilvl w:val="0"/>
          <w:numId w:val="1"/>
        </w:numPr>
        <w:tabs>
          <w:tab w:val="left" w:pos="540"/>
        </w:tabs>
        <w:spacing w:line="600" w:lineRule="auto"/>
        <w:ind w:left="851" w:hanging="85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hint="eastAsia" w:ascii="宋体" w:hAnsi="宋体" w:eastAsia="宋体" w:cs="Times New Roman"/>
          <w:color w:val="auto"/>
          <w:szCs w:val="21"/>
          <w:highlight w:val="none"/>
        </w:rPr>
      </w:pPr>
      <w:r>
        <w:rPr>
          <w:rFonts w:hint="eastAsia" w:ascii="Arial" w:hAnsi="宋体" w:eastAsia="宋体" w:cs="Arial"/>
          <w:color w:val="auto"/>
          <w:szCs w:val="21"/>
          <w:highlight w:val="none"/>
        </w:rPr>
        <w:t>如投标</w:t>
      </w:r>
      <w:r>
        <w:rPr>
          <w:rFonts w:hint="eastAsia" w:ascii="宋体" w:hAnsi="宋体" w:eastAsia="宋体" w:cs="Arial"/>
          <w:color w:val="auto"/>
          <w:szCs w:val="21"/>
          <w:highlight w:val="none"/>
        </w:rPr>
        <w:t>/</w:t>
      </w:r>
      <w:r>
        <w:rPr>
          <w:rFonts w:hint="eastAsia" w:ascii="Arial" w:hAnsi="宋体" w:eastAsia="宋体" w:cs="Arial"/>
          <w:color w:val="auto"/>
          <w:szCs w:val="21"/>
          <w:highlight w:val="none"/>
        </w:rPr>
        <w:t>报价供应商以非独立法人注册的分公司名义代表总公司盖章和签署文件的</w:t>
      </w:r>
      <w:r>
        <w:rPr>
          <w:rFonts w:hint="eastAsia" w:ascii="宋体" w:hAnsi="宋体" w:eastAsia="宋体" w:cs="Times New Roman"/>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加★号的条款均被视为重要的指标要求，必须一一响应。若有一项带“★”的指标要求未响应或不满足，将按投标无效处理。</w:t>
      </w:r>
      <w:r>
        <w:rPr>
          <w:rFonts w:hint="eastAsia" w:ascii="宋体" w:hAnsi="宋体" w:eastAsia="宋体" w:cs="Times New Roman"/>
          <w:color w:val="auto"/>
          <w:szCs w:val="21"/>
          <w:highlight w:val="none"/>
        </w:rPr>
        <w:t xml:space="preserve"> </w:t>
      </w:r>
    </w:p>
    <w:p>
      <w:pPr>
        <w:numPr>
          <w:ilvl w:val="0"/>
          <w:numId w:val="1"/>
        </w:numPr>
        <w:tabs>
          <w:tab w:val="left" w:pos="540"/>
        </w:tabs>
        <w:spacing w:line="600" w:lineRule="auto"/>
        <w:ind w:left="851" w:hanging="85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为了提高政府采购效率，节约社会交易成本与时间，希望购买了公开遴选文件而决定不参加本次投标/报价的供应商，在投标/报价文件递交截止时间的3日前，按《投标/报价邀请函》中的联系方式，以书面形式告知采购代理机构。对您的支持与配合，谨此致谢。</w:t>
      </w:r>
    </w:p>
    <w:p>
      <w:pPr>
        <w:spacing w:before="120" w:beforeLines="50" w:after="120" w:afterLines="50" w:line="600" w:lineRule="auto"/>
        <w:jc w:val="center"/>
        <w:rPr>
          <w:rFonts w:ascii="宋体" w:hAnsi="宋体" w:eastAsia="宋体" w:cs="Times New Roman"/>
          <w:b/>
          <w:color w:val="auto"/>
          <w:sz w:val="36"/>
          <w:szCs w:val="24"/>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（本提示内容非公开遴选文件的组成部分，仅为善意提醒。如有不一致，以公开遴选文件为准）</w:t>
      </w:r>
      <w:r>
        <w:rPr>
          <w:rFonts w:hint="eastAsia" w:ascii="宋体" w:hAnsi="宋体" w:eastAsia="宋体" w:cs="Times New Roman"/>
          <w:b/>
          <w:color w:val="auto"/>
          <w:sz w:val="36"/>
          <w:szCs w:val="24"/>
          <w:highlight w:val="none"/>
        </w:rPr>
        <w:br w:type="page"/>
      </w:r>
      <w:r>
        <w:rPr>
          <w:rFonts w:hint="eastAsia" w:ascii="宋体" w:hAnsi="宋体" w:eastAsia="宋体" w:cs="Times New Roman"/>
          <w:b/>
          <w:color w:val="auto"/>
          <w:sz w:val="36"/>
          <w:szCs w:val="24"/>
          <w:highlight w:val="none"/>
        </w:rPr>
        <w:t>目   录</w:t>
      </w:r>
    </w:p>
    <w:p>
      <w:pPr>
        <w:spacing w:before="240" w:beforeLines="100" w:after="240" w:afterLines="100" w:line="360" w:lineRule="auto"/>
        <w:rPr>
          <w:rFonts w:ascii="宋体" w:hAnsi="宋体" w:eastAsia="宋体" w:cs="Times New Roman"/>
          <w:smallCaps/>
          <w:color w:val="auto"/>
          <w:sz w:val="28"/>
          <w:szCs w:val="28"/>
          <w:highlight w:val="none"/>
          <w:u w:val="single"/>
        </w:rPr>
      </w:pPr>
    </w:p>
    <w:p>
      <w:pPr>
        <w:tabs>
          <w:tab w:val="right" w:leader="dot" w:pos="9231"/>
        </w:tabs>
        <w:spacing w:before="120" w:after="120" w:line="360" w:lineRule="auto"/>
        <w:jc w:val="left"/>
        <w:rPr>
          <w:rFonts w:ascii="Calibri" w:hAnsi="Calibri" w:eastAsia="宋体" w:cs="Times New Roman"/>
          <w:color w:val="auto"/>
          <w:sz w:val="28"/>
          <w:szCs w:val="28"/>
          <w:highlight w:val="none"/>
        </w:rPr>
      </w:pPr>
      <w:r>
        <w:rPr>
          <w:rFonts w:ascii="宋体" w:hAnsi="宋体" w:eastAsia="宋体" w:cs="Times New Roman"/>
          <w:b/>
          <w:smallCaps/>
          <w:color w:val="auto"/>
          <w:sz w:val="28"/>
          <w:szCs w:val="28"/>
          <w:highlight w:val="none"/>
        </w:rPr>
        <w:fldChar w:fldCharType="begin"/>
      </w:r>
      <w:r>
        <w:rPr>
          <w:rFonts w:hint="eastAsia" w:ascii="宋体" w:hAnsi="宋体" w:eastAsia="宋体" w:cs="Times New Roman"/>
          <w:b/>
          <w:smallCaps/>
          <w:color w:val="auto"/>
          <w:sz w:val="28"/>
          <w:szCs w:val="28"/>
          <w:highlight w:val="none"/>
          <w:u w:val="single"/>
        </w:rPr>
        <w:instrText xml:space="preserve">TOC \o "1-1" \h \z \u</w:instrText>
      </w:r>
      <w:r>
        <w:rPr>
          <w:rFonts w:ascii="宋体" w:hAnsi="宋体" w:eastAsia="宋体" w:cs="Times New Roman"/>
          <w:b/>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Fonts w:hint="eastAsia" w:ascii="Times New Roman" w:hAnsi="Times New Roman" w:eastAsia="宋体" w:cs="Times New Roman"/>
          <w:b/>
          <w:bCs/>
          <w:caps/>
          <w:color w:val="auto"/>
          <w:sz w:val="28"/>
          <w:szCs w:val="28"/>
          <w:highlight w:val="none"/>
          <w:u w:val="single"/>
        </w:rPr>
        <w:t>第一章 公开遴选公告</w:t>
      </w:r>
      <w:r>
        <w:rPr>
          <w:rFonts w:ascii="Times New Roman" w:hAnsi="Times New Roman" w:eastAsia="宋体" w:cs="Times New Roman"/>
          <w:b/>
          <w:bCs/>
          <w:caps/>
          <w:color w:val="auto"/>
          <w:sz w:val="28"/>
          <w:szCs w:val="28"/>
          <w:highlight w:val="none"/>
        </w:rPr>
        <w:tab/>
      </w:r>
      <w:r>
        <w:rPr>
          <w:rFonts w:ascii="Times New Roman" w:hAnsi="Times New Roman" w:eastAsia="宋体" w:cs="Times New Roman"/>
          <w:b/>
          <w:bCs/>
          <w:caps/>
          <w:color w:val="auto"/>
          <w:sz w:val="28"/>
          <w:szCs w:val="28"/>
          <w:highlight w:val="none"/>
        </w:rPr>
        <w:fldChar w:fldCharType="begin"/>
      </w:r>
      <w:r>
        <w:rPr>
          <w:rFonts w:ascii="Times New Roman" w:hAnsi="Times New Roman" w:eastAsia="宋体" w:cs="Times New Roman"/>
          <w:b/>
          <w:bCs/>
          <w:caps/>
          <w:color w:val="auto"/>
          <w:sz w:val="28"/>
          <w:szCs w:val="28"/>
          <w:highlight w:val="none"/>
        </w:rPr>
        <w:instrText xml:space="preserve"> PAGEREF _Toc475104466 \h </w:instrText>
      </w:r>
      <w:r>
        <w:rPr>
          <w:rFonts w:ascii="Times New Roman" w:hAnsi="Times New Roman" w:eastAsia="宋体" w:cs="Times New Roman"/>
          <w:b/>
          <w:bCs/>
          <w:caps/>
          <w:color w:val="auto"/>
          <w:sz w:val="28"/>
          <w:szCs w:val="28"/>
          <w:highlight w:val="none"/>
        </w:rPr>
        <w:fldChar w:fldCharType="separate"/>
      </w:r>
      <w:r>
        <w:rPr>
          <w:rFonts w:ascii="Times New Roman" w:hAnsi="Times New Roman" w:eastAsia="宋体" w:cs="Times New Roman"/>
          <w:b/>
          <w:bCs/>
          <w:caps/>
          <w:color w:val="auto"/>
          <w:sz w:val="28"/>
          <w:szCs w:val="28"/>
          <w:highlight w:val="none"/>
        </w:rPr>
        <w:t>1</w:t>
      </w:r>
      <w:r>
        <w:rPr>
          <w:rFonts w:ascii="Times New Roman" w:hAnsi="Times New Roman" w:eastAsia="宋体" w:cs="Times New Roman"/>
          <w:b/>
          <w:bCs/>
          <w:caps/>
          <w:color w:val="auto"/>
          <w:sz w:val="28"/>
          <w:szCs w:val="28"/>
          <w:highlight w:val="none"/>
        </w:rPr>
        <w:fldChar w:fldCharType="end"/>
      </w:r>
      <w:r>
        <w:rPr>
          <w:rFonts w:ascii="Times New Roman" w:hAnsi="Times New Roman" w:eastAsia="宋体" w:cs="Times New Roman"/>
          <w:b/>
          <w:bCs/>
          <w:caps/>
          <w:color w:val="auto"/>
          <w:sz w:val="28"/>
          <w:szCs w:val="28"/>
          <w:highlight w:val="none"/>
        </w:rPr>
        <w:fldChar w:fldCharType="end"/>
      </w:r>
    </w:p>
    <w:p>
      <w:pPr>
        <w:tabs>
          <w:tab w:val="right" w:leader="dot" w:pos="9231"/>
        </w:tabs>
        <w:spacing w:before="120" w:after="120" w:line="360" w:lineRule="auto"/>
        <w:jc w:val="left"/>
        <w:rPr>
          <w:rFonts w:ascii="Calibri" w:hAnsi="Calibri" w:eastAsia="宋体" w:cs="Times New Roman"/>
          <w:color w:val="auto"/>
          <w:sz w:val="28"/>
          <w:szCs w:val="28"/>
          <w:highlight w:val="none"/>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Fonts w:hint="eastAsia" w:ascii="Times New Roman" w:hAnsi="Times New Roman" w:eastAsia="宋体" w:cs="Times New Roman"/>
          <w:b/>
          <w:bCs/>
          <w:caps/>
          <w:color w:val="auto"/>
          <w:sz w:val="28"/>
          <w:szCs w:val="28"/>
          <w:highlight w:val="none"/>
          <w:u w:val="single"/>
        </w:rPr>
        <w:t>第二章 公开遴选须</w:t>
      </w:r>
      <w:bookmarkStart w:id="2" w:name="_Hlt509928387"/>
      <w:r>
        <w:rPr>
          <w:rFonts w:hint="eastAsia" w:ascii="Times New Roman" w:hAnsi="Times New Roman" w:eastAsia="宋体" w:cs="Times New Roman"/>
          <w:b/>
          <w:bCs/>
          <w:caps/>
          <w:color w:val="auto"/>
          <w:sz w:val="28"/>
          <w:szCs w:val="28"/>
          <w:highlight w:val="none"/>
          <w:u w:val="single"/>
        </w:rPr>
        <w:t>知</w:t>
      </w:r>
      <w:bookmarkEnd w:id="2"/>
      <w:r>
        <w:rPr>
          <w:rFonts w:ascii="Times New Roman" w:hAnsi="Times New Roman" w:eastAsia="宋体" w:cs="Times New Roman"/>
          <w:b/>
          <w:bCs/>
          <w:caps/>
          <w:color w:val="auto"/>
          <w:sz w:val="28"/>
          <w:szCs w:val="28"/>
          <w:highlight w:val="none"/>
        </w:rPr>
        <w:tab/>
      </w:r>
      <w:r>
        <w:rPr>
          <w:rFonts w:hint="eastAsia" w:ascii="Times New Roman" w:hAnsi="Times New Roman" w:eastAsia="宋体" w:cs="Times New Roman"/>
          <w:b/>
          <w:bCs/>
          <w:caps/>
          <w:color w:val="auto"/>
          <w:sz w:val="28"/>
          <w:szCs w:val="28"/>
          <w:highlight w:val="none"/>
        </w:rPr>
        <w:t>5</w:t>
      </w:r>
      <w:r>
        <w:rPr>
          <w:rFonts w:hint="eastAsia" w:ascii="Times New Roman" w:hAnsi="Times New Roman" w:eastAsia="宋体" w:cs="Times New Roman"/>
          <w:b/>
          <w:bCs/>
          <w:caps/>
          <w:color w:val="auto"/>
          <w:sz w:val="28"/>
          <w:szCs w:val="28"/>
          <w:highlight w:val="none"/>
        </w:rPr>
        <w:fldChar w:fldCharType="end"/>
      </w:r>
    </w:p>
    <w:p>
      <w:pPr>
        <w:tabs>
          <w:tab w:val="right" w:leader="dot" w:pos="9231"/>
        </w:tabs>
        <w:spacing w:before="120" w:after="120" w:line="360" w:lineRule="auto"/>
        <w:jc w:val="left"/>
        <w:rPr>
          <w:rFonts w:ascii="Calibri" w:hAnsi="Calibri" w:eastAsia="宋体" w:cs="Times New Roman"/>
          <w:color w:val="auto"/>
          <w:sz w:val="28"/>
          <w:szCs w:val="28"/>
          <w:highlight w:val="none"/>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Fonts w:hint="eastAsia" w:ascii="Times New Roman" w:hAnsi="Times New Roman" w:eastAsia="宋体" w:cs="Times New Roman"/>
          <w:b/>
          <w:bCs/>
          <w:caps/>
          <w:color w:val="auto"/>
          <w:sz w:val="28"/>
          <w:szCs w:val="28"/>
          <w:highlight w:val="none"/>
          <w:u w:val="single"/>
        </w:rPr>
        <w:t>第三章 采购人</w:t>
      </w:r>
      <w:bookmarkStart w:id="3" w:name="_Hlt510014101"/>
      <w:r>
        <w:rPr>
          <w:rFonts w:hint="eastAsia" w:ascii="Times New Roman" w:hAnsi="Times New Roman" w:eastAsia="宋体" w:cs="Times New Roman"/>
          <w:b/>
          <w:bCs/>
          <w:caps/>
          <w:color w:val="auto"/>
          <w:sz w:val="28"/>
          <w:szCs w:val="28"/>
          <w:highlight w:val="none"/>
          <w:u w:val="single"/>
        </w:rPr>
        <w:t>需</w:t>
      </w:r>
      <w:bookmarkEnd w:id="3"/>
      <w:bookmarkStart w:id="4" w:name="_Hlt510971526"/>
      <w:r>
        <w:rPr>
          <w:rFonts w:hint="eastAsia" w:ascii="Times New Roman" w:hAnsi="Times New Roman" w:eastAsia="宋体" w:cs="Times New Roman"/>
          <w:b/>
          <w:bCs/>
          <w:caps/>
          <w:color w:val="auto"/>
          <w:sz w:val="28"/>
          <w:szCs w:val="28"/>
          <w:highlight w:val="none"/>
          <w:u w:val="single"/>
        </w:rPr>
        <w:t>求</w:t>
      </w:r>
      <w:bookmarkEnd w:id="4"/>
      <w:bookmarkStart w:id="5" w:name="_Hlt510014037"/>
      <w:bookmarkStart w:id="6" w:name="_Hlt510014036"/>
      <w:r>
        <w:rPr>
          <w:rFonts w:hint="eastAsia" w:ascii="Times New Roman" w:hAnsi="Times New Roman" w:eastAsia="宋体" w:cs="Times New Roman"/>
          <w:b/>
          <w:bCs/>
          <w:caps/>
          <w:color w:val="auto"/>
          <w:sz w:val="28"/>
          <w:szCs w:val="28"/>
          <w:highlight w:val="none"/>
          <w:u w:val="single"/>
        </w:rPr>
        <w:t>书</w:t>
      </w:r>
      <w:bookmarkEnd w:id="5"/>
      <w:bookmarkEnd w:id="6"/>
      <w:bookmarkStart w:id="7" w:name="_Hlt509991847"/>
      <w:bookmarkStart w:id="8" w:name="_Hlt509994710"/>
      <w:bookmarkStart w:id="9" w:name="_Hlt509994711"/>
      <w:r>
        <w:rPr>
          <w:rFonts w:ascii="Times New Roman" w:hAnsi="Times New Roman" w:eastAsia="宋体" w:cs="Times New Roman"/>
          <w:b/>
          <w:bCs/>
          <w:caps/>
          <w:color w:val="auto"/>
          <w:sz w:val="28"/>
          <w:szCs w:val="28"/>
          <w:highlight w:val="none"/>
        </w:rPr>
        <w:tab/>
      </w:r>
      <w:bookmarkEnd w:id="7"/>
      <w:bookmarkEnd w:id="8"/>
      <w:bookmarkEnd w:id="9"/>
      <w:r>
        <w:rPr>
          <w:rFonts w:ascii="Times New Roman" w:hAnsi="Times New Roman" w:eastAsia="宋体" w:cs="Times New Roman"/>
          <w:b/>
          <w:bCs/>
          <w:caps/>
          <w:color w:val="auto"/>
          <w:sz w:val="28"/>
          <w:szCs w:val="28"/>
          <w:highlight w:val="none"/>
        </w:rPr>
        <w:fldChar w:fldCharType="begin"/>
      </w:r>
      <w:r>
        <w:rPr>
          <w:rFonts w:ascii="Times New Roman" w:hAnsi="Times New Roman" w:eastAsia="宋体" w:cs="Times New Roman"/>
          <w:b/>
          <w:bCs/>
          <w:caps/>
          <w:color w:val="auto"/>
          <w:sz w:val="28"/>
          <w:szCs w:val="28"/>
          <w:highlight w:val="none"/>
        </w:rPr>
        <w:instrText xml:space="preserve"> PAGEREF _Toc475104521 \h </w:instrText>
      </w:r>
      <w:r>
        <w:rPr>
          <w:rFonts w:ascii="Times New Roman" w:hAnsi="Times New Roman" w:eastAsia="宋体" w:cs="Times New Roman"/>
          <w:b/>
          <w:bCs/>
          <w:caps/>
          <w:color w:val="auto"/>
          <w:sz w:val="28"/>
          <w:szCs w:val="28"/>
          <w:highlight w:val="none"/>
        </w:rPr>
        <w:fldChar w:fldCharType="separate"/>
      </w:r>
      <w:r>
        <w:rPr>
          <w:rFonts w:ascii="Times New Roman" w:hAnsi="Times New Roman" w:eastAsia="宋体" w:cs="Times New Roman"/>
          <w:b/>
          <w:bCs/>
          <w:caps/>
          <w:color w:val="auto"/>
          <w:sz w:val="28"/>
          <w:szCs w:val="28"/>
          <w:highlight w:val="none"/>
        </w:rPr>
        <w:t>20</w:t>
      </w:r>
      <w:r>
        <w:rPr>
          <w:rFonts w:ascii="Times New Roman" w:hAnsi="Times New Roman" w:eastAsia="宋体" w:cs="Times New Roman"/>
          <w:b/>
          <w:bCs/>
          <w:caps/>
          <w:color w:val="auto"/>
          <w:sz w:val="28"/>
          <w:szCs w:val="28"/>
          <w:highlight w:val="none"/>
        </w:rPr>
        <w:fldChar w:fldCharType="end"/>
      </w:r>
      <w:r>
        <w:rPr>
          <w:rFonts w:ascii="Times New Roman" w:hAnsi="Times New Roman" w:eastAsia="宋体" w:cs="Times New Roman"/>
          <w:b/>
          <w:bCs/>
          <w:caps/>
          <w:color w:val="auto"/>
          <w:sz w:val="28"/>
          <w:szCs w:val="28"/>
          <w:highlight w:val="none"/>
        </w:rPr>
        <w:fldChar w:fldCharType="end"/>
      </w:r>
    </w:p>
    <w:p>
      <w:pPr>
        <w:tabs>
          <w:tab w:val="right" w:leader="dot" w:pos="9231"/>
        </w:tabs>
        <w:spacing w:before="120" w:after="120" w:line="360" w:lineRule="auto"/>
        <w:jc w:val="left"/>
        <w:rPr>
          <w:rFonts w:ascii="Calibri" w:hAnsi="Calibri" w:eastAsia="宋体" w:cs="Times New Roman"/>
          <w:color w:val="auto"/>
          <w:sz w:val="28"/>
          <w:szCs w:val="28"/>
          <w:highlight w:val="none"/>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Fonts w:hint="eastAsia" w:ascii="Times New Roman" w:hAnsi="Times New Roman" w:eastAsia="宋体" w:cs="Times New Roman"/>
          <w:b/>
          <w:bCs/>
          <w:caps/>
          <w:color w:val="auto"/>
          <w:sz w:val="28"/>
          <w:szCs w:val="28"/>
          <w:highlight w:val="none"/>
          <w:u w:val="single"/>
        </w:rPr>
        <w:t xml:space="preserve">第四章 </w:t>
      </w:r>
      <w:bookmarkStart w:id="10" w:name="_Hlt511828826"/>
      <w:r>
        <w:rPr>
          <w:rFonts w:hint="eastAsia" w:ascii="Times New Roman" w:hAnsi="Times New Roman" w:eastAsia="宋体" w:cs="Times New Roman"/>
          <w:b/>
          <w:bCs/>
          <w:caps/>
          <w:color w:val="auto"/>
          <w:sz w:val="28"/>
          <w:szCs w:val="28"/>
          <w:highlight w:val="none"/>
          <w:u w:val="single"/>
        </w:rPr>
        <w:t>合同（</w:t>
      </w:r>
      <w:bookmarkEnd w:id="10"/>
      <w:r>
        <w:rPr>
          <w:rFonts w:hint="eastAsia" w:ascii="Times New Roman" w:hAnsi="Times New Roman" w:eastAsia="宋体" w:cs="Times New Roman"/>
          <w:b/>
          <w:bCs/>
          <w:caps/>
          <w:color w:val="auto"/>
          <w:sz w:val="28"/>
          <w:szCs w:val="28"/>
          <w:highlight w:val="none"/>
          <w:u w:val="single"/>
        </w:rPr>
        <w:t>样本）</w:t>
      </w:r>
      <w:r>
        <w:rPr>
          <w:rFonts w:hint="eastAsia" w:ascii="Times New Roman" w:hAnsi="Times New Roman" w:eastAsia="宋体" w:cs="Times New Roman"/>
          <w:b/>
          <w:bCs/>
          <w:caps/>
          <w:color w:val="auto"/>
          <w:sz w:val="28"/>
          <w:szCs w:val="28"/>
          <w:highlight w:val="none"/>
          <w:u w:val="single"/>
        </w:rPr>
        <w:fldChar w:fldCharType="end"/>
      </w:r>
      <w:r>
        <w:rPr>
          <w:rFonts w:hint="eastAsia" w:ascii="Times New Roman" w:hAnsi="Times New Roman" w:eastAsia="宋体" w:cs="Times New Roman"/>
          <w:b/>
          <w:bCs/>
          <w:caps/>
          <w:color w:val="auto"/>
          <w:sz w:val="28"/>
          <w:szCs w:val="28"/>
          <w:highlight w:val="none"/>
        </w:rPr>
        <w:t>..........................................................................................28</w:t>
      </w:r>
    </w:p>
    <w:p>
      <w:pPr>
        <w:tabs>
          <w:tab w:val="right" w:leader="dot" w:pos="9231"/>
        </w:tabs>
        <w:spacing w:before="120" w:after="120" w:line="360" w:lineRule="auto"/>
        <w:jc w:val="left"/>
        <w:rPr>
          <w:rFonts w:hint="eastAsia" w:ascii="Calibri" w:hAnsi="Calibri" w:eastAsia="宋体" w:cs="Times New Roman"/>
          <w:color w:val="auto"/>
          <w:sz w:val="28"/>
          <w:szCs w:val="28"/>
          <w:highlight w:val="none"/>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Fonts w:hint="eastAsia" w:ascii="Times New Roman" w:hAnsi="Times New Roman" w:eastAsia="宋体" w:cs="Times New Roman"/>
          <w:b/>
          <w:bCs/>
          <w:caps/>
          <w:color w:val="auto"/>
          <w:sz w:val="28"/>
          <w:szCs w:val="28"/>
          <w:highlight w:val="none"/>
          <w:u w:val="single"/>
        </w:rPr>
        <w:t>第五章 评分</w:t>
      </w:r>
      <w:bookmarkStart w:id="11" w:name="_Hlt509997395"/>
      <w:r>
        <w:rPr>
          <w:rFonts w:hint="eastAsia" w:ascii="Times New Roman" w:hAnsi="Times New Roman" w:eastAsia="宋体" w:cs="Times New Roman"/>
          <w:b/>
          <w:bCs/>
          <w:caps/>
          <w:color w:val="auto"/>
          <w:sz w:val="28"/>
          <w:szCs w:val="28"/>
          <w:highlight w:val="none"/>
          <w:u w:val="single"/>
        </w:rPr>
        <w:t>体</w:t>
      </w:r>
      <w:bookmarkEnd w:id="11"/>
      <w:bookmarkStart w:id="12" w:name="_Hlt475104622"/>
      <w:r>
        <w:rPr>
          <w:rFonts w:hint="eastAsia" w:ascii="Times New Roman" w:hAnsi="Times New Roman" w:eastAsia="宋体" w:cs="Times New Roman"/>
          <w:b/>
          <w:bCs/>
          <w:caps/>
          <w:color w:val="auto"/>
          <w:sz w:val="28"/>
          <w:szCs w:val="28"/>
          <w:highlight w:val="none"/>
          <w:u w:val="single"/>
        </w:rPr>
        <w:t>系</w:t>
      </w:r>
      <w:bookmarkEnd w:id="12"/>
      <w:bookmarkStart w:id="13" w:name="_Hlt509932460"/>
      <w:bookmarkStart w:id="14" w:name="_Hlt509932461"/>
      <w:bookmarkStart w:id="15" w:name="_Hlt510014093"/>
      <w:r>
        <w:rPr>
          <w:rFonts w:hint="eastAsia" w:ascii="Times New Roman" w:hAnsi="Times New Roman" w:eastAsia="宋体" w:cs="Times New Roman"/>
          <w:b/>
          <w:bCs/>
          <w:caps/>
          <w:color w:val="auto"/>
          <w:sz w:val="28"/>
          <w:szCs w:val="28"/>
          <w:highlight w:val="none"/>
          <w:u w:val="single"/>
        </w:rPr>
        <w:t>与</w:t>
      </w:r>
      <w:bookmarkEnd w:id="13"/>
      <w:bookmarkEnd w:id="14"/>
      <w:bookmarkEnd w:id="15"/>
      <w:bookmarkStart w:id="16" w:name="_Hlt509994748"/>
      <w:r>
        <w:rPr>
          <w:rFonts w:hint="eastAsia" w:ascii="Times New Roman" w:hAnsi="Times New Roman" w:eastAsia="宋体" w:cs="Times New Roman"/>
          <w:b/>
          <w:bCs/>
          <w:caps/>
          <w:color w:val="auto"/>
          <w:sz w:val="28"/>
          <w:szCs w:val="28"/>
          <w:highlight w:val="none"/>
          <w:u w:val="single"/>
        </w:rPr>
        <w:t>标</w:t>
      </w:r>
      <w:bookmarkEnd w:id="16"/>
      <w:bookmarkStart w:id="17" w:name="_Hlt509992254"/>
      <w:bookmarkStart w:id="18" w:name="_Hlt510014176"/>
      <w:r>
        <w:rPr>
          <w:rFonts w:hint="eastAsia" w:ascii="Times New Roman" w:hAnsi="Times New Roman" w:eastAsia="宋体" w:cs="Times New Roman"/>
          <w:b/>
          <w:bCs/>
          <w:caps/>
          <w:color w:val="auto"/>
          <w:sz w:val="28"/>
          <w:szCs w:val="28"/>
          <w:highlight w:val="none"/>
          <w:u w:val="single"/>
        </w:rPr>
        <w:t>准</w:t>
      </w:r>
      <w:bookmarkEnd w:id="17"/>
      <w:bookmarkEnd w:id="18"/>
      <w:bookmarkStart w:id="19" w:name="_Hlt509991939"/>
      <w:bookmarkStart w:id="20" w:name="_Hlt509991721"/>
      <w:bookmarkStart w:id="21" w:name="_Hlt509991722"/>
      <w:r>
        <w:rPr>
          <w:rFonts w:hint="eastAsia" w:ascii="Times New Roman" w:hAnsi="Times New Roman" w:eastAsia="宋体" w:cs="Times New Roman"/>
          <w:b/>
          <w:bCs/>
          <w:caps/>
          <w:color w:val="auto"/>
          <w:sz w:val="28"/>
          <w:szCs w:val="28"/>
          <w:highlight w:val="none"/>
        </w:rPr>
        <w:t>..</w:t>
      </w:r>
      <w:r>
        <w:rPr>
          <w:rFonts w:ascii="Times New Roman" w:hAnsi="Times New Roman" w:eastAsia="宋体" w:cs="Times New Roman"/>
          <w:b/>
          <w:bCs/>
          <w:caps/>
          <w:color w:val="auto"/>
          <w:sz w:val="28"/>
          <w:szCs w:val="28"/>
          <w:highlight w:val="none"/>
        </w:rPr>
        <w:tab/>
      </w:r>
      <w:bookmarkEnd w:id="19"/>
      <w:bookmarkEnd w:id="20"/>
      <w:bookmarkEnd w:id="21"/>
      <w:r>
        <w:rPr>
          <w:rFonts w:hint="eastAsia" w:ascii="Times New Roman" w:hAnsi="Times New Roman" w:eastAsia="宋体" w:cs="Times New Roman"/>
          <w:b/>
          <w:bCs/>
          <w:caps/>
          <w:color w:val="auto"/>
          <w:sz w:val="28"/>
          <w:szCs w:val="28"/>
          <w:highlight w:val="none"/>
        </w:rPr>
        <w:t>38</w:t>
      </w:r>
      <w:r>
        <w:rPr>
          <w:rFonts w:hint="eastAsia" w:ascii="Times New Roman" w:hAnsi="Times New Roman" w:eastAsia="宋体" w:cs="Times New Roman"/>
          <w:b/>
          <w:bCs/>
          <w:caps/>
          <w:color w:val="auto"/>
          <w:sz w:val="28"/>
          <w:szCs w:val="28"/>
          <w:highlight w:val="none"/>
        </w:rPr>
        <w:fldChar w:fldCharType="end"/>
      </w:r>
    </w:p>
    <w:p>
      <w:pPr>
        <w:tabs>
          <w:tab w:val="right" w:leader="dot" w:pos="9231"/>
        </w:tabs>
        <w:spacing w:before="120" w:after="120" w:line="360" w:lineRule="auto"/>
        <w:jc w:val="left"/>
        <w:rPr>
          <w:rFonts w:hint="eastAsia" w:ascii="Calibri" w:hAnsi="Calibri" w:eastAsia="宋体" w:cs="Times New Roman"/>
          <w:color w:val="auto"/>
          <w:sz w:val="28"/>
          <w:szCs w:val="28"/>
          <w:highlight w:val="none"/>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Fonts w:hint="eastAsia" w:ascii="Times New Roman" w:hAnsi="Times New Roman" w:eastAsia="宋体" w:cs="Times New Roman"/>
          <w:b/>
          <w:bCs/>
          <w:caps/>
          <w:color w:val="auto"/>
          <w:sz w:val="28"/>
          <w:szCs w:val="28"/>
          <w:highlight w:val="none"/>
          <w:u w:val="single"/>
        </w:rPr>
        <w:t>第六章 附件（格</w:t>
      </w:r>
      <w:bookmarkStart w:id="22" w:name="_Hlt510014049"/>
      <w:r>
        <w:rPr>
          <w:rFonts w:hint="eastAsia" w:ascii="Times New Roman" w:hAnsi="Times New Roman" w:eastAsia="宋体" w:cs="Times New Roman"/>
          <w:b/>
          <w:bCs/>
          <w:caps/>
          <w:color w:val="auto"/>
          <w:sz w:val="28"/>
          <w:szCs w:val="28"/>
          <w:highlight w:val="none"/>
          <w:u w:val="single"/>
        </w:rPr>
        <w:t>式</w:t>
      </w:r>
      <w:bookmarkEnd w:id="22"/>
      <w:r>
        <w:rPr>
          <w:rFonts w:hint="eastAsia" w:ascii="Times New Roman" w:hAnsi="Times New Roman" w:eastAsia="宋体" w:cs="Times New Roman"/>
          <w:b/>
          <w:bCs/>
          <w:caps/>
          <w:color w:val="auto"/>
          <w:sz w:val="28"/>
          <w:szCs w:val="28"/>
          <w:highlight w:val="none"/>
          <w:u w:val="single"/>
        </w:rPr>
        <w:t>）</w:t>
      </w:r>
      <w:r>
        <w:rPr>
          <w:rFonts w:hint="eastAsia" w:ascii="Times New Roman" w:hAnsi="Times New Roman" w:eastAsia="宋体" w:cs="Times New Roman"/>
          <w:b/>
          <w:bCs/>
          <w:caps/>
          <w:color w:val="auto"/>
          <w:sz w:val="28"/>
          <w:szCs w:val="28"/>
          <w:highlight w:val="none"/>
        </w:rPr>
        <w:t>.........................................................................................</w:t>
      </w:r>
      <w:r>
        <w:rPr>
          <w:rFonts w:ascii="Times New Roman" w:hAnsi="Times New Roman" w:eastAsia="宋体" w:cs="Times New Roman"/>
          <w:b/>
          <w:bCs/>
          <w:caps/>
          <w:color w:val="auto"/>
          <w:sz w:val="28"/>
          <w:szCs w:val="28"/>
          <w:highlight w:val="none"/>
        </w:rPr>
        <w:tab/>
      </w:r>
      <w:r>
        <w:rPr>
          <w:rFonts w:hint="eastAsia" w:ascii="Times New Roman" w:hAnsi="Times New Roman" w:eastAsia="宋体" w:cs="Times New Roman"/>
          <w:b/>
          <w:bCs/>
          <w:caps/>
          <w:color w:val="auto"/>
          <w:sz w:val="28"/>
          <w:szCs w:val="28"/>
          <w:highlight w:val="none"/>
        </w:rPr>
        <w:t>45</w:t>
      </w:r>
      <w:r>
        <w:rPr>
          <w:rFonts w:hint="eastAsia" w:ascii="Times New Roman" w:hAnsi="Times New Roman" w:eastAsia="宋体" w:cs="Times New Roman"/>
          <w:b/>
          <w:bCs/>
          <w:caps/>
          <w:color w:val="auto"/>
          <w:sz w:val="28"/>
          <w:szCs w:val="28"/>
          <w:highlight w:val="none"/>
        </w:rPr>
        <w:fldChar w:fldCharType="end"/>
      </w:r>
    </w:p>
    <w:p>
      <w:pPr>
        <w:tabs>
          <w:tab w:val="right" w:leader="dot" w:pos="9231"/>
        </w:tabs>
        <w:spacing w:before="120" w:after="120" w:line="360" w:lineRule="auto"/>
        <w:jc w:val="left"/>
        <w:rPr>
          <w:rFonts w:ascii="Calibri" w:hAnsi="Calibri" w:eastAsia="宋体" w:cs="Times New Roman"/>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cols w:space="720" w:num="1"/>
          <w:titlePg/>
          <w:docGrid w:linePitch="312" w:charSpace="0"/>
        </w:sectPr>
      </w:pPr>
    </w:p>
    <w:p>
      <w:pPr>
        <w:tabs>
          <w:tab w:val="right" w:leader="dot" w:pos="9231"/>
        </w:tabs>
        <w:spacing w:before="120" w:after="120" w:line="360" w:lineRule="auto"/>
        <w:jc w:val="left"/>
        <w:rPr>
          <w:rFonts w:ascii="Calibri" w:hAnsi="Calibri" w:eastAsia="宋体" w:cs="Times New Roman"/>
          <w:color w:val="auto"/>
          <w:sz w:val="28"/>
          <w:szCs w:val="28"/>
          <w:highlight w:val="none"/>
        </w:rPr>
      </w:pPr>
    </w:p>
    <w:p>
      <w:pPr>
        <w:tabs>
          <w:tab w:val="right" w:leader="dot" w:pos="9231"/>
        </w:tabs>
        <w:spacing w:before="120" w:after="120" w:line="360" w:lineRule="auto"/>
        <w:jc w:val="left"/>
        <w:rPr>
          <w:rFonts w:ascii="Calibri" w:hAnsi="Calibri" w:eastAsia="宋体" w:cs="Times New Roman"/>
          <w:color w:val="auto"/>
          <w:sz w:val="28"/>
          <w:szCs w:val="28"/>
          <w:highlight w:val="none"/>
        </w:rPr>
      </w:pPr>
    </w:p>
    <w:p>
      <w:pPr>
        <w:snapToGrid w:val="0"/>
        <w:spacing w:before="240" w:beforeLines="100" w:after="240" w:afterLines="100" w:line="360" w:lineRule="auto"/>
        <w:rPr>
          <w:rFonts w:ascii="宋体" w:hAnsi="宋体" w:eastAsia="宋体" w:cs="Times New Roman"/>
          <w:color w:val="auto"/>
          <w:sz w:val="28"/>
          <w:szCs w:val="24"/>
          <w:highlight w:val="none"/>
        </w:rPr>
      </w:pPr>
      <w:r>
        <w:rPr>
          <w:rFonts w:ascii="宋体" w:hAnsi="宋体" w:eastAsia="宋体" w:cs="Times New Roman"/>
          <w:bCs/>
          <w:caps/>
          <w:smallCaps/>
          <w:color w:val="auto"/>
          <w:sz w:val="28"/>
          <w:szCs w:val="28"/>
          <w:highlight w:val="none"/>
        </w:rPr>
        <w:fldChar w:fldCharType="end"/>
      </w:r>
    </w:p>
    <w:p>
      <w:pPr>
        <w:spacing w:line="360" w:lineRule="auto"/>
        <w:rPr>
          <w:rFonts w:ascii="宋体" w:hAnsi="宋体" w:eastAsia="宋体" w:cs="Times New Roman"/>
          <w:color w:val="auto"/>
          <w:sz w:val="28"/>
          <w:szCs w:val="24"/>
          <w:highlight w:val="none"/>
        </w:rPr>
      </w:pPr>
    </w:p>
    <w:p>
      <w:pPr>
        <w:spacing w:line="360" w:lineRule="auto"/>
        <w:rPr>
          <w:rFonts w:ascii="宋体" w:hAnsi="宋体" w:eastAsia="宋体" w:cs="Times New Roman"/>
          <w:color w:val="auto"/>
          <w:sz w:val="28"/>
          <w:szCs w:val="24"/>
          <w:highlight w:val="none"/>
        </w:rPr>
      </w:pPr>
    </w:p>
    <w:p>
      <w:pPr>
        <w:spacing w:line="360" w:lineRule="auto"/>
        <w:rPr>
          <w:rFonts w:ascii="宋体" w:hAnsi="宋体" w:eastAsia="宋体" w:cs="Times New Roman"/>
          <w:color w:val="auto"/>
          <w:sz w:val="28"/>
          <w:szCs w:val="24"/>
          <w:highlight w:val="none"/>
        </w:rPr>
      </w:pPr>
    </w:p>
    <w:p>
      <w:pPr>
        <w:spacing w:line="360" w:lineRule="auto"/>
        <w:rPr>
          <w:rFonts w:ascii="宋体" w:hAnsi="宋体" w:eastAsia="宋体" w:cs="Times New Roman"/>
          <w:color w:val="auto"/>
          <w:sz w:val="28"/>
          <w:szCs w:val="24"/>
          <w:highlight w:val="none"/>
        </w:rPr>
      </w:pPr>
    </w:p>
    <w:p>
      <w:pPr>
        <w:spacing w:line="360" w:lineRule="auto"/>
        <w:rPr>
          <w:rFonts w:ascii="宋体" w:hAnsi="宋体" w:eastAsia="宋体" w:cs="Times New Roman"/>
          <w:color w:val="auto"/>
          <w:sz w:val="28"/>
          <w:szCs w:val="24"/>
          <w:highlight w:val="none"/>
        </w:rPr>
      </w:pPr>
    </w:p>
    <w:p>
      <w:pPr>
        <w:keepNext/>
        <w:autoSpaceDE w:val="0"/>
        <w:spacing w:line="360" w:lineRule="auto"/>
        <w:ind w:right="-441" w:rightChars="-210"/>
        <w:jc w:val="center"/>
        <w:outlineLvl w:val="0"/>
        <w:rPr>
          <w:rFonts w:ascii="宋体" w:hAnsi="宋体" w:eastAsia="宋体" w:cs="Times New Roman"/>
          <w:b/>
          <w:bCs/>
          <w:color w:val="auto"/>
          <w:sz w:val="44"/>
          <w:szCs w:val="24"/>
          <w:highlight w:val="none"/>
        </w:rPr>
      </w:pPr>
      <w:bookmarkStart w:id="23" w:name="_Toc320515014"/>
      <w:bookmarkStart w:id="24" w:name="_Toc475104466"/>
      <w:r>
        <w:rPr>
          <w:rFonts w:ascii="宋体" w:hAnsi="宋体" w:eastAsia="宋体" w:cs="ZWAdobeF"/>
          <w:bCs/>
          <w:color w:val="auto"/>
          <w:sz w:val="2"/>
          <w:szCs w:val="2"/>
          <w:highlight w:val="none"/>
        </w:rPr>
        <w:t>0B0B</w:t>
      </w:r>
      <w:r>
        <w:rPr>
          <w:rFonts w:hint="eastAsia" w:ascii="宋体" w:hAnsi="宋体" w:eastAsia="宋体" w:cs="Times New Roman"/>
          <w:b/>
          <w:bCs/>
          <w:color w:val="auto"/>
          <w:sz w:val="44"/>
          <w:szCs w:val="24"/>
          <w:highlight w:val="none"/>
        </w:rPr>
        <w:t>第一章</w:t>
      </w:r>
      <w:bookmarkStart w:id="25" w:name="_Toc10525513"/>
      <w:r>
        <w:rPr>
          <w:rFonts w:hint="eastAsia" w:ascii="宋体" w:hAnsi="宋体" w:eastAsia="宋体" w:cs="Times New Roman"/>
          <w:b/>
          <w:bCs/>
          <w:color w:val="auto"/>
          <w:sz w:val="44"/>
          <w:szCs w:val="24"/>
          <w:highlight w:val="none"/>
        </w:rPr>
        <w:t xml:space="preserve"> </w:t>
      </w:r>
      <w:bookmarkEnd w:id="0"/>
      <w:bookmarkEnd w:id="1"/>
      <w:bookmarkEnd w:id="23"/>
      <w:bookmarkEnd w:id="24"/>
      <w:bookmarkEnd w:id="25"/>
      <w:r>
        <w:rPr>
          <w:rFonts w:hint="eastAsia" w:ascii="宋体" w:hAnsi="宋体" w:eastAsia="宋体" w:cs="Times New Roman"/>
          <w:b/>
          <w:bCs/>
          <w:color w:val="auto"/>
          <w:sz w:val="44"/>
          <w:szCs w:val="24"/>
          <w:highlight w:val="none"/>
        </w:rPr>
        <w:t>公开遴选公告</w:t>
      </w:r>
    </w:p>
    <w:p>
      <w:pPr>
        <w:spacing w:line="480" w:lineRule="auto"/>
        <w:jc w:val="center"/>
        <w:rPr>
          <w:rFonts w:ascii="宋体" w:hAnsi="宋体" w:eastAsia="宋体" w:cs="Times New Roman"/>
          <w:b/>
          <w:color w:val="auto"/>
          <w:sz w:val="30"/>
          <w:szCs w:val="30"/>
          <w:highlight w:val="none"/>
        </w:rPr>
      </w:pPr>
      <w:r>
        <w:rPr>
          <w:rFonts w:ascii="宋体" w:hAnsi="宋体" w:eastAsia="宋体" w:cs="Times New Roman"/>
          <w:color w:val="auto"/>
          <w:szCs w:val="24"/>
          <w:highlight w:val="none"/>
        </w:rPr>
        <w:br w:type="page"/>
      </w:r>
      <w:r>
        <w:rPr>
          <w:rFonts w:hint="eastAsia" w:ascii="宋体" w:hAnsi="宋体" w:eastAsia="宋体" w:cs="Times New Roman"/>
          <w:b/>
          <w:color w:val="auto"/>
          <w:sz w:val="30"/>
          <w:szCs w:val="30"/>
          <w:highlight w:val="none"/>
        </w:rPr>
        <w:t>公开遴选公告</w:t>
      </w:r>
    </w:p>
    <w:p>
      <w:pPr>
        <w:widowControl/>
        <w:adjustRightInd w:val="0"/>
        <w:snapToGrid w:val="0"/>
        <w:spacing w:before="100" w:beforeAutospacing="1" w:after="100" w:afterAutospacing="1" w:line="360" w:lineRule="auto"/>
        <w:jc w:val="center"/>
        <w:rPr>
          <w:rFonts w:ascii="宋体" w:hAnsi="宋体" w:eastAsia="宋体" w:cs="宋体"/>
          <w:color w:val="auto"/>
          <w:szCs w:val="21"/>
          <w:highlight w:val="none"/>
        </w:rPr>
      </w:pPr>
      <w:bookmarkStart w:id="26" w:name="_Toc14450807"/>
      <w:bookmarkStart w:id="27" w:name="_Toc28489434"/>
      <w:r>
        <w:rPr>
          <w:rFonts w:hint="eastAsia" w:ascii="宋体" w:hAnsi="宋体" w:eastAsia="宋体" w:cs="宋体"/>
          <w:color w:val="auto"/>
          <w:szCs w:val="21"/>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2021年海珠区民办残疾人社会服务机构资助项目第三方服务评估和质量监察、社区精神康复综合服务中心第三方业务督导和服务质量评估以及残疾人家庭无障碍改造专项提升工作第三方抽检验收服务项目 采购项目的潜在投标人应在</w:t>
      </w:r>
      <w:r>
        <w:rPr>
          <w:rFonts w:hint="eastAsia" w:ascii="宋体" w:hAnsi="宋体" w:eastAsia="宋体" w:cs="宋体"/>
          <w:color w:val="auto"/>
          <w:kern w:val="0"/>
          <w:szCs w:val="21"/>
          <w:highlight w:val="none"/>
        </w:rPr>
        <w:t>广州市天河区粤垦路623号燕都商务大厦12楼1202室</w:t>
      </w:r>
      <w:r>
        <w:rPr>
          <w:rFonts w:hint="eastAsia" w:ascii="宋体" w:hAnsi="宋体" w:eastAsia="宋体" w:cs="宋体"/>
          <w:color w:val="auto"/>
          <w:szCs w:val="21"/>
          <w:highlight w:val="none"/>
        </w:rPr>
        <w:t>获取公开遴选文件，并于2021年06月21日14时30分（北京时间）前提交响应文件。</w:t>
      </w:r>
    </w:p>
    <w:p>
      <w:pPr>
        <w:tabs>
          <w:tab w:val="left" w:pos="840"/>
          <w:tab w:val="left" w:pos="945"/>
        </w:tabs>
        <w:snapToGrid w:val="0"/>
        <w:spacing w:line="360" w:lineRule="auto"/>
        <w:ind w:left="525"/>
        <w:rPr>
          <w:rFonts w:ascii="宋体" w:hAnsi="宋体" w:eastAsia="宋体" w:cs="宋体"/>
          <w:b/>
          <w:bCs/>
          <w:color w:val="auto"/>
          <w:szCs w:val="20"/>
          <w:highlight w:val="none"/>
        </w:rPr>
      </w:pPr>
      <w:r>
        <w:rPr>
          <w:rFonts w:hint="eastAsia" w:ascii="宋体" w:hAnsi="宋体" w:eastAsia="宋体" w:cs="宋体"/>
          <w:b/>
          <w:bCs/>
          <w:color w:val="auto"/>
          <w:szCs w:val="20"/>
          <w:highlight w:val="none"/>
        </w:rPr>
        <w:t>一、项目基本情况</w:t>
      </w:r>
    </w:p>
    <w:p>
      <w:pPr>
        <w:tabs>
          <w:tab w:val="left" w:pos="840"/>
          <w:tab w:val="left" w:pos="945"/>
        </w:tabs>
        <w:snapToGrid w:val="0"/>
        <w:spacing w:line="360" w:lineRule="auto"/>
        <w:ind w:left="525"/>
        <w:rPr>
          <w:rFonts w:hint="eastAsia" w:ascii="宋体" w:hAnsi="宋体" w:eastAsia="宋体" w:cs="宋体"/>
          <w:bCs/>
          <w:color w:val="auto"/>
          <w:szCs w:val="20"/>
          <w:highlight w:val="none"/>
        </w:rPr>
      </w:pPr>
      <w:r>
        <w:rPr>
          <w:rFonts w:ascii="宋体" w:hAnsi="宋体" w:eastAsia="宋体" w:cs="宋体"/>
          <w:bCs/>
          <w:color w:val="auto"/>
          <w:szCs w:val="20"/>
          <w:highlight w:val="none"/>
        </w:rPr>
        <w:t>项目编号：</w:t>
      </w:r>
      <w:r>
        <w:rPr>
          <w:rFonts w:hint="eastAsia" w:ascii="宋体" w:hAnsi="宋体" w:eastAsia="宋体" w:cs="宋体"/>
          <w:bCs/>
          <w:color w:val="auto"/>
          <w:szCs w:val="20"/>
          <w:highlight w:val="none"/>
        </w:rPr>
        <w:t>202106-184098-0080</w:t>
      </w:r>
    </w:p>
    <w:p>
      <w:pPr>
        <w:tabs>
          <w:tab w:val="left" w:pos="840"/>
          <w:tab w:val="left" w:pos="945"/>
        </w:tabs>
        <w:snapToGrid w:val="0"/>
        <w:spacing w:line="360" w:lineRule="auto"/>
        <w:ind w:left="525"/>
        <w:rPr>
          <w:rFonts w:hint="eastAsia" w:ascii="宋体" w:hAnsi="宋体" w:eastAsia="宋体" w:cs="宋体"/>
          <w:bCs/>
          <w:color w:val="auto"/>
          <w:szCs w:val="20"/>
          <w:highlight w:val="none"/>
        </w:rPr>
      </w:pPr>
      <w:r>
        <w:rPr>
          <w:rFonts w:ascii="宋体" w:hAnsi="宋体" w:eastAsia="宋体" w:cs="宋体"/>
          <w:bCs/>
          <w:color w:val="auto"/>
          <w:szCs w:val="20"/>
          <w:highlight w:val="none"/>
        </w:rPr>
        <w:t>项目名称：</w:t>
      </w:r>
      <w:r>
        <w:rPr>
          <w:rFonts w:hint="eastAsia" w:ascii="宋体" w:hAnsi="宋体" w:eastAsia="宋体" w:cs="宋体"/>
          <w:bCs/>
          <w:color w:val="auto"/>
          <w:szCs w:val="20"/>
          <w:highlight w:val="none"/>
        </w:rPr>
        <w:t>2021年海珠区民办残疾人社会服务机构资助项目第三方服务评估和质量监察、社区精神康复综合服务中心第三方业务督导和服务质量评估以及残疾人家庭无障碍改造专项提升工作第三方抽检验收服务项目</w:t>
      </w:r>
    </w:p>
    <w:p>
      <w:pPr>
        <w:tabs>
          <w:tab w:val="left" w:pos="840"/>
          <w:tab w:val="left" w:pos="945"/>
        </w:tabs>
        <w:snapToGrid w:val="0"/>
        <w:spacing w:line="360" w:lineRule="auto"/>
        <w:ind w:left="525"/>
        <w:rPr>
          <w:rFonts w:hint="eastAsia" w:ascii="宋体" w:hAnsi="宋体" w:eastAsia="宋体" w:cs="宋体"/>
          <w:bCs/>
          <w:color w:val="auto"/>
          <w:szCs w:val="20"/>
          <w:highlight w:val="none"/>
        </w:rPr>
      </w:pPr>
      <w:r>
        <w:rPr>
          <w:rFonts w:ascii="宋体" w:hAnsi="宋体" w:eastAsia="宋体" w:cs="宋体"/>
          <w:bCs/>
          <w:color w:val="auto"/>
          <w:szCs w:val="20"/>
          <w:highlight w:val="none"/>
        </w:rPr>
        <w:t>采购方式：</w:t>
      </w:r>
      <w:r>
        <w:rPr>
          <w:rFonts w:hint="eastAsia" w:ascii="宋体" w:hAnsi="宋体" w:eastAsia="宋体" w:cs="宋体"/>
          <w:bCs/>
          <w:color w:val="auto"/>
          <w:szCs w:val="20"/>
          <w:highlight w:val="none"/>
        </w:rPr>
        <w:t>公开遴选</w:t>
      </w:r>
    </w:p>
    <w:p>
      <w:pPr>
        <w:tabs>
          <w:tab w:val="left" w:pos="840"/>
          <w:tab w:val="left" w:pos="945"/>
        </w:tabs>
        <w:snapToGrid w:val="0"/>
        <w:spacing w:line="360" w:lineRule="auto"/>
        <w:ind w:left="525"/>
        <w:rPr>
          <w:rFonts w:hint="eastAsia" w:ascii="宋体" w:hAnsi="宋体" w:eastAsia="宋体" w:cs="宋体"/>
          <w:bCs/>
          <w:color w:val="auto"/>
          <w:szCs w:val="20"/>
          <w:highlight w:val="none"/>
        </w:rPr>
      </w:pPr>
      <w:r>
        <w:rPr>
          <w:rFonts w:ascii="宋体" w:hAnsi="宋体" w:eastAsia="宋体" w:cs="宋体"/>
          <w:bCs/>
          <w:color w:val="auto"/>
          <w:szCs w:val="20"/>
          <w:highlight w:val="none"/>
        </w:rPr>
        <w:t>预算金额：</w:t>
      </w:r>
      <w:r>
        <w:rPr>
          <w:rFonts w:hint="eastAsia" w:ascii="宋体" w:hAnsi="宋体" w:eastAsia="宋体" w:cs="宋体"/>
          <w:bCs/>
          <w:color w:val="auto"/>
          <w:szCs w:val="20"/>
          <w:highlight w:val="none"/>
        </w:rPr>
        <w:t>180000.00</w:t>
      </w:r>
    </w:p>
    <w:p>
      <w:pPr>
        <w:tabs>
          <w:tab w:val="left" w:pos="840"/>
          <w:tab w:val="left" w:pos="945"/>
        </w:tabs>
        <w:snapToGrid w:val="0"/>
        <w:spacing w:line="360" w:lineRule="auto"/>
        <w:ind w:left="525"/>
        <w:rPr>
          <w:rFonts w:ascii="宋体" w:hAnsi="宋体" w:eastAsia="宋体" w:cs="宋体"/>
          <w:bCs/>
          <w:color w:val="auto"/>
          <w:szCs w:val="20"/>
          <w:highlight w:val="none"/>
        </w:rPr>
      </w:pPr>
      <w:r>
        <w:rPr>
          <w:rFonts w:ascii="宋体" w:hAnsi="宋体" w:eastAsia="宋体" w:cs="宋体"/>
          <w:bCs/>
          <w:color w:val="auto"/>
          <w:szCs w:val="20"/>
          <w:highlight w:val="none"/>
        </w:rPr>
        <w:t>采购需求：</w:t>
      </w:r>
    </w:p>
    <w:p>
      <w:pPr>
        <w:tabs>
          <w:tab w:val="left" w:pos="840"/>
          <w:tab w:val="left" w:pos="945"/>
        </w:tabs>
        <w:snapToGrid w:val="0"/>
        <w:spacing w:line="360" w:lineRule="auto"/>
        <w:ind w:left="525"/>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合同包1(2021年海珠区民办残疾人社会服务机构资助项目第三方服务评估和质量监察、社区精神康复综合服务中心第三方业务督导和服务质量评估以及残疾人家庭无障碍改造专项提升工作第三方抽检验收服务项目):</w:t>
      </w:r>
    </w:p>
    <w:p>
      <w:pPr>
        <w:tabs>
          <w:tab w:val="left" w:pos="840"/>
          <w:tab w:val="left" w:pos="945"/>
        </w:tabs>
        <w:snapToGrid w:val="0"/>
        <w:spacing w:line="360" w:lineRule="auto"/>
        <w:ind w:left="525"/>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合同包预算金额：180000.00元</w:t>
      </w:r>
    </w:p>
    <w:tbl>
      <w:tblPr>
        <w:tblStyle w:val="8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05"/>
        <w:gridCol w:w="1537"/>
        <w:gridCol w:w="2575"/>
        <w:gridCol w:w="1713"/>
        <w:gridCol w:w="17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12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品目号</w:t>
            </w:r>
          </w:p>
        </w:tc>
        <w:tc>
          <w:tcPr>
            <w:tcW w:w="153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数量（单位）</w:t>
            </w:r>
          </w:p>
        </w:tc>
        <w:tc>
          <w:tcPr>
            <w:tcW w:w="25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技术规格、参数及要求</w:t>
            </w:r>
          </w:p>
        </w:tc>
        <w:tc>
          <w:tcPr>
            <w:tcW w:w="17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品目预算(元)</w:t>
            </w:r>
          </w:p>
        </w:tc>
        <w:tc>
          <w:tcPr>
            <w:tcW w:w="179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2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1-1</w:t>
            </w:r>
          </w:p>
        </w:tc>
        <w:tc>
          <w:tcPr>
            <w:tcW w:w="153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1(项)</w:t>
            </w:r>
          </w:p>
        </w:tc>
        <w:tc>
          <w:tcPr>
            <w:tcW w:w="25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详见公开遴选文件</w:t>
            </w:r>
          </w:p>
        </w:tc>
        <w:tc>
          <w:tcPr>
            <w:tcW w:w="17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180000.00</w:t>
            </w:r>
          </w:p>
        </w:tc>
        <w:tc>
          <w:tcPr>
            <w:tcW w:w="179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180000.00</w:t>
            </w:r>
          </w:p>
        </w:tc>
      </w:tr>
    </w:tbl>
    <w:p>
      <w:pPr>
        <w:tabs>
          <w:tab w:val="left" w:pos="840"/>
          <w:tab w:val="left" w:pos="945"/>
        </w:tabs>
        <w:snapToGrid w:val="0"/>
        <w:spacing w:line="360" w:lineRule="auto"/>
        <w:ind w:left="525"/>
        <w:rPr>
          <w:rFonts w:ascii="宋体" w:hAnsi="宋体" w:eastAsia="宋体" w:cs="宋体"/>
          <w:bCs/>
          <w:color w:val="auto"/>
          <w:szCs w:val="20"/>
          <w:highlight w:val="none"/>
        </w:rPr>
      </w:pPr>
      <w:r>
        <w:rPr>
          <w:rFonts w:hint="eastAsia" w:ascii="宋体" w:hAnsi="宋体" w:eastAsia="宋体" w:cs="宋体"/>
          <w:bCs/>
          <w:color w:val="auto"/>
          <w:szCs w:val="20"/>
          <w:highlight w:val="none"/>
        </w:rPr>
        <w:t>本合同包不接受联合体投标</w:t>
      </w:r>
      <w:r>
        <w:rPr>
          <w:rFonts w:ascii="宋体" w:hAnsi="宋体" w:eastAsia="宋体" w:cs="宋体"/>
          <w:bCs/>
          <w:color w:val="auto"/>
          <w:szCs w:val="20"/>
          <w:highlight w:val="none"/>
        </w:rPr>
        <w:t>。</w:t>
      </w:r>
    </w:p>
    <w:p>
      <w:pPr>
        <w:tabs>
          <w:tab w:val="left" w:pos="840"/>
          <w:tab w:val="left" w:pos="945"/>
        </w:tabs>
        <w:snapToGrid w:val="0"/>
        <w:spacing w:line="360" w:lineRule="auto"/>
        <w:ind w:left="525"/>
        <w:rPr>
          <w:rFonts w:hint="eastAsia" w:ascii="宋体" w:hAnsi="宋体" w:eastAsia="宋体" w:cs="宋体"/>
          <w:b/>
          <w:bCs/>
          <w:color w:val="auto"/>
          <w:szCs w:val="20"/>
          <w:highlight w:val="none"/>
        </w:rPr>
      </w:pPr>
      <w:r>
        <w:rPr>
          <w:rFonts w:ascii="宋体" w:hAnsi="宋体" w:eastAsia="宋体" w:cs="宋体"/>
          <w:b/>
          <w:bCs/>
          <w:color w:val="auto"/>
          <w:szCs w:val="20"/>
          <w:highlight w:val="none"/>
        </w:rPr>
        <w:t>二、申请人的资格要求</w:t>
      </w:r>
      <w:r>
        <w:rPr>
          <w:rFonts w:hint="eastAsia" w:ascii="宋体" w:hAnsi="宋体" w:eastAsia="宋体" w:cs="宋体"/>
          <w:b/>
          <w:bCs/>
          <w:color w:val="auto"/>
          <w:szCs w:val="20"/>
          <w:highlight w:val="none"/>
        </w:rPr>
        <w:t>：</w:t>
      </w:r>
    </w:p>
    <w:p>
      <w:pPr>
        <w:tabs>
          <w:tab w:val="left" w:pos="840"/>
          <w:tab w:val="left" w:pos="945"/>
        </w:tabs>
        <w:snapToGrid w:val="0"/>
        <w:spacing w:line="360" w:lineRule="auto"/>
        <w:ind w:left="525"/>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2.落实政府采购政策需满足的资格要求：</w:t>
      </w:r>
    </w:p>
    <w:p>
      <w:pPr>
        <w:tabs>
          <w:tab w:val="left" w:pos="840"/>
          <w:tab w:val="left" w:pos="945"/>
        </w:tabs>
        <w:snapToGrid w:val="0"/>
        <w:spacing w:line="360" w:lineRule="auto"/>
        <w:ind w:left="527" w:firstLine="420" w:firstLineChars="20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1)《政府采购促进中小企业发展管理办法》（财库〔2020〕46号）</w:t>
      </w:r>
    </w:p>
    <w:p>
      <w:pPr>
        <w:tabs>
          <w:tab w:val="left" w:pos="840"/>
          <w:tab w:val="left" w:pos="945"/>
        </w:tabs>
        <w:snapToGrid w:val="0"/>
        <w:spacing w:line="360" w:lineRule="auto"/>
        <w:ind w:left="527" w:firstLine="420" w:firstLineChars="20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2)《关于政府采购支持监狱企业发展有关问题的通知》(财库〔2014〕68号)</w:t>
      </w:r>
    </w:p>
    <w:p>
      <w:pPr>
        <w:tabs>
          <w:tab w:val="left" w:pos="840"/>
          <w:tab w:val="left" w:pos="945"/>
        </w:tabs>
        <w:snapToGrid w:val="0"/>
        <w:spacing w:line="360" w:lineRule="auto"/>
        <w:ind w:left="527" w:firstLine="420" w:firstLineChars="20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3)《关于促进残疾人就业政府采购政策的通知》（财库〔2017〕141号)</w:t>
      </w:r>
    </w:p>
    <w:p>
      <w:pPr>
        <w:tabs>
          <w:tab w:val="left" w:pos="840"/>
          <w:tab w:val="left" w:pos="945"/>
        </w:tabs>
        <w:snapToGrid w:val="0"/>
        <w:spacing w:line="360" w:lineRule="auto"/>
        <w:ind w:left="527" w:firstLine="420" w:firstLineChars="20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4)《关于环境标志产品政府采购实施的意见》(财库〔2006〕90号）</w:t>
      </w:r>
    </w:p>
    <w:p>
      <w:pPr>
        <w:tabs>
          <w:tab w:val="left" w:pos="840"/>
          <w:tab w:val="left" w:pos="945"/>
        </w:tabs>
        <w:snapToGrid w:val="0"/>
        <w:spacing w:line="360" w:lineRule="auto"/>
        <w:ind w:left="527" w:firstLine="420" w:firstLineChars="20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5)《节能产品政府采购实施意见》的通知（财库〔2004〕185号）</w:t>
      </w:r>
    </w:p>
    <w:p>
      <w:pPr>
        <w:tabs>
          <w:tab w:val="left" w:pos="840"/>
          <w:tab w:val="left" w:pos="945"/>
        </w:tabs>
        <w:snapToGrid w:val="0"/>
        <w:spacing w:line="360" w:lineRule="auto"/>
        <w:ind w:left="525"/>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3.</w:t>
      </w:r>
      <w:r>
        <w:rPr>
          <w:rFonts w:hint="eastAsia" w:ascii="仿宋_GB2312" w:hAnsi="Times New Roman" w:eastAsia="仿宋_GB2312" w:cs="Times New Roman"/>
          <w:color w:val="auto"/>
          <w:sz w:val="28"/>
          <w:szCs w:val="28"/>
          <w:highlight w:val="none"/>
        </w:rPr>
        <w:t xml:space="preserve"> </w:t>
      </w:r>
      <w:r>
        <w:rPr>
          <w:rFonts w:hint="eastAsia" w:ascii="宋体" w:hAnsi="宋体" w:eastAsia="宋体" w:cs="宋体"/>
          <w:bCs/>
          <w:color w:val="auto"/>
          <w:szCs w:val="20"/>
          <w:highlight w:val="none"/>
        </w:rPr>
        <w:t>本项目的特定资格要求：</w:t>
      </w:r>
    </w:p>
    <w:p>
      <w:pPr>
        <w:tabs>
          <w:tab w:val="left" w:pos="840"/>
          <w:tab w:val="left" w:pos="945"/>
        </w:tabs>
        <w:snapToGrid w:val="0"/>
        <w:spacing w:line="360" w:lineRule="auto"/>
        <w:ind w:left="525"/>
        <w:rPr>
          <w:rFonts w:ascii="宋体" w:hAnsi="宋体" w:eastAsia="宋体" w:cs="宋体"/>
          <w:bCs/>
          <w:color w:val="auto"/>
          <w:szCs w:val="20"/>
          <w:highlight w:val="none"/>
        </w:rPr>
      </w:pPr>
      <w:r>
        <w:rPr>
          <w:rFonts w:hint="eastAsia" w:ascii="宋体" w:hAnsi="宋体" w:eastAsia="宋体" w:cs="宋体"/>
          <w:bCs/>
          <w:color w:val="auto"/>
          <w:szCs w:val="20"/>
          <w:highlight w:val="none"/>
        </w:rPr>
        <w:t>合同包1(2021年海珠区民办残疾人社会服务机构资助项目第三方服务评估和质量监察、社区精神康复综合服务中心第三方业务督导和服务质量评估以及残疾人家庭无障碍改造专项提升工作第三方抽检验收服务项目)特定资格要求如下:</w:t>
      </w:r>
    </w:p>
    <w:p>
      <w:pPr>
        <w:tabs>
          <w:tab w:val="left" w:pos="840"/>
          <w:tab w:val="left" w:pos="945"/>
        </w:tabs>
        <w:snapToGrid w:val="0"/>
        <w:spacing w:line="360" w:lineRule="auto"/>
        <w:ind w:left="527" w:firstLine="420" w:firstLineChars="20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（1）满足《中华人民共和国政府采购法》第二十二条规定；</w:t>
      </w:r>
    </w:p>
    <w:p>
      <w:pPr>
        <w:tabs>
          <w:tab w:val="left" w:pos="840"/>
          <w:tab w:val="left" w:pos="945"/>
        </w:tabs>
        <w:snapToGrid w:val="0"/>
        <w:spacing w:line="360" w:lineRule="auto"/>
        <w:ind w:left="527" w:firstLine="525" w:firstLineChars="25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1）具有独立承担民事责任的能力；（提供法人或者其他组织的营业执照、组织机构代码证和税务登记证（或三证合一证明）等证明文件）。</w:t>
      </w:r>
    </w:p>
    <w:p>
      <w:pPr>
        <w:tabs>
          <w:tab w:val="left" w:pos="840"/>
          <w:tab w:val="left" w:pos="945"/>
        </w:tabs>
        <w:snapToGrid w:val="0"/>
        <w:spacing w:line="360" w:lineRule="auto"/>
        <w:ind w:left="527" w:firstLine="525" w:firstLineChars="25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2）具有良好的商业信誉和健全的财务会计制度；（提供书面承诺声明）。</w:t>
      </w:r>
    </w:p>
    <w:p>
      <w:pPr>
        <w:tabs>
          <w:tab w:val="left" w:pos="840"/>
          <w:tab w:val="left" w:pos="945"/>
        </w:tabs>
        <w:snapToGrid w:val="0"/>
        <w:spacing w:line="360" w:lineRule="auto"/>
        <w:ind w:left="527" w:firstLine="525" w:firstLineChars="25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3）具有履行合同所必需的设备和专业技术能力；（提供履行合同所必需的设备清单以及技术人员的名单材料）。</w:t>
      </w:r>
    </w:p>
    <w:p>
      <w:pPr>
        <w:tabs>
          <w:tab w:val="left" w:pos="840"/>
          <w:tab w:val="left" w:pos="945"/>
        </w:tabs>
        <w:snapToGrid w:val="0"/>
        <w:spacing w:line="360" w:lineRule="auto"/>
        <w:ind w:left="527" w:firstLine="525" w:firstLineChars="25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4）有依法缴纳税收和社会保障资金的良好记录；（提供书面承诺声明）。</w:t>
      </w:r>
    </w:p>
    <w:p>
      <w:pPr>
        <w:tabs>
          <w:tab w:val="left" w:pos="840"/>
          <w:tab w:val="left" w:pos="945"/>
        </w:tabs>
        <w:snapToGrid w:val="0"/>
        <w:spacing w:line="360" w:lineRule="auto"/>
        <w:ind w:left="527" w:firstLine="525" w:firstLineChars="25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5）参加政府采购活动前三年内，在经营活动中没有重大违法记录；（提供书面声明）</w:t>
      </w:r>
    </w:p>
    <w:p>
      <w:pPr>
        <w:tabs>
          <w:tab w:val="left" w:pos="840"/>
          <w:tab w:val="left" w:pos="945"/>
        </w:tabs>
        <w:snapToGrid w:val="0"/>
        <w:spacing w:line="360" w:lineRule="auto"/>
        <w:ind w:left="527" w:firstLine="525" w:firstLineChars="25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6）法律、行政法规规定的其他条件。</w:t>
      </w:r>
    </w:p>
    <w:p>
      <w:pPr>
        <w:tabs>
          <w:tab w:val="left" w:pos="840"/>
          <w:tab w:val="left" w:pos="945"/>
        </w:tabs>
        <w:snapToGrid w:val="0"/>
        <w:spacing w:line="360" w:lineRule="auto"/>
        <w:ind w:left="527" w:firstLine="420" w:firstLineChars="20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（2）供应商《公平竞争承诺书》原件。</w:t>
      </w:r>
    </w:p>
    <w:p>
      <w:pPr>
        <w:tabs>
          <w:tab w:val="left" w:pos="840"/>
          <w:tab w:val="left" w:pos="945"/>
        </w:tabs>
        <w:snapToGrid w:val="0"/>
        <w:spacing w:line="360" w:lineRule="auto"/>
        <w:ind w:left="527" w:firstLine="420" w:firstLineChars="20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3)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p>
      <w:pPr>
        <w:tabs>
          <w:tab w:val="left" w:pos="840"/>
          <w:tab w:val="left" w:pos="945"/>
        </w:tabs>
        <w:snapToGrid w:val="0"/>
        <w:spacing w:line="360" w:lineRule="auto"/>
        <w:ind w:left="527" w:firstLine="420" w:firstLineChars="20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4)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tabs>
          <w:tab w:val="left" w:pos="840"/>
          <w:tab w:val="left" w:pos="945"/>
        </w:tabs>
        <w:snapToGrid w:val="0"/>
        <w:spacing w:line="360" w:lineRule="auto"/>
        <w:ind w:left="527" w:firstLine="420" w:firstLineChars="200"/>
        <w:rPr>
          <w:rFonts w:hint="eastAsia" w:ascii="宋体" w:hAnsi="宋体" w:eastAsia="宋体" w:cs="宋体"/>
          <w:bCs/>
          <w:color w:val="auto"/>
          <w:szCs w:val="20"/>
          <w:highlight w:val="none"/>
        </w:rPr>
      </w:pPr>
      <w:r>
        <w:rPr>
          <w:rFonts w:hint="eastAsia" w:ascii="Times New Roman" w:hAnsi="Times New Roman" w:eastAsia="宋体" w:cs="Times New Roman"/>
          <w:color w:val="auto"/>
          <w:szCs w:val="24"/>
          <w:highlight w:val="none"/>
        </w:rPr>
        <w:t xml:space="preserve">  </w:t>
      </w:r>
      <w:r>
        <w:rPr>
          <w:rFonts w:hint="eastAsia" w:ascii="宋体" w:hAnsi="宋体" w:eastAsia="宋体" w:cs="宋体"/>
          <w:bCs/>
          <w:color w:val="auto"/>
          <w:szCs w:val="20"/>
          <w:highlight w:val="none"/>
        </w:rPr>
        <w:t>（5）供应商必须是国内民政部门登记的合法社会组织，持有有效期内的《民办非企业单位（法人）登记证书》。</w:t>
      </w:r>
    </w:p>
    <w:p>
      <w:pPr>
        <w:tabs>
          <w:tab w:val="left" w:pos="840"/>
          <w:tab w:val="left" w:pos="945"/>
        </w:tabs>
        <w:snapToGrid w:val="0"/>
        <w:spacing w:line="360" w:lineRule="auto"/>
        <w:ind w:left="527" w:firstLine="420" w:firstLineChars="20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（6）供应商必须是未承接本市社区精神康复综合服务中心服务的第三方社会服务机构，与项目被评估方、被抽检方不存在利害关系。（提供书面声明）</w:t>
      </w:r>
    </w:p>
    <w:p>
      <w:pPr>
        <w:tabs>
          <w:tab w:val="left" w:pos="840"/>
          <w:tab w:val="left" w:pos="945"/>
        </w:tabs>
        <w:snapToGrid w:val="0"/>
        <w:spacing w:line="360" w:lineRule="auto"/>
        <w:ind w:left="527" w:firstLine="420" w:firstLineChars="20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（7）本项目不接受联合体投标。</w:t>
      </w:r>
    </w:p>
    <w:p>
      <w:pPr>
        <w:tabs>
          <w:tab w:val="left" w:pos="840"/>
          <w:tab w:val="left" w:pos="945"/>
        </w:tabs>
        <w:snapToGrid w:val="0"/>
        <w:spacing w:line="360" w:lineRule="auto"/>
        <w:ind w:left="525"/>
        <w:rPr>
          <w:rFonts w:hint="eastAsia" w:ascii="宋体" w:hAnsi="宋体" w:eastAsia="宋体" w:cs="宋体"/>
          <w:b/>
          <w:bCs/>
          <w:color w:val="auto"/>
          <w:szCs w:val="20"/>
          <w:highlight w:val="none"/>
        </w:rPr>
      </w:pPr>
      <w:r>
        <w:rPr>
          <w:rFonts w:ascii="宋体" w:hAnsi="宋体" w:eastAsia="宋体" w:cs="宋体"/>
          <w:b/>
          <w:bCs/>
          <w:color w:val="auto"/>
          <w:szCs w:val="20"/>
          <w:highlight w:val="none"/>
        </w:rPr>
        <w:t>三、获取</w:t>
      </w:r>
      <w:r>
        <w:rPr>
          <w:rFonts w:hint="eastAsia" w:ascii="宋体" w:hAnsi="宋体" w:eastAsia="宋体" w:cs="宋体"/>
          <w:b/>
          <w:bCs/>
          <w:color w:val="auto"/>
          <w:szCs w:val="20"/>
          <w:highlight w:val="none"/>
        </w:rPr>
        <w:t>公开遴选文件</w:t>
      </w:r>
    </w:p>
    <w:p>
      <w:pPr>
        <w:tabs>
          <w:tab w:val="left" w:pos="840"/>
          <w:tab w:val="left" w:pos="945"/>
        </w:tabs>
        <w:snapToGrid w:val="0"/>
        <w:spacing w:line="360" w:lineRule="auto"/>
        <w:ind w:left="525" w:firstLine="210" w:firstLineChars="100"/>
        <w:rPr>
          <w:rFonts w:ascii="宋体" w:hAnsi="宋体" w:eastAsia="宋体" w:cs="宋体"/>
          <w:bCs/>
          <w:color w:val="auto"/>
          <w:szCs w:val="20"/>
          <w:highlight w:val="none"/>
        </w:rPr>
      </w:pPr>
      <w:r>
        <w:rPr>
          <w:rFonts w:ascii="宋体" w:hAnsi="宋体" w:eastAsia="宋体" w:cs="宋体"/>
          <w:bCs/>
          <w:color w:val="auto"/>
          <w:szCs w:val="20"/>
          <w:highlight w:val="none"/>
        </w:rPr>
        <w:t>时间：</w:t>
      </w:r>
      <w:r>
        <w:rPr>
          <w:rFonts w:hint="eastAsia" w:ascii="宋体" w:hAnsi="宋体" w:eastAsia="宋体" w:cs="宋体"/>
          <w:bCs/>
          <w:color w:val="auto"/>
          <w:szCs w:val="20"/>
          <w:highlight w:val="none"/>
        </w:rPr>
        <w:t>2021</w:t>
      </w:r>
      <w:r>
        <w:rPr>
          <w:rFonts w:ascii="宋体" w:hAnsi="宋体" w:eastAsia="宋体" w:cs="宋体"/>
          <w:bCs/>
          <w:color w:val="auto"/>
          <w:szCs w:val="20"/>
          <w:highlight w:val="none"/>
        </w:rPr>
        <w:t>年</w:t>
      </w:r>
      <w:r>
        <w:rPr>
          <w:rFonts w:hint="eastAsia" w:ascii="宋体" w:hAnsi="宋体" w:eastAsia="宋体" w:cs="宋体"/>
          <w:bCs/>
          <w:color w:val="auto"/>
          <w:szCs w:val="20"/>
          <w:highlight w:val="none"/>
        </w:rPr>
        <w:t>06</w:t>
      </w:r>
      <w:r>
        <w:rPr>
          <w:rFonts w:ascii="宋体" w:hAnsi="宋体" w:eastAsia="宋体" w:cs="宋体"/>
          <w:bCs/>
          <w:color w:val="auto"/>
          <w:szCs w:val="20"/>
          <w:highlight w:val="none"/>
        </w:rPr>
        <w:t>月</w:t>
      </w:r>
      <w:r>
        <w:rPr>
          <w:rFonts w:hint="eastAsia" w:ascii="宋体" w:hAnsi="宋体" w:eastAsia="宋体" w:cs="宋体"/>
          <w:bCs/>
          <w:color w:val="auto"/>
          <w:szCs w:val="20"/>
          <w:highlight w:val="none"/>
        </w:rPr>
        <w:t>16</w:t>
      </w:r>
      <w:r>
        <w:rPr>
          <w:rFonts w:ascii="宋体" w:hAnsi="宋体" w:eastAsia="宋体" w:cs="宋体"/>
          <w:bCs/>
          <w:color w:val="auto"/>
          <w:szCs w:val="20"/>
          <w:highlight w:val="none"/>
        </w:rPr>
        <w:t>日至</w:t>
      </w:r>
      <w:r>
        <w:rPr>
          <w:rFonts w:hint="eastAsia" w:ascii="宋体" w:hAnsi="宋体" w:eastAsia="宋体" w:cs="宋体"/>
          <w:bCs/>
          <w:color w:val="auto"/>
          <w:szCs w:val="20"/>
          <w:highlight w:val="none"/>
        </w:rPr>
        <w:t>2021</w:t>
      </w:r>
      <w:r>
        <w:rPr>
          <w:rFonts w:ascii="宋体" w:hAnsi="宋体" w:eastAsia="宋体" w:cs="宋体"/>
          <w:bCs/>
          <w:color w:val="auto"/>
          <w:szCs w:val="20"/>
          <w:highlight w:val="none"/>
        </w:rPr>
        <w:t>年</w:t>
      </w:r>
      <w:r>
        <w:rPr>
          <w:rFonts w:hint="eastAsia" w:ascii="宋体" w:hAnsi="宋体" w:eastAsia="宋体" w:cs="宋体"/>
          <w:bCs/>
          <w:color w:val="auto"/>
          <w:szCs w:val="20"/>
          <w:highlight w:val="none"/>
        </w:rPr>
        <w:t>06</w:t>
      </w:r>
      <w:r>
        <w:rPr>
          <w:rFonts w:ascii="宋体" w:hAnsi="宋体" w:eastAsia="宋体" w:cs="宋体"/>
          <w:bCs/>
          <w:color w:val="auto"/>
          <w:szCs w:val="20"/>
          <w:highlight w:val="none"/>
        </w:rPr>
        <w:t>月</w:t>
      </w:r>
      <w:r>
        <w:rPr>
          <w:rFonts w:hint="eastAsia" w:ascii="宋体" w:hAnsi="宋体" w:eastAsia="宋体" w:cs="宋体"/>
          <w:bCs/>
          <w:color w:val="auto"/>
          <w:szCs w:val="20"/>
          <w:highlight w:val="none"/>
        </w:rPr>
        <w:t xml:space="preserve">20 </w:t>
      </w:r>
      <w:r>
        <w:rPr>
          <w:rFonts w:ascii="宋体" w:hAnsi="宋体" w:eastAsia="宋体" w:cs="宋体"/>
          <w:bCs/>
          <w:color w:val="auto"/>
          <w:szCs w:val="20"/>
          <w:highlight w:val="none"/>
        </w:rPr>
        <w:t>日，每天上午</w:t>
      </w:r>
      <w:r>
        <w:rPr>
          <w:rFonts w:hint="eastAsia" w:ascii="宋体" w:hAnsi="宋体" w:eastAsia="宋体" w:cs="宋体"/>
          <w:bCs/>
          <w:color w:val="auto"/>
          <w:szCs w:val="20"/>
          <w:highlight w:val="none"/>
        </w:rPr>
        <w:t>09</w:t>
      </w:r>
      <w:r>
        <w:rPr>
          <w:rFonts w:ascii="宋体" w:hAnsi="宋体" w:eastAsia="宋体" w:cs="宋体"/>
          <w:bCs/>
          <w:color w:val="auto"/>
          <w:szCs w:val="20"/>
          <w:highlight w:val="none"/>
        </w:rPr>
        <w:t>:</w:t>
      </w:r>
      <w:r>
        <w:rPr>
          <w:rFonts w:hint="eastAsia" w:ascii="宋体" w:hAnsi="宋体" w:eastAsia="宋体" w:cs="宋体"/>
          <w:bCs/>
          <w:color w:val="auto"/>
          <w:szCs w:val="20"/>
          <w:highlight w:val="none"/>
        </w:rPr>
        <w:t>0</w:t>
      </w:r>
      <w:r>
        <w:rPr>
          <w:rFonts w:ascii="宋体" w:hAnsi="宋体" w:eastAsia="宋体" w:cs="宋体"/>
          <w:bCs/>
          <w:color w:val="auto"/>
          <w:szCs w:val="20"/>
          <w:highlight w:val="none"/>
        </w:rPr>
        <w:t>0至12:00，下午14:30至17:30（北京时间，法定节假日除外 ）</w:t>
      </w:r>
    </w:p>
    <w:p>
      <w:pPr>
        <w:tabs>
          <w:tab w:val="left" w:pos="840"/>
          <w:tab w:val="left" w:pos="945"/>
        </w:tabs>
        <w:snapToGrid w:val="0"/>
        <w:spacing w:line="360" w:lineRule="auto"/>
        <w:ind w:left="525" w:firstLine="210" w:firstLineChars="100"/>
        <w:rPr>
          <w:rFonts w:hint="eastAsia" w:ascii="宋体" w:hAnsi="宋体" w:eastAsia="宋体" w:cs="宋体"/>
          <w:bCs/>
          <w:color w:val="auto"/>
          <w:szCs w:val="20"/>
          <w:highlight w:val="none"/>
        </w:rPr>
      </w:pPr>
      <w:r>
        <w:rPr>
          <w:rFonts w:ascii="宋体" w:hAnsi="宋体" w:eastAsia="宋体" w:cs="宋体"/>
          <w:bCs/>
          <w:color w:val="auto"/>
          <w:szCs w:val="20"/>
          <w:highlight w:val="none"/>
        </w:rPr>
        <w:t>地点：</w:t>
      </w:r>
      <w:r>
        <w:rPr>
          <w:rFonts w:hint="eastAsia" w:ascii="宋体" w:hAnsi="宋体" w:eastAsia="宋体" w:cs="宋体"/>
          <w:color w:val="auto"/>
          <w:kern w:val="0"/>
          <w:szCs w:val="21"/>
          <w:highlight w:val="none"/>
        </w:rPr>
        <w:t>广州市天河区粤垦路623号燕都商务大厦12楼1202室</w:t>
      </w:r>
    </w:p>
    <w:p>
      <w:pPr>
        <w:tabs>
          <w:tab w:val="left" w:pos="840"/>
          <w:tab w:val="left" w:pos="945"/>
        </w:tabs>
        <w:snapToGrid w:val="0"/>
        <w:spacing w:line="360" w:lineRule="auto"/>
        <w:ind w:left="525" w:firstLine="210" w:firstLineChars="100"/>
        <w:rPr>
          <w:rFonts w:hint="eastAsia" w:ascii="宋体" w:hAnsi="宋体" w:eastAsia="宋体" w:cs="宋体"/>
          <w:bCs/>
          <w:color w:val="auto"/>
          <w:szCs w:val="20"/>
          <w:highlight w:val="none"/>
        </w:rPr>
      </w:pPr>
      <w:r>
        <w:rPr>
          <w:rFonts w:ascii="宋体" w:hAnsi="宋体" w:eastAsia="宋体" w:cs="宋体"/>
          <w:bCs/>
          <w:color w:val="auto"/>
          <w:szCs w:val="20"/>
          <w:highlight w:val="none"/>
        </w:rPr>
        <w:t>方式：现场</w:t>
      </w:r>
      <w:r>
        <w:rPr>
          <w:rFonts w:hint="eastAsia" w:ascii="宋体" w:hAnsi="宋体" w:eastAsia="宋体" w:cs="宋体"/>
          <w:bCs/>
          <w:color w:val="auto"/>
          <w:szCs w:val="20"/>
          <w:highlight w:val="none"/>
        </w:rPr>
        <w:t>获取</w:t>
      </w:r>
      <w:r>
        <w:rPr>
          <w:rFonts w:hint="eastAsia" w:ascii="宋体" w:hAnsi="宋体" w:eastAsia="宋体" w:cs="宋体"/>
          <w:bCs/>
          <w:color w:val="auto"/>
          <w:szCs w:val="20"/>
          <w:highlight w:val="none"/>
          <w:lang w:val="en-US" w:eastAsia="zh-CN"/>
        </w:rPr>
        <w:t>或邮购获取</w:t>
      </w:r>
      <w:r>
        <w:rPr>
          <w:rFonts w:hint="eastAsia" w:ascii="宋体" w:hAnsi="宋体" w:eastAsia="宋体" w:cs="宋体"/>
          <w:bCs/>
          <w:color w:val="auto"/>
          <w:szCs w:val="20"/>
          <w:highlight w:val="none"/>
        </w:rPr>
        <w:t>，工本费：5</w:t>
      </w:r>
      <w:r>
        <w:rPr>
          <w:rFonts w:ascii="宋体" w:hAnsi="宋体" w:eastAsia="宋体" w:cs="宋体"/>
          <w:bCs/>
          <w:color w:val="auto"/>
          <w:szCs w:val="20"/>
          <w:highlight w:val="none"/>
        </w:rPr>
        <w:t>00元</w:t>
      </w:r>
      <w:r>
        <w:rPr>
          <w:rFonts w:hint="eastAsia" w:ascii="宋体" w:hAnsi="宋体" w:eastAsia="宋体" w:cs="宋体"/>
          <w:bCs/>
          <w:color w:val="auto"/>
          <w:szCs w:val="20"/>
          <w:highlight w:val="none"/>
        </w:rPr>
        <w:t>。</w:t>
      </w:r>
    </w:p>
    <w:p>
      <w:pPr>
        <w:tabs>
          <w:tab w:val="left" w:pos="840"/>
          <w:tab w:val="left" w:pos="945"/>
        </w:tabs>
        <w:snapToGrid w:val="0"/>
        <w:spacing w:line="360" w:lineRule="auto"/>
        <w:ind w:left="525"/>
        <w:rPr>
          <w:rFonts w:ascii="宋体" w:hAnsi="宋体" w:eastAsia="宋体" w:cs="宋体"/>
          <w:b/>
          <w:bCs/>
          <w:color w:val="auto"/>
          <w:szCs w:val="20"/>
          <w:highlight w:val="none"/>
        </w:rPr>
      </w:pPr>
      <w:r>
        <w:rPr>
          <w:rFonts w:ascii="宋体" w:hAnsi="宋体" w:eastAsia="宋体" w:cs="宋体"/>
          <w:b/>
          <w:bCs/>
          <w:color w:val="auto"/>
          <w:szCs w:val="20"/>
          <w:highlight w:val="none"/>
        </w:rPr>
        <w:t>四、响应文件提交</w:t>
      </w:r>
    </w:p>
    <w:p>
      <w:pPr>
        <w:tabs>
          <w:tab w:val="left" w:pos="840"/>
          <w:tab w:val="left" w:pos="945"/>
        </w:tabs>
        <w:snapToGrid w:val="0"/>
        <w:spacing w:line="360" w:lineRule="auto"/>
        <w:ind w:left="525" w:firstLine="210" w:firstLineChars="100"/>
        <w:rPr>
          <w:rFonts w:ascii="宋体" w:hAnsi="宋体" w:eastAsia="宋体" w:cs="宋体"/>
          <w:bCs/>
          <w:color w:val="auto"/>
          <w:szCs w:val="20"/>
          <w:highlight w:val="none"/>
        </w:rPr>
      </w:pPr>
      <w:r>
        <w:rPr>
          <w:rFonts w:hint="eastAsia" w:ascii="宋体" w:hAnsi="宋体" w:eastAsia="宋体" w:cs="宋体"/>
          <w:bCs/>
          <w:color w:val="auto"/>
          <w:szCs w:val="20"/>
          <w:highlight w:val="none"/>
        </w:rPr>
        <w:t>截止时间</w:t>
      </w:r>
      <w:r>
        <w:rPr>
          <w:rFonts w:hint="eastAsia" w:ascii="仿宋" w:hAnsi="仿宋" w:eastAsia="仿宋" w:cs="Times New Roman"/>
          <w:color w:val="auto"/>
          <w:sz w:val="28"/>
          <w:szCs w:val="28"/>
          <w:highlight w:val="none"/>
        </w:rPr>
        <w:t>：</w:t>
      </w:r>
      <w:r>
        <w:rPr>
          <w:rFonts w:hint="eastAsia" w:ascii="宋体" w:hAnsi="宋体" w:eastAsia="仿宋" w:cs="宋体"/>
          <w:bCs/>
          <w:color w:val="auto"/>
          <w:szCs w:val="20"/>
          <w:highlight w:val="none"/>
        </w:rPr>
        <w:t>2021</w:t>
      </w:r>
      <w:r>
        <w:rPr>
          <w:rFonts w:ascii="宋体" w:hAnsi="宋体" w:eastAsia="宋体" w:cs="宋体"/>
          <w:bCs/>
          <w:color w:val="auto"/>
          <w:szCs w:val="20"/>
          <w:highlight w:val="none"/>
        </w:rPr>
        <w:t>年</w:t>
      </w:r>
      <w:r>
        <w:rPr>
          <w:rFonts w:hint="eastAsia" w:ascii="宋体" w:hAnsi="宋体" w:eastAsia="宋体" w:cs="宋体"/>
          <w:bCs/>
          <w:color w:val="auto"/>
          <w:szCs w:val="20"/>
          <w:highlight w:val="none"/>
        </w:rPr>
        <w:t>06</w:t>
      </w:r>
      <w:r>
        <w:rPr>
          <w:rFonts w:ascii="宋体" w:hAnsi="宋体" w:eastAsia="宋体" w:cs="宋体"/>
          <w:bCs/>
          <w:color w:val="auto"/>
          <w:szCs w:val="20"/>
          <w:highlight w:val="none"/>
        </w:rPr>
        <w:t>月</w:t>
      </w:r>
      <w:r>
        <w:rPr>
          <w:rFonts w:hint="eastAsia" w:ascii="宋体" w:hAnsi="宋体" w:eastAsia="宋体" w:cs="宋体"/>
          <w:bCs/>
          <w:color w:val="auto"/>
          <w:szCs w:val="20"/>
          <w:highlight w:val="none"/>
        </w:rPr>
        <w:t>21</w:t>
      </w:r>
      <w:r>
        <w:rPr>
          <w:rFonts w:ascii="宋体" w:hAnsi="宋体" w:eastAsia="宋体" w:cs="宋体"/>
          <w:bCs/>
          <w:color w:val="auto"/>
          <w:szCs w:val="20"/>
          <w:highlight w:val="none"/>
        </w:rPr>
        <w:t>日</w:t>
      </w:r>
      <w:r>
        <w:rPr>
          <w:rFonts w:hint="eastAsia" w:ascii="宋体" w:hAnsi="宋体" w:eastAsia="宋体" w:cs="宋体"/>
          <w:bCs/>
          <w:color w:val="auto"/>
          <w:szCs w:val="20"/>
          <w:highlight w:val="none"/>
        </w:rPr>
        <w:t>14</w:t>
      </w:r>
      <w:r>
        <w:rPr>
          <w:rFonts w:ascii="宋体" w:hAnsi="宋体" w:eastAsia="宋体" w:cs="宋体"/>
          <w:bCs/>
          <w:color w:val="auto"/>
          <w:szCs w:val="20"/>
          <w:highlight w:val="none"/>
        </w:rPr>
        <w:t>点30分（北京时间）</w:t>
      </w:r>
    </w:p>
    <w:p>
      <w:pPr>
        <w:tabs>
          <w:tab w:val="left" w:pos="840"/>
          <w:tab w:val="left" w:pos="945"/>
        </w:tabs>
        <w:snapToGrid w:val="0"/>
        <w:spacing w:line="360" w:lineRule="auto"/>
        <w:ind w:left="525" w:firstLine="210" w:firstLineChars="100"/>
        <w:rPr>
          <w:rFonts w:ascii="宋体" w:hAnsi="宋体" w:eastAsia="宋体" w:cs="宋体"/>
          <w:bCs/>
          <w:color w:val="auto"/>
          <w:szCs w:val="20"/>
          <w:highlight w:val="none"/>
        </w:rPr>
      </w:pPr>
      <w:r>
        <w:rPr>
          <w:rFonts w:ascii="宋体" w:hAnsi="宋体" w:eastAsia="宋体" w:cs="宋体"/>
          <w:bCs/>
          <w:color w:val="auto"/>
          <w:szCs w:val="20"/>
          <w:highlight w:val="none"/>
        </w:rPr>
        <w:t>地点：</w:t>
      </w:r>
      <w:r>
        <w:rPr>
          <w:rFonts w:hint="eastAsia" w:ascii="宋体" w:hAnsi="宋体" w:eastAsia="宋体" w:cs="宋体"/>
          <w:color w:val="auto"/>
          <w:kern w:val="0"/>
          <w:szCs w:val="21"/>
          <w:highlight w:val="none"/>
        </w:rPr>
        <w:t>广州市天河区粤垦路623号燕都商务大厦12楼1202室</w:t>
      </w:r>
      <w:r>
        <w:rPr>
          <w:rFonts w:ascii="宋体" w:hAnsi="宋体" w:eastAsia="宋体" w:cs="宋体"/>
          <w:bCs/>
          <w:color w:val="auto"/>
          <w:szCs w:val="20"/>
          <w:highlight w:val="none"/>
        </w:rPr>
        <w:t>。</w:t>
      </w:r>
    </w:p>
    <w:p>
      <w:pPr>
        <w:tabs>
          <w:tab w:val="left" w:pos="840"/>
          <w:tab w:val="left" w:pos="945"/>
        </w:tabs>
        <w:snapToGrid w:val="0"/>
        <w:spacing w:line="360" w:lineRule="auto"/>
        <w:ind w:left="525"/>
        <w:rPr>
          <w:rFonts w:ascii="宋体" w:hAnsi="宋体" w:eastAsia="宋体" w:cs="宋体"/>
          <w:b/>
          <w:bCs/>
          <w:color w:val="auto"/>
          <w:szCs w:val="20"/>
          <w:highlight w:val="none"/>
        </w:rPr>
      </w:pPr>
      <w:bookmarkStart w:id="28" w:name="_Toc35393633"/>
      <w:bookmarkStart w:id="29" w:name="_Toc35393802"/>
      <w:bookmarkStart w:id="30" w:name="_Toc28359093"/>
      <w:bookmarkStart w:id="31" w:name="_Toc28359016"/>
      <w:r>
        <w:rPr>
          <w:rFonts w:hint="eastAsia" w:ascii="宋体" w:hAnsi="宋体" w:eastAsia="宋体" w:cs="宋体"/>
          <w:b/>
          <w:bCs/>
          <w:color w:val="auto"/>
          <w:szCs w:val="20"/>
          <w:highlight w:val="none"/>
        </w:rPr>
        <w:t>五、开启</w:t>
      </w:r>
      <w:bookmarkEnd w:id="28"/>
      <w:bookmarkEnd w:id="29"/>
      <w:bookmarkEnd w:id="30"/>
      <w:bookmarkEnd w:id="31"/>
    </w:p>
    <w:p>
      <w:pPr>
        <w:tabs>
          <w:tab w:val="left" w:pos="840"/>
          <w:tab w:val="left" w:pos="945"/>
        </w:tabs>
        <w:snapToGrid w:val="0"/>
        <w:spacing w:line="360" w:lineRule="auto"/>
        <w:ind w:left="527" w:firstLine="420" w:firstLineChars="200"/>
        <w:rPr>
          <w:rFonts w:ascii="宋体" w:hAnsi="宋体" w:eastAsia="宋体" w:cs="宋体"/>
          <w:bCs/>
          <w:color w:val="auto"/>
          <w:szCs w:val="20"/>
          <w:highlight w:val="none"/>
        </w:rPr>
      </w:pPr>
      <w:r>
        <w:rPr>
          <w:rFonts w:hint="eastAsia" w:ascii="宋体" w:hAnsi="宋体" w:eastAsia="宋体" w:cs="宋体"/>
          <w:bCs/>
          <w:color w:val="auto"/>
          <w:szCs w:val="20"/>
          <w:highlight w:val="none"/>
        </w:rPr>
        <w:t>时间：2021年06月21日14点30分（北京时间）</w:t>
      </w:r>
    </w:p>
    <w:p>
      <w:pPr>
        <w:tabs>
          <w:tab w:val="left" w:pos="840"/>
          <w:tab w:val="left" w:pos="945"/>
        </w:tabs>
        <w:snapToGrid w:val="0"/>
        <w:spacing w:line="360" w:lineRule="auto"/>
        <w:ind w:left="527" w:firstLine="420" w:firstLineChars="200"/>
        <w:rPr>
          <w:rFonts w:ascii="宋体" w:hAnsi="宋体" w:eastAsia="宋体" w:cs="宋体"/>
          <w:bCs/>
          <w:color w:val="auto"/>
          <w:szCs w:val="20"/>
          <w:highlight w:val="none"/>
        </w:rPr>
      </w:pPr>
      <w:r>
        <w:rPr>
          <w:rFonts w:hint="eastAsia" w:ascii="宋体" w:hAnsi="宋体" w:eastAsia="宋体" w:cs="宋体"/>
          <w:bCs/>
          <w:color w:val="auto"/>
          <w:szCs w:val="20"/>
          <w:highlight w:val="none"/>
        </w:rPr>
        <w:t>地点：</w:t>
      </w:r>
      <w:r>
        <w:rPr>
          <w:rFonts w:hint="eastAsia" w:ascii="宋体" w:hAnsi="宋体" w:eastAsia="宋体" w:cs="宋体"/>
          <w:color w:val="auto"/>
          <w:kern w:val="0"/>
          <w:szCs w:val="21"/>
          <w:highlight w:val="none"/>
        </w:rPr>
        <w:t>广州市天河区粤垦路623号燕都商务大厦12楼1202室</w:t>
      </w:r>
      <w:r>
        <w:rPr>
          <w:rFonts w:ascii="宋体" w:hAnsi="宋体" w:eastAsia="宋体" w:cs="宋体"/>
          <w:bCs/>
          <w:color w:val="auto"/>
          <w:szCs w:val="20"/>
          <w:highlight w:val="none"/>
        </w:rPr>
        <w:t>。</w:t>
      </w:r>
    </w:p>
    <w:p>
      <w:pPr>
        <w:tabs>
          <w:tab w:val="left" w:pos="840"/>
          <w:tab w:val="left" w:pos="945"/>
        </w:tabs>
        <w:snapToGrid w:val="0"/>
        <w:spacing w:line="360" w:lineRule="auto"/>
        <w:ind w:left="525"/>
        <w:rPr>
          <w:rFonts w:ascii="宋体" w:hAnsi="宋体" w:eastAsia="宋体" w:cs="宋体"/>
          <w:b/>
          <w:bCs/>
          <w:color w:val="auto"/>
          <w:szCs w:val="20"/>
          <w:highlight w:val="none"/>
        </w:rPr>
      </w:pPr>
      <w:r>
        <w:rPr>
          <w:rFonts w:hint="eastAsia" w:ascii="宋体" w:hAnsi="宋体" w:eastAsia="宋体" w:cs="宋体"/>
          <w:b/>
          <w:bCs/>
          <w:color w:val="auto"/>
          <w:szCs w:val="20"/>
          <w:highlight w:val="none"/>
        </w:rPr>
        <w:t>六</w:t>
      </w:r>
      <w:r>
        <w:rPr>
          <w:rFonts w:ascii="宋体" w:hAnsi="宋体" w:eastAsia="宋体" w:cs="宋体"/>
          <w:b/>
          <w:bCs/>
          <w:color w:val="auto"/>
          <w:szCs w:val="20"/>
          <w:highlight w:val="none"/>
        </w:rPr>
        <w:t>、公告期限</w:t>
      </w:r>
    </w:p>
    <w:p>
      <w:pPr>
        <w:tabs>
          <w:tab w:val="left" w:pos="840"/>
          <w:tab w:val="left" w:pos="945"/>
        </w:tabs>
        <w:snapToGrid w:val="0"/>
        <w:spacing w:line="360" w:lineRule="auto"/>
        <w:ind w:left="527" w:firstLine="420" w:firstLineChars="200"/>
        <w:rPr>
          <w:rFonts w:ascii="宋体" w:hAnsi="宋体" w:eastAsia="宋体" w:cs="宋体"/>
          <w:bCs/>
          <w:color w:val="auto"/>
          <w:szCs w:val="20"/>
          <w:highlight w:val="none"/>
        </w:rPr>
      </w:pPr>
      <w:r>
        <w:rPr>
          <w:rFonts w:ascii="宋体" w:hAnsi="宋体" w:eastAsia="宋体" w:cs="宋体"/>
          <w:bCs/>
          <w:color w:val="auto"/>
          <w:szCs w:val="20"/>
          <w:highlight w:val="none"/>
        </w:rPr>
        <w:t>自本公告发布之日起</w:t>
      </w:r>
      <w:r>
        <w:rPr>
          <w:rFonts w:hint="eastAsia" w:ascii="宋体" w:hAnsi="宋体" w:eastAsia="宋体" w:cs="宋体"/>
          <w:bCs/>
          <w:color w:val="auto"/>
          <w:szCs w:val="20"/>
          <w:highlight w:val="none"/>
        </w:rPr>
        <w:t>3</w:t>
      </w:r>
      <w:r>
        <w:rPr>
          <w:rFonts w:ascii="宋体" w:hAnsi="宋体" w:eastAsia="宋体" w:cs="宋体"/>
          <w:bCs/>
          <w:color w:val="auto"/>
          <w:szCs w:val="20"/>
          <w:highlight w:val="none"/>
        </w:rPr>
        <w:t>个工作日。</w:t>
      </w:r>
    </w:p>
    <w:p>
      <w:pPr>
        <w:tabs>
          <w:tab w:val="left" w:pos="840"/>
          <w:tab w:val="left" w:pos="945"/>
        </w:tabs>
        <w:snapToGrid w:val="0"/>
        <w:spacing w:line="360" w:lineRule="auto"/>
        <w:ind w:left="525"/>
        <w:rPr>
          <w:rFonts w:ascii="宋体" w:hAnsi="宋体" w:eastAsia="宋体" w:cs="宋体"/>
          <w:b/>
          <w:bCs/>
          <w:color w:val="auto"/>
          <w:szCs w:val="20"/>
          <w:highlight w:val="none"/>
        </w:rPr>
      </w:pPr>
      <w:r>
        <w:rPr>
          <w:rFonts w:hint="eastAsia" w:ascii="宋体" w:hAnsi="宋体" w:eastAsia="宋体" w:cs="宋体"/>
          <w:b/>
          <w:bCs/>
          <w:color w:val="auto"/>
          <w:szCs w:val="20"/>
          <w:highlight w:val="none"/>
        </w:rPr>
        <w:t>七</w:t>
      </w:r>
      <w:r>
        <w:rPr>
          <w:rFonts w:ascii="宋体" w:hAnsi="宋体" w:eastAsia="宋体" w:cs="宋体"/>
          <w:b/>
          <w:bCs/>
          <w:color w:val="auto"/>
          <w:szCs w:val="20"/>
          <w:highlight w:val="none"/>
        </w:rPr>
        <w:t>、其他补充事宜</w:t>
      </w:r>
    </w:p>
    <w:p>
      <w:pPr>
        <w:tabs>
          <w:tab w:val="left" w:pos="840"/>
          <w:tab w:val="left" w:pos="945"/>
        </w:tabs>
        <w:snapToGrid w:val="0"/>
        <w:spacing w:line="360" w:lineRule="auto"/>
        <w:ind w:left="527" w:firstLine="420" w:firstLineChars="200"/>
        <w:rPr>
          <w:rFonts w:ascii="宋体" w:hAnsi="宋体" w:eastAsia="宋体" w:cs="宋体"/>
          <w:bCs/>
          <w:color w:val="auto"/>
          <w:szCs w:val="20"/>
          <w:highlight w:val="none"/>
        </w:rPr>
      </w:pPr>
      <w:r>
        <w:rPr>
          <w:rFonts w:hint="eastAsia" w:ascii="宋体" w:hAnsi="宋体" w:eastAsia="宋体" w:cs="宋体"/>
          <w:bCs/>
          <w:color w:val="auto"/>
          <w:szCs w:val="20"/>
          <w:highlight w:val="none"/>
        </w:rPr>
        <w:t>1.只接受登记及领购公开遴选文件的供应商投标。</w:t>
      </w:r>
    </w:p>
    <w:p>
      <w:pPr>
        <w:tabs>
          <w:tab w:val="left" w:pos="840"/>
          <w:tab w:val="left" w:pos="945"/>
        </w:tabs>
        <w:snapToGrid w:val="0"/>
        <w:spacing w:line="360" w:lineRule="auto"/>
        <w:ind w:left="527" w:firstLine="420" w:firstLineChars="200"/>
        <w:rPr>
          <w:rFonts w:ascii="宋体" w:hAnsi="宋体" w:eastAsia="宋体" w:cs="宋体"/>
          <w:bCs/>
          <w:color w:val="auto"/>
          <w:szCs w:val="20"/>
          <w:highlight w:val="none"/>
        </w:rPr>
      </w:pPr>
      <w:r>
        <w:rPr>
          <w:rFonts w:hint="eastAsia" w:ascii="宋体" w:hAnsi="宋体" w:eastAsia="宋体" w:cs="宋体"/>
          <w:bCs/>
          <w:color w:val="auto"/>
          <w:szCs w:val="20"/>
          <w:highlight w:val="none"/>
        </w:rPr>
        <w:t>2.已成功登记及领购公开遴选文件的供应商参加投标的，不代表通过资格性、符合性审查。投标资格最终根据投标人遴选响应文件中的资格审查资料作出的结论为准。</w:t>
      </w:r>
    </w:p>
    <w:p>
      <w:pPr>
        <w:tabs>
          <w:tab w:val="left" w:pos="840"/>
          <w:tab w:val="left" w:pos="945"/>
        </w:tabs>
        <w:snapToGrid w:val="0"/>
        <w:spacing w:line="360" w:lineRule="auto"/>
        <w:ind w:left="527" w:firstLine="420" w:firstLineChars="200"/>
        <w:rPr>
          <w:rFonts w:ascii="宋体" w:hAnsi="宋体" w:eastAsia="宋体" w:cs="宋体"/>
          <w:bCs/>
          <w:color w:val="auto"/>
          <w:szCs w:val="20"/>
          <w:highlight w:val="none"/>
        </w:rPr>
      </w:pPr>
      <w:r>
        <w:rPr>
          <w:rFonts w:hint="eastAsia" w:ascii="宋体" w:hAnsi="宋体" w:eastAsia="宋体" w:cs="宋体"/>
          <w:bCs/>
          <w:color w:val="auto"/>
          <w:szCs w:val="20"/>
          <w:highlight w:val="none"/>
        </w:rPr>
        <w:t>3.若已登记及领购公开遴选文件而决定不参加本项目投标的供应商，应在开标前三日以书面形式（书面材料、信函或传真加盖供应商公章）通知采购代理机构。</w:t>
      </w:r>
    </w:p>
    <w:p>
      <w:pPr>
        <w:tabs>
          <w:tab w:val="left" w:pos="840"/>
          <w:tab w:val="left" w:pos="945"/>
        </w:tabs>
        <w:snapToGrid w:val="0"/>
        <w:spacing w:line="360" w:lineRule="auto"/>
        <w:ind w:left="527" w:firstLine="420" w:firstLineChars="200"/>
        <w:rPr>
          <w:rFonts w:ascii="宋体" w:hAnsi="宋体" w:eastAsia="宋体" w:cs="宋体"/>
          <w:bCs/>
          <w:color w:val="auto"/>
          <w:szCs w:val="20"/>
          <w:highlight w:val="none"/>
        </w:rPr>
      </w:pPr>
      <w:r>
        <w:rPr>
          <w:rFonts w:hint="eastAsia" w:ascii="宋体" w:hAnsi="宋体" w:eastAsia="宋体" w:cs="宋体"/>
          <w:bCs/>
          <w:color w:val="auto"/>
          <w:szCs w:val="20"/>
          <w:highlight w:val="none"/>
        </w:rPr>
        <w:t>4.公开遴选文件的公示，根据《广东省实施〈中华人民共和国政府采购法〉办法》第三十五条的规定，供应商认为政府公开遴选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tabs>
          <w:tab w:val="left" w:pos="840"/>
          <w:tab w:val="left" w:pos="945"/>
        </w:tabs>
        <w:snapToGrid w:val="0"/>
        <w:spacing w:line="360" w:lineRule="auto"/>
        <w:ind w:left="525"/>
        <w:rPr>
          <w:rFonts w:ascii="宋体" w:hAnsi="宋体" w:eastAsia="宋体" w:cs="宋体"/>
          <w:b/>
          <w:bCs/>
          <w:color w:val="auto"/>
          <w:szCs w:val="20"/>
          <w:highlight w:val="none"/>
        </w:rPr>
      </w:pPr>
      <w:r>
        <w:rPr>
          <w:rFonts w:hint="eastAsia" w:ascii="宋体" w:hAnsi="宋体" w:eastAsia="宋体" w:cs="宋体"/>
          <w:b/>
          <w:bCs/>
          <w:color w:val="auto"/>
          <w:szCs w:val="20"/>
          <w:highlight w:val="none"/>
        </w:rPr>
        <w:t>八</w:t>
      </w:r>
      <w:r>
        <w:rPr>
          <w:rFonts w:ascii="宋体" w:hAnsi="宋体" w:eastAsia="宋体" w:cs="宋体"/>
          <w:b/>
          <w:bCs/>
          <w:color w:val="auto"/>
          <w:szCs w:val="20"/>
          <w:highlight w:val="none"/>
        </w:rPr>
        <w:t>、</w:t>
      </w:r>
      <w:r>
        <w:rPr>
          <w:rFonts w:hint="eastAsia" w:ascii="宋体" w:hAnsi="宋体" w:eastAsia="宋体" w:cs="宋体"/>
          <w:b/>
          <w:bCs/>
          <w:color w:val="auto"/>
          <w:szCs w:val="20"/>
          <w:highlight w:val="none"/>
        </w:rPr>
        <w:t>凡</w:t>
      </w:r>
      <w:r>
        <w:rPr>
          <w:rFonts w:ascii="宋体" w:hAnsi="宋体" w:eastAsia="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eastAsia="宋体" w:cs="宋体"/>
          <w:bCs/>
          <w:color w:val="auto"/>
          <w:szCs w:val="20"/>
          <w:highlight w:val="none"/>
        </w:rPr>
      </w:pPr>
      <w:r>
        <w:rPr>
          <w:rFonts w:ascii="宋体" w:hAnsi="宋体" w:eastAsia="宋体" w:cs="宋体"/>
          <w:bCs/>
          <w:color w:val="auto"/>
          <w:szCs w:val="20"/>
          <w:highlight w:val="none"/>
        </w:rPr>
        <w:t>1.采购人信息</w:t>
      </w:r>
    </w:p>
    <w:p>
      <w:pPr>
        <w:tabs>
          <w:tab w:val="left" w:pos="840"/>
          <w:tab w:val="left" w:pos="945"/>
        </w:tabs>
        <w:snapToGrid w:val="0"/>
        <w:spacing w:line="360" w:lineRule="auto"/>
        <w:ind w:left="525"/>
        <w:rPr>
          <w:rFonts w:hint="eastAsia" w:ascii="宋体" w:hAnsi="宋体" w:eastAsia="宋体" w:cs="宋体"/>
          <w:bCs/>
          <w:color w:val="auto"/>
          <w:szCs w:val="20"/>
          <w:highlight w:val="none"/>
        </w:rPr>
      </w:pPr>
      <w:r>
        <w:rPr>
          <w:rFonts w:ascii="宋体" w:hAnsi="宋体" w:eastAsia="宋体" w:cs="宋体"/>
          <w:bCs/>
          <w:color w:val="auto"/>
          <w:szCs w:val="20"/>
          <w:highlight w:val="none"/>
        </w:rPr>
        <w:t>   名称：</w:t>
      </w:r>
      <w:r>
        <w:rPr>
          <w:rFonts w:hint="eastAsia" w:ascii="宋体" w:hAnsi="宋体" w:eastAsia="宋体" w:cs="宋体"/>
          <w:color w:val="auto"/>
          <w:szCs w:val="21"/>
          <w:highlight w:val="none"/>
        </w:rPr>
        <w:t>广州市海珠区残疾人康复服务中心</w:t>
      </w:r>
    </w:p>
    <w:p>
      <w:pPr>
        <w:tabs>
          <w:tab w:val="left" w:pos="840"/>
          <w:tab w:val="left" w:pos="945"/>
        </w:tabs>
        <w:snapToGrid w:val="0"/>
        <w:spacing w:line="360" w:lineRule="auto"/>
        <w:ind w:left="525"/>
        <w:rPr>
          <w:rFonts w:ascii="宋体" w:hAnsi="宋体" w:eastAsia="宋体" w:cs="宋体"/>
          <w:bCs/>
          <w:color w:val="auto"/>
          <w:szCs w:val="20"/>
          <w:highlight w:val="none"/>
        </w:rPr>
      </w:pPr>
      <w:r>
        <w:rPr>
          <w:rFonts w:ascii="宋体" w:hAnsi="宋体" w:eastAsia="宋体" w:cs="宋体"/>
          <w:bCs/>
          <w:color w:val="auto"/>
          <w:szCs w:val="20"/>
          <w:highlight w:val="none"/>
        </w:rPr>
        <w:t>   地址：</w:t>
      </w:r>
      <w:r>
        <w:rPr>
          <w:rFonts w:hint="eastAsia" w:ascii="宋体" w:hAnsi="宋体" w:eastAsia="宋体" w:cs="宋体"/>
          <w:bCs/>
          <w:color w:val="auto"/>
          <w:szCs w:val="20"/>
          <w:highlight w:val="none"/>
        </w:rPr>
        <w:t>广州市海珠区同福中路319号</w:t>
      </w:r>
    </w:p>
    <w:p>
      <w:pPr>
        <w:tabs>
          <w:tab w:val="left" w:pos="840"/>
          <w:tab w:val="left" w:pos="945"/>
        </w:tabs>
        <w:snapToGrid w:val="0"/>
        <w:spacing w:line="360" w:lineRule="auto"/>
        <w:ind w:left="525"/>
        <w:rPr>
          <w:rFonts w:ascii="宋体" w:hAnsi="宋体" w:eastAsia="宋体" w:cs="宋体"/>
          <w:bCs/>
          <w:color w:val="auto"/>
          <w:szCs w:val="20"/>
          <w:highlight w:val="none"/>
        </w:rPr>
      </w:pPr>
      <w:r>
        <w:rPr>
          <w:rFonts w:ascii="宋体" w:hAnsi="宋体" w:eastAsia="宋体" w:cs="宋体"/>
          <w:bCs/>
          <w:color w:val="auto"/>
          <w:szCs w:val="20"/>
          <w:highlight w:val="none"/>
        </w:rPr>
        <w:t>   2.采购代理机构信息</w:t>
      </w:r>
    </w:p>
    <w:p>
      <w:pPr>
        <w:tabs>
          <w:tab w:val="left" w:pos="840"/>
          <w:tab w:val="left" w:pos="945"/>
        </w:tabs>
        <w:snapToGrid w:val="0"/>
        <w:spacing w:line="360" w:lineRule="auto"/>
        <w:ind w:left="525"/>
        <w:rPr>
          <w:rFonts w:ascii="宋体" w:hAnsi="宋体" w:eastAsia="宋体" w:cs="宋体"/>
          <w:bCs/>
          <w:color w:val="auto"/>
          <w:szCs w:val="20"/>
          <w:highlight w:val="none"/>
        </w:rPr>
      </w:pPr>
      <w:r>
        <w:rPr>
          <w:rFonts w:ascii="宋体" w:hAnsi="宋体" w:eastAsia="宋体" w:cs="宋体"/>
          <w:bCs/>
          <w:color w:val="auto"/>
          <w:szCs w:val="20"/>
          <w:highlight w:val="none"/>
        </w:rPr>
        <w:t>   名称：广州市信怡招标代理有限公司</w:t>
      </w:r>
    </w:p>
    <w:p>
      <w:pPr>
        <w:tabs>
          <w:tab w:val="left" w:pos="840"/>
          <w:tab w:val="left" w:pos="945"/>
        </w:tabs>
        <w:snapToGrid w:val="0"/>
        <w:spacing w:line="360" w:lineRule="auto"/>
        <w:ind w:left="525"/>
        <w:rPr>
          <w:rFonts w:hint="eastAsia" w:ascii="宋体" w:hAnsi="宋体" w:eastAsia="宋体" w:cs="宋体"/>
          <w:bCs/>
          <w:color w:val="auto"/>
          <w:szCs w:val="20"/>
          <w:highlight w:val="none"/>
        </w:rPr>
      </w:pPr>
      <w:r>
        <w:rPr>
          <w:rFonts w:ascii="宋体" w:hAnsi="宋体" w:eastAsia="宋体" w:cs="宋体"/>
          <w:bCs/>
          <w:color w:val="auto"/>
          <w:szCs w:val="20"/>
          <w:highlight w:val="none"/>
        </w:rPr>
        <w:t>   地址：</w:t>
      </w:r>
      <w:r>
        <w:rPr>
          <w:rFonts w:hint="eastAsia" w:ascii="宋体" w:hAnsi="宋体" w:eastAsia="宋体" w:cs="宋体"/>
          <w:bCs/>
          <w:color w:val="auto"/>
          <w:szCs w:val="20"/>
          <w:highlight w:val="none"/>
        </w:rPr>
        <w:t>广州市天河区粤垦路623号燕都商务大厦12楼1202室</w:t>
      </w:r>
    </w:p>
    <w:p>
      <w:pPr>
        <w:tabs>
          <w:tab w:val="left" w:pos="840"/>
          <w:tab w:val="left" w:pos="945"/>
        </w:tabs>
        <w:snapToGrid w:val="0"/>
        <w:spacing w:line="360" w:lineRule="auto"/>
        <w:ind w:left="525"/>
        <w:rPr>
          <w:rFonts w:hint="eastAsia" w:ascii="宋体" w:hAnsi="宋体" w:eastAsia="宋体" w:cs="宋体"/>
          <w:bCs/>
          <w:color w:val="auto"/>
          <w:szCs w:val="20"/>
          <w:highlight w:val="none"/>
        </w:rPr>
      </w:pPr>
      <w:r>
        <w:rPr>
          <w:rFonts w:ascii="宋体" w:hAnsi="宋体" w:eastAsia="宋体" w:cs="宋体"/>
          <w:bCs/>
          <w:color w:val="auto"/>
          <w:szCs w:val="20"/>
          <w:highlight w:val="none"/>
        </w:rPr>
        <w:t>   联系方式：020-8900129</w:t>
      </w:r>
      <w:r>
        <w:rPr>
          <w:rFonts w:hint="eastAsia" w:ascii="宋体" w:hAnsi="宋体" w:eastAsia="宋体" w:cs="宋体"/>
          <w:bCs/>
          <w:color w:val="auto"/>
          <w:szCs w:val="20"/>
          <w:highlight w:val="none"/>
        </w:rPr>
        <w:t>6</w:t>
      </w:r>
    </w:p>
    <w:p>
      <w:pPr>
        <w:tabs>
          <w:tab w:val="left" w:pos="840"/>
          <w:tab w:val="left" w:pos="945"/>
        </w:tabs>
        <w:snapToGrid w:val="0"/>
        <w:spacing w:line="360" w:lineRule="auto"/>
        <w:ind w:left="525"/>
        <w:rPr>
          <w:rFonts w:ascii="宋体" w:hAnsi="宋体" w:eastAsia="宋体" w:cs="宋体"/>
          <w:bCs/>
          <w:color w:val="auto"/>
          <w:szCs w:val="20"/>
          <w:highlight w:val="none"/>
        </w:rPr>
      </w:pPr>
      <w:r>
        <w:rPr>
          <w:rFonts w:ascii="宋体" w:hAnsi="宋体" w:eastAsia="宋体" w:cs="宋体"/>
          <w:bCs/>
          <w:color w:val="auto"/>
          <w:szCs w:val="20"/>
          <w:highlight w:val="none"/>
        </w:rPr>
        <w:t>3.项目联系方式</w:t>
      </w:r>
    </w:p>
    <w:p>
      <w:pPr>
        <w:tabs>
          <w:tab w:val="left" w:pos="840"/>
          <w:tab w:val="left" w:pos="945"/>
        </w:tabs>
        <w:snapToGrid w:val="0"/>
        <w:spacing w:line="360" w:lineRule="auto"/>
        <w:ind w:left="525"/>
        <w:rPr>
          <w:rFonts w:ascii="宋体" w:hAnsi="宋体" w:eastAsia="宋体" w:cs="宋体"/>
          <w:bCs/>
          <w:color w:val="auto"/>
          <w:szCs w:val="20"/>
          <w:highlight w:val="none"/>
        </w:rPr>
      </w:pPr>
      <w:r>
        <w:rPr>
          <w:rFonts w:ascii="宋体" w:hAnsi="宋体" w:eastAsia="宋体" w:cs="宋体"/>
          <w:bCs/>
          <w:color w:val="auto"/>
          <w:szCs w:val="20"/>
          <w:highlight w:val="none"/>
        </w:rPr>
        <w:t>   项目联系人：陈小姐</w:t>
      </w:r>
    </w:p>
    <w:p>
      <w:pPr>
        <w:tabs>
          <w:tab w:val="left" w:pos="840"/>
          <w:tab w:val="left" w:pos="945"/>
        </w:tabs>
        <w:snapToGrid w:val="0"/>
        <w:spacing w:line="360" w:lineRule="auto"/>
        <w:ind w:left="525"/>
        <w:rPr>
          <w:rFonts w:hint="eastAsia" w:ascii="宋体" w:hAnsi="宋体" w:eastAsia="宋体" w:cs="宋体"/>
          <w:bCs/>
          <w:color w:val="auto"/>
          <w:szCs w:val="20"/>
          <w:highlight w:val="none"/>
        </w:rPr>
      </w:pPr>
      <w:r>
        <w:rPr>
          <w:rFonts w:ascii="宋体" w:hAnsi="宋体" w:eastAsia="宋体" w:cs="宋体"/>
          <w:bCs/>
          <w:color w:val="auto"/>
          <w:szCs w:val="20"/>
          <w:highlight w:val="none"/>
        </w:rPr>
        <w:t>   电话：020-8900129</w:t>
      </w:r>
      <w:r>
        <w:rPr>
          <w:rFonts w:hint="eastAsia" w:ascii="宋体" w:hAnsi="宋体" w:eastAsia="宋体" w:cs="宋体"/>
          <w:bCs/>
          <w:color w:val="auto"/>
          <w:szCs w:val="20"/>
          <w:highlight w:val="none"/>
        </w:rPr>
        <w:t>6</w:t>
      </w:r>
    </w:p>
    <w:p>
      <w:pPr>
        <w:tabs>
          <w:tab w:val="left" w:pos="840"/>
          <w:tab w:val="left" w:pos="945"/>
        </w:tabs>
        <w:snapToGrid w:val="0"/>
        <w:spacing w:line="360" w:lineRule="auto"/>
        <w:ind w:left="525"/>
        <w:rPr>
          <w:rFonts w:ascii="宋体" w:hAnsi="宋体" w:eastAsia="宋体" w:cs="宋体"/>
          <w:bCs/>
          <w:color w:val="auto"/>
          <w:szCs w:val="20"/>
          <w:highlight w:val="none"/>
        </w:rPr>
      </w:pPr>
      <w:r>
        <w:rPr>
          <w:rFonts w:hint="eastAsia" w:ascii="宋体" w:hAnsi="宋体" w:eastAsia="宋体" w:cs="宋体"/>
          <w:bCs/>
          <w:color w:val="auto"/>
          <w:szCs w:val="20"/>
          <w:highlight w:val="none"/>
        </w:rPr>
        <w:t> </w:t>
      </w:r>
    </w:p>
    <w:p>
      <w:pPr>
        <w:tabs>
          <w:tab w:val="left" w:pos="840"/>
          <w:tab w:val="left" w:pos="945"/>
        </w:tabs>
        <w:snapToGrid w:val="0"/>
        <w:spacing w:line="360" w:lineRule="auto"/>
        <w:ind w:left="525"/>
        <w:jc w:val="right"/>
        <w:rPr>
          <w:rFonts w:ascii="宋体" w:hAnsi="宋体" w:eastAsia="宋体" w:cs="宋体"/>
          <w:bCs/>
          <w:color w:val="auto"/>
          <w:szCs w:val="20"/>
          <w:highlight w:val="none"/>
        </w:rPr>
      </w:pPr>
      <w:r>
        <w:rPr>
          <w:rFonts w:ascii="宋体" w:hAnsi="宋体" w:eastAsia="宋体" w:cs="宋体"/>
          <w:bCs/>
          <w:color w:val="auto"/>
          <w:szCs w:val="20"/>
          <w:highlight w:val="none"/>
        </w:rPr>
        <w:t>发布人：广州市信怡招标代理有限公司</w:t>
      </w:r>
    </w:p>
    <w:p>
      <w:pPr>
        <w:wordWrap w:val="0"/>
        <w:adjustRightInd w:val="0"/>
        <w:snapToGrid w:val="0"/>
        <w:spacing w:line="480" w:lineRule="auto"/>
        <w:ind w:right="210"/>
        <w:jc w:val="right"/>
        <w:rPr>
          <w:rFonts w:ascii="Arial" w:hAnsi="Arial" w:eastAsia="宋体" w:cs="Times New Roman"/>
          <w:color w:val="auto"/>
          <w:szCs w:val="24"/>
          <w:highlight w:val="none"/>
        </w:rPr>
        <w:sectPr>
          <w:footerReference r:id="rId13" w:type="first"/>
          <w:footerReference r:id="rId12" w:type="default"/>
          <w:pgSz w:w="11906" w:h="16838"/>
          <w:pgMar w:top="567" w:right="1304" w:bottom="567" w:left="1361" w:header="567" w:footer="737" w:gutter="0"/>
          <w:pgNumType w:start="1"/>
          <w:cols w:space="720" w:num="1"/>
          <w:titlePg/>
          <w:docGrid w:linePitch="312" w:charSpace="0"/>
        </w:sectPr>
      </w:pPr>
      <w:r>
        <w:rPr>
          <w:rFonts w:ascii="宋体" w:hAnsi="宋体" w:eastAsia="宋体" w:cs="宋体"/>
          <w:bCs/>
          <w:color w:val="auto"/>
          <w:szCs w:val="20"/>
          <w:highlight w:val="none"/>
        </w:rPr>
        <w:t>发布时间：</w:t>
      </w:r>
      <w:r>
        <w:rPr>
          <w:rFonts w:hint="eastAsia" w:ascii="宋体" w:hAnsi="宋体" w:eastAsia="宋体" w:cs="宋体"/>
          <w:bCs/>
          <w:color w:val="auto"/>
          <w:szCs w:val="20"/>
          <w:highlight w:val="none"/>
        </w:rPr>
        <w:t>2021</w:t>
      </w:r>
      <w:r>
        <w:rPr>
          <w:rFonts w:ascii="宋体" w:hAnsi="宋体" w:eastAsia="宋体" w:cs="宋体"/>
          <w:bCs/>
          <w:color w:val="auto"/>
          <w:szCs w:val="20"/>
          <w:highlight w:val="none"/>
        </w:rPr>
        <w:t>年</w:t>
      </w:r>
      <w:r>
        <w:rPr>
          <w:rFonts w:hint="eastAsia" w:ascii="宋体" w:hAnsi="宋体" w:eastAsia="宋体" w:cs="宋体"/>
          <w:bCs/>
          <w:color w:val="auto"/>
          <w:szCs w:val="20"/>
          <w:highlight w:val="none"/>
        </w:rPr>
        <w:t>06</w:t>
      </w:r>
      <w:r>
        <w:rPr>
          <w:rFonts w:ascii="宋体" w:hAnsi="宋体" w:eastAsia="宋体" w:cs="宋体"/>
          <w:bCs/>
          <w:color w:val="auto"/>
          <w:szCs w:val="20"/>
          <w:highlight w:val="none"/>
        </w:rPr>
        <w:t>月</w:t>
      </w:r>
      <w:r>
        <w:rPr>
          <w:rFonts w:hint="eastAsia" w:ascii="宋体" w:hAnsi="宋体" w:eastAsia="宋体" w:cs="宋体"/>
          <w:bCs/>
          <w:color w:val="auto"/>
          <w:szCs w:val="20"/>
          <w:highlight w:val="none"/>
        </w:rPr>
        <w:t>16</w:t>
      </w:r>
      <w:r>
        <w:rPr>
          <w:rFonts w:ascii="宋体" w:hAnsi="宋体" w:eastAsia="宋体" w:cs="宋体"/>
          <w:bCs/>
          <w:color w:val="auto"/>
          <w:szCs w:val="20"/>
          <w:highlight w:val="none"/>
        </w:rPr>
        <w:t>日</w:t>
      </w:r>
    </w:p>
    <w:p>
      <w:pPr>
        <w:spacing w:line="360" w:lineRule="auto"/>
        <w:rPr>
          <w:rFonts w:ascii="宋体" w:hAnsi="宋体" w:eastAsia="宋体" w:cs="Times New Roman"/>
          <w:color w:val="auto"/>
          <w:sz w:val="28"/>
          <w:szCs w:val="24"/>
          <w:highlight w:val="none"/>
        </w:rPr>
      </w:pPr>
    </w:p>
    <w:p>
      <w:pPr>
        <w:spacing w:line="360" w:lineRule="auto"/>
        <w:rPr>
          <w:rFonts w:ascii="宋体" w:hAnsi="宋体" w:eastAsia="宋体" w:cs="Times New Roman"/>
          <w:color w:val="auto"/>
          <w:sz w:val="28"/>
          <w:szCs w:val="24"/>
          <w:highlight w:val="none"/>
        </w:rPr>
      </w:pPr>
    </w:p>
    <w:p>
      <w:pPr>
        <w:spacing w:line="360" w:lineRule="auto"/>
        <w:rPr>
          <w:rFonts w:ascii="宋体" w:hAnsi="宋体" w:eastAsia="宋体" w:cs="Times New Roman"/>
          <w:color w:val="auto"/>
          <w:sz w:val="28"/>
          <w:szCs w:val="24"/>
          <w:highlight w:val="none"/>
        </w:rPr>
      </w:pPr>
    </w:p>
    <w:p>
      <w:pPr>
        <w:spacing w:line="360" w:lineRule="auto"/>
        <w:rPr>
          <w:rFonts w:ascii="宋体" w:hAnsi="宋体" w:eastAsia="宋体" w:cs="Times New Roman"/>
          <w:color w:val="auto"/>
          <w:sz w:val="28"/>
          <w:szCs w:val="24"/>
          <w:highlight w:val="none"/>
        </w:rPr>
      </w:pPr>
    </w:p>
    <w:p>
      <w:pPr>
        <w:spacing w:line="360" w:lineRule="auto"/>
        <w:rPr>
          <w:rFonts w:ascii="宋体" w:hAnsi="宋体" w:eastAsia="宋体" w:cs="Times New Roman"/>
          <w:color w:val="auto"/>
          <w:sz w:val="28"/>
          <w:szCs w:val="24"/>
          <w:highlight w:val="none"/>
        </w:rPr>
      </w:pPr>
    </w:p>
    <w:p>
      <w:pPr>
        <w:spacing w:line="360" w:lineRule="auto"/>
        <w:rPr>
          <w:rFonts w:ascii="宋体" w:hAnsi="宋体" w:eastAsia="宋体" w:cs="Times New Roman"/>
          <w:color w:val="auto"/>
          <w:sz w:val="28"/>
          <w:szCs w:val="24"/>
          <w:highlight w:val="none"/>
        </w:rPr>
      </w:pPr>
    </w:p>
    <w:p>
      <w:pPr>
        <w:spacing w:line="360" w:lineRule="auto"/>
        <w:rPr>
          <w:rFonts w:ascii="宋体" w:hAnsi="宋体" w:eastAsia="宋体" w:cs="Times New Roman"/>
          <w:color w:val="auto"/>
          <w:sz w:val="28"/>
          <w:szCs w:val="24"/>
          <w:highlight w:val="none"/>
        </w:rPr>
      </w:pPr>
    </w:p>
    <w:p>
      <w:pPr>
        <w:spacing w:line="360" w:lineRule="auto"/>
        <w:rPr>
          <w:rFonts w:ascii="宋体" w:hAnsi="宋体" w:eastAsia="宋体" w:cs="Times New Roman"/>
          <w:color w:val="auto"/>
          <w:sz w:val="28"/>
          <w:szCs w:val="24"/>
          <w:highlight w:val="none"/>
        </w:rPr>
      </w:pPr>
    </w:p>
    <w:p>
      <w:pPr>
        <w:spacing w:line="360" w:lineRule="auto"/>
        <w:rPr>
          <w:rFonts w:ascii="宋体" w:hAnsi="宋体" w:eastAsia="宋体" w:cs="Times New Roman"/>
          <w:color w:val="auto"/>
          <w:sz w:val="28"/>
          <w:szCs w:val="24"/>
          <w:highlight w:val="none"/>
        </w:rPr>
      </w:pPr>
    </w:p>
    <w:p>
      <w:pPr>
        <w:spacing w:line="360" w:lineRule="auto"/>
        <w:rPr>
          <w:rFonts w:ascii="宋体" w:hAnsi="宋体" w:eastAsia="宋体" w:cs="Times New Roman"/>
          <w:color w:val="auto"/>
          <w:sz w:val="28"/>
          <w:szCs w:val="24"/>
          <w:highlight w:val="none"/>
        </w:rPr>
      </w:pPr>
    </w:p>
    <w:p>
      <w:pPr>
        <w:spacing w:line="360" w:lineRule="auto"/>
        <w:rPr>
          <w:rFonts w:ascii="宋体" w:hAnsi="宋体" w:eastAsia="宋体" w:cs="Times New Roman"/>
          <w:color w:val="auto"/>
          <w:sz w:val="28"/>
          <w:szCs w:val="24"/>
          <w:highlight w:val="none"/>
        </w:rPr>
      </w:pPr>
    </w:p>
    <w:p>
      <w:pPr>
        <w:keepNext/>
        <w:autoSpaceDE w:val="0"/>
        <w:spacing w:line="360" w:lineRule="auto"/>
        <w:ind w:right="-441" w:rightChars="-210"/>
        <w:jc w:val="center"/>
        <w:outlineLvl w:val="0"/>
        <w:rPr>
          <w:rFonts w:ascii="宋体" w:hAnsi="宋体" w:eastAsia="宋体" w:cs="Times New Roman"/>
          <w:b/>
          <w:bCs/>
          <w:color w:val="auto"/>
          <w:sz w:val="44"/>
          <w:szCs w:val="24"/>
          <w:highlight w:val="none"/>
        </w:rPr>
      </w:pPr>
      <w:bookmarkStart w:id="32" w:name="_Toc475104467"/>
      <w:bookmarkStart w:id="33" w:name="_Toc320515015"/>
      <w:r>
        <w:rPr>
          <w:rFonts w:ascii="宋体" w:hAnsi="宋体" w:eastAsia="宋体" w:cs="ZWAdobeF"/>
          <w:bCs/>
          <w:color w:val="auto"/>
          <w:sz w:val="2"/>
          <w:szCs w:val="2"/>
          <w:highlight w:val="none"/>
        </w:rPr>
        <w:t>1B1B</w:t>
      </w:r>
      <w:r>
        <w:rPr>
          <w:rFonts w:hint="eastAsia" w:ascii="宋体" w:hAnsi="宋体" w:eastAsia="宋体" w:cs="Times New Roman"/>
          <w:b/>
          <w:bCs/>
          <w:color w:val="auto"/>
          <w:sz w:val="44"/>
          <w:szCs w:val="24"/>
          <w:highlight w:val="none"/>
        </w:rPr>
        <w:t>第二章</w:t>
      </w:r>
      <w:bookmarkStart w:id="34" w:name="_Toc10525515"/>
      <w:r>
        <w:rPr>
          <w:rFonts w:hint="eastAsia" w:ascii="宋体" w:hAnsi="宋体" w:eastAsia="宋体" w:cs="Times New Roman"/>
          <w:b/>
          <w:bCs/>
          <w:color w:val="auto"/>
          <w:sz w:val="44"/>
          <w:szCs w:val="24"/>
          <w:highlight w:val="none"/>
        </w:rPr>
        <w:t xml:space="preserve"> 公开遴选须知</w:t>
      </w:r>
      <w:bookmarkEnd w:id="26"/>
      <w:bookmarkEnd w:id="27"/>
      <w:bookmarkEnd w:id="32"/>
      <w:bookmarkEnd w:id="33"/>
      <w:bookmarkEnd w:id="34"/>
    </w:p>
    <w:p>
      <w:pPr>
        <w:spacing w:line="360" w:lineRule="auto"/>
        <w:jc w:val="center"/>
        <w:rPr>
          <w:rFonts w:ascii="宋体" w:hAnsi="宋体" w:eastAsia="宋体" w:cs="Times New Roman"/>
          <w:b/>
          <w:bCs/>
          <w:color w:val="auto"/>
          <w:sz w:val="30"/>
          <w:szCs w:val="24"/>
          <w:highlight w:val="none"/>
        </w:rPr>
      </w:pPr>
      <w:r>
        <w:rPr>
          <w:rFonts w:ascii="宋体" w:hAnsi="宋体" w:eastAsia="宋体" w:cs="Times New Roman"/>
          <w:color w:val="auto"/>
          <w:sz w:val="44"/>
          <w:szCs w:val="24"/>
          <w:highlight w:val="none"/>
        </w:rPr>
        <w:br w:type="page"/>
      </w:r>
      <w:r>
        <w:rPr>
          <w:rFonts w:hint="eastAsia" w:ascii="宋体" w:hAnsi="宋体" w:eastAsia="宋体" w:cs="Times New Roman"/>
          <w:b/>
          <w:bCs/>
          <w:color w:val="auto"/>
          <w:sz w:val="30"/>
          <w:szCs w:val="24"/>
          <w:highlight w:val="none"/>
        </w:rPr>
        <w:t>公开遴选须知一览表</w:t>
      </w:r>
    </w:p>
    <w:tbl>
      <w:tblPr>
        <w:tblStyle w:val="8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遴选</w:t>
            </w:r>
            <w:r>
              <w:rPr>
                <w:rFonts w:hint="eastAsia" w:ascii="宋体" w:hAnsi="宋体" w:eastAsia="宋体" w:cs="Times New Roman"/>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hint="eastAsia" w:ascii="宋体" w:hAnsi="宋体" w:eastAsia="宋体" w:cs="Times New Roman"/>
                <w:color w:val="auto"/>
                <w:szCs w:val="21"/>
                <w:highlight w:val="none"/>
              </w:rPr>
            </w:pPr>
            <w:r>
              <w:rPr>
                <w:rFonts w:ascii="宋体" w:hAnsi="宋体" w:eastAsia="宋体" w:cs="宋体"/>
                <w:color w:val="auto"/>
                <w:szCs w:val="21"/>
                <w:highlight w:val="none"/>
              </w:rPr>
              <w:t>本项目不收保证金。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39" w:type="dxa"/>
            <w:tcBorders>
              <w:top w:val="single" w:color="auto" w:sz="4" w:space="0"/>
              <w:left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采购代理服务费</w:t>
            </w:r>
          </w:p>
        </w:tc>
        <w:tc>
          <w:tcPr>
            <w:tcW w:w="6234" w:type="dxa"/>
            <w:tcBorders>
              <w:top w:val="single" w:color="auto" w:sz="4" w:space="0"/>
              <w:left w:val="single" w:color="auto" w:sz="4" w:space="0"/>
              <w:right w:val="single" w:color="auto" w:sz="4" w:space="0"/>
            </w:tcBorders>
            <w:vAlign w:val="center"/>
          </w:tcPr>
          <w:p>
            <w:pPr>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收费依据及方法：</w:t>
            </w:r>
            <w:r>
              <w:rPr>
                <w:rFonts w:hint="eastAsia" w:ascii="宋体" w:hAnsi="宋体" w:eastAsia="宋体" w:cs="宋体"/>
                <w:color w:val="auto"/>
                <w:szCs w:val="21"/>
                <w:highlight w:val="none"/>
              </w:rPr>
              <w:t>采购代理服务费为6000元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招标代理服务费支付方式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成交人在领取《成交通知书》时直接一次性向采购代理机构足额支付招标代理服务费。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GB"/>
              </w:rPr>
              <w:t>统一结算</w:t>
            </w:r>
            <w:r>
              <w:rPr>
                <w:rFonts w:hint="eastAsia" w:ascii="宋体" w:hAnsi="宋体" w:eastAsia="宋体" w:cs="Times New Roman"/>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自从遴选响应文件递交截止日起90天，成交供应商的响应有效期自动延长至合同终止为止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遴选响应文件</w:t>
            </w:r>
            <w:r>
              <w:rPr>
                <w:rFonts w:hint="eastAsia" w:ascii="宋体" w:hAnsi="宋体" w:eastAsia="宋体" w:cs="Times New Roman"/>
                <w:color w:val="auto"/>
                <w:szCs w:val="21"/>
                <w:highlight w:val="none"/>
              </w:rPr>
              <w:t>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三份（一份正本、两份副本）、电子文档一份（要求光盘介质，WORD或EXCEL格式，不留密码，无病毒，不压缩，内容应与供应商打印产生的纸质遴选响应文件内容一致，如有不同，以纸质遴选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遴选响应文件</w:t>
            </w:r>
            <w:r>
              <w:rPr>
                <w:rFonts w:hint="eastAsia" w:ascii="宋体" w:hAnsi="宋体" w:eastAsia="宋体" w:cs="Times New Roman"/>
                <w:color w:val="auto"/>
                <w:szCs w:val="21"/>
                <w:highlight w:val="none"/>
              </w:rPr>
              <w:t>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4"/>
                <w:highlight w:val="none"/>
              </w:rPr>
            </w:pPr>
            <w:r>
              <w:rPr>
                <w:rFonts w:hint="eastAsia" w:ascii="宋体" w:hAnsi="宋体" w:eastAsia="宋体" w:cs="Times New Roman"/>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遴选响应文件递交</w:t>
            </w:r>
            <w:r>
              <w:rPr>
                <w:rFonts w:hint="eastAsia" w:ascii="宋体" w:hAnsi="宋体" w:eastAsia="宋体" w:cs="Times New Roman"/>
                <w:color w:val="auto"/>
                <w:szCs w:val="24"/>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详见公开遴选公告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遴选时间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详见公开遴选公告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详见</w:t>
            </w:r>
            <w:r>
              <w:rPr>
                <w:rFonts w:hint="eastAsia" w:ascii="宋体" w:hAnsi="宋体" w:eastAsia="宋体" w:cs="Times New Roman"/>
                <w:color w:val="auto"/>
                <w:szCs w:val="21"/>
                <w:highlight w:val="none"/>
              </w:rPr>
              <w:t>公开遴选公告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财政性</w:t>
            </w:r>
            <w:r>
              <w:rPr>
                <w:rFonts w:hint="eastAsia" w:ascii="宋体" w:hAnsi="宋体" w:eastAsia="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eastAsia="宋体" w:cs="Times New Roman"/>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详见投标人须知</w:t>
            </w:r>
          </w:p>
        </w:tc>
      </w:tr>
    </w:tbl>
    <w:p>
      <w:pPr>
        <w:numPr>
          <w:ilvl w:val="0"/>
          <w:numId w:val="3"/>
        </w:numPr>
        <w:autoSpaceDE w:val="0"/>
        <w:autoSpaceDN w:val="0"/>
        <w:adjustRightInd w:val="0"/>
        <w:snapToGrid w:val="0"/>
        <w:spacing w:before="240" w:beforeLines="100" w:after="240" w:afterLines="100" w:line="360" w:lineRule="auto"/>
        <w:ind w:left="601" w:hanging="601"/>
        <w:jc w:val="center"/>
        <w:outlineLvl w:val="0"/>
        <w:rPr>
          <w:rFonts w:hint="eastAsia" w:ascii="宋体" w:hAnsi="宋体" w:eastAsia="宋体" w:cs="Times New Roman"/>
          <w:b/>
          <w:color w:val="auto"/>
          <w:sz w:val="28"/>
          <w:szCs w:val="28"/>
          <w:highlight w:val="none"/>
          <w:lang w:eastAsia="zh-TW"/>
        </w:rPr>
      </w:pPr>
      <w:bookmarkStart w:id="35" w:name="_Toc320515065"/>
      <w:bookmarkStart w:id="36" w:name="_Toc320515016"/>
      <w:bookmarkStart w:id="37" w:name="_Toc323110975"/>
      <w:bookmarkStart w:id="38" w:name="_Toc322680342"/>
      <w:bookmarkStart w:id="39" w:name="_Toc475104468"/>
      <w:bookmarkStart w:id="40" w:name="_Toc315793450"/>
      <w:bookmarkStart w:id="41" w:name="_Toc363737682"/>
      <w:r>
        <w:rPr>
          <w:rFonts w:hint="eastAsia" w:ascii="宋体" w:hAnsi="宋体" w:eastAsia="宋体" w:cs="Times New Roman"/>
          <w:b/>
          <w:color w:val="auto"/>
          <w:sz w:val="28"/>
          <w:szCs w:val="28"/>
          <w:highlight w:val="none"/>
          <w:lang w:eastAsia="zh-TW"/>
        </w:rPr>
        <w:br w:type="page"/>
      </w:r>
      <w:r>
        <w:rPr>
          <w:rFonts w:hint="eastAsia" w:ascii="宋体" w:hAnsi="宋体" w:eastAsia="宋体" w:cs="Times New Roman"/>
          <w:b/>
          <w:color w:val="auto"/>
          <w:sz w:val="28"/>
          <w:szCs w:val="28"/>
          <w:highlight w:val="none"/>
          <w:lang w:eastAsia="zh-TW"/>
        </w:rPr>
        <w:t>说 明</w:t>
      </w:r>
      <w:bookmarkEnd w:id="35"/>
      <w:bookmarkEnd w:id="36"/>
      <w:bookmarkEnd w:id="37"/>
      <w:bookmarkEnd w:id="38"/>
      <w:bookmarkEnd w:id="39"/>
      <w:bookmarkEnd w:id="40"/>
      <w:bookmarkEnd w:id="41"/>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42" w:name="_Toc322680343"/>
      <w:bookmarkStart w:id="43" w:name="_Toc323110976"/>
      <w:bookmarkStart w:id="44" w:name="_Toc475104469"/>
      <w:bookmarkStart w:id="45" w:name="_Toc315793451"/>
      <w:bookmarkStart w:id="46" w:name="_Toc363737683"/>
      <w:bookmarkStart w:id="47" w:name="_Toc320515066"/>
      <w:bookmarkStart w:id="48" w:name="_Toc320515017"/>
      <w:r>
        <w:rPr>
          <w:rFonts w:hint="eastAsia" w:ascii="宋体" w:hAnsi="宋体" w:eastAsia="宋体" w:cs="Times New Roman"/>
          <w:b/>
          <w:bCs/>
          <w:color w:val="auto"/>
          <w:sz w:val="24"/>
          <w:szCs w:val="24"/>
          <w:highlight w:val="none"/>
        </w:rPr>
        <w:t>招标适用范围</w:t>
      </w:r>
      <w:bookmarkEnd w:id="42"/>
      <w:bookmarkEnd w:id="43"/>
      <w:bookmarkEnd w:id="44"/>
      <w:bookmarkEnd w:id="45"/>
      <w:bookmarkEnd w:id="46"/>
      <w:bookmarkEnd w:id="47"/>
      <w:bookmarkEnd w:id="48"/>
    </w:p>
    <w:p>
      <w:pPr>
        <w:numPr>
          <w:ilvl w:val="1"/>
          <w:numId w:val="4"/>
        </w:numPr>
        <w:autoSpaceDE w:val="0"/>
        <w:autoSpaceDN w:val="0"/>
        <w:adjustRightInd w:val="0"/>
        <w:snapToGrid w:val="0"/>
        <w:spacing w:line="360" w:lineRule="auto"/>
        <w:jc w:val="left"/>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本公开遴选文件适用于本公开遴选邀请中所述项目的政府采购。</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49" w:name="_Toc475104470"/>
      <w:bookmarkStart w:id="50" w:name="_Toc322680344"/>
      <w:bookmarkStart w:id="51" w:name="_Toc320515018"/>
      <w:bookmarkStart w:id="52" w:name="_Toc320515067"/>
      <w:bookmarkStart w:id="53" w:name="_Toc363737684"/>
      <w:bookmarkStart w:id="54" w:name="_Toc323110977"/>
      <w:r>
        <w:rPr>
          <w:rFonts w:hint="eastAsia" w:ascii="宋体" w:hAnsi="宋体" w:eastAsia="宋体" w:cs="Times New Roman"/>
          <w:b/>
          <w:bCs/>
          <w:color w:val="auto"/>
          <w:sz w:val="24"/>
          <w:szCs w:val="24"/>
          <w:highlight w:val="none"/>
        </w:rPr>
        <w:t>定义</w:t>
      </w:r>
      <w:bookmarkEnd w:id="49"/>
      <w:bookmarkEnd w:id="50"/>
      <w:bookmarkEnd w:id="51"/>
      <w:bookmarkEnd w:id="52"/>
      <w:bookmarkEnd w:id="53"/>
      <w:bookmarkEnd w:id="54"/>
    </w:p>
    <w:p>
      <w:pPr>
        <w:numPr>
          <w:ilvl w:val="1"/>
          <w:numId w:val="4"/>
        </w:numPr>
        <w:autoSpaceDE w:val="0"/>
        <w:autoSpaceDN w:val="0"/>
        <w:adjustRightInd w:val="0"/>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“采购人”系指</w:t>
      </w:r>
      <w:r>
        <w:rPr>
          <w:rFonts w:hint="eastAsia" w:ascii="宋体" w:hAnsi="宋体" w:eastAsia="宋体" w:cs="宋体"/>
          <w:color w:val="auto"/>
          <w:szCs w:val="21"/>
          <w:highlight w:val="none"/>
        </w:rPr>
        <w:t>广州市海珠区残疾人康复服务中心</w:t>
      </w:r>
      <w:r>
        <w:rPr>
          <w:rFonts w:hint="eastAsia" w:ascii="宋体" w:hAnsi="宋体" w:eastAsia="宋体" w:cs="Times New Roman"/>
          <w:color w:val="auto"/>
          <w:szCs w:val="21"/>
          <w:highlight w:val="none"/>
        </w:rPr>
        <w:t>。</w:t>
      </w:r>
    </w:p>
    <w:p>
      <w:pPr>
        <w:numPr>
          <w:ilvl w:val="1"/>
          <w:numId w:val="4"/>
        </w:numPr>
        <w:autoSpaceDE w:val="0"/>
        <w:autoSpaceDN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“采购代理机构”系指广州市信怡招标代理有限公司。</w:t>
      </w:r>
    </w:p>
    <w:p>
      <w:pPr>
        <w:numPr>
          <w:ilvl w:val="1"/>
          <w:numId w:val="4"/>
        </w:numPr>
        <w:autoSpaceDE w:val="0"/>
        <w:autoSpaceDN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”系指向采购代理机构提交</w:t>
      </w:r>
      <w:r>
        <w:rPr>
          <w:rFonts w:hint="eastAsia" w:ascii="宋体" w:hAnsi="宋体" w:eastAsia="宋体" w:cs="Times New Roman"/>
          <w:color w:val="auto"/>
          <w:szCs w:val="21"/>
          <w:highlight w:val="none"/>
        </w:rPr>
        <w:t>遴选响应文件</w:t>
      </w:r>
      <w:r>
        <w:rPr>
          <w:rFonts w:hint="eastAsia" w:ascii="宋体" w:hAnsi="宋体" w:eastAsia="宋体" w:cs="宋体"/>
          <w:color w:val="auto"/>
          <w:szCs w:val="21"/>
          <w:highlight w:val="none"/>
        </w:rPr>
        <w:t>的自然人、法人或其他组织。</w:t>
      </w:r>
    </w:p>
    <w:p>
      <w:pPr>
        <w:numPr>
          <w:ilvl w:val="1"/>
          <w:numId w:val="4"/>
        </w:numPr>
        <w:autoSpaceDE w:val="0"/>
        <w:autoSpaceDN w:val="0"/>
        <w:adjustRightInd w:val="0"/>
        <w:snapToGrid w:val="0"/>
        <w:spacing w:line="360" w:lineRule="auto"/>
        <w:rPr>
          <w:rFonts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“甲方”系指采购人。</w:t>
      </w:r>
    </w:p>
    <w:p>
      <w:pPr>
        <w:numPr>
          <w:ilvl w:val="1"/>
          <w:numId w:val="4"/>
        </w:numPr>
        <w:autoSpaceDE w:val="0"/>
        <w:autoSpaceDN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“乙方”系指成交供应商。</w:t>
      </w:r>
    </w:p>
    <w:p>
      <w:pPr>
        <w:numPr>
          <w:ilvl w:val="1"/>
          <w:numId w:val="4"/>
        </w:numPr>
        <w:autoSpaceDE w:val="0"/>
        <w:autoSpaceDN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“日期”指公历日,“时间”指北京时间。</w:t>
      </w:r>
    </w:p>
    <w:p>
      <w:pPr>
        <w:numPr>
          <w:ilvl w:val="1"/>
          <w:numId w:val="4"/>
        </w:numPr>
        <w:autoSpaceDE w:val="0"/>
        <w:autoSpaceDN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“书面形式”系指纸质文件形式，不包含电子邮件、手机短信等非纸质形式。</w:t>
      </w:r>
    </w:p>
    <w:p>
      <w:pPr>
        <w:numPr>
          <w:ilvl w:val="1"/>
          <w:numId w:val="4"/>
        </w:numPr>
        <w:autoSpaceDE w:val="0"/>
        <w:autoSpaceDN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“成交供应商”系指</w:t>
      </w:r>
      <w:r>
        <w:rPr>
          <w:rFonts w:hint="eastAsia" w:ascii="宋体" w:hAnsi="宋体" w:eastAsia="宋体" w:cs="Times New Roman"/>
          <w:color w:val="auto"/>
          <w:szCs w:val="21"/>
          <w:highlight w:val="none"/>
        </w:rPr>
        <w:t>法定程序确定并授予合同的</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w:t>
      </w:r>
    </w:p>
    <w:p>
      <w:pPr>
        <w:numPr>
          <w:ilvl w:val="1"/>
          <w:numId w:val="4"/>
        </w:numPr>
        <w:autoSpaceDE w:val="0"/>
        <w:autoSpaceDN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“实质性响应”系指符合公开遴选文件的所有要求、条款、条件和规定，且没有不利于项目实施质量效果和服务保障的重大偏离或保留。</w:t>
      </w:r>
    </w:p>
    <w:p>
      <w:pPr>
        <w:numPr>
          <w:ilvl w:val="1"/>
          <w:numId w:val="4"/>
        </w:numPr>
        <w:autoSpaceDE w:val="0"/>
        <w:autoSpaceDN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“重大偏离或保留”系指影响到公开遴选文件规定的范围、质量和性能或限制了采购人的权力和</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义务的规定，而纠正这些偏离将影响到其它</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的公平竞争地位。</w:t>
      </w:r>
    </w:p>
    <w:p>
      <w:pPr>
        <w:numPr>
          <w:ilvl w:val="1"/>
          <w:numId w:val="4"/>
        </w:numPr>
        <w:autoSpaceDE w:val="0"/>
        <w:autoSpaceDN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公开遴选文件中的标题或题名仅起引导作用，而不应该作为对公开遴选文件内容的理解或解释。</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55" w:name="_Toc475104472"/>
      <w:bookmarkStart w:id="56" w:name="_Toc333236630"/>
      <w:bookmarkStart w:id="57" w:name="_Toc363737686"/>
      <w:bookmarkStart w:id="58" w:name="_Toc315793455"/>
      <w:bookmarkStart w:id="59" w:name="_Toc320515021"/>
      <w:bookmarkStart w:id="60" w:name="_Toc322680347"/>
      <w:bookmarkStart w:id="61" w:name="_Toc320515070"/>
      <w:bookmarkStart w:id="62" w:name="_Toc323110980"/>
      <w:r>
        <w:rPr>
          <w:rFonts w:hint="eastAsia" w:ascii="宋体" w:hAnsi="宋体" w:eastAsia="宋体" w:cs="Times New Roman"/>
          <w:b/>
          <w:bCs/>
          <w:color w:val="auto"/>
          <w:sz w:val="24"/>
          <w:szCs w:val="24"/>
          <w:highlight w:val="none"/>
        </w:rPr>
        <w:t>合格的服务和货物</w:t>
      </w:r>
      <w:bookmarkEnd w:id="55"/>
      <w:bookmarkEnd w:id="56"/>
      <w:bookmarkEnd w:id="57"/>
    </w:p>
    <w:p>
      <w:pPr>
        <w:numPr>
          <w:ilvl w:val="1"/>
          <w:numId w:val="4"/>
        </w:numPr>
        <w:autoSpaceDE w:val="0"/>
        <w:autoSpaceDN w:val="0"/>
        <w:adjustRightInd w:val="0"/>
        <w:snapToGrid w:val="0"/>
        <w:spacing w:line="360" w:lineRule="auto"/>
        <w:jc w:val="left"/>
        <w:rPr>
          <w:rFonts w:ascii="宋体" w:hAnsi="宋体" w:eastAsia="宋体" w:cs="黑体"/>
          <w:bCs/>
          <w:color w:val="auto"/>
          <w:szCs w:val="21"/>
          <w:highlight w:val="none"/>
        </w:rPr>
      </w:pPr>
      <w:r>
        <w:rPr>
          <w:rFonts w:hint="eastAsia" w:ascii="宋体" w:hAnsi="宋体" w:eastAsia="宋体" w:cs="Times New Roman"/>
          <w:color w:val="auto"/>
          <w:szCs w:val="21"/>
          <w:highlight w:val="none"/>
        </w:rPr>
        <w:t>“服务” 是指</w:t>
      </w:r>
      <w:r>
        <w:rPr>
          <w:rFonts w:hint="eastAsia" w:ascii="宋体" w:hAnsi="宋体" w:eastAsia="宋体" w:cs="Times New Roman"/>
          <w:color w:val="auto"/>
          <w:szCs w:val="24"/>
          <w:highlight w:val="none"/>
        </w:rPr>
        <w:t>供应商</w:t>
      </w:r>
      <w:r>
        <w:rPr>
          <w:rFonts w:hint="eastAsia" w:ascii="宋体" w:hAnsi="宋体" w:eastAsia="宋体" w:cs="Times New Roman"/>
          <w:color w:val="auto"/>
          <w:szCs w:val="21"/>
          <w:highlight w:val="none"/>
        </w:rPr>
        <w:t>按公开遴选文件规定完成的全部服务内容，其中包括完成服务所需的货物，及须承担的技术支持、培训和其它伴随服务。</w:t>
      </w:r>
    </w:p>
    <w:p>
      <w:pPr>
        <w:numPr>
          <w:ilvl w:val="1"/>
          <w:numId w:val="4"/>
        </w:numPr>
        <w:autoSpaceDE w:val="0"/>
        <w:autoSpaceDN w:val="0"/>
        <w:adjustRightInd w:val="0"/>
        <w:snapToGrid w:val="0"/>
        <w:spacing w:line="360" w:lineRule="auto"/>
        <w:jc w:val="left"/>
        <w:rPr>
          <w:rFonts w:ascii="宋体" w:hAnsi="宋体" w:eastAsia="宋体" w:cs="黑体"/>
          <w:bCs/>
          <w:color w:val="auto"/>
          <w:szCs w:val="21"/>
          <w:highlight w:val="none"/>
        </w:rPr>
      </w:pPr>
      <w:r>
        <w:rPr>
          <w:rFonts w:hint="eastAsia" w:ascii="宋体" w:hAnsi="宋体" w:eastAsia="宋体" w:cs="Times New Roman"/>
          <w:color w:val="auto"/>
          <w:szCs w:val="21"/>
          <w:highlight w:val="none"/>
        </w:rPr>
        <w:t>“货物”是指</w:t>
      </w:r>
      <w:r>
        <w:rPr>
          <w:rFonts w:hint="eastAsia" w:ascii="宋体" w:hAnsi="宋体" w:eastAsia="宋体" w:cs="Times New Roman"/>
          <w:color w:val="auto"/>
          <w:szCs w:val="24"/>
          <w:highlight w:val="none"/>
        </w:rPr>
        <w:t>供应商</w:t>
      </w:r>
      <w:r>
        <w:rPr>
          <w:rFonts w:hint="eastAsia" w:ascii="宋体" w:hAnsi="宋体" w:eastAsia="宋体" w:cs="Times New Roman"/>
          <w:color w:val="auto"/>
          <w:szCs w:val="21"/>
          <w:highlight w:val="none"/>
        </w:rPr>
        <w:t>制造或组织符合公开遴选文件要求的货物等。提供的货物必须是其合法生产、合法来源的符合国家有关标准要求的货物，并满足公开遴选文件规定的规格、参数、质量、价格、有效期、售后服务等要求。</w:t>
      </w:r>
    </w:p>
    <w:p>
      <w:pPr>
        <w:numPr>
          <w:ilvl w:val="1"/>
          <w:numId w:val="4"/>
        </w:numPr>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4"/>
          <w:highlight w:val="none"/>
        </w:rPr>
        <w:t>供应商</w:t>
      </w:r>
      <w:r>
        <w:rPr>
          <w:rFonts w:hint="eastAsia" w:ascii="宋体" w:hAnsi="宋体" w:eastAsia="宋体" w:cs="Times New Roman"/>
          <w:color w:val="auto"/>
          <w:szCs w:val="21"/>
          <w:highlight w:val="none"/>
        </w:rPr>
        <w:t>提供的所有服务，其质量、技术等特征必须符合国家、行业现行法律、法规的相关标准和《中华人民共和国政府采购法》的有关规定及用户需求。</w:t>
      </w:r>
    </w:p>
    <w:p>
      <w:pPr>
        <w:numPr>
          <w:ilvl w:val="1"/>
          <w:numId w:val="4"/>
        </w:numPr>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采购人有权拒绝接受任何不合格的服务，由此产生的费用及相关后果均由</w:t>
      </w:r>
      <w:r>
        <w:rPr>
          <w:rFonts w:hint="eastAsia" w:ascii="宋体" w:hAnsi="宋体" w:eastAsia="宋体" w:cs="Times New Roman"/>
          <w:color w:val="auto"/>
          <w:szCs w:val="24"/>
          <w:highlight w:val="none"/>
        </w:rPr>
        <w:t>供应商</w:t>
      </w:r>
      <w:r>
        <w:rPr>
          <w:rFonts w:hint="eastAsia" w:ascii="宋体" w:hAnsi="宋体" w:eastAsia="宋体" w:cs="Times New Roman"/>
          <w:color w:val="auto"/>
          <w:szCs w:val="21"/>
          <w:highlight w:val="none"/>
        </w:rPr>
        <w:t>自行承担。</w:t>
      </w:r>
    </w:p>
    <w:p>
      <w:pPr>
        <w:numPr>
          <w:ilvl w:val="1"/>
          <w:numId w:val="4"/>
        </w:numPr>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4"/>
          <w:highlight w:val="none"/>
        </w:rPr>
        <w:t>供应商</w:t>
      </w:r>
      <w:r>
        <w:rPr>
          <w:rFonts w:hint="eastAsia" w:ascii="宋体" w:hAnsi="宋体" w:eastAsia="宋体" w:cs="Times New Roman"/>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eastAsia="宋体" w:cs="Times New Roman"/>
          <w:color w:val="auto"/>
          <w:szCs w:val="24"/>
          <w:highlight w:val="none"/>
        </w:rPr>
        <w:t>供应商</w:t>
      </w:r>
      <w:r>
        <w:rPr>
          <w:rFonts w:hint="eastAsia" w:ascii="宋体" w:hAnsi="宋体" w:eastAsia="宋体" w:cs="Times New Roman"/>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eastAsia="宋体" w:cs="Times New Roman"/>
          <w:color w:val="auto"/>
          <w:szCs w:val="24"/>
          <w:highlight w:val="none"/>
        </w:rPr>
        <w:t>供应商</w:t>
      </w:r>
      <w:r>
        <w:rPr>
          <w:rFonts w:hint="eastAsia" w:ascii="宋体" w:hAnsi="宋体" w:eastAsia="宋体" w:cs="Times New Roman"/>
          <w:color w:val="auto"/>
          <w:szCs w:val="21"/>
          <w:highlight w:val="none"/>
        </w:rPr>
        <w:t>承担。</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63" w:name="_Toc363737687"/>
      <w:bookmarkStart w:id="64" w:name="_Toc475104473"/>
      <w:r>
        <w:rPr>
          <w:rFonts w:hint="eastAsia" w:ascii="宋体" w:hAnsi="宋体" w:eastAsia="宋体" w:cs="Times New Roman"/>
          <w:b/>
          <w:bCs/>
          <w:color w:val="auto"/>
          <w:sz w:val="24"/>
          <w:szCs w:val="24"/>
          <w:highlight w:val="none"/>
        </w:rPr>
        <w:t>遴选费用</w:t>
      </w:r>
      <w:bookmarkEnd w:id="58"/>
      <w:bookmarkEnd w:id="59"/>
      <w:bookmarkEnd w:id="60"/>
      <w:bookmarkEnd w:id="61"/>
      <w:bookmarkEnd w:id="62"/>
      <w:bookmarkEnd w:id="63"/>
      <w:bookmarkEnd w:id="64"/>
    </w:p>
    <w:p>
      <w:pPr>
        <w:numPr>
          <w:ilvl w:val="1"/>
          <w:numId w:val="4"/>
        </w:numPr>
        <w:autoSpaceDE w:val="0"/>
        <w:autoSpaceDN w:val="0"/>
        <w:adjustRightInd w:val="0"/>
        <w:snapToGrid w:val="0"/>
        <w:spacing w:line="360" w:lineRule="auto"/>
        <w:jc w:val="left"/>
        <w:rPr>
          <w:rFonts w:ascii="宋体" w:hAnsi="宋体" w:eastAsia="宋体" w:cs="Times New Roman"/>
          <w:b/>
          <w:bCs/>
          <w:color w:val="auto"/>
          <w:szCs w:val="21"/>
          <w:highlight w:val="none"/>
        </w:rPr>
      </w:pPr>
      <w:bookmarkStart w:id="65" w:name="_Toc323110981"/>
      <w:bookmarkStart w:id="66" w:name="_Toc320515022"/>
      <w:bookmarkStart w:id="67" w:name="_Toc320515071"/>
      <w:bookmarkStart w:id="68" w:name="_Toc322680348"/>
      <w:bookmarkStart w:id="69" w:name="_Toc315793456"/>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应承担所有与编写遴选响应文件和参加报价的所有费用，不论遴选的结果如何，采购代理机构和采购人在任何情况下均无义务和责任承担这些费用。</w:t>
      </w:r>
      <w:bookmarkEnd w:id="65"/>
      <w:bookmarkEnd w:id="66"/>
      <w:bookmarkEnd w:id="67"/>
      <w:bookmarkEnd w:id="68"/>
    </w:p>
    <w:bookmarkEnd w:id="69"/>
    <w:p>
      <w:pPr>
        <w:numPr>
          <w:ilvl w:val="0"/>
          <w:numId w:val="3"/>
        </w:numPr>
        <w:autoSpaceDE w:val="0"/>
        <w:autoSpaceDN w:val="0"/>
        <w:adjustRightInd w:val="0"/>
        <w:snapToGrid w:val="0"/>
        <w:spacing w:before="240" w:beforeLines="100" w:after="240" w:afterLines="100" w:line="360" w:lineRule="auto"/>
        <w:ind w:left="601" w:hanging="601"/>
        <w:jc w:val="center"/>
        <w:outlineLvl w:val="0"/>
        <w:rPr>
          <w:rFonts w:ascii="宋体" w:hAnsi="宋体" w:eastAsia="宋体" w:cs="Times New Roman"/>
          <w:b/>
          <w:color w:val="auto"/>
          <w:sz w:val="28"/>
          <w:szCs w:val="28"/>
          <w:highlight w:val="none"/>
          <w:lang w:eastAsia="zh-TW"/>
        </w:rPr>
      </w:pPr>
      <w:r>
        <w:rPr>
          <w:rFonts w:hint="eastAsia" w:ascii="宋体" w:hAnsi="宋体" w:eastAsia="宋体" w:cs="Times New Roman"/>
          <w:b/>
          <w:color w:val="auto"/>
          <w:sz w:val="28"/>
          <w:szCs w:val="28"/>
          <w:highlight w:val="none"/>
        </w:rPr>
        <w:t>公开遴选文件</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70" w:name="_Toc475104475"/>
      <w:bookmarkStart w:id="71" w:name="_Toc320515073"/>
      <w:bookmarkStart w:id="72" w:name="_Toc363737689"/>
      <w:bookmarkStart w:id="73" w:name="_Toc315793458"/>
      <w:bookmarkStart w:id="74" w:name="_Toc322680350"/>
      <w:bookmarkStart w:id="75" w:name="_Toc320515024"/>
      <w:bookmarkStart w:id="76" w:name="_Toc323110983"/>
      <w:r>
        <w:rPr>
          <w:rFonts w:hint="eastAsia" w:ascii="宋体" w:hAnsi="宋体" w:eastAsia="宋体" w:cs="Times New Roman"/>
          <w:b/>
          <w:bCs/>
          <w:color w:val="auto"/>
          <w:sz w:val="24"/>
          <w:szCs w:val="24"/>
          <w:highlight w:val="none"/>
        </w:rPr>
        <w:t>公开遴选文件的编制依据与构成</w:t>
      </w:r>
      <w:bookmarkEnd w:id="70"/>
      <w:bookmarkEnd w:id="71"/>
      <w:bookmarkEnd w:id="72"/>
      <w:bookmarkEnd w:id="73"/>
      <w:bookmarkEnd w:id="74"/>
      <w:bookmarkEnd w:id="75"/>
      <w:bookmarkEnd w:id="76"/>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本公开遴选文件的编制依据是相关规定。</w:t>
      </w:r>
    </w:p>
    <w:p>
      <w:pPr>
        <w:numPr>
          <w:ilvl w:val="1"/>
          <w:numId w:val="4"/>
        </w:numPr>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要求提供的货物或服务、采购过程和合同条件在公开遴选文件中均有说明。公开遴选文件以中文文字编写。</w:t>
      </w:r>
    </w:p>
    <w:p>
      <w:pPr>
        <w:numPr>
          <w:ilvl w:val="1"/>
          <w:numId w:val="4"/>
        </w:numPr>
        <w:spacing w:line="360" w:lineRule="auto"/>
        <w:outlineLvl w:val="3"/>
        <w:rPr>
          <w:rFonts w:ascii="宋体" w:hAnsi="宋体" w:eastAsia="宋体" w:cs="宋体"/>
          <w:color w:val="auto"/>
          <w:szCs w:val="21"/>
          <w:highlight w:val="none"/>
          <w:lang w:eastAsia="zh-TW"/>
        </w:rPr>
      </w:pPr>
      <w:r>
        <w:rPr>
          <w:rFonts w:hint="eastAsia" w:ascii="宋体" w:hAnsi="宋体" w:eastAsia="宋体" w:cs="宋体"/>
          <w:color w:val="auto"/>
          <w:szCs w:val="21"/>
          <w:highlight w:val="none"/>
        </w:rPr>
        <w:t>公开遴选文件</w:t>
      </w:r>
      <w:r>
        <w:rPr>
          <w:rFonts w:hint="eastAsia" w:ascii="宋体" w:hAnsi="宋体" w:eastAsia="宋体" w:cs="宋体"/>
          <w:color w:val="auto"/>
          <w:szCs w:val="21"/>
          <w:highlight w:val="none"/>
          <w:lang w:eastAsia="zh-TW"/>
        </w:rPr>
        <w:t>的组成</w:t>
      </w:r>
    </w:p>
    <w:p>
      <w:pPr>
        <w:spacing w:line="360" w:lineRule="auto"/>
        <w:ind w:firstLine="24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公开遴选邀请</w:t>
      </w:r>
    </w:p>
    <w:p>
      <w:pPr>
        <w:spacing w:line="360" w:lineRule="auto"/>
        <w:ind w:firstLine="24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公开遴选须知</w:t>
      </w:r>
    </w:p>
    <w:p>
      <w:pPr>
        <w:spacing w:line="360" w:lineRule="auto"/>
        <w:ind w:firstLine="24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采购人需求书</w:t>
      </w:r>
    </w:p>
    <w:p>
      <w:pPr>
        <w:spacing w:line="360" w:lineRule="auto"/>
        <w:ind w:firstLine="24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政府采购合同（样本）</w:t>
      </w:r>
    </w:p>
    <w:p>
      <w:pPr>
        <w:spacing w:line="360" w:lineRule="auto"/>
        <w:ind w:firstLine="24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（5）附件（格式）</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应认真阅读、并充分理解公开遴选文件的全部内容（包括所有的补充、修改内容、重要事项、格式、条款和技术规范、参数及要求等）。</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没有按照公开遴选文件要求提交全部资料，或者遴选响应文件没有对公开遴选文件在各方面都作出实质性响应是</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的风险，有可能导致其报价被拒绝，或被认定为无效响应。</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77" w:name="_Toc323110984"/>
      <w:bookmarkStart w:id="78" w:name="_Toc320515074"/>
      <w:bookmarkStart w:id="79" w:name="_Toc322680351"/>
      <w:bookmarkStart w:id="80" w:name="_Toc315793459"/>
      <w:bookmarkStart w:id="81" w:name="_Toc363737690"/>
      <w:bookmarkStart w:id="82" w:name="_Toc320515025"/>
      <w:bookmarkStart w:id="83" w:name="_Toc475104476"/>
      <w:r>
        <w:rPr>
          <w:rFonts w:hint="eastAsia" w:ascii="宋体" w:hAnsi="宋体" w:eastAsia="宋体" w:cs="Times New Roman"/>
          <w:b/>
          <w:bCs/>
          <w:color w:val="auto"/>
          <w:sz w:val="24"/>
          <w:szCs w:val="24"/>
          <w:highlight w:val="none"/>
        </w:rPr>
        <w:t>公开遴选文件的澄清</w:t>
      </w:r>
      <w:bookmarkEnd w:id="77"/>
      <w:bookmarkEnd w:id="78"/>
      <w:bookmarkEnd w:id="79"/>
      <w:bookmarkEnd w:id="80"/>
      <w:bookmarkEnd w:id="81"/>
      <w:bookmarkEnd w:id="82"/>
      <w:bookmarkEnd w:id="83"/>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r>
        <w:rPr>
          <w:rFonts w:hint="eastAsia" w:ascii="宋体" w:hAnsi="宋体" w:eastAsia="宋体" w:cs="宋体"/>
          <w:color w:val="auto"/>
          <w:szCs w:val="21"/>
          <w:highlight w:val="none"/>
        </w:rPr>
        <w:t>任何要求对公开遴选文件进行澄清的</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，均应以书面形式在遴选响应文件递交截止时间前通知采购代理机构。采购代理机构将组织采购人对</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所要求澄清的内容均以书面形式予以答复。必要时，采购代理机构将组织相关专家召开答疑会，并将会议内容以书面形式发给每个购买公开遴选文件的潜在</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，答复中不包括问题的来源。</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在规定的时间内未对公开遴选文件提出澄清或疑问的，采购代理机构将视其为无异议。对公开遴选文件中描述有歧意或前后不一致的地方，评审小组有权进行评判，但对同一条款的评判应适用于每个</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除非需要，不举行项目集中答疑会或现场考察，如举行集中答疑会或现场考察的，则按以下规定：</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黑体"/>
          <w:color w:val="auto"/>
          <w:szCs w:val="21"/>
          <w:highlight w:val="none"/>
        </w:rPr>
        <w:t>公开遴选邀请</w:t>
      </w:r>
      <w:r>
        <w:rPr>
          <w:rFonts w:hint="eastAsia" w:ascii="宋体" w:hAnsi="宋体" w:eastAsia="宋体" w:cs="宋体"/>
          <w:color w:val="auto"/>
          <w:szCs w:val="21"/>
          <w:highlight w:val="none"/>
        </w:rPr>
        <w:t>中规定的日期、时间和地点组织公开答疑会或现场考察；</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授权代表于上述的时间和地点出席答疑会或现场考察。</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已购买公开遴选文件的</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如不出席答疑会或现场考察视为对公开遴选文件所有内容无任何异议。</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84" w:name="_Toc320515075"/>
      <w:bookmarkStart w:id="85" w:name="_Toc320515026"/>
      <w:bookmarkStart w:id="86" w:name="_Toc315793460"/>
      <w:bookmarkStart w:id="87" w:name="_Toc475104477"/>
      <w:bookmarkStart w:id="88" w:name="_Toc363737691"/>
      <w:bookmarkStart w:id="89" w:name="_Toc323110985"/>
      <w:bookmarkStart w:id="90" w:name="_Toc322680352"/>
      <w:r>
        <w:rPr>
          <w:rFonts w:hint="eastAsia" w:ascii="宋体" w:hAnsi="宋体" w:eastAsia="宋体" w:cs="Times New Roman"/>
          <w:b/>
          <w:bCs/>
          <w:color w:val="auto"/>
          <w:sz w:val="24"/>
          <w:szCs w:val="24"/>
          <w:highlight w:val="none"/>
        </w:rPr>
        <w:t>公开遴选文件的修改</w:t>
      </w:r>
      <w:bookmarkEnd w:id="84"/>
      <w:bookmarkEnd w:id="85"/>
      <w:bookmarkEnd w:id="86"/>
      <w:bookmarkEnd w:id="87"/>
      <w:bookmarkEnd w:id="88"/>
      <w:bookmarkEnd w:id="89"/>
      <w:bookmarkEnd w:id="90"/>
    </w:p>
    <w:p>
      <w:pPr>
        <w:numPr>
          <w:ilvl w:val="1"/>
          <w:numId w:val="4"/>
        </w:numPr>
        <w:autoSpaceDE w:val="0"/>
        <w:autoSpaceDN w:val="0"/>
        <w:adjustRightInd w:val="0"/>
        <w:snapToGrid w:val="0"/>
        <w:spacing w:line="360" w:lineRule="auto"/>
        <w:jc w:val="left"/>
        <w:rPr>
          <w:rFonts w:ascii="宋体" w:hAnsi="宋体" w:eastAsia="宋体" w:cs="Times New Roman"/>
          <w:bCs/>
          <w:color w:val="auto"/>
          <w:szCs w:val="21"/>
          <w:highlight w:val="none"/>
        </w:rPr>
      </w:pPr>
      <w:r>
        <w:rPr>
          <w:rFonts w:hint="eastAsia" w:ascii="宋体" w:hAnsi="宋体" w:eastAsia="宋体" w:cs="宋体"/>
          <w:color w:val="auto"/>
          <w:szCs w:val="21"/>
          <w:highlight w:val="none"/>
        </w:rPr>
        <w:t>无论出于何种原因，采购代理机构可主动地或在解答</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提出的疑问时对公开遴选文件进行修改，政府采购代理机构对已发出的公开遴选文件进行必要修改的，应当</w:t>
      </w:r>
      <w:r>
        <w:rPr>
          <w:rFonts w:hint="eastAsia" w:ascii="宋体" w:hAnsi="宋体" w:eastAsia="宋体" w:cs="Times New Roman"/>
          <w:color w:val="auto"/>
          <w:szCs w:val="21"/>
          <w:highlight w:val="none"/>
        </w:rPr>
        <w:t>于</w:t>
      </w:r>
      <w:r>
        <w:rPr>
          <w:rFonts w:hint="eastAsia" w:ascii="宋体" w:hAnsi="宋体" w:eastAsia="宋体" w:cs="宋体"/>
          <w:color w:val="auto"/>
          <w:szCs w:val="21"/>
          <w:highlight w:val="none"/>
        </w:rPr>
        <w:t>遴选响应文件递交</w:t>
      </w:r>
      <w:r>
        <w:rPr>
          <w:rFonts w:hint="eastAsia" w:ascii="宋体" w:hAnsi="宋体" w:eastAsia="宋体" w:cs="Times New Roman"/>
          <w:color w:val="auto"/>
          <w:szCs w:val="21"/>
          <w:highlight w:val="none"/>
        </w:rPr>
        <w:t>截止</w:t>
      </w:r>
      <w:r>
        <w:rPr>
          <w:rFonts w:hint="eastAsia" w:ascii="宋体" w:hAnsi="宋体" w:eastAsia="宋体" w:cs="宋体"/>
          <w:color w:val="auto"/>
          <w:szCs w:val="21"/>
          <w:highlight w:val="none"/>
        </w:rPr>
        <w:t>时间</w:t>
      </w:r>
      <w:r>
        <w:rPr>
          <w:rFonts w:hint="eastAsia" w:ascii="宋体" w:hAnsi="宋体" w:eastAsia="宋体" w:cs="Times New Roman"/>
          <w:color w:val="auto"/>
          <w:szCs w:val="21"/>
          <w:highlight w:val="none"/>
        </w:rPr>
        <w:t>前</w:t>
      </w:r>
      <w:r>
        <w:rPr>
          <w:rFonts w:hint="eastAsia" w:ascii="宋体" w:hAnsi="宋体" w:eastAsia="宋体" w:cs="Times New Roman"/>
          <w:bCs/>
          <w:color w:val="auto"/>
          <w:szCs w:val="21"/>
          <w:highlight w:val="none"/>
        </w:rPr>
        <w:t>在政府采购指定媒体上发布公告</w:t>
      </w:r>
      <w:r>
        <w:rPr>
          <w:rFonts w:ascii="宋体" w:hAnsi="宋体" w:eastAsia="宋体" w:cs="Times New Roman"/>
          <w:color w:val="auto"/>
          <w:szCs w:val="21"/>
          <w:highlight w:val="none"/>
        </w:rPr>
        <w:t>通知所有</w:t>
      </w:r>
      <w:r>
        <w:rPr>
          <w:rFonts w:hint="eastAsia" w:ascii="宋体" w:hAnsi="宋体" w:eastAsia="宋体" w:cs="Times New Roman"/>
          <w:color w:val="auto"/>
          <w:szCs w:val="21"/>
          <w:highlight w:val="none"/>
        </w:rPr>
        <w:t>已获取公开遴选文件的</w:t>
      </w:r>
      <w:r>
        <w:rPr>
          <w:rFonts w:hint="eastAsia" w:ascii="宋体" w:hAnsi="宋体" w:eastAsia="宋体" w:cs="Times New Roman"/>
          <w:color w:val="auto"/>
          <w:szCs w:val="24"/>
          <w:highlight w:val="none"/>
        </w:rPr>
        <w:t>供应商</w:t>
      </w:r>
      <w:r>
        <w:rPr>
          <w:rFonts w:hint="eastAsia" w:ascii="宋体" w:hAnsi="宋体" w:eastAsia="宋体" w:cs="Times New Roman"/>
          <w:bCs/>
          <w:color w:val="auto"/>
          <w:szCs w:val="21"/>
          <w:highlight w:val="none"/>
        </w:rPr>
        <w:t>，</w:t>
      </w:r>
      <w:r>
        <w:rPr>
          <w:rFonts w:hint="eastAsia" w:ascii="宋体" w:hAnsi="宋体" w:eastAsia="宋体" w:cs="Times New Roman"/>
          <w:color w:val="auto"/>
          <w:szCs w:val="24"/>
          <w:highlight w:val="none"/>
        </w:rPr>
        <w:t>供应商</w:t>
      </w:r>
      <w:r>
        <w:rPr>
          <w:rFonts w:hint="eastAsia" w:ascii="宋体" w:hAnsi="宋体" w:eastAsia="宋体" w:cs="Times New Roman"/>
          <w:color w:val="auto"/>
          <w:szCs w:val="21"/>
          <w:highlight w:val="none"/>
        </w:rPr>
        <w:t>在收到</w:t>
      </w:r>
      <w:r>
        <w:rPr>
          <w:rFonts w:hint="eastAsia" w:ascii="宋体" w:hAnsi="宋体" w:eastAsia="宋体" w:cs="Times New Roman"/>
          <w:bCs/>
          <w:color w:val="auto"/>
          <w:szCs w:val="21"/>
          <w:highlight w:val="none"/>
        </w:rPr>
        <w:t>补充</w:t>
      </w:r>
      <w:r>
        <w:rPr>
          <w:rFonts w:ascii="宋体" w:hAnsi="宋体" w:eastAsia="宋体" w:cs="Times New Roman"/>
          <w:color w:val="auto"/>
          <w:szCs w:val="21"/>
          <w:highlight w:val="none"/>
        </w:rPr>
        <w:t>或修改</w:t>
      </w:r>
      <w:r>
        <w:rPr>
          <w:rFonts w:hint="eastAsia" w:ascii="宋体" w:hAnsi="宋体" w:eastAsia="宋体" w:cs="Times New Roman"/>
          <w:color w:val="auto"/>
          <w:szCs w:val="21"/>
          <w:highlight w:val="none"/>
        </w:rPr>
        <w:t>通知后应立即以书面形式予以确认，</w:t>
      </w:r>
      <w:r>
        <w:rPr>
          <w:rFonts w:ascii="宋体" w:hAnsi="宋体" w:eastAsia="宋体" w:cs="Times New Roman"/>
          <w:color w:val="auto"/>
          <w:szCs w:val="21"/>
          <w:highlight w:val="none"/>
        </w:rPr>
        <w:t>该</w:t>
      </w:r>
      <w:r>
        <w:rPr>
          <w:rFonts w:hint="eastAsia" w:ascii="宋体" w:hAnsi="宋体" w:eastAsia="宋体" w:cs="Times New Roman"/>
          <w:bCs/>
          <w:color w:val="auto"/>
          <w:szCs w:val="21"/>
          <w:highlight w:val="none"/>
        </w:rPr>
        <w:t>补充</w:t>
      </w:r>
      <w:r>
        <w:rPr>
          <w:rFonts w:ascii="宋体" w:hAnsi="宋体" w:eastAsia="宋体" w:cs="Times New Roman"/>
          <w:color w:val="auto"/>
          <w:szCs w:val="21"/>
          <w:highlight w:val="none"/>
        </w:rPr>
        <w:t>或修改的内容为</w:t>
      </w:r>
      <w:r>
        <w:rPr>
          <w:rFonts w:hint="eastAsia" w:ascii="宋体" w:hAnsi="宋体" w:eastAsia="宋体" w:cs="Times New Roman"/>
          <w:color w:val="auto"/>
          <w:szCs w:val="21"/>
          <w:highlight w:val="none"/>
        </w:rPr>
        <w:t>公开遴选文件</w:t>
      </w:r>
      <w:r>
        <w:rPr>
          <w:rFonts w:ascii="宋体" w:hAnsi="宋体" w:eastAsia="宋体" w:cs="Times New Roman"/>
          <w:color w:val="auto"/>
          <w:szCs w:val="21"/>
          <w:highlight w:val="none"/>
        </w:rPr>
        <w:t>的组成部分</w:t>
      </w:r>
      <w:r>
        <w:rPr>
          <w:rFonts w:hint="eastAsia" w:ascii="宋体" w:hAnsi="宋体" w:eastAsia="宋体" w:cs="Times New Roman"/>
          <w:color w:val="auto"/>
          <w:szCs w:val="21"/>
          <w:highlight w:val="none"/>
        </w:rPr>
        <w:t>。</w:t>
      </w:r>
    </w:p>
    <w:p>
      <w:pPr>
        <w:numPr>
          <w:ilvl w:val="1"/>
          <w:numId w:val="4"/>
        </w:numPr>
        <w:autoSpaceDE w:val="0"/>
        <w:autoSpaceDN w:val="0"/>
        <w:adjustRightInd w:val="0"/>
        <w:snapToGrid w:val="0"/>
        <w:spacing w:line="360" w:lineRule="auto"/>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根据采购项目的具体情况，采购代理机构可延长遴选响应文件递交截止时间和遴选时间，但至少应当在规定的遴选响应文件递交截止时间至少两日前，将变更时间在媒体上发布公告，并通知所有报名的</w:t>
      </w:r>
      <w:r>
        <w:rPr>
          <w:rFonts w:hint="eastAsia" w:ascii="宋体" w:hAnsi="宋体" w:eastAsia="宋体" w:cs="Times New Roman"/>
          <w:color w:val="auto"/>
          <w:szCs w:val="24"/>
          <w:highlight w:val="none"/>
        </w:rPr>
        <w:t>供应商</w:t>
      </w:r>
      <w:r>
        <w:rPr>
          <w:rFonts w:hint="eastAsia" w:ascii="宋体" w:hAnsi="宋体" w:eastAsia="宋体" w:cs="Times New Roman"/>
          <w:bCs/>
          <w:color w:val="auto"/>
          <w:szCs w:val="21"/>
          <w:highlight w:val="none"/>
        </w:rPr>
        <w:t>。</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公开遴选文件的修改内容是公开遴选文件的组成部分，将以书面形式通知所有购买公开遴选文件的潜在</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，并对潜在</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具有约束力。潜在</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eastAsia="宋体" w:cs="宋体"/>
          <w:color w:val="auto"/>
          <w:szCs w:val="21"/>
          <w:highlight w:val="none"/>
        </w:rPr>
      </w:pPr>
    </w:p>
    <w:p>
      <w:pPr>
        <w:numPr>
          <w:ilvl w:val="0"/>
          <w:numId w:val="3"/>
        </w:numPr>
        <w:autoSpaceDE w:val="0"/>
        <w:autoSpaceDN w:val="0"/>
        <w:adjustRightInd w:val="0"/>
        <w:snapToGrid w:val="0"/>
        <w:spacing w:before="240" w:beforeLines="100" w:after="240" w:afterLines="100" w:line="360" w:lineRule="auto"/>
        <w:ind w:left="601" w:hanging="601"/>
        <w:jc w:val="center"/>
        <w:outlineLvl w:val="0"/>
        <w:rPr>
          <w:rFonts w:ascii="宋体" w:hAnsi="宋体" w:eastAsia="宋体" w:cs="Times New Roman"/>
          <w:b/>
          <w:color w:val="auto"/>
          <w:sz w:val="28"/>
          <w:szCs w:val="28"/>
          <w:highlight w:val="none"/>
          <w:lang w:eastAsia="zh-TW"/>
        </w:rPr>
      </w:pPr>
      <w:bookmarkStart w:id="91" w:name="_Toc475104478"/>
      <w:bookmarkStart w:id="92" w:name="_Toc363737692"/>
      <w:bookmarkStart w:id="93" w:name="_Toc323110986"/>
      <w:bookmarkStart w:id="94" w:name="_Toc315793461"/>
      <w:bookmarkStart w:id="95" w:name="_Toc320515027"/>
      <w:bookmarkStart w:id="96" w:name="_Toc320515076"/>
      <w:bookmarkStart w:id="97" w:name="_Toc322680353"/>
      <w:r>
        <w:rPr>
          <w:rFonts w:hint="eastAsia" w:ascii="宋体" w:hAnsi="宋体" w:eastAsia="宋体" w:cs="Times New Roman"/>
          <w:b/>
          <w:color w:val="auto"/>
          <w:sz w:val="28"/>
          <w:szCs w:val="28"/>
          <w:highlight w:val="none"/>
        </w:rPr>
        <w:t>遴选响应文件</w:t>
      </w:r>
      <w:r>
        <w:rPr>
          <w:rFonts w:hint="eastAsia" w:ascii="宋体" w:hAnsi="宋体" w:eastAsia="宋体" w:cs="Times New Roman"/>
          <w:b/>
          <w:color w:val="auto"/>
          <w:sz w:val="28"/>
          <w:szCs w:val="28"/>
          <w:highlight w:val="none"/>
          <w:lang w:eastAsia="zh-TW"/>
        </w:rPr>
        <w:t>的编制</w:t>
      </w:r>
      <w:bookmarkEnd w:id="91"/>
      <w:bookmarkEnd w:id="92"/>
      <w:bookmarkEnd w:id="93"/>
      <w:bookmarkEnd w:id="94"/>
      <w:bookmarkEnd w:id="95"/>
      <w:bookmarkEnd w:id="96"/>
      <w:bookmarkEnd w:id="97"/>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98" w:name="_Toc320515077"/>
      <w:bookmarkStart w:id="99" w:name="_Toc323110987"/>
      <w:bookmarkStart w:id="100" w:name="_Toc315793462"/>
      <w:bookmarkStart w:id="101" w:name="_Toc320515028"/>
      <w:bookmarkStart w:id="102" w:name="_Toc363737693"/>
      <w:bookmarkStart w:id="103" w:name="_Toc475104479"/>
      <w:bookmarkStart w:id="104" w:name="_Toc322680354"/>
      <w:r>
        <w:rPr>
          <w:rFonts w:hint="eastAsia" w:ascii="宋体" w:hAnsi="宋体" w:eastAsia="宋体" w:cs="Times New Roman"/>
          <w:b/>
          <w:bCs/>
          <w:color w:val="auto"/>
          <w:sz w:val="24"/>
          <w:szCs w:val="24"/>
          <w:highlight w:val="none"/>
        </w:rPr>
        <w:t>响应的语言</w:t>
      </w:r>
      <w:bookmarkEnd w:id="98"/>
      <w:bookmarkEnd w:id="99"/>
      <w:bookmarkEnd w:id="100"/>
      <w:bookmarkEnd w:id="101"/>
      <w:bookmarkEnd w:id="102"/>
      <w:bookmarkEnd w:id="103"/>
      <w:bookmarkEnd w:id="104"/>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提交的遴选响应文件以及</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与采购代理机构就有关遴选响应的所有来往函电均应使用中文书写。</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提交的支持资料和己印刷的文献可以用另一种语言，但相应内容应附有中文翻译本，在解释遴选响应文件的修改内容时以中文翻译本为准。对中文翻译有异议的，以权威机构的译本为准。</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05" w:name="_Toc320515078"/>
      <w:bookmarkStart w:id="106" w:name="_Toc323110988"/>
      <w:bookmarkStart w:id="107" w:name="_Toc475104480"/>
      <w:bookmarkStart w:id="108" w:name="_Toc322680355"/>
      <w:bookmarkStart w:id="109" w:name="_Toc363737694"/>
      <w:bookmarkStart w:id="110" w:name="_Toc320515029"/>
      <w:bookmarkStart w:id="111" w:name="_Toc315793463"/>
      <w:r>
        <w:rPr>
          <w:rFonts w:hint="eastAsia" w:ascii="宋体" w:hAnsi="宋体" w:eastAsia="宋体" w:cs="Times New Roman"/>
          <w:b/>
          <w:bCs/>
          <w:color w:val="auto"/>
          <w:sz w:val="24"/>
          <w:szCs w:val="24"/>
          <w:highlight w:val="none"/>
        </w:rPr>
        <w:t>遴选响应文件的构成</w:t>
      </w:r>
      <w:bookmarkEnd w:id="105"/>
      <w:bookmarkEnd w:id="106"/>
      <w:bookmarkEnd w:id="107"/>
      <w:bookmarkEnd w:id="108"/>
      <w:bookmarkEnd w:id="109"/>
      <w:bookmarkEnd w:id="110"/>
      <w:bookmarkEnd w:id="111"/>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编写的遴选响应文件应编排为三部分：①商务响应文件（包括</w:t>
      </w:r>
      <w:r>
        <w:rPr>
          <w:rFonts w:hint="eastAsia" w:ascii="宋体" w:hAnsi="宋体" w:eastAsia="宋体" w:cs="宋体"/>
          <w:color w:val="auto"/>
          <w:kern w:val="0"/>
          <w:szCs w:val="21"/>
          <w:highlight w:val="none"/>
        </w:rPr>
        <w:t>公开遴选函</w:t>
      </w:r>
      <w:r>
        <w:rPr>
          <w:rFonts w:hint="eastAsia" w:ascii="宋体" w:hAnsi="宋体" w:eastAsia="宋体" w:cs="宋体"/>
          <w:color w:val="auto"/>
          <w:szCs w:val="21"/>
          <w:highlight w:val="none"/>
        </w:rPr>
        <w:t>）；②技术响应文件；③报价信封，遴选响应文件应包含但不限于以下内容：</w:t>
      </w:r>
    </w:p>
    <w:p>
      <w:pPr>
        <w:autoSpaceDE w:val="0"/>
        <w:autoSpaceDN w:val="0"/>
        <w:adjustRightInd w:val="0"/>
        <w:snapToGrid w:val="0"/>
        <w:spacing w:line="360" w:lineRule="auto"/>
        <w:ind w:firstLine="525" w:firstLineChars="250"/>
        <w:jc w:val="left"/>
        <w:rPr>
          <w:rFonts w:ascii="宋体" w:hAnsi="宋体" w:eastAsia="宋体" w:cs="宋体"/>
          <w:color w:val="auto"/>
          <w:szCs w:val="21"/>
          <w:highlight w:val="none"/>
        </w:rPr>
      </w:pPr>
      <w:r>
        <w:rPr>
          <w:rFonts w:hint="eastAsia" w:ascii="宋体" w:hAnsi="宋体" w:eastAsia="宋体" w:cs="宋体"/>
          <w:color w:val="auto"/>
          <w:szCs w:val="21"/>
          <w:highlight w:val="none"/>
        </w:rPr>
        <w:t>①按规定填写的公开遴选函、资格声明函、同意公开遴选文件条款说明；</w:t>
      </w:r>
    </w:p>
    <w:p>
      <w:pPr>
        <w:autoSpaceDE w:val="0"/>
        <w:autoSpaceDN w:val="0"/>
        <w:adjustRightInd w:val="0"/>
        <w:snapToGrid w:val="0"/>
        <w:spacing w:line="360" w:lineRule="auto"/>
        <w:ind w:firstLine="525" w:firstLineChars="250"/>
        <w:jc w:val="left"/>
        <w:rPr>
          <w:rFonts w:ascii="宋体" w:hAnsi="宋体" w:eastAsia="宋体" w:cs="宋体"/>
          <w:color w:val="auto"/>
          <w:szCs w:val="21"/>
          <w:highlight w:val="none"/>
        </w:rPr>
      </w:pPr>
      <w:r>
        <w:rPr>
          <w:rFonts w:hint="eastAsia" w:ascii="宋体" w:hAnsi="宋体" w:eastAsia="宋体" w:cs="宋体"/>
          <w:color w:val="auto"/>
          <w:szCs w:val="21"/>
          <w:highlight w:val="none"/>
        </w:rPr>
        <w:t>②按要求出具的资格证明文件，证明</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③按规定出具的证明文件，证明</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提供的服务及货物是合格的，而且符合公开遴选文件的规定；</w:t>
      </w:r>
    </w:p>
    <w:p>
      <w:pPr>
        <w:autoSpaceDE w:val="0"/>
        <w:autoSpaceDN w:val="0"/>
        <w:adjustRightInd w:val="0"/>
        <w:snapToGri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④对公开遴选文件第三章作出的书面响应，包括但不限于服务及商务要求等；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eastAsia="宋体" w:cs="宋体"/>
          <w:color w:val="auto"/>
          <w:szCs w:val="21"/>
          <w:highlight w:val="none"/>
        </w:rPr>
      </w:pPr>
      <w:r>
        <w:rPr>
          <w:rFonts w:hint="eastAsia" w:ascii="宋体" w:hAnsi="宋体" w:eastAsia="宋体" w:cs="宋体"/>
          <w:color w:val="auto"/>
          <w:szCs w:val="21"/>
          <w:highlight w:val="none"/>
        </w:rPr>
        <w:t>⑤</w:t>
      </w:r>
      <w:r>
        <w:rPr>
          <w:rFonts w:hint="eastAsia" w:ascii="宋体" w:hAnsi="宋体" w:eastAsia="宋体" w:cs="Times New Roman"/>
          <w:color w:val="auto"/>
          <w:szCs w:val="24"/>
          <w:highlight w:val="none"/>
        </w:rPr>
        <w:t>供应商</w:t>
      </w:r>
      <w:r>
        <w:rPr>
          <w:rFonts w:hint="eastAsia" w:ascii="宋体" w:hAnsi="宋体" w:eastAsia="宋体" w:cs="宋体"/>
          <w:color w:val="auto"/>
          <w:szCs w:val="21"/>
          <w:highlight w:val="none"/>
        </w:rPr>
        <w:t>认为须提交与评审内容相关的其他资料。</w:t>
      </w:r>
    </w:p>
    <w:p>
      <w:pPr>
        <w:numPr>
          <w:ilvl w:val="1"/>
          <w:numId w:val="4"/>
        </w:numPr>
        <w:tabs>
          <w:tab w:val="left" w:pos="360"/>
          <w:tab w:val="left" w:pos="709"/>
        </w:tabs>
        <w:adjustRightInd w:val="0"/>
        <w:spacing w:line="360" w:lineRule="auto"/>
        <w:textAlignment w:val="baseline"/>
        <w:rPr>
          <w:rFonts w:ascii="宋体" w:hAnsi="宋体" w:eastAsia="宋体" w:cs="宋体"/>
          <w:color w:val="auto"/>
          <w:szCs w:val="21"/>
          <w:highlight w:val="none"/>
        </w:rPr>
      </w:pPr>
      <w:bookmarkStart w:id="112" w:name="_Toc475104481"/>
      <w:r>
        <w:rPr>
          <w:rFonts w:hint="eastAsia" w:ascii="宋体" w:hAnsi="宋体" w:eastAsia="宋体" w:cs="宋体"/>
          <w:color w:val="auto"/>
          <w:szCs w:val="21"/>
          <w:highlight w:val="none"/>
        </w:rPr>
        <w:t>商务部分文件是指供应商提交的证明供应商的资格合格，且获得成交资格后有能力履行合同的文件。服务部分文件是指证明供应商提供的服务和货物是合格的，而且符合本公开遴选文件规定的文件。</w:t>
      </w:r>
      <w:bookmarkEnd w:id="112"/>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遴选响应文件的构成应符合法律法规及公开遴选文件的要求。</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13" w:name="_Toc363737695"/>
      <w:bookmarkStart w:id="114" w:name="_Toc320515030"/>
      <w:bookmarkStart w:id="115" w:name="_Toc322680356"/>
      <w:bookmarkStart w:id="116" w:name="_Toc320515079"/>
      <w:bookmarkStart w:id="117" w:name="_Toc475104482"/>
      <w:bookmarkStart w:id="118" w:name="_Toc315793464"/>
      <w:bookmarkStart w:id="119" w:name="_Toc323110989"/>
      <w:r>
        <w:rPr>
          <w:rFonts w:hint="eastAsia" w:ascii="宋体" w:hAnsi="宋体" w:eastAsia="宋体" w:cs="Times New Roman"/>
          <w:b/>
          <w:bCs/>
          <w:color w:val="auto"/>
          <w:sz w:val="24"/>
          <w:szCs w:val="24"/>
          <w:highlight w:val="none"/>
        </w:rPr>
        <w:t>遴选响应文件的编写</w:t>
      </w:r>
      <w:bookmarkEnd w:id="113"/>
      <w:bookmarkEnd w:id="114"/>
      <w:bookmarkEnd w:id="115"/>
      <w:bookmarkEnd w:id="116"/>
      <w:bookmarkEnd w:id="117"/>
      <w:bookmarkEnd w:id="118"/>
      <w:bookmarkEnd w:id="119"/>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应仔细阅读公开遴选文件的所有内容，按公开遴选文件的要求制作并递交遴选响应文件，并保证所提供的全部资料的真实性、准确性，以确保其报价对公开遴选文件做出实质性响应。</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在报价中提供不真实的材料，无论其材料是否重要，都将直接导致遴选响应文件无效，并承担由此产生的法律责任。</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响应语言和计量单位：遴选响应文件和来往函件应用简体中文书写，</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提供的支持文件、技术资料和印刷的文献可以用其他语言，但相应内容应附有中文翻译文本（经公证处公证），对不同文字文本遴选响应文件的解释发生异议的，以中文文本为准。计量单位应使用国际公制单位。</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须用人民币作为报价的货币单位。遴选响应文件的大写金额和小写金额不一致的，以大写金额为准；总价金额与按单价汇总金额不一致的，以单价金额计算结果为准；单价金额小数点有明显错位的，应以总价为准，并修改单价。</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应当对遴选响应文件进行装订，对未经装订的遴选响应文件可能发生的文件散落或缺损，由此造成的后果和责任由</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承担。</w:t>
      </w:r>
    </w:p>
    <w:p>
      <w:pPr>
        <w:numPr>
          <w:ilvl w:val="1"/>
          <w:numId w:val="4"/>
        </w:numPr>
        <w:tabs>
          <w:tab w:val="left" w:pos="709"/>
        </w:tabs>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必须对遴选响应文件所提供的全部资料的真实性承担法律责任，并无条件接受采购人、政府采购代理机构及政府采购监督管理部门等对其中任何资料进行核实的要求。</w:t>
      </w:r>
    </w:p>
    <w:p>
      <w:pPr>
        <w:numPr>
          <w:ilvl w:val="1"/>
          <w:numId w:val="4"/>
        </w:numPr>
        <w:tabs>
          <w:tab w:val="left" w:pos="709"/>
        </w:tabs>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如果因为</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的遴选响应文件只填写和提供了本公开遴选文件要求的部分内容和附件，或没有提供公开遴选文件中所要求的全部资料及数据，由此造成的后果和责任由</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承担。</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20" w:name="_Toc323110990"/>
      <w:bookmarkStart w:id="121" w:name="_Toc363737696"/>
      <w:bookmarkStart w:id="122" w:name="_Toc475104483"/>
      <w:r>
        <w:rPr>
          <w:rFonts w:hint="eastAsia" w:ascii="宋体" w:hAnsi="宋体" w:eastAsia="宋体" w:cs="Times New Roman"/>
          <w:b/>
          <w:bCs/>
          <w:color w:val="auto"/>
          <w:sz w:val="24"/>
          <w:szCs w:val="24"/>
          <w:highlight w:val="none"/>
        </w:rPr>
        <w:t>公开遴选报价</w:t>
      </w:r>
      <w:bookmarkEnd w:id="120"/>
      <w:bookmarkEnd w:id="121"/>
      <w:bookmarkEnd w:id="122"/>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bookmarkStart w:id="123" w:name="_Toc320515081"/>
      <w:bookmarkStart w:id="124" w:name="_Toc323110991"/>
      <w:bookmarkStart w:id="125" w:name="_Toc315793468"/>
      <w:bookmarkStart w:id="126" w:name="_Toc322680358"/>
      <w:bookmarkStart w:id="127" w:name="_Toc320515032"/>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lang w:eastAsia="zh-TW"/>
        </w:rPr>
        <w:t>人应按照“第</w:t>
      </w: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lang w:eastAsia="zh-TW"/>
        </w:rPr>
        <w:t>章　</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TW"/>
        </w:rPr>
        <w:t>需求</w:t>
      </w:r>
      <w:r>
        <w:rPr>
          <w:rFonts w:hint="eastAsia" w:ascii="宋体" w:hAnsi="宋体" w:eastAsia="宋体" w:cs="宋体"/>
          <w:color w:val="auto"/>
          <w:szCs w:val="21"/>
          <w:highlight w:val="none"/>
        </w:rPr>
        <w:t>书</w:t>
      </w:r>
      <w:r>
        <w:rPr>
          <w:rFonts w:hint="eastAsia" w:ascii="宋体" w:hAnsi="宋体" w:eastAsia="宋体" w:cs="宋体"/>
          <w:color w:val="auto"/>
          <w:szCs w:val="21"/>
          <w:highlight w:val="none"/>
          <w:lang w:eastAsia="zh-TW"/>
        </w:rPr>
        <w:t xml:space="preserve">” </w:t>
      </w:r>
      <w:r>
        <w:rPr>
          <w:rFonts w:hint="eastAsia" w:ascii="宋体" w:hAnsi="宋体" w:eastAsia="宋体" w:cs="宋体"/>
          <w:color w:val="auto"/>
          <w:szCs w:val="21"/>
          <w:highlight w:val="none"/>
        </w:rPr>
        <w:t>中</w:t>
      </w:r>
      <w:r>
        <w:rPr>
          <w:rFonts w:hint="eastAsia" w:ascii="宋体" w:hAnsi="宋体" w:eastAsia="宋体" w:cs="宋体"/>
          <w:color w:val="auto"/>
          <w:szCs w:val="21"/>
          <w:highlight w:val="none"/>
          <w:lang w:eastAsia="zh-TW"/>
        </w:rPr>
        <w:t>采购项目</w:t>
      </w:r>
      <w:r>
        <w:rPr>
          <w:rFonts w:hint="eastAsia" w:ascii="宋体" w:hAnsi="宋体" w:eastAsia="宋体" w:cs="宋体"/>
          <w:color w:val="auto"/>
          <w:szCs w:val="21"/>
          <w:highlight w:val="none"/>
        </w:rPr>
        <w:t>服务</w:t>
      </w:r>
      <w:r>
        <w:rPr>
          <w:rFonts w:hint="eastAsia" w:ascii="宋体" w:hAnsi="宋体" w:eastAsia="宋体" w:cs="宋体"/>
          <w:color w:val="auto"/>
          <w:szCs w:val="21"/>
          <w:highlight w:val="none"/>
          <w:lang w:eastAsia="zh-TW"/>
        </w:rPr>
        <w:t>要求规定的内容、责任范围进行报价。并按《</w:t>
      </w:r>
      <w:r>
        <w:rPr>
          <w:rFonts w:hint="eastAsia" w:ascii="宋体" w:hAnsi="宋体" w:eastAsia="宋体" w:cs="宋体"/>
          <w:color w:val="auto"/>
          <w:kern w:val="0"/>
          <w:szCs w:val="21"/>
          <w:highlight w:val="none"/>
        </w:rPr>
        <w:t>公开遴选函</w:t>
      </w:r>
      <w:r>
        <w:rPr>
          <w:rFonts w:hint="eastAsia" w:ascii="宋体" w:hAnsi="宋体" w:eastAsia="宋体" w:cs="宋体"/>
          <w:color w:val="auto"/>
          <w:szCs w:val="21"/>
          <w:highlight w:val="none"/>
          <w:lang w:eastAsia="zh-TW"/>
        </w:rPr>
        <w:t>》的</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lang w:eastAsia="zh-TW"/>
        </w:rPr>
        <w:t>报出总价和分项价格。</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eastAsia="zh-TW"/>
        </w:rPr>
        <w:t>总价中不得包含</w:t>
      </w:r>
      <w:r>
        <w:rPr>
          <w:rFonts w:hint="eastAsia" w:ascii="宋体" w:hAnsi="宋体" w:eastAsia="宋体" w:cs="宋体"/>
          <w:color w:val="auto"/>
          <w:szCs w:val="21"/>
          <w:highlight w:val="none"/>
        </w:rPr>
        <w:t>遴选文件</w:t>
      </w:r>
      <w:r>
        <w:rPr>
          <w:rFonts w:hint="eastAsia" w:ascii="宋体" w:hAnsi="宋体" w:eastAsia="宋体" w:cs="宋体"/>
          <w:color w:val="auto"/>
          <w:szCs w:val="21"/>
          <w:highlight w:val="none"/>
          <w:lang w:eastAsia="zh-TW"/>
        </w:rPr>
        <w:t>要求以外的内容，否则，在</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eastAsia="zh-TW"/>
        </w:rPr>
        <w:t>时不予核减。</w:t>
      </w:r>
      <w:r>
        <w:rPr>
          <w:rFonts w:hint="eastAsia" w:ascii="宋体" w:hAnsi="宋体" w:eastAsia="宋体" w:cs="宋体"/>
          <w:color w:val="auto"/>
          <w:szCs w:val="21"/>
          <w:highlight w:val="none"/>
        </w:rPr>
        <w:t>响应报价</w:t>
      </w:r>
      <w:r>
        <w:rPr>
          <w:rFonts w:hint="eastAsia" w:ascii="宋体" w:hAnsi="宋体" w:eastAsia="宋体" w:cs="宋体"/>
          <w:color w:val="auto"/>
          <w:szCs w:val="21"/>
          <w:highlight w:val="none"/>
          <w:lang w:eastAsia="zh-TW"/>
        </w:rPr>
        <w:t>总价中也不得缺漏</w:t>
      </w:r>
      <w:r>
        <w:rPr>
          <w:rFonts w:hint="eastAsia" w:ascii="宋体" w:hAnsi="宋体" w:eastAsia="宋体" w:cs="宋体"/>
          <w:color w:val="auto"/>
          <w:szCs w:val="21"/>
          <w:highlight w:val="none"/>
        </w:rPr>
        <w:t>遴选文件</w:t>
      </w:r>
      <w:r>
        <w:rPr>
          <w:rFonts w:hint="eastAsia" w:ascii="宋体" w:hAnsi="宋体" w:eastAsia="宋体" w:cs="宋体"/>
          <w:color w:val="auto"/>
          <w:szCs w:val="21"/>
          <w:highlight w:val="none"/>
          <w:lang w:eastAsia="zh-TW"/>
        </w:rPr>
        <w:t>所要求的内容，否则，被视为</w:t>
      </w:r>
      <w:r>
        <w:rPr>
          <w:rFonts w:hint="eastAsia" w:ascii="宋体" w:hAnsi="宋体" w:eastAsia="宋体" w:cs="宋体"/>
          <w:color w:val="auto"/>
          <w:szCs w:val="21"/>
          <w:highlight w:val="none"/>
        </w:rPr>
        <w:t>包含在报价中</w:t>
      </w:r>
      <w:r>
        <w:rPr>
          <w:rFonts w:hint="eastAsia" w:ascii="宋体" w:hAnsi="宋体" w:eastAsia="宋体" w:cs="宋体"/>
          <w:color w:val="auto"/>
          <w:szCs w:val="21"/>
          <w:highlight w:val="none"/>
          <w:lang w:eastAsia="zh-TW"/>
        </w:rPr>
        <w:t>。</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的报价明显低于其他响应报价，使得其响应报价可能低于其个别成本的，有可能影响服务质量和不能诚信履约的，应当要求其在评审现场合理的时间内提供书面说明，必要时提交相关证明材料；供应商不能证明其报价合理性的，评审小组应当将其作为无效投标处理。</w:t>
      </w:r>
    </w:p>
    <w:p>
      <w:pPr>
        <w:numPr>
          <w:ilvl w:val="1"/>
          <w:numId w:val="4"/>
        </w:numPr>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宋体"/>
          <w:color w:val="auto"/>
          <w:szCs w:val="21"/>
          <w:highlight w:val="none"/>
          <w:lang w:eastAsia="zh-TW"/>
        </w:rPr>
        <w:t>报价明细表</w:t>
      </w:r>
      <w:r>
        <w:rPr>
          <w:rFonts w:hint="eastAsia" w:ascii="宋体" w:hAnsi="宋体" w:eastAsia="宋体" w:cs="宋体"/>
          <w:color w:val="auto"/>
          <w:szCs w:val="21"/>
          <w:highlight w:val="none"/>
        </w:rPr>
        <w:t>内容应包含：</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公开遴选文件要求全部服务所需的费用；</w:t>
      </w:r>
    </w:p>
    <w:p>
      <w:pPr>
        <w:numPr>
          <w:ilvl w:val="2"/>
          <w:numId w:val="4"/>
        </w:numPr>
        <w:tabs>
          <w:tab w:val="left" w:pos="851"/>
        </w:tabs>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报价包含履行合同所有相关服务所需的费用；</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报价均应包含所有的税费；</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其他一切隐含及不可预见的费用；</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lang w:eastAsia="zh-TW"/>
        </w:rPr>
      </w:pPr>
      <w:r>
        <w:rPr>
          <w:rFonts w:hint="eastAsia" w:ascii="宋体" w:hAnsi="宋体" w:eastAsia="宋体" w:cs="宋体"/>
          <w:color w:val="auto"/>
          <w:szCs w:val="21"/>
          <w:highlight w:val="none"/>
        </w:rPr>
        <w:t>报价为本次采购内容的总价包干响应报价即为合同价，不得在成交后提出任何增加费用要求，</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在报价时应充分考虑相关风险性因素。</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lang w:eastAsia="zh-TW"/>
        </w:rPr>
      </w:pP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在获得成交资格并签署合同后，服务期限内出现的任何遗漏，均由成交供应商负责，采购人将不再支付任何费用。</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对于报价免费的项目须标明“免费”。</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lang w:eastAsia="zh-TW"/>
        </w:rPr>
        <w:t>所报的</w:t>
      </w:r>
      <w:r>
        <w:rPr>
          <w:rFonts w:hint="eastAsia" w:ascii="宋体" w:hAnsi="宋体" w:eastAsia="宋体" w:cs="宋体"/>
          <w:color w:val="auto"/>
          <w:szCs w:val="21"/>
          <w:highlight w:val="none"/>
        </w:rPr>
        <w:t>响应报</w:t>
      </w:r>
      <w:r>
        <w:rPr>
          <w:rFonts w:hint="eastAsia" w:ascii="宋体" w:hAnsi="宋体" w:eastAsia="宋体" w:cs="宋体"/>
          <w:color w:val="auto"/>
          <w:szCs w:val="21"/>
          <w:highlight w:val="none"/>
          <w:lang w:eastAsia="zh-TW"/>
        </w:rPr>
        <w:t>价在合同执行过程中是固定不变的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TW"/>
        </w:rPr>
        <w:t>不得以任何理由予以变更。任何包含价格调整要求的</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eastAsia="zh-TW"/>
        </w:rPr>
        <w:t>被认为是非实质性响应而予以拒绝。</w:t>
      </w:r>
    </w:p>
    <w:p>
      <w:pPr>
        <w:numPr>
          <w:ilvl w:val="1"/>
          <w:numId w:val="4"/>
        </w:numPr>
        <w:autoSpaceDE w:val="0"/>
        <w:autoSpaceDN w:val="0"/>
        <w:adjustRightInd w:val="0"/>
        <w:snapToGrid w:val="0"/>
        <w:spacing w:line="360" w:lineRule="auto"/>
        <w:jc w:val="left"/>
        <w:rPr>
          <w:rFonts w:ascii="宋体" w:hAnsi="宋体" w:eastAsia="宋体" w:cs="Times New Roman"/>
          <w:color w:val="auto"/>
          <w:szCs w:val="21"/>
          <w:highlight w:val="none"/>
        </w:rPr>
      </w:pPr>
      <w:bookmarkStart w:id="128" w:name="_Toc363737697"/>
      <w:bookmarkStart w:id="129" w:name="_Toc475104484"/>
      <w:r>
        <w:rPr>
          <w:rFonts w:hint="eastAsia" w:ascii="宋体" w:hAnsi="宋体" w:eastAsia="宋体" w:cs="Times New Roman"/>
          <w:color w:val="auto"/>
          <w:szCs w:val="21"/>
          <w:highlight w:val="none"/>
        </w:rPr>
        <w:t>除遴选文件中另有规定外，本次采购不接受选择性报价及备选方案。每次报价固定唯一，且没有超采购项目预算金额。</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证明供应商合格和资格的文件</w:t>
      </w:r>
      <w:bookmarkEnd w:id="123"/>
      <w:bookmarkEnd w:id="124"/>
      <w:bookmarkEnd w:id="125"/>
      <w:bookmarkEnd w:id="126"/>
      <w:bookmarkEnd w:id="127"/>
      <w:bookmarkEnd w:id="128"/>
      <w:bookmarkEnd w:id="129"/>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应提交证明其有资格参加遴选响应和获得成交资格后有能力履行合同的文件，并作为其遴选响应文件的一部分。如果</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为联合体，应提交联合体各方的资格证明文件、联合体协议并注明主体方及各方拟承担的工作和责任。否则，将导致其响应无效。</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供应商提交的资格证明文件应证明其满足本须知定义的合格</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30" w:name="_Toc363737698"/>
      <w:bookmarkStart w:id="131" w:name="_Toc315793469"/>
      <w:bookmarkStart w:id="132" w:name="_Toc320515033"/>
      <w:bookmarkStart w:id="133" w:name="_Toc333236642"/>
      <w:bookmarkStart w:id="134" w:name="_Toc475104485"/>
      <w:bookmarkStart w:id="135" w:name="_Toc320515082"/>
      <w:bookmarkStart w:id="136" w:name="_Toc323110993"/>
      <w:r>
        <w:rPr>
          <w:rFonts w:hint="eastAsia" w:ascii="宋体" w:hAnsi="宋体" w:eastAsia="宋体" w:cs="Times New Roman"/>
          <w:b/>
          <w:bCs/>
          <w:color w:val="auto"/>
          <w:sz w:val="24"/>
          <w:szCs w:val="24"/>
          <w:highlight w:val="none"/>
        </w:rPr>
        <w:t>证明服务的合格性和符合遴选文件规定的文件</w:t>
      </w:r>
      <w:bookmarkEnd w:id="130"/>
      <w:bookmarkEnd w:id="131"/>
      <w:bookmarkEnd w:id="132"/>
      <w:bookmarkEnd w:id="133"/>
      <w:bookmarkEnd w:id="134"/>
      <w:bookmarkEnd w:id="135"/>
    </w:p>
    <w:p>
      <w:pPr>
        <w:numPr>
          <w:ilvl w:val="1"/>
          <w:numId w:val="4"/>
        </w:numPr>
        <w:autoSpaceDE w:val="0"/>
        <w:autoSpaceDN w:val="0"/>
        <w:adjustRightInd w:val="0"/>
        <w:snapToGrid w:val="0"/>
        <w:spacing w:line="360" w:lineRule="auto"/>
        <w:jc w:val="left"/>
        <w:rPr>
          <w:rFonts w:ascii="宋体" w:hAnsi="宋体" w:eastAsia="宋体" w:cs="黑体"/>
          <w:bCs/>
          <w:color w:val="auto"/>
          <w:szCs w:val="21"/>
          <w:highlight w:val="none"/>
        </w:rPr>
      </w:pPr>
      <w:r>
        <w:rPr>
          <w:rFonts w:hint="eastAsia" w:ascii="宋体" w:hAnsi="宋体" w:eastAsia="宋体" w:cs="宋体"/>
          <w:color w:val="auto"/>
          <w:szCs w:val="21"/>
          <w:highlight w:val="none"/>
          <w:lang w:eastAsia="zh-TW"/>
        </w:rPr>
        <w:t>供应商应提交证明文件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TW"/>
        </w:rPr>
        <w:t>证明其拟</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eastAsia="zh-TW"/>
        </w:rPr>
        <w:t>的服务的合格性符合</w:t>
      </w:r>
      <w:r>
        <w:rPr>
          <w:rFonts w:hint="eastAsia" w:ascii="宋体" w:hAnsi="宋体" w:eastAsia="宋体" w:cs="宋体"/>
          <w:color w:val="auto"/>
          <w:szCs w:val="21"/>
          <w:highlight w:val="none"/>
        </w:rPr>
        <w:t>公开遴选文件</w:t>
      </w:r>
      <w:r>
        <w:rPr>
          <w:rFonts w:hint="eastAsia" w:ascii="宋体" w:hAnsi="宋体" w:eastAsia="宋体" w:cs="宋体"/>
          <w:color w:val="auto"/>
          <w:szCs w:val="21"/>
          <w:highlight w:val="none"/>
          <w:lang w:eastAsia="zh-TW"/>
        </w:rPr>
        <w:t>规定。该证明文件作为</w:t>
      </w:r>
      <w:r>
        <w:rPr>
          <w:rFonts w:hint="eastAsia" w:ascii="宋体" w:hAnsi="宋体" w:eastAsia="宋体" w:cs="Times New Roman"/>
          <w:color w:val="auto"/>
          <w:szCs w:val="21"/>
          <w:highlight w:val="none"/>
        </w:rPr>
        <w:t>遴选响应文件</w:t>
      </w:r>
      <w:r>
        <w:rPr>
          <w:rFonts w:hint="eastAsia" w:ascii="宋体" w:hAnsi="宋体" w:eastAsia="宋体" w:cs="宋体"/>
          <w:color w:val="auto"/>
          <w:szCs w:val="21"/>
          <w:highlight w:val="none"/>
          <w:lang w:eastAsia="zh-TW"/>
        </w:rPr>
        <w:t>的一部分。</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证明服务与</w:t>
      </w:r>
      <w:r>
        <w:rPr>
          <w:rFonts w:hint="eastAsia" w:ascii="宋体" w:hAnsi="宋体" w:eastAsia="宋体" w:cs="宋体"/>
          <w:color w:val="auto"/>
          <w:szCs w:val="21"/>
          <w:highlight w:val="none"/>
        </w:rPr>
        <w:t>公开遴选文件</w:t>
      </w:r>
      <w:r>
        <w:rPr>
          <w:rFonts w:hint="eastAsia" w:ascii="宋体" w:hAnsi="宋体" w:eastAsia="宋体" w:cs="宋体"/>
          <w:color w:val="auto"/>
          <w:szCs w:val="21"/>
          <w:highlight w:val="none"/>
          <w:lang w:eastAsia="zh-TW"/>
        </w:rPr>
        <w:t>的要求相一致的文件，可以是文字资料、图纸和数据，它包括：</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服务主要内容、方案、质量、标准指标等的详细说明；</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对照公开遴选文件服务内容与要求，逐条说明所提供服务已对遴选文件的服务内容与要求作出了实质性的响应，并申明与服务内容与要求条文的偏差和例外。特别对有具体参数要求的指标，</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须提供所投服务的具体参数值。</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在阐述时应注意公开遴选文件的服务内容、要求和标准，</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在报价中要实质上满足或超过公开遴选文件的要求。</w:t>
      </w:r>
    </w:p>
    <w:p>
      <w:pPr>
        <w:numPr>
          <w:ilvl w:val="0"/>
          <w:numId w:val="4"/>
        </w:numPr>
        <w:autoSpaceDE w:val="0"/>
        <w:autoSpaceDN w:val="0"/>
        <w:adjustRightInd w:val="0"/>
        <w:snapToGrid w:val="0"/>
        <w:spacing w:line="360" w:lineRule="auto"/>
        <w:outlineLvl w:val="0"/>
        <w:rPr>
          <w:rFonts w:hint="eastAsia" w:ascii="宋体" w:hAnsi="宋体" w:eastAsia="宋体" w:cs="Times New Roman"/>
          <w:b/>
          <w:bCs/>
          <w:color w:val="auto"/>
          <w:sz w:val="24"/>
          <w:szCs w:val="24"/>
          <w:highlight w:val="none"/>
        </w:rPr>
      </w:pPr>
      <w:bookmarkStart w:id="137" w:name="_Toc363737699"/>
      <w:r>
        <w:rPr>
          <w:rFonts w:hint="eastAsia" w:ascii="宋体" w:hAnsi="宋体" w:eastAsia="宋体" w:cs="Times New Roman"/>
          <w:b/>
          <w:bCs/>
          <w:color w:val="auto"/>
          <w:sz w:val="24"/>
          <w:szCs w:val="24"/>
          <w:highlight w:val="none"/>
        </w:rPr>
        <w:t>遴选保证金</w:t>
      </w:r>
      <w:bookmarkEnd w:id="137"/>
    </w:p>
    <w:bookmarkEnd w:id="136"/>
    <w:p>
      <w:pPr>
        <w:numPr>
          <w:ilvl w:val="1"/>
          <w:numId w:val="4"/>
        </w:numPr>
        <w:autoSpaceDE w:val="0"/>
        <w:autoSpaceDN w:val="0"/>
        <w:adjustRightInd w:val="0"/>
        <w:snapToGrid w:val="0"/>
        <w:spacing w:line="360" w:lineRule="auto"/>
        <w:outlineLvl w:val="0"/>
        <w:rPr>
          <w:rFonts w:hint="eastAsia" w:ascii="宋体" w:hAnsi="宋体" w:eastAsia="宋体" w:cs="宋体"/>
          <w:color w:val="auto"/>
          <w:szCs w:val="24"/>
          <w:highlight w:val="none"/>
        </w:rPr>
      </w:pPr>
      <w:bookmarkStart w:id="138" w:name="_Toc315793471"/>
      <w:bookmarkStart w:id="139" w:name="_Toc394926941"/>
      <w:bookmarkStart w:id="140" w:name="_Toc475104487"/>
      <w:bookmarkStart w:id="141" w:name="_Toc323110994"/>
      <w:bookmarkStart w:id="142" w:name="_Toc363737700"/>
      <w:bookmarkStart w:id="143" w:name="_Toc320515035"/>
      <w:bookmarkStart w:id="144" w:name="_Toc320515084"/>
      <w:bookmarkStart w:id="145" w:name="_Toc322680361"/>
      <w:bookmarkStart w:id="146" w:name="_Toc351550769"/>
      <w:r>
        <w:rPr>
          <w:rFonts w:hint="eastAsia" w:ascii="宋体" w:hAnsi="宋体" w:eastAsia="宋体" w:cs="宋体"/>
          <w:color w:val="auto"/>
          <w:szCs w:val="21"/>
          <w:highlight w:val="none"/>
        </w:rPr>
        <w:t>本项目不收取遴选保证金</w:t>
      </w:r>
    </w:p>
    <w:bookmarkEnd w:id="138"/>
    <w:bookmarkEnd w:id="139"/>
    <w:bookmarkEnd w:id="140"/>
    <w:bookmarkEnd w:id="141"/>
    <w:bookmarkEnd w:id="142"/>
    <w:bookmarkEnd w:id="143"/>
    <w:bookmarkEnd w:id="144"/>
    <w:bookmarkEnd w:id="145"/>
    <w:bookmarkEnd w:id="146"/>
    <w:p>
      <w:pPr>
        <w:numPr>
          <w:ilvl w:val="1"/>
          <w:numId w:val="4"/>
        </w:numPr>
        <w:autoSpaceDE w:val="0"/>
        <w:autoSpaceDN w:val="0"/>
        <w:adjustRightInd w:val="0"/>
        <w:snapToGrid w:val="0"/>
        <w:spacing w:line="360" w:lineRule="auto"/>
        <w:outlineLvl w:val="0"/>
        <w:rPr>
          <w:rFonts w:ascii="宋体" w:hAnsi="宋体" w:eastAsia="宋体" w:cs="宋体"/>
          <w:color w:val="auto"/>
          <w:szCs w:val="21"/>
          <w:highlight w:val="none"/>
        </w:rPr>
      </w:pPr>
      <w:bookmarkStart w:id="147" w:name="_Toc475104493"/>
      <w:r>
        <w:rPr>
          <w:rFonts w:hint="eastAsia" w:ascii="宋体" w:hAnsi="宋体" w:eastAsia="宋体" w:cs="Times New Roman"/>
          <w:color w:val="auto"/>
          <w:szCs w:val="21"/>
          <w:highlight w:val="none"/>
        </w:rPr>
        <w:t>专业担保机构的选择。</w:t>
      </w:r>
      <w:r>
        <w:rPr>
          <w:rFonts w:hint="eastAsia" w:ascii="Times New Roman" w:hAnsi="Times New Roman" w:eastAsia="宋体" w:cs="宋体"/>
          <w:color w:val="auto"/>
          <w:szCs w:val="21"/>
          <w:highlight w:val="none"/>
        </w:rPr>
        <w:t>供应商</w:t>
      </w:r>
      <w:r>
        <w:rPr>
          <w:rFonts w:hint="eastAsia" w:ascii="宋体" w:hAnsi="宋体" w:eastAsia="宋体" w:cs="Times New Roman"/>
          <w:color w:val="auto"/>
          <w:szCs w:val="21"/>
          <w:highlight w:val="none"/>
        </w:rPr>
        <w:t>必须选定有合法资质的担保公司任一家作为专业担保机构。</w:t>
      </w:r>
    </w:p>
    <w:bookmarkEnd w:id="147"/>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响应有效期</w:t>
      </w:r>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bookmarkStart w:id="148" w:name="_Toc320515085"/>
      <w:bookmarkStart w:id="149" w:name="_Toc363737701"/>
      <w:bookmarkStart w:id="150" w:name="_Toc320515036"/>
      <w:bookmarkStart w:id="151" w:name="_Toc475104494"/>
      <w:bookmarkStart w:id="152" w:name="_Toc315793472"/>
      <w:bookmarkStart w:id="153" w:name="_Toc322680363"/>
      <w:bookmarkStart w:id="154" w:name="_Toc320515037"/>
      <w:bookmarkStart w:id="155" w:name="_Toc315793473"/>
      <w:bookmarkStart w:id="156" w:name="_Toc320515086"/>
      <w:bookmarkStart w:id="157" w:name="_Toc323110996"/>
      <w:r>
        <w:rPr>
          <w:rFonts w:hint="eastAsia" w:ascii="宋体" w:hAnsi="宋体" w:eastAsia="宋体" w:cs="宋体"/>
          <w:color w:val="auto"/>
          <w:szCs w:val="21"/>
          <w:highlight w:val="none"/>
        </w:rPr>
        <w:t>从遴选响应文件递交截止日起，响应有效期为</w:t>
      </w:r>
      <w:r>
        <w:rPr>
          <w:rFonts w:ascii="宋体" w:hAnsi="宋体" w:eastAsia="宋体" w:cs="ZWAdobeF"/>
          <w:color w:val="auto"/>
          <w:sz w:val="2"/>
          <w:szCs w:val="2"/>
          <w:highlight w:val="none"/>
        </w:rPr>
        <w:t>UU</w:t>
      </w:r>
      <w:r>
        <w:rPr>
          <w:rFonts w:hint="eastAsia" w:ascii="宋体" w:hAnsi="宋体" w:eastAsia="宋体" w:cs="宋体"/>
          <w:color w:val="auto"/>
          <w:szCs w:val="21"/>
          <w:highlight w:val="none"/>
          <w:u w:val="single"/>
        </w:rPr>
        <w:t>90</w:t>
      </w:r>
      <w:r>
        <w:rPr>
          <w:rFonts w:ascii="宋体" w:hAnsi="宋体" w:eastAsia="宋体" w:cs="ZWAdobeF"/>
          <w:color w:val="auto"/>
          <w:sz w:val="2"/>
          <w:szCs w:val="2"/>
          <w:highlight w:val="none"/>
        </w:rPr>
        <w:t>UU</w:t>
      </w:r>
      <w:r>
        <w:rPr>
          <w:rFonts w:hint="eastAsia" w:ascii="宋体" w:hAnsi="宋体" w:eastAsia="宋体" w:cs="宋体"/>
          <w:color w:val="auto"/>
          <w:szCs w:val="21"/>
          <w:highlight w:val="none"/>
        </w:rPr>
        <w:t>天（日历天）。响应有效期不足的响应将被视为非实质性响应</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视为无效响应。</w:t>
      </w:r>
    </w:p>
    <w:p>
      <w:pPr>
        <w:numPr>
          <w:ilvl w:val="1"/>
          <w:numId w:val="4"/>
        </w:numPr>
        <w:autoSpaceDE w:val="0"/>
        <w:autoSpaceDN w:val="0"/>
        <w:adjustRightInd w:val="0"/>
        <w:snapToGrid w:val="0"/>
        <w:spacing w:line="360" w:lineRule="auto"/>
        <w:jc w:val="left"/>
        <w:rPr>
          <w:rFonts w:ascii="宋体" w:hAnsi="宋体" w:eastAsia="宋体" w:cs="Times New Roman"/>
          <w:b/>
          <w:bCs/>
          <w:color w:val="auto"/>
          <w:sz w:val="24"/>
          <w:szCs w:val="24"/>
          <w:highlight w:val="none"/>
        </w:rPr>
      </w:pPr>
      <w:r>
        <w:rPr>
          <w:rFonts w:hint="eastAsia" w:ascii="宋体" w:hAnsi="宋体" w:eastAsia="宋体" w:cs="宋体"/>
          <w:color w:val="auto"/>
          <w:szCs w:val="21"/>
          <w:highlight w:val="none"/>
        </w:rPr>
        <w:t>特殊情况下，在原响应有效期截止之前，政府采购代理机构可要求</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延长响应有效期。这种要求与答复均应以书面形式提交。</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可拒绝政府采购代理机构的这种要求，但其遴选响应在原响应有效期期满后将不再有效。同意延长响应有效期的</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将不会被要求和允许修正其遴选响应</w:t>
      </w:r>
      <w:r>
        <w:rPr>
          <w:rFonts w:hint="eastAsia" w:ascii="宋体" w:hAnsi="宋体" w:eastAsia="宋体" w:cs="宋体"/>
          <w:color w:val="auto"/>
          <w:szCs w:val="21"/>
          <w:highlight w:val="none"/>
          <w:lang w:eastAsia="zh-TW"/>
        </w:rPr>
        <w:t>。</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遴选响应文件的式样和签署</w:t>
      </w:r>
      <w:bookmarkEnd w:id="148"/>
      <w:bookmarkEnd w:id="149"/>
      <w:bookmarkEnd w:id="150"/>
      <w:bookmarkEnd w:id="151"/>
      <w:bookmarkEnd w:id="152"/>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r>
        <w:rPr>
          <w:rFonts w:hint="eastAsia" w:ascii="宋体" w:hAnsi="宋体" w:eastAsia="宋体" w:cs="宋体"/>
          <w:color w:val="auto"/>
          <w:szCs w:val="21"/>
          <w:highlight w:val="none"/>
          <w:lang w:eastAsia="zh-TW"/>
        </w:rPr>
        <w:t>全部</w:t>
      </w:r>
      <w:r>
        <w:rPr>
          <w:rFonts w:hint="eastAsia" w:ascii="宋体" w:hAnsi="宋体" w:eastAsia="宋体" w:cs="宋体"/>
          <w:color w:val="auto"/>
          <w:szCs w:val="21"/>
          <w:highlight w:val="none"/>
        </w:rPr>
        <w:t>遴选响应文件数量参看《公开遴选须知一览表》</w:t>
      </w:r>
      <w:r>
        <w:rPr>
          <w:rFonts w:hint="eastAsia" w:ascii="宋体" w:hAnsi="宋体" w:eastAsia="宋体" w:cs="宋体"/>
          <w:color w:val="auto"/>
          <w:szCs w:val="21"/>
          <w:highlight w:val="none"/>
          <w:lang w:eastAsia="zh-TW"/>
        </w:rPr>
        <w:t>，所有</w:t>
      </w:r>
      <w:r>
        <w:rPr>
          <w:rFonts w:hint="eastAsia" w:ascii="宋体" w:hAnsi="宋体" w:eastAsia="宋体" w:cs="宋体"/>
          <w:color w:val="auto"/>
          <w:szCs w:val="21"/>
          <w:highlight w:val="none"/>
        </w:rPr>
        <w:t>遴选响应文件</w:t>
      </w:r>
      <w:r>
        <w:rPr>
          <w:rFonts w:hint="eastAsia" w:ascii="宋体" w:hAnsi="宋体" w:eastAsia="宋体" w:cs="宋体"/>
          <w:color w:val="auto"/>
          <w:szCs w:val="21"/>
          <w:highlight w:val="none"/>
          <w:lang w:eastAsia="zh-TW"/>
        </w:rPr>
        <w:t>应用A4规格纸打印装订成册</w:t>
      </w:r>
      <w:r>
        <w:rPr>
          <w:rFonts w:hint="eastAsia" w:ascii="宋体" w:hAnsi="宋体" w:eastAsia="宋体" w:cs="宋体"/>
          <w:color w:val="auto"/>
          <w:szCs w:val="21"/>
          <w:highlight w:val="none"/>
        </w:rPr>
        <w:t>。于封面注明“正本”和“副本”。如果正本与副本不符，应以正本为准。所有不完整的遴选响应将被拒绝。无论遴选结果如何，</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的全部遴选响应文件均不退回。</w:t>
      </w:r>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r>
        <w:rPr>
          <w:rFonts w:hint="eastAsia" w:ascii="宋体" w:hAnsi="宋体" w:eastAsia="宋体" w:cs="宋体"/>
          <w:color w:val="auto"/>
          <w:szCs w:val="21"/>
          <w:highlight w:val="none"/>
        </w:rPr>
        <w:t>遴选响应文件</w:t>
      </w:r>
      <w:r>
        <w:rPr>
          <w:rFonts w:hint="eastAsia" w:ascii="宋体" w:hAnsi="宋体" w:eastAsia="宋体" w:cs="宋体"/>
          <w:color w:val="auto"/>
          <w:szCs w:val="21"/>
          <w:highlight w:val="none"/>
          <w:lang w:eastAsia="zh-TW"/>
        </w:rPr>
        <w:t>的签署：</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遴选响应文件的正本需打印，遴选响应文件要求签名的由法定代表人或经其正式授权的代表签字，</w:t>
      </w:r>
      <w:r>
        <w:rPr>
          <w:rFonts w:ascii="宋体" w:hAnsi="宋体" w:eastAsia="宋体" w:cs="ZWAdobeF"/>
          <w:color w:val="auto"/>
          <w:sz w:val="2"/>
          <w:szCs w:val="2"/>
          <w:highlight w:val="none"/>
        </w:rPr>
        <w:t>UU</w:t>
      </w:r>
      <w:r>
        <w:rPr>
          <w:rFonts w:hint="eastAsia" w:ascii="宋体" w:hAnsi="宋体" w:eastAsia="宋体" w:cs="宋体"/>
          <w:b/>
          <w:color w:val="auto"/>
          <w:szCs w:val="21"/>
          <w:highlight w:val="none"/>
          <w:u w:val="single"/>
        </w:rPr>
        <w:t>遴选响应文件正本每一页均要求加盖供应商公章</w:t>
      </w:r>
      <w:r>
        <w:rPr>
          <w:rFonts w:ascii="宋体" w:hAnsi="宋体" w:eastAsia="宋体" w:cs="ZWAdobeF"/>
          <w:color w:val="auto"/>
          <w:sz w:val="2"/>
          <w:szCs w:val="2"/>
          <w:highlight w:val="none"/>
        </w:rPr>
        <w:t>UU</w:t>
      </w:r>
      <w:r>
        <w:rPr>
          <w:rFonts w:hint="eastAsia" w:ascii="宋体" w:hAnsi="宋体" w:eastAsia="宋体" w:cs="宋体"/>
          <w:color w:val="auto"/>
          <w:szCs w:val="21"/>
          <w:highlight w:val="none"/>
        </w:rPr>
        <w:t>，副本可以复印，与正本具有同等法律效力。授权代表须将以书面形式出具的《法定代表人授权委托书》附在遴选响应文件中。</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遴选响应文件中的任何重要的插字、涂改、增删和修正，必须由法定代表人或经其正式授权的代表在旁边签章或签字才有效。</w:t>
      </w:r>
    </w:p>
    <w:p>
      <w:pPr>
        <w:numPr>
          <w:ilvl w:val="0"/>
          <w:numId w:val="3"/>
        </w:numPr>
        <w:autoSpaceDE w:val="0"/>
        <w:autoSpaceDN w:val="0"/>
        <w:adjustRightInd w:val="0"/>
        <w:snapToGrid w:val="0"/>
        <w:spacing w:before="240" w:beforeLines="100" w:after="240" w:afterLines="100" w:line="360" w:lineRule="auto"/>
        <w:ind w:left="601" w:hanging="601"/>
        <w:jc w:val="center"/>
        <w:outlineLvl w:val="0"/>
        <w:rPr>
          <w:rFonts w:ascii="宋体" w:hAnsi="宋体" w:eastAsia="宋体" w:cs="Times New Roman"/>
          <w:b/>
          <w:color w:val="auto"/>
          <w:sz w:val="28"/>
          <w:szCs w:val="28"/>
          <w:highlight w:val="none"/>
          <w:lang w:eastAsia="zh-TW"/>
        </w:rPr>
      </w:pPr>
      <w:bookmarkStart w:id="158" w:name="_Toc475104495"/>
      <w:bookmarkStart w:id="159" w:name="_Toc363737702"/>
      <w:r>
        <w:rPr>
          <w:rFonts w:hint="eastAsia" w:ascii="宋体" w:hAnsi="宋体" w:eastAsia="宋体" w:cs="Times New Roman"/>
          <w:b/>
          <w:color w:val="auto"/>
          <w:sz w:val="28"/>
          <w:szCs w:val="28"/>
          <w:highlight w:val="none"/>
        </w:rPr>
        <w:t>遴选响应文件</w:t>
      </w:r>
      <w:r>
        <w:rPr>
          <w:rFonts w:hint="eastAsia" w:ascii="宋体" w:hAnsi="宋体" w:eastAsia="宋体" w:cs="Times New Roman"/>
          <w:b/>
          <w:color w:val="auto"/>
          <w:sz w:val="28"/>
          <w:szCs w:val="28"/>
          <w:highlight w:val="none"/>
          <w:lang w:eastAsia="zh-TW"/>
        </w:rPr>
        <w:t>的递交</w:t>
      </w:r>
      <w:bookmarkEnd w:id="153"/>
      <w:bookmarkEnd w:id="154"/>
      <w:bookmarkEnd w:id="155"/>
      <w:bookmarkEnd w:id="156"/>
      <w:bookmarkEnd w:id="157"/>
      <w:bookmarkEnd w:id="158"/>
      <w:bookmarkEnd w:id="159"/>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60" w:name="_Toc320515038"/>
      <w:bookmarkStart w:id="161" w:name="_Toc315793474"/>
      <w:bookmarkStart w:id="162" w:name="_Toc320515087"/>
      <w:bookmarkStart w:id="163" w:name="_Toc475104496"/>
      <w:bookmarkStart w:id="164" w:name="_Toc363737703"/>
      <w:r>
        <w:rPr>
          <w:rFonts w:hint="eastAsia" w:ascii="宋体" w:hAnsi="宋体" w:eastAsia="宋体" w:cs="Times New Roman"/>
          <w:b/>
          <w:bCs/>
          <w:color w:val="auto"/>
          <w:sz w:val="24"/>
          <w:szCs w:val="24"/>
          <w:highlight w:val="none"/>
        </w:rPr>
        <w:t>遴选响应文件的密封和标记</w:t>
      </w:r>
      <w:bookmarkEnd w:id="160"/>
      <w:bookmarkEnd w:id="161"/>
      <w:bookmarkEnd w:id="162"/>
      <w:bookmarkEnd w:id="163"/>
      <w:bookmarkEnd w:id="164"/>
    </w:p>
    <w:p>
      <w:pPr>
        <w:numPr>
          <w:ilvl w:val="1"/>
          <w:numId w:val="4"/>
        </w:numPr>
        <w:autoSpaceDE w:val="0"/>
        <w:autoSpaceDN w:val="0"/>
        <w:adjustRightInd w:val="0"/>
        <w:snapToGrid w:val="0"/>
        <w:spacing w:line="360" w:lineRule="auto"/>
        <w:rPr>
          <w:rFonts w:ascii="宋体" w:hAnsi="宋体" w:eastAsia="宋体" w:cs="黑体"/>
          <w:b/>
          <w:bCs/>
          <w:dstrike/>
          <w:color w:val="auto"/>
          <w:szCs w:val="21"/>
          <w:highlight w:val="none"/>
        </w:rPr>
      </w:pPr>
      <w:r>
        <w:rPr>
          <w:rFonts w:hint="eastAsia" w:ascii="宋体" w:hAnsi="宋体" w:eastAsia="宋体" w:cs="宋体"/>
          <w:color w:val="auto"/>
          <w:szCs w:val="21"/>
          <w:highlight w:val="none"/>
        </w:rPr>
        <w:t>报价信封的密封和标记：</w:t>
      </w:r>
    </w:p>
    <w:p>
      <w:pPr>
        <w:numPr>
          <w:ilvl w:val="2"/>
          <w:numId w:val="4"/>
        </w:numPr>
        <w:tabs>
          <w:tab w:val="left" w:pos="851"/>
        </w:tabs>
        <w:autoSpaceDE w:val="0"/>
        <w:autoSpaceDN w:val="0"/>
        <w:adjustRightInd w:val="0"/>
        <w:snapToGrid w:val="0"/>
        <w:spacing w:line="360" w:lineRule="auto"/>
        <w:jc w:val="left"/>
        <w:rPr>
          <w:rFonts w:ascii="宋体" w:hAnsi="宋体" w:eastAsia="宋体" w:cs="黑体"/>
          <w:b/>
          <w:bCs/>
          <w:dstrike/>
          <w:color w:val="auto"/>
          <w:szCs w:val="21"/>
          <w:highlight w:val="none"/>
        </w:rPr>
      </w:pP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lang w:eastAsia="zh-TW"/>
        </w:rPr>
        <w:t>应将</w:t>
      </w:r>
      <w:r>
        <w:rPr>
          <w:rFonts w:hint="eastAsia" w:ascii="宋体" w:hAnsi="宋体" w:eastAsia="宋体" w:cs="宋体"/>
          <w:color w:val="auto"/>
          <w:kern w:val="0"/>
          <w:szCs w:val="21"/>
          <w:highlight w:val="none"/>
        </w:rPr>
        <w:t>公开遴选函</w:t>
      </w:r>
      <w:r>
        <w:rPr>
          <w:rFonts w:hint="eastAsia" w:ascii="宋体" w:hAnsi="宋体" w:eastAsia="宋体" w:cs="宋体"/>
          <w:color w:val="auto"/>
          <w:szCs w:val="21"/>
          <w:highlight w:val="none"/>
        </w:rPr>
        <w:t>和电子文件</w:t>
      </w:r>
      <w:r>
        <w:rPr>
          <w:rFonts w:hint="eastAsia" w:ascii="宋体" w:hAnsi="宋体" w:eastAsia="宋体" w:cs="宋体"/>
          <w:color w:val="auto"/>
          <w:szCs w:val="21"/>
          <w:highlight w:val="none"/>
          <w:lang w:eastAsia="zh-TW"/>
        </w:rPr>
        <w:t>单独</w:t>
      </w:r>
      <w:r>
        <w:rPr>
          <w:rFonts w:hint="eastAsia" w:ascii="宋体" w:hAnsi="宋体" w:eastAsia="宋体" w:cs="宋体"/>
          <w:color w:val="auto"/>
          <w:szCs w:val="21"/>
          <w:highlight w:val="none"/>
        </w:rPr>
        <w:t>一起</w:t>
      </w:r>
      <w:r>
        <w:rPr>
          <w:rFonts w:hint="eastAsia" w:ascii="宋体" w:hAnsi="宋体" w:eastAsia="宋体" w:cs="宋体"/>
          <w:color w:val="auto"/>
          <w:szCs w:val="21"/>
          <w:highlight w:val="none"/>
          <w:lang w:eastAsia="zh-TW"/>
        </w:rPr>
        <w:t>密封提交</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TW"/>
        </w:rPr>
        <w:t>并在信封上标明</w:t>
      </w:r>
      <w:r>
        <w:rPr>
          <w:rFonts w:hint="eastAsia" w:ascii="宋体" w:hAnsi="宋体" w:eastAsia="宋体" w:cs="宋体"/>
          <w:color w:val="auto"/>
          <w:szCs w:val="21"/>
          <w:highlight w:val="none"/>
        </w:rPr>
        <w:t>“报价信封”的</w:t>
      </w:r>
      <w:r>
        <w:rPr>
          <w:rFonts w:hint="eastAsia" w:ascii="宋体" w:hAnsi="宋体" w:eastAsia="宋体" w:cs="宋体"/>
          <w:color w:val="auto"/>
          <w:szCs w:val="21"/>
          <w:highlight w:val="none"/>
          <w:lang w:eastAsia="zh-TW"/>
        </w:rPr>
        <w:t>字样。</w:t>
      </w:r>
    </w:p>
    <w:p>
      <w:pPr>
        <w:numPr>
          <w:ilvl w:val="1"/>
          <w:numId w:val="4"/>
        </w:numPr>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遴选响应文件递交及封装：</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所有遴选响应文件及样板（如有）应在遴选响应文件递交截止时间前送达遴选响应文件递交地点（时间及地点以第一章公开遴选邀请为准），并当面交予采购代理机构专责人员，采购代理机构将拒绝以下情况之一的遴选响应文件：</w:t>
      </w:r>
    </w:p>
    <w:p>
      <w:pPr>
        <w:tabs>
          <w:tab w:val="left" w:pos="851"/>
        </w:tabs>
        <w:autoSpaceDE w:val="0"/>
        <w:autoSpaceDN w:val="0"/>
        <w:adjustRightInd w:val="0"/>
        <w:snapToGrid w:val="0"/>
        <w:spacing w:line="360" w:lineRule="auto"/>
        <w:ind w:firstLine="630" w:firstLineChars="300"/>
        <w:jc w:val="left"/>
        <w:rPr>
          <w:rFonts w:ascii="宋体" w:hAnsi="宋体" w:eastAsia="宋体" w:cs="宋体"/>
          <w:color w:val="auto"/>
          <w:szCs w:val="21"/>
          <w:highlight w:val="none"/>
        </w:rPr>
      </w:pPr>
      <w:r>
        <w:rPr>
          <w:rFonts w:hint="eastAsia" w:ascii="宋体" w:hAnsi="宋体" w:eastAsia="宋体" w:cs="宋体"/>
          <w:color w:val="auto"/>
          <w:szCs w:val="21"/>
          <w:highlight w:val="none"/>
        </w:rPr>
        <w:t>（1）迟于遴选响应文件递交截止时间递交的；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eastAsia="宋体" w:cs="宋体"/>
          <w:color w:val="auto"/>
          <w:szCs w:val="21"/>
          <w:highlight w:val="none"/>
        </w:rPr>
      </w:pPr>
      <w:r>
        <w:rPr>
          <w:rFonts w:hint="eastAsia" w:ascii="宋体" w:hAnsi="宋体" w:eastAsia="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（3）密封不严、册装不整的。</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正本单独封装，副本全部一起封装，报价信封单独封装，封套表面标明 “正本”、“副本”或“报价信封”字样。在每一封套上按以下顺序标明如下字样，注明公开遴选邀请中指明的项目名称、项目编号和“在(公开遴选文件中规定的遴选响应文件递交截止时间)之前不得启封”的字样，如：</w:t>
      </w:r>
    </w:p>
    <w:tbl>
      <w:tblPr>
        <w:tblStyle w:val="89"/>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0" w:type="dxa"/>
          </w:tcPr>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收件人名称：广州市信怡招标代理有限公司</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项目编号：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项目名称：</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包装内容：</w:t>
            </w:r>
            <w:r>
              <w:rPr>
                <w:rFonts w:hint="eastAsia" w:ascii="宋体" w:hAnsi="宋体" w:eastAsia="宋体" w:cs="宋体"/>
                <w:color w:val="auto"/>
                <w:szCs w:val="21"/>
                <w:highlight w:val="none"/>
              </w:rPr>
              <w:t>遴选响应文件</w:t>
            </w:r>
            <w:r>
              <w:rPr>
                <w:rFonts w:hint="eastAsia" w:ascii="宋体" w:hAnsi="宋体" w:eastAsia="宋体" w:cs="Times New Roman"/>
                <w:color w:val="auto"/>
                <w:szCs w:val="21"/>
                <w:highlight w:val="none"/>
              </w:rPr>
              <w:t>正本</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副本</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报价信封</w:t>
            </w:r>
          </w:p>
          <w:p>
            <w:pPr>
              <w:spacing w:line="360" w:lineRule="auto"/>
              <w:ind w:firstLine="420" w:firstLineChars="200"/>
              <w:rPr>
                <w:rFonts w:ascii="宋体" w:hAnsi="宋体" w:eastAsia="宋体" w:cs="Times New Roman"/>
                <w:color w:val="auto"/>
                <w:szCs w:val="21"/>
                <w:highlight w:val="none"/>
              </w:rPr>
            </w:pPr>
            <w:r>
              <w:rPr>
                <w:rFonts w:hint="eastAsia" w:ascii="Times New Roman" w:hAnsi="Times New Roman" w:eastAsia="宋体" w:cs="宋体"/>
                <w:color w:val="auto"/>
                <w:szCs w:val="21"/>
                <w:highlight w:val="none"/>
              </w:rPr>
              <w:t>供应商</w:t>
            </w:r>
            <w:r>
              <w:rPr>
                <w:rFonts w:hint="eastAsia" w:ascii="宋体" w:hAnsi="宋体" w:eastAsia="宋体" w:cs="Times New Roman"/>
                <w:color w:val="auto"/>
                <w:szCs w:val="21"/>
                <w:highlight w:val="none"/>
              </w:rPr>
              <w:t>名称：</w:t>
            </w:r>
          </w:p>
          <w:p>
            <w:pPr>
              <w:spacing w:line="360" w:lineRule="auto"/>
              <w:ind w:firstLine="420" w:firstLineChars="200"/>
              <w:rPr>
                <w:rFonts w:ascii="宋体" w:hAnsi="宋体" w:eastAsia="宋体" w:cs="Times New Roman"/>
                <w:color w:val="auto"/>
                <w:szCs w:val="21"/>
                <w:highlight w:val="none"/>
              </w:rPr>
            </w:pPr>
            <w:r>
              <w:rPr>
                <w:rFonts w:hint="eastAsia" w:ascii="Times New Roman" w:hAnsi="Times New Roman" w:eastAsia="宋体" w:cs="宋体"/>
                <w:color w:val="auto"/>
                <w:szCs w:val="21"/>
                <w:highlight w:val="none"/>
              </w:rPr>
              <w:t>供应商</w:t>
            </w:r>
            <w:r>
              <w:rPr>
                <w:rFonts w:hint="eastAsia" w:ascii="宋体" w:hAnsi="宋体" w:eastAsia="宋体" w:cs="Times New Roman"/>
                <w:color w:val="auto"/>
                <w:szCs w:val="21"/>
                <w:highlight w:val="none"/>
              </w:rPr>
              <w:t>地址：</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w:t>
            </w:r>
            <w:r>
              <w:rPr>
                <w:rFonts w:ascii="宋体" w:hAnsi="宋体" w:eastAsia="宋体" w:cs="Times New Roman"/>
                <w:color w:val="auto"/>
                <w:szCs w:val="21"/>
                <w:highlight w:val="none"/>
              </w:rPr>
              <w:t xml:space="preserve"> 系 人：</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联系电话：</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Times New Roman"/>
                <w:color w:val="auto"/>
                <w:szCs w:val="21"/>
                <w:highlight w:val="none"/>
              </w:rPr>
              <w:t>在规定的遴选时间2021</w:t>
            </w:r>
            <w:r>
              <w:rPr>
                <w:rFonts w:ascii="宋体" w:hAnsi="宋体" w:eastAsia="宋体" w:cs="Times New Roman"/>
                <w:color w:val="auto"/>
                <w:szCs w:val="21"/>
                <w:highlight w:val="none"/>
              </w:rPr>
              <w:t>年</w:t>
            </w:r>
            <w:r>
              <w:rPr>
                <w:rFonts w:hint="eastAsia" w:ascii="宋体" w:hAnsi="宋体" w:eastAsia="宋体" w:cs="Times New Roman"/>
                <w:color w:val="auto"/>
                <w:szCs w:val="21"/>
                <w:highlight w:val="none"/>
              </w:rPr>
              <w:t xml:space="preserve"> </w:t>
            </w:r>
            <w:r>
              <w:rPr>
                <w:rFonts w:ascii="宋体" w:hAnsi="宋体" w:eastAsia="宋体" w:cs="Times New Roman"/>
                <w:color w:val="auto"/>
                <w:szCs w:val="21"/>
                <w:highlight w:val="none"/>
              </w:rPr>
              <w:t>月</w:t>
            </w:r>
            <w:r>
              <w:rPr>
                <w:rFonts w:hint="eastAsia" w:ascii="宋体" w:hAnsi="宋体" w:eastAsia="宋体" w:cs="Times New Roman"/>
                <w:color w:val="auto"/>
                <w:szCs w:val="21"/>
                <w:highlight w:val="none"/>
              </w:rPr>
              <w:t xml:space="preserve"> </w:t>
            </w:r>
            <w:r>
              <w:rPr>
                <w:rFonts w:ascii="宋体" w:hAnsi="宋体" w:eastAsia="宋体" w:cs="Times New Roman"/>
                <w:color w:val="auto"/>
                <w:szCs w:val="21"/>
                <w:highlight w:val="none"/>
              </w:rPr>
              <w:t>日</w:t>
            </w:r>
            <w:r>
              <w:rPr>
                <w:rFonts w:hint="eastAsia" w:ascii="宋体" w:hAnsi="宋体" w:eastAsia="宋体" w:cs="Times New Roman"/>
                <w:color w:val="auto"/>
                <w:szCs w:val="21"/>
                <w:highlight w:val="none"/>
              </w:rPr>
              <w:t>前不得启封</w:t>
            </w:r>
          </w:p>
        </w:tc>
      </w:tr>
    </w:tbl>
    <w:p>
      <w:pPr>
        <w:numPr>
          <w:ilvl w:val="1"/>
          <w:numId w:val="4"/>
        </w:numPr>
        <w:autoSpaceDE w:val="0"/>
        <w:autoSpaceDN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采购代理机构对因不可抗力事件造成的遴选响应文件的损坏、丢失不承担责任。</w:t>
      </w:r>
    </w:p>
    <w:p>
      <w:pPr>
        <w:numPr>
          <w:ilvl w:val="1"/>
          <w:numId w:val="4"/>
        </w:numPr>
        <w:autoSpaceDE w:val="0"/>
        <w:autoSpaceDN w:val="0"/>
        <w:adjustRightInd w:val="0"/>
        <w:snapToGrid w:val="0"/>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eastAsia="zh-TW"/>
        </w:rPr>
        <w:t>如果未按本须知</w:t>
      </w:r>
      <w:r>
        <w:rPr>
          <w:rFonts w:hint="eastAsia" w:ascii="宋体" w:hAnsi="宋体" w:eastAsia="宋体" w:cs="宋体"/>
          <w:color w:val="auto"/>
          <w:szCs w:val="21"/>
          <w:highlight w:val="none"/>
        </w:rPr>
        <w:t>上款</w:t>
      </w:r>
      <w:r>
        <w:rPr>
          <w:rFonts w:hint="eastAsia" w:ascii="宋体" w:hAnsi="宋体" w:eastAsia="宋体" w:cs="宋体"/>
          <w:color w:val="auto"/>
          <w:szCs w:val="21"/>
          <w:highlight w:val="none"/>
          <w:lang w:eastAsia="zh-TW"/>
        </w:rPr>
        <w:t>要求加写标记和</w:t>
      </w:r>
      <w:r>
        <w:rPr>
          <w:rFonts w:hint="eastAsia" w:ascii="宋体" w:hAnsi="宋体" w:eastAsia="宋体" w:cs="宋体"/>
          <w:color w:val="auto"/>
          <w:szCs w:val="21"/>
          <w:highlight w:val="none"/>
        </w:rPr>
        <w:t>密封，</w:t>
      </w:r>
      <w:r>
        <w:rPr>
          <w:rFonts w:hint="eastAsia" w:ascii="宋体" w:hAnsi="宋体" w:eastAsia="宋体" w:cs="宋体"/>
          <w:color w:val="auto"/>
          <w:szCs w:val="21"/>
          <w:highlight w:val="none"/>
          <w:lang w:eastAsia="zh-TW"/>
        </w:rPr>
        <w:t>政府采购代理机构对误投或提前启封概不负责</w:t>
      </w:r>
      <w:r>
        <w:rPr>
          <w:rFonts w:hint="eastAsia" w:ascii="宋体" w:hAnsi="宋体" w:eastAsia="宋体" w:cs="宋体"/>
          <w:color w:val="auto"/>
          <w:szCs w:val="21"/>
          <w:highlight w:val="none"/>
        </w:rPr>
        <w:t>。</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65" w:name="_Toc320515040"/>
      <w:bookmarkStart w:id="166" w:name="_Toc322680366"/>
      <w:bookmarkStart w:id="167" w:name="_Toc323110999"/>
      <w:bookmarkStart w:id="168" w:name="_Toc315793476"/>
      <w:bookmarkStart w:id="169" w:name="_Toc320515089"/>
      <w:r>
        <w:rPr>
          <w:rFonts w:hint="eastAsia" w:ascii="宋体" w:hAnsi="宋体" w:eastAsia="宋体" w:cs="Times New Roman"/>
          <w:b/>
          <w:bCs/>
          <w:color w:val="auto"/>
          <w:sz w:val="24"/>
          <w:szCs w:val="24"/>
          <w:highlight w:val="none"/>
        </w:rPr>
        <w:t>遴选响应文件递交截止期</w:t>
      </w:r>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lang w:eastAsia="zh-TW"/>
        </w:rPr>
        <w:t>应在不迟于</w:t>
      </w:r>
      <w:r>
        <w:rPr>
          <w:rFonts w:hint="eastAsia" w:ascii="宋体" w:hAnsi="宋体" w:eastAsia="宋体" w:cs="宋体"/>
          <w:color w:val="auto"/>
          <w:szCs w:val="21"/>
          <w:highlight w:val="none"/>
        </w:rPr>
        <w:t>公开遴选文件</w:t>
      </w:r>
      <w:r>
        <w:rPr>
          <w:rFonts w:hint="eastAsia" w:ascii="宋体" w:hAnsi="宋体" w:eastAsia="宋体" w:cs="宋体"/>
          <w:color w:val="auto"/>
          <w:szCs w:val="21"/>
          <w:highlight w:val="none"/>
          <w:lang w:eastAsia="zh-TW"/>
        </w:rPr>
        <w:t>规定的</w:t>
      </w:r>
      <w:r>
        <w:rPr>
          <w:rFonts w:hint="eastAsia" w:ascii="宋体" w:hAnsi="宋体" w:eastAsia="宋体" w:cs="宋体"/>
          <w:color w:val="auto"/>
          <w:szCs w:val="21"/>
          <w:highlight w:val="none"/>
        </w:rPr>
        <w:t>遴选响应文件递交截止时间</w:t>
      </w:r>
      <w:r>
        <w:rPr>
          <w:rFonts w:hint="eastAsia" w:ascii="宋体" w:hAnsi="宋体" w:eastAsia="宋体" w:cs="宋体"/>
          <w:color w:val="auto"/>
          <w:szCs w:val="21"/>
          <w:highlight w:val="none"/>
          <w:lang w:eastAsia="zh-TW"/>
        </w:rPr>
        <w:t>将</w:t>
      </w:r>
      <w:r>
        <w:rPr>
          <w:rFonts w:hint="eastAsia" w:ascii="宋体" w:hAnsi="宋体" w:eastAsia="宋体" w:cs="宋体"/>
          <w:color w:val="auto"/>
          <w:szCs w:val="21"/>
          <w:highlight w:val="none"/>
        </w:rPr>
        <w:t>遴选响应文件</w:t>
      </w:r>
      <w:r>
        <w:rPr>
          <w:rFonts w:hint="eastAsia" w:ascii="宋体" w:hAnsi="宋体" w:eastAsia="宋体" w:cs="宋体"/>
          <w:color w:val="auto"/>
          <w:szCs w:val="21"/>
          <w:highlight w:val="none"/>
          <w:lang w:eastAsia="zh-TW"/>
        </w:rPr>
        <w:t>递交至政府采购代理机构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TW"/>
        </w:rPr>
        <w:t>递交地点应是</w:t>
      </w:r>
      <w:r>
        <w:rPr>
          <w:rFonts w:hint="eastAsia" w:ascii="宋体" w:hAnsi="宋体" w:eastAsia="宋体" w:cs="宋体"/>
          <w:color w:val="auto"/>
          <w:szCs w:val="21"/>
          <w:highlight w:val="none"/>
        </w:rPr>
        <w:t>公开遴选文件</w:t>
      </w:r>
      <w:r>
        <w:rPr>
          <w:rFonts w:hint="eastAsia" w:ascii="宋体" w:hAnsi="宋体" w:eastAsia="宋体" w:cs="宋体"/>
          <w:color w:val="auto"/>
          <w:szCs w:val="21"/>
          <w:highlight w:val="none"/>
          <w:lang w:eastAsia="zh-TW"/>
        </w:rPr>
        <w:t>中指明的地址。</w:t>
      </w:r>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r>
        <w:rPr>
          <w:rFonts w:hint="eastAsia" w:ascii="宋体" w:hAnsi="宋体" w:eastAsia="宋体" w:cs="宋体"/>
          <w:color w:val="auto"/>
          <w:szCs w:val="21"/>
          <w:highlight w:val="none"/>
          <w:lang w:eastAsia="zh-TW"/>
        </w:rPr>
        <w:t>采购代理机构将拒绝在规定的</w:t>
      </w:r>
      <w:r>
        <w:rPr>
          <w:rFonts w:hint="eastAsia" w:ascii="宋体" w:hAnsi="宋体" w:eastAsia="宋体" w:cs="宋体"/>
          <w:color w:val="auto"/>
          <w:szCs w:val="21"/>
          <w:highlight w:val="none"/>
        </w:rPr>
        <w:t>遴选响应文件递交截止时间</w:t>
      </w:r>
      <w:r>
        <w:rPr>
          <w:rFonts w:hint="eastAsia" w:ascii="宋体" w:hAnsi="宋体" w:eastAsia="宋体" w:cs="宋体"/>
          <w:color w:val="auto"/>
          <w:szCs w:val="21"/>
          <w:highlight w:val="none"/>
          <w:lang w:eastAsia="zh-TW"/>
        </w:rPr>
        <w:t>后收到的任何</w:t>
      </w:r>
      <w:r>
        <w:rPr>
          <w:rFonts w:hint="eastAsia" w:ascii="宋体" w:hAnsi="宋体" w:eastAsia="宋体" w:cs="宋体"/>
          <w:color w:val="auto"/>
          <w:szCs w:val="21"/>
          <w:highlight w:val="none"/>
        </w:rPr>
        <w:t>遴选响应文件</w:t>
      </w:r>
      <w:r>
        <w:rPr>
          <w:rFonts w:hint="eastAsia" w:ascii="宋体" w:hAnsi="宋体" w:eastAsia="宋体" w:cs="宋体"/>
          <w:color w:val="auto"/>
          <w:szCs w:val="21"/>
          <w:highlight w:val="none"/>
          <w:lang w:eastAsia="zh-TW"/>
        </w:rPr>
        <w:t>。</w:t>
      </w:r>
    </w:p>
    <w:bookmarkEnd w:id="165"/>
    <w:bookmarkEnd w:id="166"/>
    <w:bookmarkEnd w:id="167"/>
    <w:bookmarkEnd w:id="168"/>
    <w:bookmarkEnd w:id="169"/>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70" w:name="_Toc363737705"/>
      <w:bookmarkStart w:id="171" w:name="_Toc475104498"/>
      <w:bookmarkStart w:id="172" w:name="_Toc323111000"/>
      <w:r>
        <w:rPr>
          <w:rFonts w:hint="eastAsia" w:ascii="宋体" w:hAnsi="宋体" w:eastAsia="宋体" w:cs="Times New Roman"/>
          <w:b/>
          <w:bCs/>
          <w:color w:val="auto"/>
          <w:sz w:val="24"/>
          <w:szCs w:val="24"/>
          <w:highlight w:val="none"/>
        </w:rPr>
        <w:t>遴选响应文件的修改和撤回</w:t>
      </w:r>
      <w:bookmarkEnd w:id="170"/>
      <w:bookmarkEnd w:id="171"/>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lang w:eastAsia="zh-TW"/>
        </w:rPr>
        <w:t>在</w:t>
      </w:r>
      <w:r>
        <w:rPr>
          <w:rFonts w:hint="eastAsia" w:ascii="宋体" w:hAnsi="宋体" w:eastAsia="宋体" w:cs="Times New Roman"/>
          <w:color w:val="auto"/>
          <w:szCs w:val="24"/>
          <w:highlight w:val="none"/>
        </w:rPr>
        <w:t>遴选响应文件递交截止时间</w:t>
      </w:r>
      <w:r>
        <w:rPr>
          <w:rFonts w:hint="eastAsia" w:ascii="宋体" w:hAnsi="宋体" w:eastAsia="宋体" w:cs="宋体"/>
          <w:color w:val="auto"/>
          <w:szCs w:val="21"/>
          <w:highlight w:val="none"/>
          <w:lang w:eastAsia="zh-TW"/>
        </w:rPr>
        <w:t>前，可以对所递交的</w:t>
      </w:r>
      <w:r>
        <w:rPr>
          <w:rFonts w:hint="eastAsia" w:ascii="宋体" w:hAnsi="宋体" w:eastAsia="宋体" w:cs="Times New Roman"/>
          <w:color w:val="auto"/>
          <w:szCs w:val="21"/>
          <w:highlight w:val="none"/>
        </w:rPr>
        <w:t>遴选响应文件</w:t>
      </w:r>
      <w:r>
        <w:rPr>
          <w:rFonts w:hint="eastAsia" w:ascii="宋体" w:hAnsi="宋体" w:eastAsia="宋体" w:cs="宋体"/>
          <w:color w:val="auto"/>
          <w:szCs w:val="21"/>
          <w:highlight w:val="none"/>
          <w:lang w:eastAsia="zh-TW"/>
        </w:rPr>
        <w:t>进行补充、修改或者撤回，并书面通知</w:t>
      </w:r>
      <w:r>
        <w:rPr>
          <w:rFonts w:hint="eastAsia" w:ascii="宋体" w:hAnsi="宋体" w:eastAsia="宋体" w:cs="宋体"/>
          <w:color w:val="auto"/>
          <w:szCs w:val="21"/>
          <w:highlight w:val="none"/>
        </w:rPr>
        <w:t>采购代理机构</w:t>
      </w:r>
      <w:r>
        <w:rPr>
          <w:rFonts w:hint="eastAsia" w:ascii="宋体" w:hAnsi="宋体" w:eastAsia="宋体" w:cs="宋体"/>
          <w:color w:val="auto"/>
          <w:szCs w:val="21"/>
          <w:highlight w:val="none"/>
          <w:lang w:eastAsia="zh-TW"/>
        </w:rPr>
        <w:t>。补充、修改的内容应当按</w:t>
      </w:r>
      <w:r>
        <w:rPr>
          <w:rFonts w:hint="eastAsia" w:ascii="宋体" w:hAnsi="宋体" w:eastAsia="宋体" w:cs="宋体"/>
          <w:color w:val="auto"/>
          <w:szCs w:val="21"/>
          <w:highlight w:val="none"/>
        </w:rPr>
        <w:t>公开遴选文件</w:t>
      </w:r>
      <w:r>
        <w:rPr>
          <w:rFonts w:hint="eastAsia" w:ascii="宋体" w:hAnsi="宋体" w:eastAsia="宋体" w:cs="宋体"/>
          <w:color w:val="auto"/>
          <w:szCs w:val="21"/>
          <w:highlight w:val="none"/>
          <w:lang w:eastAsia="zh-TW"/>
        </w:rPr>
        <w:t>要求签署、盖章</w:t>
      </w:r>
      <w:r>
        <w:rPr>
          <w:rFonts w:hint="eastAsia" w:ascii="宋体" w:hAnsi="宋体" w:eastAsia="宋体" w:cs="宋体"/>
          <w:color w:val="auto"/>
          <w:szCs w:val="21"/>
          <w:highlight w:val="none"/>
        </w:rPr>
        <w:t>和密封</w:t>
      </w:r>
      <w:r>
        <w:rPr>
          <w:rFonts w:hint="eastAsia" w:ascii="宋体" w:hAnsi="宋体" w:eastAsia="宋体" w:cs="宋体"/>
          <w:color w:val="auto"/>
          <w:szCs w:val="21"/>
          <w:highlight w:val="none"/>
          <w:lang w:eastAsia="zh-TW"/>
        </w:rPr>
        <w:t>，</w:t>
      </w:r>
      <w:r>
        <w:rPr>
          <w:rFonts w:hint="eastAsia" w:ascii="宋体" w:hAnsi="宋体" w:eastAsia="宋体" w:cs="宋体"/>
          <w:color w:val="auto"/>
          <w:szCs w:val="21"/>
          <w:highlight w:val="none"/>
        </w:rPr>
        <w:t>在遴选响应文件递交截止时间前密封好提交，</w:t>
      </w:r>
      <w:r>
        <w:rPr>
          <w:rFonts w:hint="eastAsia" w:ascii="宋体" w:hAnsi="宋体" w:eastAsia="宋体" w:cs="宋体"/>
          <w:color w:val="auto"/>
          <w:szCs w:val="21"/>
          <w:highlight w:val="none"/>
          <w:lang w:eastAsia="zh-TW"/>
        </w:rPr>
        <w:t>并作为</w:t>
      </w:r>
      <w:r>
        <w:rPr>
          <w:rFonts w:hint="eastAsia" w:ascii="宋体" w:hAnsi="宋体" w:eastAsia="宋体" w:cs="宋体"/>
          <w:color w:val="auto"/>
          <w:szCs w:val="21"/>
          <w:highlight w:val="none"/>
        </w:rPr>
        <w:t>遴选响应文件</w:t>
      </w:r>
      <w:r>
        <w:rPr>
          <w:rFonts w:hint="eastAsia" w:ascii="宋体" w:hAnsi="宋体" w:eastAsia="宋体" w:cs="宋体"/>
          <w:color w:val="auto"/>
          <w:szCs w:val="21"/>
          <w:highlight w:val="none"/>
          <w:lang w:eastAsia="zh-TW"/>
        </w:rPr>
        <w:t>的组成部分。补充、修改的内容与响应文件不一致的，以补充、修改的内容为准。在</w:t>
      </w:r>
      <w:r>
        <w:rPr>
          <w:rFonts w:hint="eastAsia" w:ascii="宋体" w:hAnsi="宋体" w:eastAsia="宋体" w:cs="Times New Roman"/>
          <w:color w:val="auto"/>
          <w:szCs w:val="24"/>
          <w:highlight w:val="none"/>
        </w:rPr>
        <w:t>遴选响应文件递交截止时间</w:t>
      </w:r>
      <w:r>
        <w:rPr>
          <w:rFonts w:hint="eastAsia" w:ascii="宋体" w:hAnsi="宋体" w:eastAsia="宋体" w:cs="宋体"/>
          <w:color w:val="auto"/>
          <w:szCs w:val="21"/>
          <w:highlight w:val="none"/>
          <w:lang w:eastAsia="zh-TW"/>
        </w:rPr>
        <w:t>后，</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lang w:eastAsia="zh-TW"/>
        </w:rPr>
        <w:t>不得对其</w:t>
      </w:r>
      <w:r>
        <w:rPr>
          <w:rFonts w:hint="eastAsia" w:ascii="宋体" w:hAnsi="宋体" w:eastAsia="宋体" w:cs="宋体"/>
          <w:color w:val="auto"/>
          <w:szCs w:val="21"/>
          <w:highlight w:val="none"/>
        </w:rPr>
        <w:t>遴选响应文件</w:t>
      </w:r>
      <w:r>
        <w:rPr>
          <w:rFonts w:hint="eastAsia" w:ascii="宋体" w:hAnsi="宋体" w:eastAsia="宋体" w:cs="宋体"/>
          <w:color w:val="auto"/>
          <w:szCs w:val="21"/>
          <w:highlight w:val="none"/>
          <w:lang w:eastAsia="zh-TW"/>
        </w:rPr>
        <w:t>做任何修改和补充。</w:t>
      </w:r>
    </w:p>
    <w:p>
      <w:pPr>
        <w:numPr>
          <w:ilvl w:val="0"/>
          <w:numId w:val="3"/>
        </w:numPr>
        <w:autoSpaceDE w:val="0"/>
        <w:autoSpaceDN w:val="0"/>
        <w:adjustRightInd w:val="0"/>
        <w:snapToGrid w:val="0"/>
        <w:spacing w:before="240" w:beforeLines="100" w:after="240" w:afterLines="100" w:line="360" w:lineRule="auto"/>
        <w:ind w:left="601" w:hanging="601"/>
        <w:jc w:val="center"/>
        <w:outlineLvl w:val="0"/>
        <w:rPr>
          <w:rFonts w:ascii="宋体" w:hAnsi="宋体" w:eastAsia="宋体" w:cs="Times New Roman"/>
          <w:b/>
          <w:color w:val="auto"/>
          <w:sz w:val="28"/>
          <w:szCs w:val="28"/>
          <w:highlight w:val="none"/>
          <w:lang w:eastAsia="zh-TW"/>
        </w:rPr>
      </w:pPr>
      <w:bookmarkStart w:id="173" w:name="_Toc475104499"/>
      <w:bookmarkStart w:id="174" w:name="_Toc363737706"/>
      <w:r>
        <w:rPr>
          <w:rFonts w:hint="eastAsia" w:ascii="宋体" w:hAnsi="宋体" w:eastAsia="宋体" w:cs="Times New Roman"/>
          <w:b/>
          <w:color w:val="auto"/>
          <w:sz w:val="28"/>
          <w:szCs w:val="28"/>
          <w:highlight w:val="none"/>
        </w:rPr>
        <w:t>遴选流程</w:t>
      </w:r>
      <w:bookmarkEnd w:id="172"/>
      <w:bookmarkEnd w:id="173"/>
      <w:bookmarkEnd w:id="174"/>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评审小组</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bookmarkStart w:id="175" w:name="_Toc315793480"/>
      <w:bookmarkStart w:id="176" w:name="_Toc323111003"/>
      <w:bookmarkStart w:id="177" w:name="_Toc322680370"/>
      <w:bookmarkStart w:id="178" w:name="_Toc363737709"/>
      <w:bookmarkStart w:id="179" w:name="_Toc320515093"/>
      <w:bookmarkStart w:id="180" w:name="_Toc320515044"/>
      <w:bookmarkStart w:id="181" w:name="_Toc475104502"/>
      <w:r>
        <w:rPr>
          <w:rFonts w:hint="eastAsia" w:ascii="宋体" w:hAnsi="宋体" w:eastAsia="宋体" w:cs="Times New Roman"/>
          <w:color w:val="auto"/>
          <w:szCs w:val="21"/>
          <w:highlight w:val="none"/>
        </w:rPr>
        <w:t>遴选</w:t>
      </w:r>
      <w:r>
        <w:rPr>
          <w:rFonts w:hint="eastAsia" w:ascii="宋体" w:hAnsi="宋体" w:eastAsia="宋体" w:cs="宋体"/>
          <w:color w:val="auto"/>
          <w:szCs w:val="21"/>
          <w:highlight w:val="none"/>
        </w:rPr>
        <w:t>由依照政府采购法律、法规、规章、政策的规定组建的</w:t>
      </w:r>
      <w:r>
        <w:rPr>
          <w:rFonts w:hint="eastAsia" w:ascii="宋体" w:hAnsi="宋体" w:eastAsia="宋体" w:cs="Times New Roman"/>
          <w:color w:val="auto"/>
          <w:szCs w:val="21"/>
          <w:highlight w:val="none"/>
        </w:rPr>
        <w:t>评审小组</w:t>
      </w:r>
      <w:r>
        <w:rPr>
          <w:rFonts w:hint="eastAsia" w:ascii="宋体" w:hAnsi="宋体" w:eastAsia="宋体" w:cs="宋体"/>
          <w:color w:val="auto"/>
          <w:szCs w:val="21"/>
          <w:highlight w:val="none"/>
        </w:rPr>
        <w:t>负责。评审小组由采购人代表和评审专家组成，其中评审专家人数不得少于评审小组成员总数的2/3。如采购人不派代表参加评审，则评审委员会全部由从政府采购专家库随机抽取的专家组成。评审专家从政府采购评审专家库内相关专业的专家名单中随机抽取。</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lang w:eastAsia="zh-TW"/>
        </w:rPr>
      </w:pPr>
      <w:r>
        <w:rPr>
          <w:rFonts w:hint="eastAsia" w:ascii="宋体" w:hAnsi="宋体" w:eastAsia="宋体" w:cs="Times New Roman"/>
          <w:color w:val="auto"/>
          <w:szCs w:val="21"/>
          <w:highlight w:val="none"/>
        </w:rPr>
        <w:t>评审小组</w:t>
      </w:r>
      <w:r>
        <w:rPr>
          <w:rFonts w:hint="eastAsia" w:ascii="宋体" w:hAnsi="宋体" w:eastAsia="宋体" w:cs="宋体"/>
          <w:color w:val="auto"/>
          <w:szCs w:val="21"/>
          <w:highlight w:val="none"/>
          <w:lang w:eastAsia="zh-TW"/>
        </w:rPr>
        <w:t>名单在</w:t>
      </w:r>
      <w:r>
        <w:rPr>
          <w:rFonts w:hint="eastAsia" w:ascii="宋体" w:hAnsi="宋体" w:eastAsia="宋体" w:cs="宋体"/>
          <w:color w:val="auto"/>
          <w:szCs w:val="21"/>
          <w:highlight w:val="none"/>
        </w:rPr>
        <w:t>遴选</w:t>
      </w:r>
      <w:r>
        <w:rPr>
          <w:rFonts w:hint="eastAsia" w:ascii="宋体" w:hAnsi="宋体" w:eastAsia="宋体" w:cs="宋体"/>
          <w:color w:val="auto"/>
          <w:szCs w:val="21"/>
          <w:highlight w:val="none"/>
          <w:lang w:eastAsia="zh-TW"/>
        </w:rPr>
        <w:t>结果确定前严格保密。评审专家（含采购人代表）</w:t>
      </w:r>
      <w:r>
        <w:rPr>
          <w:rFonts w:hint="eastAsia" w:ascii="宋体" w:hAnsi="宋体" w:eastAsia="宋体" w:cs="宋体"/>
          <w:color w:val="auto"/>
          <w:szCs w:val="21"/>
          <w:highlight w:val="none"/>
        </w:rPr>
        <w:t>不得参与同自己或任职单位有利害关系的政府采购项目遴选活动。具有下列情形之一的，评审专家应主动提出回避，采购人、采购代理机构和政府采购监管部门也可以要求其回避</w:t>
      </w:r>
      <w:r>
        <w:rPr>
          <w:rFonts w:hint="eastAsia" w:ascii="宋体" w:hAnsi="宋体" w:eastAsia="宋体" w:cs="宋体"/>
          <w:color w:val="auto"/>
          <w:szCs w:val="21"/>
          <w:highlight w:val="none"/>
          <w:lang w:eastAsia="zh-TW"/>
        </w:rPr>
        <w:t xml:space="preserve">： </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lang w:eastAsia="zh-TW"/>
        </w:rPr>
      </w:pPr>
      <w:r>
        <w:rPr>
          <w:rFonts w:hint="eastAsia" w:ascii="宋体" w:hAnsi="宋体" w:eastAsia="宋体" w:cs="宋体"/>
          <w:color w:val="auto"/>
          <w:szCs w:val="21"/>
          <w:highlight w:val="none"/>
        </w:rPr>
        <w:t>本人、配偶或直系亲属3年内曾在参加该采购项目的</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中任职（包括一般工作）或担任顾问，或参与该采购项目的</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发生过法律纠纷；</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lang w:eastAsia="zh-TW"/>
        </w:rPr>
      </w:pPr>
      <w:r>
        <w:rPr>
          <w:rFonts w:hint="eastAsia" w:ascii="宋体" w:hAnsi="宋体" w:eastAsia="宋体" w:cs="宋体"/>
          <w:color w:val="auto"/>
          <w:szCs w:val="21"/>
          <w:highlight w:val="none"/>
        </w:rPr>
        <w:t>任职单位与采购人或参加该采购项目</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存在行政隶属关系；</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lang w:eastAsia="zh-TW"/>
        </w:rPr>
      </w:pPr>
      <w:r>
        <w:rPr>
          <w:rFonts w:hint="eastAsia" w:ascii="宋体" w:hAnsi="宋体" w:eastAsia="宋体" w:cs="宋体"/>
          <w:color w:val="auto"/>
          <w:szCs w:val="21"/>
          <w:highlight w:val="none"/>
        </w:rPr>
        <w:t>曾经参加过该采购项目的进口产品或</w:t>
      </w:r>
      <w:r>
        <w:rPr>
          <w:rFonts w:hint="eastAsia" w:ascii="宋体" w:hAnsi="宋体" w:eastAsia="宋体" w:cs="Times New Roman"/>
          <w:bCs/>
          <w:color w:val="auto"/>
          <w:szCs w:val="21"/>
          <w:highlight w:val="none"/>
        </w:rPr>
        <w:t>公开遴选文件</w:t>
      </w:r>
      <w:r>
        <w:rPr>
          <w:rFonts w:hint="eastAsia" w:ascii="宋体" w:hAnsi="宋体" w:eastAsia="宋体" w:cs="宋体"/>
          <w:color w:val="auto"/>
          <w:szCs w:val="21"/>
          <w:highlight w:val="none"/>
        </w:rPr>
        <w:t>、采购需求、采购方式的论证和咨询服务工作；</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lang w:eastAsia="zh-TW"/>
        </w:rPr>
      </w:pPr>
      <w:r>
        <w:rPr>
          <w:rFonts w:hint="eastAsia" w:ascii="宋体" w:hAnsi="宋体" w:eastAsia="宋体" w:cs="宋体"/>
          <w:color w:val="auto"/>
          <w:szCs w:val="21"/>
          <w:highlight w:val="none"/>
        </w:rPr>
        <w:t>是参加该采购项目</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的上级主管部门、控股或参股单位的工作人员、或与该</w:t>
      </w:r>
      <w:r>
        <w:rPr>
          <w:rFonts w:hint="eastAsia" w:ascii="Times New Roman" w:hAnsi="Times New Roman" w:eastAsia="宋体" w:cs="宋体"/>
          <w:color w:val="auto"/>
          <w:szCs w:val="21"/>
          <w:highlight w:val="none"/>
        </w:rPr>
        <w:t>供应商</w:t>
      </w:r>
      <w:r>
        <w:rPr>
          <w:rFonts w:hint="eastAsia" w:ascii="宋体" w:hAnsi="宋体" w:eastAsia="宋体" w:cs="宋体"/>
          <w:color w:val="auto"/>
          <w:szCs w:val="21"/>
          <w:highlight w:val="none"/>
        </w:rPr>
        <w:t>存在其他经济利益关系；</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lang w:eastAsia="zh-TW"/>
        </w:rPr>
      </w:pPr>
      <w:r>
        <w:rPr>
          <w:rFonts w:hint="eastAsia" w:ascii="宋体" w:hAnsi="宋体" w:eastAsia="宋体" w:cs="Times New Roman"/>
          <w:color w:val="auto"/>
          <w:szCs w:val="21"/>
          <w:highlight w:val="none"/>
        </w:rPr>
        <w:t>评审小组</w:t>
      </w:r>
      <w:r>
        <w:rPr>
          <w:rFonts w:hint="eastAsia" w:ascii="宋体" w:hAnsi="宋体" w:eastAsia="宋体" w:cs="宋体"/>
          <w:color w:val="auto"/>
          <w:szCs w:val="21"/>
          <w:highlight w:val="none"/>
        </w:rPr>
        <w:t>成员之间具有配偶、近亲属关系；</w:t>
      </w:r>
    </w:p>
    <w:p>
      <w:pPr>
        <w:numPr>
          <w:ilvl w:val="2"/>
          <w:numId w:val="4"/>
        </w:numPr>
        <w:tabs>
          <w:tab w:val="left" w:pos="851"/>
        </w:tabs>
        <w:autoSpaceDE w:val="0"/>
        <w:autoSpaceDN w:val="0"/>
        <w:adjustRightInd w:val="0"/>
        <w:snapToGrid w:val="0"/>
        <w:spacing w:line="360" w:lineRule="auto"/>
        <w:jc w:val="left"/>
        <w:rPr>
          <w:rFonts w:ascii="宋体" w:hAnsi="宋体" w:eastAsia="宋体" w:cs="宋体"/>
          <w:color w:val="auto"/>
          <w:szCs w:val="21"/>
          <w:highlight w:val="none"/>
          <w:lang w:eastAsia="zh-TW"/>
        </w:rPr>
      </w:pPr>
      <w:r>
        <w:rPr>
          <w:rFonts w:hint="eastAsia" w:ascii="宋体" w:hAnsi="宋体" w:eastAsia="宋体" w:cs="宋体"/>
          <w:color w:val="auto"/>
          <w:szCs w:val="21"/>
          <w:highlight w:val="none"/>
        </w:rPr>
        <w:t>同一单位的评审专家在同一项目</w:t>
      </w:r>
      <w:r>
        <w:rPr>
          <w:rFonts w:hint="eastAsia" w:ascii="宋体" w:hAnsi="宋体" w:eastAsia="宋体" w:cs="Times New Roman"/>
          <w:color w:val="auto"/>
          <w:szCs w:val="21"/>
          <w:highlight w:val="none"/>
        </w:rPr>
        <w:t>评审小组</w:t>
      </w:r>
      <w:r>
        <w:rPr>
          <w:rFonts w:hint="eastAsia" w:ascii="宋体" w:hAnsi="宋体" w:eastAsia="宋体" w:cs="宋体"/>
          <w:color w:val="auto"/>
          <w:szCs w:val="21"/>
          <w:highlight w:val="none"/>
        </w:rPr>
        <w:t>成员中超过两名；</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参加采购活动前3年内与供应商存在劳动关系；</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参加采购活动前3年内担任供应商的董事、监事；</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参加采购活动前3年内是供应商的控股股东或者实际控制人；</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TW"/>
        </w:rPr>
        <w:t>与供应商的法定代表人或者负责人有夫妻、直系血亲、三代以内旁系血亲或者近姻亲关系</w:t>
      </w:r>
      <w:r>
        <w:rPr>
          <w:rFonts w:hint="eastAsia" w:ascii="宋体" w:hAnsi="宋体" w:eastAsia="宋体" w:cs="宋体"/>
          <w:color w:val="auto"/>
          <w:szCs w:val="21"/>
          <w:highlight w:val="none"/>
        </w:rPr>
        <w:t>；</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TW"/>
        </w:rPr>
        <w:t>与供应商有其他可能影响政府采购活动公平、公正进行的关系</w:t>
      </w:r>
      <w:r>
        <w:rPr>
          <w:rFonts w:hint="eastAsia" w:ascii="宋体" w:hAnsi="宋体" w:eastAsia="宋体" w:cs="宋体"/>
          <w:color w:val="auto"/>
          <w:szCs w:val="21"/>
          <w:highlight w:val="none"/>
        </w:rPr>
        <w:t>。</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TW"/>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遴选响应文件的</w:t>
      </w:r>
      <w:bookmarkEnd w:id="175"/>
      <w:bookmarkEnd w:id="176"/>
      <w:bookmarkEnd w:id="177"/>
      <w:bookmarkEnd w:id="178"/>
      <w:bookmarkEnd w:id="179"/>
      <w:bookmarkEnd w:id="180"/>
      <w:r>
        <w:rPr>
          <w:rFonts w:hint="eastAsia" w:ascii="宋体" w:hAnsi="宋体" w:eastAsia="宋体" w:cs="Times New Roman"/>
          <w:b/>
          <w:bCs/>
          <w:color w:val="auto"/>
          <w:sz w:val="24"/>
          <w:szCs w:val="24"/>
          <w:highlight w:val="none"/>
        </w:rPr>
        <w:t>资格性审查及符合性检查</w:t>
      </w:r>
      <w:bookmarkEnd w:id="181"/>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r>
        <w:rPr>
          <w:rFonts w:hint="eastAsia" w:ascii="宋体" w:hAnsi="宋体" w:eastAsia="宋体" w:cs="Times New Roman"/>
          <w:color w:val="auto"/>
          <w:szCs w:val="21"/>
          <w:highlight w:val="none"/>
        </w:rPr>
        <w:t>评审小组</w:t>
      </w:r>
      <w:r>
        <w:rPr>
          <w:rFonts w:hint="eastAsia" w:ascii="宋体" w:hAnsi="宋体" w:eastAsia="宋体" w:cs="宋体"/>
          <w:color w:val="auto"/>
          <w:szCs w:val="21"/>
          <w:highlight w:val="none"/>
          <w:lang w:eastAsia="zh-TW"/>
        </w:rPr>
        <w:t>将根据</w:t>
      </w:r>
      <w:r>
        <w:rPr>
          <w:rFonts w:hint="eastAsia" w:ascii="宋体" w:hAnsi="宋体" w:eastAsia="宋体" w:cs="宋体"/>
          <w:color w:val="auto"/>
          <w:szCs w:val="21"/>
          <w:highlight w:val="none"/>
        </w:rPr>
        <w:t>公开遴选文件</w:t>
      </w:r>
      <w:r>
        <w:rPr>
          <w:rFonts w:hint="eastAsia" w:ascii="宋体" w:hAnsi="宋体" w:eastAsia="宋体" w:cs="宋体"/>
          <w:color w:val="auto"/>
          <w:szCs w:val="21"/>
          <w:highlight w:val="none"/>
          <w:lang w:eastAsia="zh-TW"/>
        </w:rPr>
        <w:t>的规定，对各</w:t>
      </w:r>
      <w:r>
        <w:rPr>
          <w:rFonts w:hint="eastAsia" w:ascii="宋体" w:hAnsi="宋体" w:eastAsia="宋体" w:cs="Times New Roman"/>
          <w:color w:val="auto"/>
          <w:szCs w:val="21"/>
          <w:highlight w:val="none"/>
        </w:rPr>
        <w:t>遴选响应文件</w:t>
      </w:r>
      <w:r>
        <w:rPr>
          <w:rFonts w:hint="eastAsia" w:ascii="宋体" w:hAnsi="宋体" w:eastAsia="宋体" w:cs="宋体"/>
          <w:color w:val="auto"/>
          <w:szCs w:val="21"/>
          <w:highlight w:val="none"/>
          <w:lang w:eastAsia="zh-TW"/>
        </w:rPr>
        <w:t>进行资格性审查及符合性检查</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遴选响应文件</w:t>
      </w:r>
      <w:r>
        <w:rPr>
          <w:rFonts w:hint="eastAsia" w:ascii="宋体" w:hAnsi="宋体" w:eastAsia="宋体" w:cs="宋体"/>
          <w:color w:val="auto"/>
          <w:szCs w:val="21"/>
          <w:highlight w:val="none"/>
          <w:lang w:eastAsia="zh-TW"/>
        </w:rPr>
        <w:t>出现下列情况之一时将被认定为</w:t>
      </w:r>
      <w:r>
        <w:rPr>
          <w:rFonts w:hint="eastAsia" w:ascii="宋体" w:hAnsi="宋体" w:eastAsia="宋体" w:cs="宋体"/>
          <w:color w:val="auto"/>
          <w:szCs w:val="21"/>
          <w:highlight w:val="none"/>
        </w:rPr>
        <w:t>采购响应无效</w:t>
      </w:r>
      <w:r>
        <w:rPr>
          <w:rFonts w:hint="eastAsia" w:ascii="宋体" w:hAnsi="宋体" w:eastAsia="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eastAsia="宋体" w:cs="黑体"/>
          <w:bCs/>
          <w:color w:val="auto"/>
          <w:szCs w:val="21"/>
          <w:highlight w:val="none"/>
        </w:rPr>
      </w:pPr>
      <w:r>
        <w:rPr>
          <w:rFonts w:hint="eastAsia" w:ascii="宋体" w:hAnsi="宋体" w:eastAsia="宋体" w:cs="黑体"/>
          <w:bCs/>
          <w:color w:val="auto"/>
          <w:szCs w:val="21"/>
          <w:highlight w:val="none"/>
        </w:rPr>
        <w:t>1）</w:t>
      </w:r>
      <w:r>
        <w:rPr>
          <w:rFonts w:hint="eastAsia" w:ascii="Times New Roman" w:hAnsi="Times New Roman" w:eastAsia="宋体" w:cs="宋体"/>
          <w:color w:val="auto"/>
          <w:szCs w:val="21"/>
          <w:highlight w:val="none"/>
        </w:rPr>
        <w:t>供应商</w:t>
      </w:r>
      <w:r>
        <w:rPr>
          <w:rFonts w:hint="eastAsia" w:ascii="宋体" w:hAnsi="宋体" w:eastAsia="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eastAsia="宋体" w:cs="Times New Roman"/>
          <w:color w:val="auto"/>
          <w:szCs w:val="21"/>
          <w:highlight w:val="none"/>
        </w:rPr>
        <w:t>遴选响应文件</w:t>
      </w:r>
      <w:r>
        <w:rPr>
          <w:rFonts w:hint="eastAsia" w:ascii="宋体" w:hAnsi="宋体" w:eastAsia="宋体" w:cs="Times New Roman"/>
          <w:color w:val="auto"/>
          <w:kern w:val="0"/>
          <w:szCs w:val="21"/>
          <w:highlight w:val="none"/>
        </w:rPr>
        <w:t>没有</w:t>
      </w:r>
      <w:r>
        <w:rPr>
          <w:rFonts w:hint="eastAsia" w:ascii="Times New Roman" w:hAnsi="Times New Roman" w:eastAsia="宋体" w:cs="宋体"/>
          <w:color w:val="auto"/>
          <w:szCs w:val="21"/>
          <w:highlight w:val="none"/>
        </w:rPr>
        <w:t>供应商</w:t>
      </w:r>
      <w:r>
        <w:rPr>
          <w:rFonts w:hint="eastAsia" w:ascii="宋体" w:hAnsi="宋体" w:eastAsia="宋体" w:cs="Times New Roman"/>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r>
        <w:rPr>
          <w:rFonts w:hint="eastAsia" w:ascii="Times New Roman" w:hAnsi="Times New Roman" w:eastAsia="宋体" w:cs="宋体"/>
          <w:color w:val="auto"/>
          <w:szCs w:val="21"/>
          <w:highlight w:val="none"/>
        </w:rPr>
        <w:t>供应商</w:t>
      </w:r>
      <w:r>
        <w:rPr>
          <w:rFonts w:hint="eastAsia" w:ascii="宋体" w:hAnsi="宋体" w:eastAsia="宋体" w:cs="Times New Roman"/>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hint="eastAsia" w:ascii="宋体" w:hAnsi="宋体" w:eastAsia="宋体" w:cs="Times New Roman"/>
          <w:color w:val="auto"/>
          <w:szCs w:val="21"/>
          <w:highlight w:val="none"/>
        </w:rPr>
        <w:t>遴选响应文件</w:t>
      </w:r>
      <w:r>
        <w:rPr>
          <w:rFonts w:hint="eastAsia" w:ascii="宋体" w:hAnsi="宋体" w:eastAsia="宋体" w:cs="Times New Roman"/>
          <w:color w:val="auto"/>
          <w:kern w:val="0"/>
          <w:szCs w:val="21"/>
          <w:highlight w:val="none"/>
        </w:rPr>
        <w:t>提供虚假材料；</w:t>
      </w:r>
    </w:p>
    <w:p>
      <w:pPr>
        <w:autoSpaceDE w:val="0"/>
        <w:autoSpaceDN w:val="0"/>
        <w:adjustRightInd w:val="0"/>
        <w:snapToGrid w:val="0"/>
        <w:spacing w:line="360" w:lineRule="auto"/>
        <w:ind w:firstLine="525" w:firstLineChars="25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r>
        <w:rPr>
          <w:rFonts w:hint="eastAsia" w:ascii="宋体" w:hAnsi="宋体" w:eastAsia="宋体" w:cs="Times New Roman"/>
          <w:color w:val="auto"/>
          <w:szCs w:val="21"/>
          <w:highlight w:val="none"/>
        </w:rPr>
        <w:t>遴选响应文件</w:t>
      </w:r>
      <w:r>
        <w:rPr>
          <w:rFonts w:hint="eastAsia" w:ascii="宋体" w:hAnsi="宋体" w:eastAsia="宋体" w:cs="Times New Roman"/>
          <w:color w:val="auto"/>
          <w:kern w:val="0"/>
          <w:szCs w:val="21"/>
          <w:highlight w:val="none"/>
        </w:rPr>
        <w:t>未完全满足公开遴选文件中带“★”号的条款或指标；</w:t>
      </w:r>
    </w:p>
    <w:p>
      <w:pPr>
        <w:autoSpaceDE w:val="0"/>
        <w:autoSpaceDN w:val="0"/>
        <w:adjustRightInd w:val="0"/>
        <w:snapToGrid w:val="0"/>
        <w:spacing w:line="360" w:lineRule="auto"/>
        <w:ind w:firstLine="525" w:firstLineChars="25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w:t>
      </w:r>
      <w:r>
        <w:rPr>
          <w:rFonts w:hint="eastAsia" w:ascii="Times New Roman" w:hAnsi="Times New Roman" w:eastAsia="宋体" w:cs="宋体"/>
          <w:color w:val="auto"/>
          <w:szCs w:val="21"/>
          <w:highlight w:val="none"/>
        </w:rPr>
        <w:t>供应商</w:t>
      </w:r>
      <w:r>
        <w:rPr>
          <w:rFonts w:hint="eastAsia" w:ascii="宋体" w:hAnsi="宋体" w:eastAsia="宋体" w:cs="Times New Roman"/>
          <w:color w:val="auto"/>
          <w:kern w:val="0"/>
          <w:szCs w:val="21"/>
          <w:highlight w:val="none"/>
        </w:rPr>
        <w:t>的相关证件、证明文件、合同和其他文件的原件、复印件没有按公开遴选文件规定提交或提交的原件与复印件不一致的；</w:t>
      </w:r>
    </w:p>
    <w:p>
      <w:pPr>
        <w:autoSpaceDE w:val="0"/>
        <w:autoSpaceDN w:val="0"/>
        <w:adjustRightInd w:val="0"/>
        <w:snapToGrid w:val="0"/>
        <w:spacing w:line="360" w:lineRule="auto"/>
        <w:ind w:firstLine="525" w:firstLineChars="250"/>
        <w:jc w:val="left"/>
        <w:rPr>
          <w:rFonts w:ascii="宋体" w:hAnsi="宋体" w:eastAsia="宋体" w:cs="Times New Roman"/>
          <w:color w:val="auto"/>
          <w:kern w:val="0"/>
          <w:szCs w:val="21"/>
          <w:highlight w:val="none"/>
        </w:rPr>
      </w:pPr>
      <w:r>
        <w:rPr>
          <w:rFonts w:hint="eastAsia" w:ascii="宋体" w:hAnsi="宋体" w:eastAsia="宋体" w:cs="黑体"/>
          <w:bCs/>
          <w:color w:val="auto"/>
          <w:szCs w:val="21"/>
          <w:highlight w:val="none"/>
        </w:rPr>
        <w:t>7）</w:t>
      </w:r>
      <w:r>
        <w:rPr>
          <w:rFonts w:hint="eastAsia" w:ascii="宋体" w:hAnsi="宋体" w:eastAsia="宋体" w:cs="Times New Roman"/>
          <w:color w:val="auto"/>
          <w:kern w:val="0"/>
          <w:szCs w:val="21"/>
          <w:highlight w:val="none"/>
        </w:rPr>
        <w:t>除遴选文件中另有规定外，本次采购不接受选择性报价及备选方案。每次报价固定唯一，且没有超采购项目预算金额；</w:t>
      </w:r>
    </w:p>
    <w:p>
      <w:pPr>
        <w:autoSpaceDE w:val="0"/>
        <w:autoSpaceDN w:val="0"/>
        <w:adjustRightInd w:val="0"/>
        <w:snapToGrid w:val="0"/>
        <w:spacing w:line="360" w:lineRule="auto"/>
        <w:ind w:firstLine="525" w:firstLineChars="25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8）最终响应报价不确定或超过公开遴选文件中列出的采购预算（最高限价）的；</w:t>
      </w:r>
    </w:p>
    <w:p>
      <w:pPr>
        <w:autoSpaceDE w:val="0"/>
        <w:autoSpaceDN w:val="0"/>
        <w:adjustRightInd w:val="0"/>
        <w:snapToGrid w:val="0"/>
        <w:spacing w:line="360" w:lineRule="auto"/>
        <w:ind w:firstLine="525" w:firstLineChars="25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9)恶意竞争低于成本价的；</w:t>
      </w:r>
    </w:p>
    <w:p>
      <w:pPr>
        <w:autoSpaceDE w:val="0"/>
        <w:autoSpaceDN w:val="0"/>
        <w:adjustRightInd w:val="0"/>
        <w:snapToGrid w:val="0"/>
        <w:spacing w:line="360" w:lineRule="auto"/>
        <w:ind w:firstLine="525" w:firstLineChars="25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10）遴选期间，供应商没有按评审小组的要求提交经授权代表签字的澄清、说明、补正或改变了遴选响应文件的实质性内容；</w:t>
      </w:r>
    </w:p>
    <w:p>
      <w:pPr>
        <w:autoSpaceDE w:val="0"/>
        <w:autoSpaceDN w:val="0"/>
        <w:adjustRightInd w:val="0"/>
        <w:snapToGrid w:val="0"/>
        <w:spacing w:line="360" w:lineRule="auto"/>
        <w:ind w:firstLine="525" w:firstLineChars="25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11）供应商对采购人、采购代理机构、评审小组及其工作人员施加影响，有碍公平、公正；</w:t>
      </w:r>
    </w:p>
    <w:p>
      <w:pPr>
        <w:autoSpaceDE w:val="0"/>
        <w:autoSpaceDN w:val="0"/>
        <w:adjustRightInd w:val="0"/>
        <w:snapToGrid w:val="0"/>
        <w:spacing w:line="360" w:lineRule="auto"/>
        <w:ind w:firstLine="525" w:firstLineChars="25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12）法律、法规、规章规定属于报价无效的其他情形。</w:t>
      </w:r>
    </w:p>
    <w:p>
      <w:pPr>
        <w:spacing w:line="360" w:lineRule="auto"/>
        <w:ind w:left="420" w:leftChars="200" w:firstLine="315" w:firstLineChars="150"/>
        <w:jc w:val="left"/>
        <w:rPr>
          <w:rFonts w:ascii="宋体" w:hAnsi="宋体" w:eastAsia="宋体" w:cs="Times New Roman"/>
          <w:color w:val="auto"/>
          <w:szCs w:val="21"/>
          <w:highlight w:val="none"/>
        </w:rPr>
      </w:pPr>
      <w:bookmarkStart w:id="182" w:name="_Toc351716665"/>
      <w:bookmarkStart w:id="183" w:name="_Toc363737710"/>
      <w:bookmarkStart w:id="184" w:name="_Toc475104503"/>
      <w:bookmarkStart w:id="185" w:name="_Toc323111004"/>
      <w:bookmarkStart w:id="186" w:name="_Toc323111005"/>
      <w:bookmarkStart w:id="187" w:name="_Toc315793483"/>
      <w:bookmarkStart w:id="188" w:name="_Toc320515047"/>
      <w:bookmarkStart w:id="189" w:name="_Toc320515096"/>
      <w:bookmarkStart w:id="190" w:name="_Toc322680372"/>
      <w:r>
        <w:rPr>
          <w:rFonts w:hint="eastAsia" w:ascii="宋体" w:hAnsi="宋体" w:eastAsia="宋体" w:cs="Times New Roman"/>
          <w:color w:val="auto"/>
          <w:szCs w:val="21"/>
          <w:highlight w:val="none"/>
        </w:rPr>
        <w:t>评审小组</w:t>
      </w:r>
      <w:r>
        <w:rPr>
          <w:rFonts w:hint="eastAsia" w:ascii="宋体" w:hAnsi="宋体" w:eastAsia="宋体" w:cs="黑体"/>
          <w:bCs/>
          <w:color w:val="auto"/>
          <w:szCs w:val="21"/>
          <w:highlight w:val="none"/>
        </w:rPr>
        <w:t>进行资格性、符合性检查时发现</w:t>
      </w:r>
      <w:r>
        <w:rPr>
          <w:rFonts w:hint="eastAsia" w:ascii="Times New Roman" w:hAnsi="Times New Roman" w:eastAsia="宋体" w:cs="宋体"/>
          <w:color w:val="auto"/>
          <w:szCs w:val="21"/>
          <w:highlight w:val="none"/>
        </w:rPr>
        <w:t>供应商</w:t>
      </w:r>
      <w:r>
        <w:rPr>
          <w:rFonts w:hint="eastAsia" w:ascii="宋体" w:hAnsi="宋体" w:eastAsia="宋体" w:cs="黑体"/>
          <w:bCs/>
          <w:color w:val="auto"/>
          <w:szCs w:val="21"/>
          <w:highlight w:val="none"/>
        </w:rPr>
        <w:t>有实质性不响应</w:t>
      </w:r>
      <w:r>
        <w:rPr>
          <w:rFonts w:hint="eastAsia" w:ascii="宋体" w:hAnsi="宋体" w:eastAsia="宋体" w:cs="Times New Roman"/>
          <w:color w:val="auto"/>
          <w:kern w:val="0"/>
          <w:szCs w:val="21"/>
          <w:highlight w:val="none"/>
        </w:rPr>
        <w:t>公开遴选文件</w:t>
      </w:r>
      <w:r>
        <w:rPr>
          <w:rFonts w:hint="eastAsia" w:ascii="宋体" w:hAnsi="宋体" w:eastAsia="宋体" w:cs="黑体"/>
          <w:bCs/>
          <w:color w:val="auto"/>
          <w:szCs w:val="21"/>
          <w:highlight w:val="none"/>
        </w:rPr>
        <w:t>的，即现场告知</w:t>
      </w:r>
      <w:r>
        <w:rPr>
          <w:rFonts w:hint="eastAsia" w:ascii="Times New Roman" w:hAnsi="Times New Roman" w:eastAsia="宋体" w:cs="宋体"/>
          <w:color w:val="auto"/>
          <w:szCs w:val="21"/>
          <w:highlight w:val="none"/>
        </w:rPr>
        <w:t>供应商</w:t>
      </w:r>
      <w:r>
        <w:rPr>
          <w:rFonts w:hint="eastAsia" w:ascii="宋体" w:hAnsi="宋体" w:eastAsia="宋体" w:cs="黑体"/>
          <w:bCs/>
          <w:color w:val="auto"/>
          <w:szCs w:val="21"/>
          <w:highlight w:val="none"/>
        </w:rPr>
        <w:t>并说明理由。如其</w:t>
      </w:r>
      <w:r>
        <w:rPr>
          <w:rFonts w:hint="eastAsia" w:ascii="宋体" w:hAnsi="宋体" w:eastAsia="宋体" w:cs="Times New Roman"/>
          <w:color w:val="auto"/>
          <w:szCs w:val="21"/>
          <w:highlight w:val="none"/>
        </w:rPr>
        <w:t>遴选响应文件</w:t>
      </w:r>
      <w:r>
        <w:rPr>
          <w:rFonts w:hint="eastAsia" w:ascii="宋体" w:hAnsi="宋体" w:eastAsia="宋体" w:cs="宋体"/>
          <w:color w:val="auto"/>
          <w:szCs w:val="21"/>
          <w:highlight w:val="none"/>
          <w:lang w:eastAsia="zh-TW"/>
        </w:rPr>
        <w:t>被认定为无效</w:t>
      </w:r>
      <w:r>
        <w:rPr>
          <w:rFonts w:hint="eastAsia" w:ascii="宋体" w:hAnsi="宋体" w:eastAsia="宋体" w:cs="宋体"/>
          <w:color w:val="auto"/>
          <w:szCs w:val="21"/>
          <w:highlight w:val="none"/>
        </w:rPr>
        <w:t>报价</w:t>
      </w:r>
      <w:r>
        <w:rPr>
          <w:rFonts w:hint="eastAsia" w:ascii="宋体" w:hAnsi="宋体" w:eastAsia="宋体" w:cs="黑体"/>
          <w:bCs/>
          <w:color w:val="auto"/>
          <w:szCs w:val="21"/>
          <w:highlight w:val="none"/>
        </w:rPr>
        <w:t>即被视为不能通过资格性审查及符合性检查，不得参与技术、商务和价格等的后续遴选。</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遴选响应文件的详细评审</w:t>
      </w:r>
      <w:bookmarkEnd w:id="182"/>
      <w:bookmarkEnd w:id="183"/>
      <w:bookmarkEnd w:id="184"/>
      <w:bookmarkEnd w:id="185"/>
    </w:p>
    <w:p>
      <w:pPr>
        <w:numPr>
          <w:ilvl w:val="1"/>
          <w:numId w:val="4"/>
        </w:numPr>
        <w:autoSpaceDE w:val="0"/>
        <w:autoSpaceDN w:val="0"/>
        <w:adjustRightInd w:val="0"/>
        <w:snapToGrid w:val="0"/>
        <w:spacing w:line="360" w:lineRule="auto"/>
        <w:rPr>
          <w:rFonts w:hint="eastAsia" w:ascii="宋体" w:hAnsi="宋体" w:eastAsia="宋体" w:cs="Times New Roman"/>
          <w:color w:val="auto"/>
          <w:szCs w:val="21"/>
          <w:highlight w:val="none"/>
        </w:rPr>
      </w:pPr>
      <w:bookmarkStart w:id="191" w:name="_Toc475104505"/>
      <w:bookmarkStart w:id="192" w:name="_Toc363737712"/>
      <w:r>
        <w:rPr>
          <w:rFonts w:hint="eastAsia" w:ascii="宋体" w:hAnsi="宋体" w:eastAsia="宋体" w:cs="Times New Roman"/>
          <w:color w:val="auto"/>
          <w:szCs w:val="21"/>
          <w:highlight w:val="none"/>
        </w:rPr>
        <w:t>评审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4"/>
        </w:numPr>
        <w:autoSpaceDE w:val="0"/>
        <w:autoSpaceDN w:val="0"/>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审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4"/>
        </w:numPr>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由评审小组采用综合评分法响应文件进行综合评分。</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93" w:name="_Toc351716666"/>
      <w:bookmarkStart w:id="194" w:name="_Toc475104504"/>
      <w:bookmarkStart w:id="195" w:name="_Toc363737711"/>
      <w:r>
        <w:rPr>
          <w:rFonts w:hint="eastAsia" w:ascii="宋体" w:hAnsi="宋体" w:eastAsia="宋体" w:cs="Times New Roman"/>
          <w:b/>
          <w:bCs/>
          <w:color w:val="auto"/>
          <w:sz w:val="24"/>
          <w:szCs w:val="24"/>
          <w:highlight w:val="none"/>
        </w:rPr>
        <w:t>评定成交的评审方法和标准</w:t>
      </w:r>
      <w:bookmarkEnd w:id="193"/>
      <w:bookmarkEnd w:id="194"/>
      <w:bookmarkEnd w:id="195"/>
    </w:p>
    <w:p>
      <w:pPr>
        <w:numPr>
          <w:ilvl w:val="1"/>
          <w:numId w:val="4"/>
        </w:numPr>
        <w:autoSpaceDE w:val="0"/>
        <w:autoSpaceDN w:val="0"/>
        <w:adjustRightInd w:val="0"/>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评审小组按照公开遴选文件确定的、方法、步骤、标准，对遴选响应文件进行评审，提出书面公开遴选报告。</w:t>
      </w:r>
    </w:p>
    <w:p>
      <w:pPr>
        <w:numPr>
          <w:ilvl w:val="1"/>
          <w:numId w:val="4"/>
        </w:numPr>
        <w:autoSpaceDE w:val="0"/>
        <w:autoSpaceDN w:val="0"/>
        <w:adjustRightInd w:val="0"/>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公开遴选</w:t>
      </w:r>
      <w:r>
        <w:rPr>
          <w:rFonts w:hint="eastAsia" w:ascii="Times New Roman" w:hAnsi="Times New Roman" w:eastAsia="宋体" w:cs="Times New Roman"/>
          <w:color w:val="auto"/>
          <w:szCs w:val="24"/>
          <w:highlight w:val="none"/>
        </w:rPr>
        <w:t>报告应当由评审小组全体人员签字认可。评审小组成员对</w:t>
      </w:r>
      <w:r>
        <w:rPr>
          <w:rFonts w:hint="eastAsia" w:ascii="宋体" w:hAnsi="宋体" w:eastAsia="宋体" w:cs="Times New Roman"/>
          <w:color w:val="auto"/>
          <w:szCs w:val="21"/>
          <w:highlight w:val="none"/>
        </w:rPr>
        <w:t>公开遴选</w:t>
      </w:r>
      <w:r>
        <w:rPr>
          <w:rFonts w:hint="eastAsia" w:ascii="Times New Roman" w:hAnsi="Times New Roman" w:eastAsia="宋体" w:cs="Times New Roman"/>
          <w:color w:val="auto"/>
          <w:szCs w:val="24"/>
          <w:highlight w:val="none"/>
        </w:rPr>
        <w:t>报告有异议的，评审小组按照少数服从多数的原则推荐成交候选人，采购程序继续进行。对公开遴选报告有异议的评审小组成员，应当在报告上签署不同意见并说明理由，由评审小组书面记录相关情况。评审小组成员拒绝在报告上签字又不书面说明其不同意见和理由的，视为同意</w:t>
      </w:r>
      <w:r>
        <w:rPr>
          <w:rFonts w:hint="eastAsia" w:ascii="宋体" w:hAnsi="宋体" w:eastAsia="宋体" w:cs="Times New Roman"/>
          <w:color w:val="auto"/>
          <w:szCs w:val="21"/>
          <w:highlight w:val="none"/>
        </w:rPr>
        <w:t>公开遴选</w:t>
      </w:r>
      <w:r>
        <w:rPr>
          <w:rFonts w:hint="eastAsia" w:ascii="Times New Roman" w:hAnsi="Times New Roman" w:eastAsia="宋体" w:cs="Times New Roman"/>
          <w:color w:val="auto"/>
          <w:szCs w:val="24"/>
          <w:highlight w:val="none"/>
        </w:rPr>
        <w:t>报告。</w:t>
      </w:r>
    </w:p>
    <w:p>
      <w:pPr>
        <w:numPr>
          <w:ilvl w:val="1"/>
          <w:numId w:val="4"/>
        </w:numPr>
        <w:autoSpaceDE w:val="0"/>
        <w:autoSpaceDN w:val="0"/>
        <w:adjustRightInd w:val="0"/>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综合评分=技术商务得分+价格得分。</w:t>
      </w:r>
    </w:p>
    <w:p>
      <w:pPr>
        <w:numPr>
          <w:ilvl w:val="1"/>
          <w:numId w:val="4"/>
        </w:numPr>
        <w:autoSpaceDE w:val="0"/>
        <w:autoSpaceDN w:val="0"/>
        <w:adjustRightInd w:val="0"/>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审价和技术评分均相同的，名次由评审小组会投票决定。评审小组会按上述排列向采购人推荐综合总得分第一名为第一成交候选人，第二名为第二成交候选人，第三名为第三成交候选人。第一成交候选人不得随意放弃成交资格。</w:t>
      </w:r>
    </w:p>
    <w:bookmarkEnd w:id="191"/>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196" w:name="_Toc475104507"/>
      <w:r>
        <w:rPr>
          <w:rFonts w:hint="eastAsia" w:ascii="宋体" w:hAnsi="宋体" w:eastAsia="宋体" w:cs="Times New Roman"/>
          <w:b/>
          <w:bCs/>
          <w:color w:val="auto"/>
          <w:sz w:val="24"/>
          <w:szCs w:val="24"/>
          <w:highlight w:val="none"/>
        </w:rPr>
        <w:t>定标原则与授标</w:t>
      </w:r>
      <w:bookmarkEnd w:id="186"/>
      <w:bookmarkEnd w:id="187"/>
      <w:bookmarkEnd w:id="188"/>
      <w:bookmarkEnd w:id="189"/>
      <w:bookmarkEnd w:id="190"/>
      <w:bookmarkEnd w:id="192"/>
      <w:bookmarkEnd w:id="196"/>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bookmarkStart w:id="197" w:name="_Toc320515097"/>
      <w:bookmarkStart w:id="198" w:name="_Toc363737713"/>
      <w:bookmarkStart w:id="199" w:name="_Toc315793484"/>
      <w:bookmarkStart w:id="200" w:name="_Toc320515048"/>
      <w:bookmarkStart w:id="201" w:name="_Toc475104508"/>
      <w:bookmarkStart w:id="202" w:name="_Toc323111007"/>
      <w:bookmarkStart w:id="203" w:name="_Toc322680374"/>
      <w:r>
        <w:rPr>
          <w:rFonts w:hint="eastAsia" w:ascii="宋体" w:hAnsi="宋体" w:eastAsia="宋体" w:cs="Times New Roman"/>
          <w:color w:val="auto"/>
          <w:szCs w:val="21"/>
          <w:highlight w:val="none"/>
        </w:rPr>
        <w:t>评审小组按照公开遴选文件确定的、方法、步骤、标准，对遴选响应文件进行评审，提出书面公开遴选报告。</w:t>
      </w:r>
    </w:p>
    <w:p>
      <w:pPr>
        <w:numPr>
          <w:ilvl w:val="1"/>
          <w:numId w:val="4"/>
        </w:numPr>
        <w:autoSpaceDE w:val="0"/>
        <w:autoSpaceDN w:val="0"/>
        <w:adjustRightInd w:val="0"/>
        <w:snapToGrid w:val="0"/>
        <w:spacing w:line="360" w:lineRule="auto"/>
        <w:jc w:val="left"/>
        <w:rPr>
          <w:rFonts w:hint="eastAsia" w:ascii="宋体" w:hAnsi="宋体" w:eastAsia="宋体" w:cs="黑体"/>
          <w:color w:val="auto"/>
          <w:szCs w:val="21"/>
          <w:highlight w:val="none"/>
        </w:rPr>
      </w:pPr>
      <w:r>
        <w:rPr>
          <w:rFonts w:hint="eastAsia" w:ascii="宋体" w:hAnsi="宋体" w:eastAsia="宋体" w:cs="黑体"/>
          <w:color w:val="auto"/>
          <w:szCs w:val="21"/>
          <w:highlight w:val="none"/>
        </w:rPr>
        <w:t>遴选报告应当由评审小组全体人员签字认可。评审小组成员对遴选报告有异议的，评审小组按照少数服从多数的原则推荐成交候选人，采购程序继续进行。对遴选报告有异议的评审小组成员，应当在报告上签署不同意见并说明理由，由评审小组书面记录相关情况。评审小组成员拒绝在报告上签字又不书面说明其不同意见和理由的，视为同意遴选报告。</w:t>
      </w:r>
    </w:p>
    <w:p>
      <w:pPr>
        <w:numPr>
          <w:ilvl w:val="1"/>
          <w:numId w:val="4"/>
        </w:numPr>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评审小组</w:t>
      </w:r>
      <w:r>
        <w:rPr>
          <w:rFonts w:ascii="宋体" w:hAnsi="宋体" w:eastAsia="宋体" w:cs="Times New Roman"/>
          <w:color w:val="auto"/>
          <w:szCs w:val="21"/>
          <w:highlight w:val="none"/>
        </w:rPr>
        <w:t>提</w:t>
      </w:r>
      <w:r>
        <w:rPr>
          <w:rFonts w:hint="eastAsia" w:ascii="宋体" w:hAnsi="宋体" w:eastAsia="宋体" w:cs="Times New Roman"/>
          <w:color w:val="auto"/>
          <w:szCs w:val="21"/>
          <w:highlight w:val="none"/>
        </w:rPr>
        <w:t>交公开遴选</w:t>
      </w:r>
      <w:r>
        <w:rPr>
          <w:rFonts w:ascii="宋体" w:hAnsi="宋体" w:eastAsia="宋体" w:cs="Times New Roman"/>
          <w:color w:val="auto"/>
          <w:szCs w:val="21"/>
          <w:highlight w:val="none"/>
        </w:rPr>
        <w:t>报告和推荐</w:t>
      </w:r>
      <w:r>
        <w:rPr>
          <w:rFonts w:hint="eastAsia" w:ascii="宋体" w:hAnsi="宋体" w:eastAsia="宋体" w:cs="Times New Roman"/>
          <w:color w:val="auto"/>
          <w:szCs w:val="21"/>
          <w:highlight w:val="none"/>
        </w:rPr>
        <w:t>成交</w:t>
      </w:r>
      <w:r>
        <w:rPr>
          <w:rFonts w:ascii="宋体" w:hAnsi="宋体" w:eastAsia="宋体" w:cs="Times New Roman"/>
          <w:color w:val="auto"/>
          <w:szCs w:val="21"/>
          <w:highlight w:val="none"/>
        </w:rPr>
        <w:t>意见报</w:t>
      </w:r>
      <w:r>
        <w:rPr>
          <w:rFonts w:hint="eastAsia" w:ascii="宋体" w:hAnsi="宋体" w:eastAsia="宋体" w:cs="Times New Roman"/>
          <w:color w:val="auto"/>
          <w:szCs w:val="21"/>
          <w:highlight w:val="none"/>
        </w:rPr>
        <w:t>采购人确认，采购人在收到公开遴选报告后的法定时间内，按照公开遴选报告中推荐的成交候选人顺序确定成交供应商，也可以事先授权评审小组直接确定成交供应商。确认后政府采购代理机构将在媒体上</w:t>
      </w:r>
      <w:r>
        <w:rPr>
          <w:rFonts w:ascii="宋体" w:hAnsi="宋体" w:eastAsia="宋体" w:cs="Times New Roman"/>
          <w:color w:val="auto"/>
          <w:szCs w:val="21"/>
          <w:highlight w:val="none"/>
        </w:rPr>
        <w:t>发</w:t>
      </w:r>
      <w:r>
        <w:rPr>
          <w:rFonts w:hint="eastAsia" w:ascii="宋体" w:hAnsi="宋体" w:eastAsia="宋体" w:cs="Times New Roman"/>
          <w:color w:val="auto"/>
          <w:szCs w:val="21"/>
          <w:highlight w:val="none"/>
        </w:rPr>
        <w:t>布成交公告。不在成交名单之列者即为</w:t>
      </w:r>
      <w:r>
        <w:rPr>
          <w:rFonts w:hint="eastAsia" w:ascii="宋体" w:hAnsi="宋体" w:eastAsia="宋体" w:cs="宋体"/>
          <w:color w:val="auto"/>
          <w:szCs w:val="21"/>
          <w:highlight w:val="none"/>
          <w:shd w:val="clear" w:color="auto" w:fill="FFFFFF"/>
        </w:rPr>
        <w:t>未能中标/成交</w:t>
      </w:r>
      <w:r>
        <w:rPr>
          <w:rFonts w:hint="eastAsia" w:ascii="宋体" w:hAnsi="宋体" w:eastAsia="宋体" w:cs="Times New Roman"/>
          <w:color w:val="auto"/>
          <w:szCs w:val="21"/>
          <w:highlight w:val="none"/>
        </w:rPr>
        <w:t>供应商，</w:t>
      </w:r>
      <w:r>
        <w:rPr>
          <w:rFonts w:hint="eastAsia" w:ascii="宋体" w:hAnsi="宋体" w:eastAsia="宋体" w:cs="宋体"/>
          <w:color w:val="auto"/>
          <w:szCs w:val="21"/>
          <w:highlight w:val="none"/>
          <w:shd w:val="clear" w:color="auto" w:fill="FFFFFF"/>
        </w:rPr>
        <w:t>投标供应商未能中标/成交，采购代理机构将以书面形式告知其原因。</w:t>
      </w:r>
    </w:p>
    <w:p>
      <w:pPr>
        <w:numPr>
          <w:ilvl w:val="1"/>
          <w:numId w:val="4"/>
        </w:numPr>
        <w:shd w:val="clear" w:color="auto" w:fill="FFFFFF"/>
        <w:autoSpaceDE w:val="0"/>
        <w:autoSpaceDN w:val="0"/>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根据相关规定，采用公开遴选采购方式采购的政府购买服务项目（含政府和社会资本合作项目），在采购过程中符合要求的供应商（社会资本）只有2家的，公开遴选采购活动可以继续进行。采购过程中符合要求的供应商（社会资本）只有1家的，采购人（项目实施机构）或者采购代理机构应当终止公开遴选采购活动，发布项目终止公告并说明原因，重新开展采购活动。</w:t>
      </w:r>
    </w:p>
    <w:p>
      <w:pPr>
        <w:numPr>
          <w:ilvl w:val="1"/>
          <w:numId w:val="4"/>
        </w:numPr>
        <w:shd w:val="clear" w:color="auto" w:fill="FFFFFF"/>
        <w:autoSpaceDE w:val="0"/>
        <w:autoSpaceDN w:val="0"/>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质疑与回复</w:t>
      </w:r>
      <w:bookmarkEnd w:id="197"/>
      <w:bookmarkEnd w:id="198"/>
      <w:bookmarkEnd w:id="199"/>
      <w:bookmarkEnd w:id="200"/>
      <w:bookmarkEnd w:id="201"/>
    </w:p>
    <w:p>
      <w:pPr>
        <w:numPr>
          <w:ilvl w:val="1"/>
          <w:numId w:val="4"/>
        </w:numPr>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质疑书应当包括下列主要内容：</w:t>
      </w:r>
    </w:p>
    <w:p>
      <w:pPr>
        <w:numPr>
          <w:ilvl w:val="2"/>
          <w:numId w:val="4"/>
        </w:numPr>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供应商的姓名或者名称、地址、邮编、联系人及联系电话；</w:t>
      </w:r>
    </w:p>
    <w:p>
      <w:pPr>
        <w:numPr>
          <w:ilvl w:val="2"/>
          <w:numId w:val="4"/>
        </w:numPr>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质疑项目的名称、编号；</w:t>
      </w:r>
    </w:p>
    <w:p>
      <w:pPr>
        <w:numPr>
          <w:ilvl w:val="2"/>
          <w:numId w:val="4"/>
        </w:numPr>
        <w:autoSpaceDE w:val="0"/>
        <w:autoSpaceDN w:val="0"/>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具体、明确的质疑事项和与质疑事项相关的请求；</w:t>
      </w:r>
    </w:p>
    <w:p>
      <w:pPr>
        <w:numPr>
          <w:ilvl w:val="2"/>
          <w:numId w:val="4"/>
        </w:numPr>
        <w:autoSpaceDE w:val="0"/>
        <w:autoSpaceDN w:val="0"/>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事实依据；</w:t>
      </w:r>
    </w:p>
    <w:p>
      <w:pPr>
        <w:numPr>
          <w:ilvl w:val="2"/>
          <w:numId w:val="4"/>
        </w:numPr>
        <w:autoSpaceDE w:val="0"/>
        <w:autoSpaceDN w:val="0"/>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必要的法律依据；</w:t>
      </w:r>
    </w:p>
    <w:p>
      <w:pPr>
        <w:numPr>
          <w:ilvl w:val="2"/>
          <w:numId w:val="4"/>
        </w:numPr>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提出质疑的日期。</w:t>
      </w:r>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r>
        <w:rPr>
          <w:rFonts w:hint="eastAsia" w:ascii="宋体" w:hAnsi="宋体" w:eastAsia="宋体" w:cs="Times New Roman"/>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4"/>
        </w:numPr>
        <w:autoSpaceDE w:val="0"/>
        <w:autoSpaceDN w:val="0"/>
        <w:adjustRightInd w:val="0"/>
        <w:snapToGrid w:val="0"/>
        <w:spacing w:line="360" w:lineRule="auto"/>
        <w:jc w:val="left"/>
        <w:rPr>
          <w:rFonts w:ascii="宋体" w:hAnsi="宋体" w:eastAsia="宋体" w:cs="黑体"/>
          <w:bCs/>
          <w:color w:val="auto"/>
          <w:szCs w:val="21"/>
          <w:highlight w:val="none"/>
        </w:rPr>
      </w:pPr>
      <w:r>
        <w:rPr>
          <w:rFonts w:hint="eastAsia" w:ascii="宋体" w:hAnsi="宋体" w:eastAsia="宋体" w:cs="Times New Roman"/>
          <w:bCs/>
          <w:color w:val="auto"/>
          <w:szCs w:val="24"/>
          <w:highlight w:val="none"/>
        </w:rPr>
        <w:t>供应商</w:t>
      </w:r>
      <w:r>
        <w:rPr>
          <w:rFonts w:hint="eastAsia" w:ascii="宋体" w:hAnsi="宋体" w:eastAsia="宋体" w:cs="Times New Roman"/>
          <w:color w:val="auto"/>
          <w:szCs w:val="21"/>
          <w:highlight w:val="none"/>
        </w:rPr>
        <w:t>认为公开遴选文件的内容损害其权益的，应当以书面形式（加盖</w:t>
      </w:r>
      <w:r>
        <w:rPr>
          <w:rFonts w:hint="eastAsia" w:ascii="宋体" w:hAnsi="宋体" w:eastAsia="宋体" w:cs="Times New Roman"/>
          <w:bCs/>
          <w:color w:val="auto"/>
          <w:szCs w:val="24"/>
          <w:highlight w:val="none"/>
        </w:rPr>
        <w:t>供应商</w:t>
      </w:r>
      <w:r>
        <w:rPr>
          <w:rFonts w:hint="eastAsia" w:ascii="宋体" w:hAnsi="宋体" w:eastAsia="宋体" w:cs="Times New Roman"/>
          <w:color w:val="auto"/>
          <w:szCs w:val="21"/>
          <w:highlight w:val="none"/>
        </w:rPr>
        <w:t>公章）在公开遴选文件公示期间或者自期满之日起7个工作日内向政府采购代理机构提交质疑书，逾期质疑无效。</w:t>
      </w:r>
      <w:r>
        <w:rPr>
          <w:rFonts w:hint="eastAsia" w:ascii="宋体" w:hAnsi="宋体" w:eastAsia="宋体" w:cs="Times New Roman"/>
          <w:bCs/>
          <w:color w:val="auto"/>
          <w:szCs w:val="24"/>
          <w:highlight w:val="none"/>
        </w:rPr>
        <w:t>供应商</w:t>
      </w:r>
      <w:r>
        <w:rPr>
          <w:rFonts w:hint="eastAsia" w:ascii="宋体" w:hAnsi="宋体" w:eastAsia="宋体" w:cs="Times New Roman"/>
          <w:color w:val="auto"/>
          <w:szCs w:val="21"/>
          <w:highlight w:val="none"/>
        </w:rPr>
        <w:t>以电话、传真或电邮形式提交的质疑属于无效质疑。</w:t>
      </w:r>
    </w:p>
    <w:p>
      <w:pPr>
        <w:numPr>
          <w:ilvl w:val="1"/>
          <w:numId w:val="4"/>
        </w:numPr>
        <w:autoSpaceDE w:val="0"/>
        <w:autoSpaceDN w:val="0"/>
        <w:adjustRightInd w:val="0"/>
        <w:snapToGrid w:val="0"/>
        <w:spacing w:line="360" w:lineRule="auto"/>
        <w:jc w:val="left"/>
        <w:rPr>
          <w:rFonts w:ascii="宋体" w:hAnsi="宋体" w:eastAsia="宋体" w:cs="黑体"/>
          <w:bCs/>
          <w:color w:val="auto"/>
          <w:szCs w:val="21"/>
          <w:highlight w:val="none"/>
        </w:rPr>
      </w:pPr>
      <w:r>
        <w:rPr>
          <w:rFonts w:hint="eastAsia" w:ascii="宋体" w:hAnsi="宋体" w:eastAsia="宋体" w:cs="Times New Roman"/>
          <w:bCs/>
          <w:color w:val="auto"/>
          <w:szCs w:val="24"/>
          <w:highlight w:val="none"/>
        </w:rPr>
        <w:t>供应商</w:t>
      </w:r>
      <w:r>
        <w:rPr>
          <w:rFonts w:hint="eastAsia" w:ascii="宋体" w:hAnsi="宋体" w:eastAsia="宋体" w:cs="黑体"/>
          <w:bCs/>
          <w:color w:val="auto"/>
          <w:szCs w:val="21"/>
          <w:highlight w:val="none"/>
        </w:rPr>
        <w:t>认为采购过程和</w:t>
      </w:r>
      <w:r>
        <w:rPr>
          <w:rFonts w:hint="eastAsia" w:ascii="宋体" w:hAnsi="宋体" w:eastAsia="宋体" w:cs="Times New Roman"/>
          <w:color w:val="auto"/>
          <w:szCs w:val="21"/>
          <w:highlight w:val="none"/>
        </w:rPr>
        <w:t>成交</w:t>
      </w:r>
      <w:r>
        <w:rPr>
          <w:rFonts w:hint="eastAsia" w:ascii="宋体" w:hAnsi="宋体" w:eastAsia="宋体" w:cs="黑体"/>
          <w:bCs/>
          <w:color w:val="auto"/>
          <w:szCs w:val="21"/>
          <w:highlight w:val="none"/>
        </w:rPr>
        <w:t>结果使自己的权益受到损害的，应当以书面形式（加盖</w:t>
      </w:r>
      <w:r>
        <w:rPr>
          <w:rFonts w:hint="eastAsia" w:ascii="宋体" w:hAnsi="宋体" w:eastAsia="宋体" w:cs="Times New Roman"/>
          <w:bCs/>
          <w:color w:val="auto"/>
          <w:szCs w:val="24"/>
          <w:highlight w:val="none"/>
        </w:rPr>
        <w:t>供应商</w:t>
      </w:r>
      <w:r>
        <w:rPr>
          <w:rFonts w:hint="eastAsia" w:ascii="宋体" w:hAnsi="宋体" w:eastAsia="宋体" w:cs="黑体"/>
          <w:bCs/>
          <w:color w:val="auto"/>
          <w:szCs w:val="21"/>
          <w:highlight w:val="none"/>
        </w:rPr>
        <w:t>公章）在知道或者应知其权益受到损害之日起7个工作日内向政府采购代理机构提交质疑书，逾期质疑无效。</w:t>
      </w:r>
      <w:r>
        <w:rPr>
          <w:rFonts w:hint="eastAsia" w:ascii="宋体" w:hAnsi="宋体" w:eastAsia="宋体" w:cs="Times New Roman"/>
          <w:bCs/>
          <w:color w:val="auto"/>
          <w:szCs w:val="24"/>
          <w:highlight w:val="none"/>
        </w:rPr>
        <w:t>供应商</w:t>
      </w:r>
      <w:r>
        <w:rPr>
          <w:rFonts w:hint="eastAsia" w:ascii="宋体" w:hAnsi="宋体" w:eastAsia="宋体" w:cs="黑体"/>
          <w:bCs/>
          <w:color w:val="auto"/>
          <w:szCs w:val="21"/>
          <w:highlight w:val="none"/>
        </w:rPr>
        <w:t>以电话、传真或电邮形式提交的质疑属于无效质疑。</w:t>
      </w:r>
    </w:p>
    <w:p>
      <w:pPr>
        <w:numPr>
          <w:ilvl w:val="1"/>
          <w:numId w:val="4"/>
        </w:numPr>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eastAsia="宋体" w:cs="Times New Roman"/>
          <w:bCs/>
          <w:color w:val="auto"/>
          <w:szCs w:val="24"/>
          <w:highlight w:val="none"/>
        </w:rPr>
        <w:t>供应商</w:t>
      </w:r>
      <w:r>
        <w:rPr>
          <w:rFonts w:hint="eastAsia" w:ascii="宋体" w:hAnsi="宋体" w:eastAsia="宋体" w:cs="Times New Roman"/>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r>
        <w:rPr>
          <w:rFonts w:hint="eastAsia" w:ascii="宋体" w:hAnsi="宋体" w:eastAsia="宋体" w:cs="Times New Roman"/>
          <w:color w:val="auto"/>
          <w:szCs w:val="21"/>
          <w:highlight w:val="none"/>
        </w:rPr>
        <w:t>政府采购代理机构在收到</w:t>
      </w:r>
      <w:r>
        <w:rPr>
          <w:rFonts w:hint="eastAsia" w:ascii="宋体" w:hAnsi="宋体" w:eastAsia="宋体" w:cs="Times New Roman"/>
          <w:bCs/>
          <w:color w:val="auto"/>
          <w:szCs w:val="24"/>
          <w:highlight w:val="none"/>
        </w:rPr>
        <w:t>供应商</w:t>
      </w:r>
      <w:r>
        <w:rPr>
          <w:rFonts w:hint="eastAsia" w:ascii="宋体" w:hAnsi="宋体" w:eastAsia="宋体" w:cs="Times New Roman"/>
          <w:color w:val="auto"/>
          <w:szCs w:val="21"/>
          <w:highlight w:val="none"/>
        </w:rPr>
        <w:t>的有效书面质疑后七个工作日内作出答复，但答复的内容不涉及商业秘密，质疑</w:t>
      </w:r>
      <w:r>
        <w:rPr>
          <w:rFonts w:hint="eastAsia" w:ascii="宋体" w:hAnsi="宋体" w:eastAsia="宋体" w:cs="Times New Roman"/>
          <w:bCs/>
          <w:color w:val="auto"/>
          <w:szCs w:val="24"/>
          <w:highlight w:val="none"/>
        </w:rPr>
        <w:t>供应商</w:t>
      </w:r>
      <w:r>
        <w:rPr>
          <w:rFonts w:hint="eastAsia" w:ascii="宋体" w:hAnsi="宋体" w:eastAsia="宋体" w:cs="Times New Roman"/>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4"/>
        </w:numPr>
        <w:autoSpaceDE w:val="0"/>
        <w:autoSpaceDN w:val="0"/>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w:t>
      </w:r>
      <w:r>
        <w:rPr>
          <w:rFonts w:hint="eastAsia" w:ascii="宋体" w:hAnsi="宋体" w:eastAsia="宋体" w:cs="Times New Roman"/>
          <w:bCs/>
          <w:color w:val="auto"/>
          <w:szCs w:val="24"/>
          <w:highlight w:val="none"/>
        </w:rPr>
        <w:t>供应商</w:t>
      </w:r>
      <w:r>
        <w:rPr>
          <w:rFonts w:hint="eastAsia" w:ascii="宋体" w:hAnsi="宋体" w:eastAsia="宋体" w:cs="Times New Roman"/>
          <w:color w:val="auto"/>
          <w:szCs w:val="21"/>
          <w:highlight w:val="none"/>
        </w:rPr>
        <w:t>需要修改、补充质疑函的，应当在质疑有效期内提交修改或补充材料。质疑函收到日期以提交修改或补充的质疑函原件之日计算。</w:t>
      </w:r>
    </w:p>
    <w:p>
      <w:pPr>
        <w:numPr>
          <w:ilvl w:val="0"/>
          <w:numId w:val="4"/>
        </w:numPr>
        <w:autoSpaceDE w:val="0"/>
        <w:autoSpaceDN w:val="0"/>
        <w:adjustRightInd w:val="0"/>
        <w:snapToGrid w:val="0"/>
        <w:spacing w:line="360" w:lineRule="auto"/>
        <w:outlineLvl w:val="0"/>
        <w:rPr>
          <w:rFonts w:hint="eastAsia"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供应商询问的途径、接收质疑函的方式</w:t>
      </w:r>
      <w:r>
        <w:rPr>
          <w:rFonts w:hint="eastAsia" w:ascii="宋体" w:hAnsi="宋体" w:eastAsia="宋体" w:cs="Times New Roman"/>
          <w:b/>
          <w:bCs/>
          <w:color w:val="auto"/>
          <w:sz w:val="24"/>
          <w:szCs w:val="24"/>
          <w:highlight w:val="none"/>
        </w:rPr>
        <w:t>：</w:t>
      </w:r>
    </w:p>
    <w:bookmarkEnd w:id="202"/>
    <w:bookmarkEnd w:id="203"/>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highlight w:val="none"/>
        </w:rPr>
      </w:pPr>
      <w:bookmarkStart w:id="204" w:name="_Toc475104509"/>
      <w:bookmarkStart w:id="205" w:name="_Toc363737714"/>
      <w:r>
        <w:rPr>
          <w:rFonts w:hint="eastAsia" w:ascii="宋体" w:hAnsi="宋体" w:eastAsia="宋体" w:cs="宋体"/>
          <w:color w:val="auto"/>
          <w:szCs w:val="21"/>
          <w:highlight w:val="none"/>
        </w:rPr>
        <w:t>询问和质疑接收机构名称：广州市信怡招标代理有限公司</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询问和质疑接收机构地址：广州市天河区粤垦路623号燕都商务大厦12楼1202室</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询问和质疑接收部门联系人：胡先生</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询问和质疑接收机构电话：020-89001296（工作/接收时间：9：00-17：00）</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质疑接收机构传真：020-89001292</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成交通知书</w:t>
      </w:r>
      <w:bookmarkEnd w:id="204"/>
      <w:bookmarkEnd w:id="205"/>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r>
        <w:rPr>
          <w:rFonts w:hint="eastAsia" w:ascii="宋体" w:hAnsi="宋体" w:eastAsia="宋体" w:cs="宋体"/>
          <w:color w:val="auto"/>
          <w:szCs w:val="21"/>
          <w:highlight w:val="none"/>
          <w:lang w:eastAsia="zh-TW"/>
        </w:rPr>
        <w:t>成交供应商确定后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TW"/>
        </w:rPr>
        <w:t>政府采购代理机构将在政府采购监督管理部门</w:t>
      </w:r>
      <w:r>
        <w:rPr>
          <w:rFonts w:hint="eastAsia" w:ascii="宋体" w:hAnsi="宋体" w:eastAsia="宋体" w:cs="宋体"/>
          <w:color w:val="auto"/>
          <w:szCs w:val="21"/>
          <w:highlight w:val="none"/>
        </w:rPr>
        <w:t>法定</w:t>
      </w:r>
      <w:r>
        <w:rPr>
          <w:rFonts w:hint="eastAsia" w:ascii="宋体" w:hAnsi="宋体" w:eastAsia="宋体" w:cs="宋体"/>
          <w:color w:val="auto"/>
          <w:szCs w:val="21"/>
          <w:highlight w:val="none"/>
          <w:lang w:eastAsia="zh-TW"/>
        </w:rPr>
        <w:t>的媒体上发布</w:t>
      </w:r>
      <w:r>
        <w:rPr>
          <w:rFonts w:hint="eastAsia" w:ascii="宋体" w:hAnsi="宋体" w:eastAsia="宋体" w:cs="Times New Roman"/>
          <w:color w:val="auto"/>
          <w:szCs w:val="21"/>
          <w:highlight w:val="none"/>
        </w:rPr>
        <w:t>成交</w:t>
      </w:r>
      <w:r>
        <w:rPr>
          <w:rFonts w:hint="eastAsia" w:ascii="宋体" w:hAnsi="宋体" w:eastAsia="宋体" w:cs="宋体"/>
          <w:color w:val="auto"/>
          <w:szCs w:val="21"/>
          <w:highlight w:val="none"/>
        </w:rPr>
        <w:t>结果公告</w:t>
      </w:r>
      <w:r>
        <w:rPr>
          <w:rFonts w:hint="eastAsia" w:ascii="宋体" w:hAnsi="宋体" w:eastAsia="宋体" w:cs="宋体"/>
          <w:color w:val="auto"/>
          <w:szCs w:val="21"/>
          <w:highlight w:val="none"/>
          <w:lang w:eastAsia="zh-TW"/>
        </w:rPr>
        <w:t>，并向成交供应商发出《成交通知书》</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TW"/>
        </w:rPr>
        <w:t>《成交通知书》对成交供应商和采购人具有同等法律效力。</w:t>
      </w:r>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r>
        <w:rPr>
          <w:rFonts w:hint="eastAsia" w:ascii="宋体" w:hAnsi="宋体" w:eastAsia="宋体" w:cs="Times New Roman"/>
          <w:color w:val="auto"/>
          <w:szCs w:val="21"/>
          <w:highlight w:val="none"/>
        </w:rPr>
        <w:t>《成交通知书》将作为授予合同资格的合法依据，是合同的一个组成部分。</w:t>
      </w:r>
    </w:p>
    <w:p>
      <w:pPr>
        <w:numPr>
          <w:ilvl w:val="0"/>
          <w:numId w:val="3"/>
        </w:numPr>
        <w:autoSpaceDE w:val="0"/>
        <w:autoSpaceDN w:val="0"/>
        <w:adjustRightInd w:val="0"/>
        <w:snapToGrid w:val="0"/>
        <w:spacing w:before="240" w:beforeLines="100" w:after="240" w:afterLines="100" w:line="360" w:lineRule="auto"/>
        <w:ind w:left="601" w:hanging="601"/>
        <w:jc w:val="center"/>
        <w:outlineLvl w:val="0"/>
        <w:rPr>
          <w:rFonts w:ascii="宋体" w:hAnsi="宋体" w:eastAsia="宋体" w:cs="Times New Roman"/>
          <w:b/>
          <w:color w:val="auto"/>
          <w:sz w:val="28"/>
          <w:szCs w:val="28"/>
          <w:highlight w:val="none"/>
          <w:lang w:eastAsia="zh-TW"/>
        </w:rPr>
      </w:pPr>
      <w:bookmarkStart w:id="206" w:name="_Toc320515099"/>
      <w:bookmarkStart w:id="207" w:name="_Toc315793486"/>
      <w:bookmarkStart w:id="208" w:name="_Toc475104510"/>
      <w:bookmarkStart w:id="209" w:name="_Toc320515050"/>
      <w:bookmarkStart w:id="210" w:name="_Toc363737715"/>
      <w:bookmarkStart w:id="211" w:name="_Toc14450813"/>
      <w:bookmarkStart w:id="212" w:name="_Toc28489462"/>
      <w:r>
        <w:rPr>
          <w:rFonts w:hint="eastAsia" w:ascii="宋体" w:hAnsi="宋体" w:eastAsia="宋体" w:cs="Times New Roman"/>
          <w:b/>
          <w:color w:val="auto"/>
          <w:sz w:val="28"/>
          <w:szCs w:val="28"/>
          <w:highlight w:val="none"/>
          <w:lang w:eastAsia="zh-TW"/>
        </w:rPr>
        <w:t>授予合同</w:t>
      </w:r>
      <w:bookmarkEnd w:id="206"/>
      <w:bookmarkEnd w:id="207"/>
      <w:bookmarkEnd w:id="208"/>
      <w:bookmarkEnd w:id="209"/>
      <w:bookmarkEnd w:id="210"/>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bookmarkStart w:id="213" w:name="_Toc475104511"/>
      <w:bookmarkStart w:id="214" w:name="_Toc320515100"/>
      <w:bookmarkStart w:id="215" w:name="_Toc315793487"/>
      <w:bookmarkStart w:id="216" w:name="_Toc320515051"/>
      <w:bookmarkStart w:id="217" w:name="_Toc363737716"/>
      <w:r>
        <w:rPr>
          <w:rFonts w:hint="eastAsia" w:ascii="宋体" w:hAnsi="宋体" w:eastAsia="宋体" w:cs="Times New Roman"/>
          <w:b/>
          <w:bCs/>
          <w:color w:val="auto"/>
          <w:sz w:val="24"/>
          <w:szCs w:val="24"/>
          <w:highlight w:val="none"/>
        </w:rPr>
        <w:t>合同的订立</w:t>
      </w:r>
      <w:bookmarkEnd w:id="213"/>
      <w:bookmarkEnd w:id="214"/>
      <w:bookmarkEnd w:id="215"/>
      <w:bookmarkEnd w:id="216"/>
      <w:bookmarkEnd w:id="217"/>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bookmarkStart w:id="218" w:name="_Toc363737717"/>
      <w:bookmarkStart w:id="219" w:name="_Toc320515101"/>
      <w:bookmarkStart w:id="220" w:name="_Toc320515052"/>
      <w:bookmarkStart w:id="221" w:name="_Toc315793488"/>
      <w:bookmarkStart w:id="222" w:name="_Toc475104512"/>
      <w:r>
        <w:rPr>
          <w:rFonts w:hint="eastAsia" w:ascii="宋体" w:hAnsi="宋体" w:eastAsia="宋体" w:cs="宋体"/>
          <w:color w:val="auto"/>
          <w:szCs w:val="21"/>
          <w:highlight w:val="none"/>
          <w:lang w:eastAsia="zh-TW"/>
        </w:rPr>
        <w:t>采购单位原则上应在中标（成交）通知书发出之日起20日内和中标（成交）供应商签订政府采购合同，无正当理由不得拒绝或者拖延合同签订。所签订的合同不得对</w:t>
      </w:r>
      <w:r>
        <w:rPr>
          <w:rFonts w:hint="eastAsia" w:ascii="宋体" w:hAnsi="宋体" w:eastAsia="宋体" w:cs="宋体"/>
          <w:color w:val="auto"/>
          <w:szCs w:val="21"/>
          <w:highlight w:val="none"/>
        </w:rPr>
        <w:t>公开遴选文件</w:t>
      </w:r>
      <w:r>
        <w:rPr>
          <w:rFonts w:hint="eastAsia" w:ascii="宋体" w:hAnsi="宋体" w:eastAsia="宋体" w:cs="宋体"/>
          <w:color w:val="auto"/>
          <w:szCs w:val="21"/>
          <w:highlight w:val="none"/>
          <w:lang w:eastAsia="zh-TW"/>
        </w:rPr>
        <w:t>和成交供应商</w:t>
      </w:r>
      <w:r>
        <w:rPr>
          <w:rFonts w:hint="eastAsia" w:ascii="宋体" w:hAnsi="宋体" w:eastAsia="宋体" w:cs="Times New Roman"/>
          <w:color w:val="auto"/>
          <w:szCs w:val="21"/>
          <w:highlight w:val="none"/>
        </w:rPr>
        <w:t>遴选响应文件</w:t>
      </w:r>
      <w:r>
        <w:rPr>
          <w:rFonts w:hint="eastAsia" w:ascii="宋体" w:hAnsi="宋体" w:eastAsia="宋体" w:cs="宋体"/>
          <w:color w:val="auto"/>
          <w:szCs w:val="21"/>
          <w:highlight w:val="none"/>
          <w:lang w:eastAsia="zh-TW"/>
        </w:rPr>
        <w:t>作实质性修改</w:t>
      </w:r>
      <w:r>
        <w:rPr>
          <w:rFonts w:hint="eastAsia" w:ascii="宋体" w:hAnsi="宋体" w:eastAsia="宋体" w:cs="宋体"/>
          <w:color w:val="auto"/>
          <w:szCs w:val="21"/>
          <w:highlight w:val="none"/>
        </w:rPr>
        <w:t>。</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4"/>
        </w:num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eastAsia="zh-TW"/>
        </w:rPr>
        <w:t>签订政府采购合同后</w:t>
      </w:r>
      <w:r>
        <w:rPr>
          <w:rFonts w:hint="eastAsia" w:ascii="宋体" w:hAnsi="宋体" w:eastAsia="宋体" w:cs="宋体"/>
          <w:color w:val="auto"/>
          <w:szCs w:val="21"/>
          <w:highlight w:val="none"/>
        </w:rPr>
        <w:t>七</w:t>
      </w:r>
      <w:r>
        <w:rPr>
          <w:rFonts w:hint="eastAsia" w:ascii="宋体" w:hAnsi="宋体" w:eastAsia="宋体" w:cs="宋体"/>
          <w:color w:val="auto"/>
          <w:szCs w:val="21"/>
          <w:highlight w:val="none"/>
          <w:lang w:eastAsia="zh-TW"/>
        </w:rPr>
        <w:t>个工作日内，采购人应将政府采购合同副本报同级政府采购监督管理部门备案。</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合同的履行</w:t>
      </w:r>
      <w:bookmarkEnd w:id="218"/>
      <w:bookmarkEnd w:id="219"/>
      <w:bookmarkEnd w:id="220"/>
      <w:bookmarkEnd w:id="221"/>
      <w:bookmarkEnd w:id="222"/>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rPr>
        <w:t xml:space="preserve">依据《政府采购促进中小企业发展管理办法》规定享受扶持政策获得政府采购合同的，小微企业不得将合同分包给大中型企业，中型企业不得将合同分包给大型企业。 </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r>
        <w:rPr>
          <w:rFonts w:hint="eastAsia" w:ascii="宋体" w:hAnsi="宋体" w:eastAsia="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eastAsia="宋体" w:cs="宋体"/>
          <w:color w:val="auto"/>
          <w:szCs w:val="21"/>
          <w:highlight w:val="none"/>
        </w:rPr>
        <w:t>部门</w:t>
      </w:r>
      <w:r>
        <w:rPr>
          <w:rFonts w:hint="eastAsia" w:ascii="宋体" w:hAnsi="宋体" w:eastAsia="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eastAsia="宋体" w:cs="宋体"/>
          <w:color w:val="auto"/>
          <w:szCs w:val="21"/>
          <w:highlight w:val="none"/>
        </w:rPr>
        <w:t>部门</w:t>
      </w:r>
      <w:r>
        <w:rPr>
          <w:rFonts w:hint="eastAsia" w:ascii="宋体" w:hAnsi="宋体" w:eastAsia="宋体" w:cs="宋体"/>
          <w:color w:val="auto"/>
          <w:szCs w:val="21"/>
          <w:highlight w:val="none"/>
          <w:lang w:eastAsia="zh-TW"/>
        </w:rPr>
        <w:t>备案。</w:t>
      </w:r>
    </w:p>
    <w:p>
      <w:pPr>
        <w:numPr>
          <w:ilvl w:val="1"/>
          <w:numId w:val="4"/>
        </w:numPr>
        <w:autoSpaceDE w:val="0"/>
        <w:autoSpaceDN w:val="0"/>
        <w:adjustRightInd w:val="0"/>
        <w:snapToGrid w:val="0"/>
        <w:spacing w:line="360" w:lineRule="auto"/>
        <w:jc w:val="left"/>
        <w:rPr>
          <w:rFonts w:ascii="宋体" w:hAnsi="宋体" w:eastAsia="宋体" w:cs="黑体"/>
          <w:b/>
          <w:bCs/>
          <w:color w:val="auto"/>
          <w:szCs w:val="21"/>
          <w:highlight w:val="none"/>
        </w:rPr>
      </w:pPr>
      <w:r>
        <w:rPr>
          <w:rFonts w:hint="eastAsia" w:ascii="宋体" w:hAnsi="宋体" w:eastAsia="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TW"/>
        </w:rPr>
        <w:t>供应商签订补充合同，但所补充合同的采购金额不得超过原</w:t>
      </w:r>
      <w:r>
        <w:rPr>
          <w:rFonts w:hint="eastAsia" w:ascii="宋体" w:hAnsi="宋体" w:eastAsia="宋体" w:cs="宋体"/>
          <w:color w:val="auto"/>
          <w:szCs w:val="21"/>
          <w:highlight w:val="none"/>
        </w:rPr>
        <w:t>合同</w:t>
      </w:r>
      <w:r>
        <w:rPr>
          <w:rFonts w:hint="eastAsia" w:ascii="宋体" w:hAnsi="宋体" w:eastAsia="宋体" w:cs="宋体"/>
          <w:color w:val="auto"/>
          <w:szCs w:val="21"/>
          <w:highlight w:val="none"/>
          <w:lang w:eastAsia="zh-TW"/>
        </w:rPr>
        <w:t>采购金额的百分之十。签订补充合同的必须按规定备案。</w:t>
      </w:r>
    </w:p>
    <w:p>
      <w:pPr>
        <w:numPr>
          <w:ilvl w:val="0"/>
          <w:numId w:val="4"/>
        </w:numPr>
        <w:autoSpaceDE w:val="0"/>
        <w:autoSpaceDN w:val="0"/>
        <w:adjustRightInd w:val="0"/>
        <w:snapToGrid w:val="0"/>
        <w:spacing w:line="360" w:lineRule="auto"/>
        <w:outlineLvl w:val="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采购代理服务费</w:t>
      </w:r>
    </w:p>
    <w:p>
      <w:pPr>
        <w:numPr>
          <w:ilvl w:val="1"/>
          <w:numId w:val="4"/>
        </w:numPr>
        <w:autoSpaceDE w:val="0"/>
        <w:autoSpaceDN w:val="0"/>
        <w:adjustRightInd w:val="0"/>
        <w:snapToGrid w:val="0"/>
        <w:spacing w:line="360" w:lineRule="auto"/>
        <w:outlineLvl w:val="0"/>
        <w:rPr>
          <w:rFonts w:ascii="宋体" w:hAnsi="宋体" w:eastAsia="宋体" w:cs="宋体"/>
          <w:color w:val="auto"/>
          <w:szCs w:val="21"/>
          <w:highlight w:val="none"/>
        </w:rPr>
      </w:pPr>
      <w:bookmarkStart w:id="223" w:name="_Toc475104515"/>
      <w:bookmarkStart w:id="224" w:name="_Toc363737720"/>
      <w:r>
        <w:rPr>
          <w:rFonts w:hint="eastAsia" w:ascii="宋体" w:hAnsi="宋体" w:eastAsia="宋体" w:cs="宋体"/>
          <w:color w:val="auto"/>
          <w:szCs w:val="21"/>
          <w:highlight w:val="none"/>
        </w:rPr>
        <w:t>成交服务费按</w:t>
      </w:r>
      <w:r>
        <w:rPr>
          <w:rFonts w:hint="eastAsia" w:ascii="宋体" w:hAnsi="宋体" w:eastAsia="宋体" w:cs="Times New Roman"/>
          <w:color w:val="auto"/>
          <w:szCs w:val="21"/>
          <w:highlight w:val="none"/>
        </w:rPr>
        <w:t>采购代</w:t>
      </w:r>
      <w:r>
        <w:rPr>
          <w:rFonts w:hint="eastAsia" w:ascii="宋体" w:hAnsi="宋体" w:eastAsia="宋体" w:cs="宋体"/>
          <w:color w:val="auto"/>
          <w:szCs w:val="21"/>
          <w:highlight w:val="none"/>
        </w:rPr>
        <w:t>理服务费收费依据及方法按《公开遴选须知一览表》中规定执行。</w:t>
      </w:r>
      <w:bookmarkEnd w:id="223"/>
      <w:bookmarkEnd w:id="224"/>
    </w:p>
    <w:p>
      <w:pPr>
        <w:numPr>
          <w:ilvl w:val="0"/>
          <w:numId w:val="4"/>
        </w:numPr>
        <w:autoSpaceDE w:val="0"/>
        <w:autoSpaceDN w:val="0"/>
        <w:adjustRightInd w:val="0"/>
        <w:snapToGrid w:val="0"/>
        <w:spacing w:line="360" w:lineRule="auto"/>
        <w:outlineLvl w:val="0"/>
        <w:rPr>
          <w:rFonts w:hint="eastAsia" w:ascii="宋体" w:hAnsi="宋体" w:eastAsia="宋体" w:cs="Times New Roman"/>
          <w:b/>
          <w:bCs/>
          <w:color w:val="auto"/>
          <w:sz w:val="24"/>
          <w:szCs w:val="24"/>
          <w:highlight w:val="none"/>
        </w:rPr>
      </w:pPr>
      <w:bookmarkStart w:id="225" w:name="_Toc363737723"/>
      <w:bookmarkStart w:id="226" w:name="_Toc475104518"/>
      <w:r>
        <w:rPr>
          <w:rFonts w:hint="eastAsia" w:ascii="宋体" w:hAnsi="宋体" w:eastAsia="宋体" w:cs="Times New Roman"/>
          <w:b/>
          <w:bCs/>
          <w:color w:val="auto"/>
          <w:sz w:val="24"/>
          <w:szCs w:val="24"/>
          <w:highlight w:val="none"/>
        </w:rPr>
        <w:t xml:space="preserve">政府采购合同融资相关政策 </w:t>
      </w:r>
    </w:p>
    <w:p>
      <w:pPr>
        <w:numPr>
          <w:ilvl w:val="1"/>
          <w:numId w:val="4"/>
        </w:numPr>
        <w:autoSpaceDE w:val="0"/>
        <w:autoSpaceDN w:val="0"/>
        <w:adjustRightInd w:val="0"/>
        <w:snapToGrid w:val="0"/>
        <w:spacing w:line="360" w:lineRule="auto"/>
        <w:outlineLvl w:val="0"/>
        <w:rPr>
          <w:rFonts w:ascii="宋体" w:hAnsi="宋体" w:eastAsia="宋体" w:cs="宋体"/>
          <w:color w:val="auto"/>
          <w:szCs w:val="21"/>
          <w:highlight w:val="none"/>
        </w:rPr>
      </w:pPr>
      <w:r>
        <w:rPr>
          <w:rFonts w:ascii="宋体" w:hAnsi="宋体" w:eastAsia="宋体" w:cs="宋体"/>
          <w:color w:val="auto"/>
          <w:szCs w:val="21"/>
          <w:highlight w:val="none"/>
        </w:rPr>
        <w:t>包括但不限于以下</w:t>
      </w:r>
      <w:r>
        <w:rPr>
          <w:rFonts w:hint="eastAsia" w:ascii="宋体" w:hAnsi="宋体" w:eastAsia="宋体" w:cs="宋体"/>
          <w:color w:val="auto"/>
          <w:szCs w:val="21"/>
          <w:highlight w:val="none"/>
        </w:rPr>
        <w:t>文件，若涉及到国家或地方政策变动，按国家或地方最新政策执行。</w:t>
      </w:r>
    </w:p>
    <w:p>
      <w:pPr>
        <w:autoSpaceDE w:val="0"/>
        <w:autoSpaceDN w:val="0"/>
        <w:adjustRightInd w:val="0"/>
        <w:snapToGrid w:val="0"/>
        <w:spacing w:line="360" w:lineRule="auto"/>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（1）《关于进一步深化小微企业金融服务的意见》（银发〔2018〕162号）</w:t>
      </w:r>
    </w:p>
    <w:p>
      <w:pPr>
        <w:autoSpaceDE w:val="0"/>
        <w:autoSpaceDN w:val="0"/>
        <w:adjustRightInd w:val="0"/>
        <w:snapToGrid w:val="0"/>
        <w:spacing w:line="360" w:lineRule="auto"/>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（2）《广东省支持中小企业融资的若干政策措施》（粤金监〔2019〕58号）</w:t>
      </w:r>
    </w:p>
    <w:p>
      <w:pPr>
        <w:autoSpaceDE w:val="0"/>
        <w:autoSpaceDN w:val="0"/>
        <w:adjustRightInd w:val="0"/>
        <w:snapToGrid w:val="0"/>
        <w:spacing w:line="360" w:lineRule="auto"/>
        <w:ind w:firstLine="420" w:firstLineChars="200"/>
        <w:outlineLvl w:val="0"/>
        <w:rPr>
          <w:rFonts w:ascii="宋体" w:hAnsi="宋体" w:eastAsia="宋体" w:cs="宋体"/>
          <w:color w:val="auto"/>
          <w:szCs w:val="21"/>
          <w:highlight w:val="none"/>
        </w:rPr>
      </w:pPr>
      <w:r>
        <w:rPr>
          <w:rFonts w:hint="eastAsia" w:ascii="宋体" w:hAnsi="宋体" w:eastAsia="宋体" w:cs="宋体"/>
          <w:color w:val="auto"/>
          <w:szCs w:val="21"/>
          <w:highlight w:val="none"/>
        </w:rPr>
        <w:t>（3）《关于开展省级政府采购合同融资工作的通知》（粤财采购〔2020〕6号）</w:t>
      </w:r>
    </w:p>
    <w:p>
      <w:pPr>
        <w:autoSpaceDE w:val="0"/>
        <w:autoSpaceDN w:val="0"/>
        <w:adjustRightInd w:val="0"/>
        <w:snapToGrid w:val="0"/>
        <w:spacing w:line="360" w:lineRule="auto"/>
        <w:ind w:firstLine="420" w:firstLineChars="200"/>
        <w:outlineLvl w:val="0"/>
        <w:rPr>
          <w:rFonts w:ascii="宋体" w:hAnsi="宋体" w:eastAsia="宋体" w:cs="宋体"/>
          <w:color w:val="auto"/>
          <w:szCs w:val="21"/>
          <w:highlight w:val="none"/>
        </w:rPr>
      </w:pPr>
      <w:r>
        <w:rPr>
          <w:rFonts w:hint="eastAsia" w:ascii="宋体" w:hAnsi="宋体" w:eastAsia="宋体" w:cs="宋体"/>
          <w:color w:val="auto"/>
          <w:szCs w:val="21"/>
          <w:highlight w:val="none"/>
        </w:rPr>
        <w:t>（4）《广州市财政局 中国人民银行广州分行营业管理部关于开展广州市政府采购合同线上融资业务的通知》（穗财采[2020]9号）</w:t>
      </w:r>
    </w:p>
    <w:p>
      <w:pPr>
        <w:autoSpaceDE w:val="0"/>
        <w:autoSpaceDN w:val="0"/>
        <w:adjustRightInd w:val="0"/>
        <w:snapToGrid w:val="0"/>
        <w:spacing w:line="360" w:lineRule="auto"/>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（5）《广州市财政局关于进一步做好已融资政府采购合同支付工作的通知》</w:t>
      </w:r>
    </w:p>
    <w:p>
      <w:pPr>
        <w:numPr>
          <w:ilvl w:val="0"/>
          <w:numId w:val="4"/>
        </w:numPr>
        <w:autoSpaceDE w:val="0"/>
        <w:autoSpaceDN w:val="0"/>
        <w:adjustRightInd w:val="0"/>
        <w:snapToGrid w:val="0"/>
        <w:spacing w:line="360" w:lineRule="auto"/>
        <w:outlineLvl w:val="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分包和转包</w:t>
      </w:r>
    </w:p>
    <w:p>
      <w:pPr>
        <w:numPr>
          <w:ilvl w:val="1"/>
          <w:numId w:val="4"/>
        </w:numPr>
        <w:autoSpaceDE w:val="0"/>
        <w:autoSpaceDN w:val="0"/>
        <w:adjustRightInd w:val="0"/>
        <w:snapToGrid w:val="0"/>
        <w:spacing w:line="360" w:lineRule="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未经采购人同意，中标人不得将项目的全部或任何部分分包和转包给他人。</w:t>
      </w:r>
    </w:p>
    <w:p>
      <w:pPr>
        <w:numPr>
          <w:ilvl w:val="1"/>
          <w:numId w:val="4"/>
        </w:numPr>
        <w:autoSpaceDE w:val="0"/>
        <w:autoSpaceDN w:val="0"/>
        <w:adjustRightInd w:val="0"/>
        <w:snapToGrid w:val="0"/>
        <w:spacing w:line="360" w:lineRule="auto"/>
        <w:outlineLvl w:val="0"/>
        <w:rPr>
          <w:rFonts w:ascii="宋体" w:hAnsi="宋体" w:eastAsia="宋体" w:cs="宋体"/>
          <w:color w:val="auto"/>
          <w:szCs w:val="21"/>
          <w:highlight w:val="none"/>
        </w:rPr>
      </w:pPr>
      <w:r>
        <w:rPr>
          <w:rFonts w:hint="eastAsia" w:ascii="宋体" w:hAnsi="宋体" w:eastAsia="宋体" w:cs="宋体"/>
          <w:color w:val="auto"/>
          <w:szCs w:val="21"/>
          <w:highlight w:val="none"/>
        </w:rPr>
        <w:t>经采购单位同意，中标（成交）供应商可以依法将采购项目的非主体、非关键性工作进行分包。政府采购合同分包履行的，中标（成交）供应商就采购项目和分包项目向采购人负责，分包供应商就分包项目承担责任。中小企业依据价格扣除相关政策获取政府采购合同后，小型、微型企业不得分包或转包给大型、中型企业，中型企业不得分包或转包给大型企业。</w:t>
      </w:r>
    </w:p>
    <w:p>
      <w:pPr>
        <w:numPr>
          <w:ilvl w:val="1"/>
          <w:numId w:val="4"/>
        </w:numPr>
        <w:autoSpaceDE w:val="0"/>
        <w:autoSpaceDN w:val="0"/>
        <w:adjustRightInd w:val="0"/>
        <w:snapToGrid w:val="0"/>
        <w:spacing w:line="360" w:lineRule="auto"/>
        <w:outlineLvl w:val="0"/>
        <w:rPr>
          <w:rFonts w:ascii="Times New Roman" w:hAnsi="Times New Roman" w:eastAsia="宋体" w:cs="Times New Roman"/>
          <w:color w:val="auto"/>
          <w:szCs w:val="24"/>
          <w:highlight w:val="none"/>
        </w:rPr>
      </w:pPr>
      <w:r>
        <w:rPr>
          <w:rFonts w:hint="eastAsia" w:ascii="宋体" w:hAnsi="宋体" w:eastAsia="宋体" w:cs="宋体"/>
          <w:color w:val="auto"/>
          <w:szCs w:val="21"/>
          <w:highlight w:val="none"/>
        </w:rPr>
        <w:t>禁止中标（成交）供应商将其政府采购合同转包。采购单位在项目实施中，适时对照投标（响应）文件和合同对项目负责人、技术负责人等项目主要人员的身份、资格进行核验，对标的物数量、厂家、品牌、规格型号、产地进行核实，监督供应商严格按照合同约定履行责任和义务，及时发现、制止和纠正供应商将责任和义务全部或肢解后以分包名义分别转包给其他单位和个人履行的违法行为。</w:t>
      </w:r>
    </w:p>
    <w:p>
      <w:pPr>
        <w:numPr>
          <w:ilvl w:val="0"/>
          <w:numId w:val="4"/>
        </w:numPr>
        <w:autoSpaceDE w:val="0"/>
        <w:autoSpaceDN w:val="0"/>
        <w:adjustRightInd w:val="0"/>
        <w:snapToGrid w:val="0"/>
        <w:spacing w:line="360" w:lineRule="auto"/>
        <w:outlineLvl w:val="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w:t>
      </w:r>
      <w:bookmarkEnd w:id="225"/>
      <w:bookmarkEnd w:id="226"/>
    </w:p>
    <w:p>
      <w:pPr>
        <w:numPr>
          <w:ilvl w:val="1"/>
          <w:numId w:val="4"/>
        </w:numPr>
        <w:autoSpaceDE w:val="0"/>
        <w:autoSpaceDN w:val="0"/>
        <w:adjustRightInd w:val="0"/>
        <w:snapToGrid w:val="0"/>
        <w:spacing w:line="360" w:lineRule="auto"/>
        <w:outlineLvl w:val="0"/>
        <w:rPr>
          <w:rFonts w:ascii="宋体" w:hAnsi="宋体" w:eastAsia="宋体" w:cs="宋体"/>
          <w:color w:val="auto"/>
          <w:szCs w:val="21"/>
          <w:highlight w:val="none"/>
        </w:rPr>
      </w:pPr>
      <w:bookmarkStart w:id="227" w:name="_Toc475104519"/>
      <w:bookmarkStart w:id="228" w:name="_Toc363737724"/>
      <w:r>
        <w:rPr>
          <w:rFonts w:hint="eastAsia" w:ascii="宋体" w:hAnsi="宋体" w:eastAsia="宋体" w:cs="宋体"/>
          <w:color w:val="auto"/>
          <w:szCs w:val="21"/>
          <w:highlight w:val="none"/>
        </w:rPr>
        <w:t>本项目相关公告在以下</w:t>
      </w:r>
      <w:bookmarkStart w:id="344" w:name="_GoBack"/>
      <w:bookmarkEnd w:id="344"/>
      <w:r>
        <w:rPr>
          <w:rFonts w:hint="eastAsia" w:ascii="宋体" w:hAnsi="宋体" w:eastAsia="宋体" w:cs="宋体"/>
          <w:color w:val="auto"/>
          <w:szCs w:val="21"/>
          <w:highlight w:val="none"/>
        </w:rPr>
        <w:t>媒体发布：</w:t>
      </w:r>
      <w:r>
        <w:rPr>
          <w:rFonts w:hint="eastAsia" w:ascii="宋体" w:hAnsi="宋体" w:eastAsia="宋体" w:cs="宋体"/>
          <w:color w:val="auto"/>
          <w:szCs w:val="21"/>
          <w:highlight w:val="none"/>
          <w:lang w:val="en-US" w:eastAsia="zh-CN"/>
        </w:rPr>
        <w:t>中国采购与招标</w:t>
      </w:r>
      <w:r>
        <w:rPr>
          <w:rFonts w:hint="eastAsia" w:ascii="宋体" w:hAnsi="宋体" w:eastAsia="宋体" w:cs="宋体"/>
          <w:color w:val="auto"/>
          <w:szCs w:val="21"/>
          <w:highlight w:val="none"/>
        </w:rPr>
        <w:t>网（网址：www.chinabidding.cn）和广州市信怡招标代理有限公司网站（www.gzxyzb.com）。相关公告在法定媒体上公布之日即视为有效送达，不再另行通知。</w:t>
      </w:r>
      <w:bookmarkEnd w:id="227"/>
      <w:bookmarkEnd w:id="228"/>
    </w:p>
    <w:p>
      <w:pPr>
        <w:numPr>
          <w:ilvl w:val="1"/>
          <w:numId w:val="4"/>
        </w:numPr>
        <w:autoSpaceDE w:val="0"/>
        <w:autoSpaceDN w:val="0"/>
        <w:adjustRightInd w:val="0"/>
        <w:snapToGrid w:val="0"/>
        <w:spacing w:line="360" w:lineRule="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询问函、质疑函格式</w:t>
      </w:r>
    </w:p>
    <w:p>
      <w:pPr>
        <w:snapToGrid w:val="0"/>
        <w:spacing w:line="360" w:lineRule="auto"/>
        <w:ind w:firstLine="424" w:firstLineChars="201"/>
        <w:rPr>
          <w:rFonts w:ascii="宋体" w:hAnsi="Times New Roman" w:eastAsia="宋体" w:cs="Times New Roman"/>
          <w:b/>
          <w:color w:val="auto"/>
          <w:szCs w:val="21"/>
          <w:highlight w:val="none"/>
        </w:rPr>
      </w:pPr>
      <w:r>
        <w:rPr>
          <w:rFonts w:hint="eastAsia" w:ascii="宋体" w:hAnsi="宋体" w:eastAsia="宋体" w:cs="Times New Roman"/>
          <w:b/>
          <w:color w:val="auto"/>
          <w:szCs w:val="21"/>
          <w:highlight w:val="none"/>
        </w:rPr>
        <w:t>说明：本部分格式为投标人提交询问函、质疑函时使用，不属于遴选响应文件格式的组成部分。</w:t>
      </w:r>
    </w:p>
    <w:p>
      <w:pPr>
        <w:spacing w:after="120" w:afterLines="50"/>
        <w:jc w:val="center"/>
        <w:rPr>
          <w:rFonts w:ascii="宋体" w:hAnsi="Times New Roman"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询</w:t>
      </w:r>
      <w:r>
        <w:rPr>
          <w:rFonts w:ascii="宋体" w:hAnsi="宋体" w:eastAsia="宋体" w:cs="Times New Roman"/>
          <w:b/>
          <w:bCs/>
          <w:color w:val="auto"/>
          <w:sz w:val="28"/>
          <w:szCs w:val="28"/>
          <w:highlight w:val="none"/>
        </w:rPr>
        <w:t xml:space="preserve">  </w:t>
      </w:r>
      <w:r>
        <w:rPr>
          <w:rFonts w:hint="eastAsia" w:ascii="宋体" w:hAnsi="宋体" w:eastAsia="宋体" w:cs="Times New Roman"/>
          <w:b/>
          <w:bCs/>
          <w:color w:val="auto"/>
          <w:sz w:val="28"/>
          <w:szCs w:val="28"/>
          <w:highlight w:val="none"/>
        </w:rPr>
        <w:t>问</w:t>
      </w:r>
      <w:r>
        <w:rPr>
          <w:rFonts w:ascii="宋体" w:hAnsi="宋体" w:eastAsia="宋体" w:cs="Times New Roman"/>
          <w:b/>
          <w:bCs/>
          <w:color w:val="auto"/>
          <w:sz w:val="28"/>
          <w:szCs w:val="28"/>
          <w:highlight w:val="none"/>
        </w:rPr>
        <w:t xml:space="preserve">  </w:t>
      </w:r>
      <w:r>
        <w:rPr>
          <w:rFonts w:hint="eastAsia" w:ascii="宋体" w:hAnsi="宋体" w:eastAsia="宋体" w:cs="Times New Roman"/>
          <w:b/>
          <w:bCs/>
          <w:color w:val="auto"/>
          <w:sz w:val="28"/>
          <w:szCs w:val="28"/>
          <w:highlight w:val="none"/>
        </w:rPr>
        <w:t>函</w:t>
      </w:r>
    </w:p>
    <w:p>
      <w:pPr>
        <w:widowControl/>
        <w:snapToGrid w:val="0"/>
        <w:spacing w:line="360" w:lineRule="auto"/>
        <w:rPr>
          <w:rFonts w:ascii="宋体" w:hAnsi="Times New Roman" w:eastAsia="宋体" w:cs="Times New Roman"/>
          <w:b/>
          <w:color w:val="auto"/>
          <w:szCs w:val="21"/>
          <w:highlight w:val="none"/>
        </w:rPr>
      </w:pPr>
      <w:r>
        <w:rPr>
          <w:rFonts w:hint="eastAsia" w:ascii="宋体" w:hAnsi="宋体" w:eastAsia="宋体" w:cs="Times New Roman"/>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我单位已报名并准备参与</w:t>
      </w:r>
      <w:r>
        <w:rPr>
          <w:rFonts w:hint="eastAsia" w:ascii="宋体" w:hAnsi="宋体" w:eastAsia="宋体" w:cs="Times New Roman"/>
          <w:color w:val="auto"/>
          <w:szCs w:val="21"/>
          <w:highlight w:val="none"/>
          <w:u w:val="single"/>
        </w:rPr>
        <w:t>（项目名称）</w:t>
      </w:r>
      <w:r>
        <w:rPr>
          <w:rFonts w:hint="eastAsia" w:ascii="宋体" w:hAnsi="宋体" w:eastAsia="宋体" w:cs="Times New Roman"/>
          <w:color w:val="auto"/>
          <w:szCs w:val="21"/>
          <w:highlight w:val="none"/>
        </w:rPr>
        <w:t>项目（项目采购编号：</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一、</w:t>
      </w:r>
      <w:r>
        <w:rPr>
          <w:rFonts w:ascii="宋体" w:hAnsi="宋体" w:eastAsia="宋体" w:cs="Times New Roman"/>
          <w:color w:val="auto"/>
          <w:szCs w:val="21"/>
          <w:highlight w:val="none"/>
        </w:rPr>
        <w:t>_____________________</w:t>
      </w:r>
      <w:r>
        <w:rPr>
          <w:rFonts w:hint="eastAsia" w:ascii="宋体" w:hAnsi="宋体" w:eastAsia="宋体" w:cs="Times New Roman"/>
          <w:color w:val="auto"/>
          <w:szCs w:val="21"/>
          <w:highlight w:val="none"/>
        </w:rPr>
        <w:t>（事项一）</w:t>
      </w:r>
      <w:r>
        <w:rPr>
          <w:rFonts w:ascii="宋体" w:hAnsi="Times New Roman" w:eastAsia="宋体" w:cs="Times New Roman"/>
          <w:color w:val="auto"/>
          <w:szCs w:val="21"/>
          <w:highlight w:val="none"/>
        </w:rPr>
        <w:tab/>
      </w:r>
    </w:p>
    <w:p>
      <w:pPr>
        <w:widowControl/>
        <w:tabs>
          <w:tab w:val="left" w:pos="6300"/>
        </w:tabs>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____________________</w:t>
      </w:r>
      <w:r>
        <w:rPr>
          <w:rFonts w:hint="eastAsia" w:ascii="宋体" w:hAnsi="宋体" w:eastAsia="宋体" w:cs="Times New Roman"/>
          <w:color w:val="auto"/>
          <w:szCs w:val="21"/>
          <w:highlight w:val="none"/>
        </w:rPr>
        <w:t>（问题或条款内容）</w:t>
      </w:r>
    </w:p>
    <w:p>
      <w:pPr>
        <w:widowControl/>
        <w:tabs>
          <w:tab w:val="left" w:pos="6300"/>
        </w:tabs>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____________________</w:t>
      </w:r>
      <w:r>
        <w:rPr>
          <w:rFonts w:hint="eastAsia" w:ascii="宋体" w:hAnsi="宋体" w:eastAsia="宋体" w:cs="Times New Roman"/>
          <w:color w:val="auto"/>
          <w:szCs w:val="21"/>
          <w:highlight w:val="none"/>
        </w:rPr>
        <w:t>（说明疑问或无法理解原因）</w:t>
      </w:r>
    </w:p>
    <w:p>
      <w:pPr>
        <w:widowControl/>
        <w:tabs>
          <w:tab w:val="left" w:pos="6300"/>
        </w:tabs>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____________________</w:t>
      </w:r>
      <w:r>
        <w:rPr>
          <w:rFonts w:hint="eastAsia" w:ascii="宋体" w:hAnsi="宋体" w:eastAsia="宋体" w:cs="Times New Roman"/>
          <w:color w:val="auto"/>
          <w:szCs w:val="21"/>
          <w:highlight w:val="none"/>
        </w:rPr>
        <w:t>（建议）</w:t>
      </w:r>
    </w:p>
    <w:p>
      <w:pPr>
        <w:widowControl/>
        <w:tabs>
          <w:tab w:val="left" w:pos="6300"/>
        </w:tabs>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二、</w:t>
      </w:r>
      <w:r>
        <w:rPr>
          <w:rFonts w:ascii="宋体" w:hAnsi="宋体" w:eastAsia="宋体" w:cs="Times New Roman"/>
          <w:color w:val="auto"/>
          <w:szCs w:val="21"/>
          <w:highlight w:val="none"/>
        </w:rPr>
        <w:t>_____________________</w:t>
      </w:r>
      <w:r>
        <w:rPr>
          <w:rFonts w:hint="eastAsia" w:ascii="宋体" w:hAnsi="宋体" w:eastAsia="宋体" w:cs="Times New Roman"/>
          <w:color w:val="auto"/>
          <w:szCs w:val="21"/>
          <w:highlight w:val="none"/>
        </w:rPr>
        <w:t>（事项二）</w:t>
      </w:r>
    </w:p>
    <w:p>
      <w:pPr>
        <w:widowControl/>
        <w:tabs>
          <w:tab w:val="left" w:pos="6300"/>
        </w:tabs>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w:t>
      </w:r>
    </w:p>
    <w:p>
      <w:pPr>
        <w:widowControl/>
        <w:tabs>
          <w:tab w:val="left" w:pos="6300"/>
        </w:tabs>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随附相关证明材料如下：（目录）。</w:t>
      </w:r>
    </w:p>
    <w:p>
      <w:pPr>
        <w:widowControl/>
        <w:tabs>
          <w:tab w:val="left" w:pos="6300"/>
        </w:tabs>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询问人全称（加盖公章）:</w:t>
      </w:r>
    </w:p>
    <w:p>
      <w:pPr>
        <w:widowControl/>
        <w:tabs>
          <w:tab w:val="left" w:pos="6300"/>
        </w:tabs>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法定代表或其授权代表(签字或签章)：</w:t>
      </w:r>
    </w:p>
    <w:p>
      <w:pPr>
        <w:widowControl/>
        <w:tabs>
          <w:tab w:val="left" w:pos="6300"/>
        </w:tabs>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地址/邮编：</w:t>
      </w:r>
    </w:p>
    <w:p>
      <w:pPr>
        <w:widowControl/>
        <w:tabs>
          <w:tab w:val="left" w:pos="6300"/>
        </w:tabs>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电话/传真：</w:t>
      </w:r>
    </w:p>
    <w:p>
      <w:pPr>
        <w:widowControl/>
        <w:tabs>
          <w:tab w:val="left" w:pos="6300"/>
        </w:tabs>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Times New Roman"/>
          <w:color w:val="auto"/>
          <w:szCs w:val="21"/>
          <w:highlight w:val="none"/>
        </w:rPr>
        <w:t xml:space="preserve">日    期：     年   月  </w:t>
      </w:r>
      <w:r>
        <w:rPr>
          <w:rFonts w:hint="eastAsia" w:ascii="宋体" w:hAnsi="宋体" w:eastAsia="宋体" w:cs="宋体"/>
          <w:bCs/>
          <w:color w:val="auto"/>
          <w:szCs w:val="21"/>
          <w:highlight w:val="none"/>
        </w:rPr>
        <w:t xml:space="preserve"> 日</w:t>
      </w:r>
    </w:p>
    <w:p>
      <w:pPr>
        <w:snapToGrid w:val="0"/>
        <w:spacing w:line="360" w:lineRule="auto"/>
        <w:ind w:firstLine="422" w:firstLineChars="201"/>
        <w:rPr>
          <w:rFonts w:ascii="宋体" w:hAnsi="Times New Roman" w:eastAsia="宋体" w:cs="Times New Roman"/>
          <w:color w:val="auto"/>
          <w:szCs w:val="21"/>
          <w:highlight w:val="none"/>
        </w:rPr>
      </w:pPr>
    </w:p>
    <w:p>
      <w:pPr>
        <w:spacing w:line="440" w:lineRule="exact"/>
        <w:rPr>
          <w:rFonts w:ascii="宋体" w:hAnsi="Times New Roman" w:eastAsia="宋体" w:cs="Times New Roman"/>
          <w:color w:val="auto"/>
          <w:sz w:val="24"/>
          <w:szCs w:val="24"/>
          <w:highlight w:val="none"/>
        </w:rPr>
      </w:pPr>
    </w:p>
    <w:p>
      <w:pPr>
        <w:spacing w:after="120" w:afterLines="50"/>
        <w:jc w:val="center"/>
        <w:rPr>
          <w:rFonts w:ascii="宋体" w:hAnsi="Times New Roman"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质  疑  函</w:t>
      </w:r>
    </w:p>
    <w:p>
      <w:pPr>
        <w:widowControl/>
        <w:spacing w:line="360" w:lineRule="auto"/>
        <w:jc w:val="center"/>
        <w:rPr>
          <w:rFonts w:ascii="宋体" w:hAnsi="Times New Roman" w:eastAsia="宋体" w:cs="Tahoma"/>
          <w:b/>
          <w:bCs/>
          <w:color w:val="auto"/>
          <w:spacing w:val="10"/>
          <w:szCs w:val="21"/>
          <w:highlight w:val="none"/>
        </w:rPr>
      </w:pPr>
      <w:r>
        <w:rPr>
          <w:rFonts w:ascii="宋体" w:hAnsi="宋体" w:eastAsia="宋体" w:cs="Tahoma"/>
          <w:color w:val="auto"/>
          <w:spacing w:val="10"/>
          <w:szCs w:val="21"/>
          <w:highlight w:val="none"/>
        </w:rPr>
        <w:t xml:space="preserve"> (</w:t>
      </w:r>
      <w:r>
        <w:rPr>
          <w:rFonts w:hint="eastAsia" w:ascii="宋体" w:hAnsi="宋体" w:eastAsia="宋体" w:cs="Tahoma"/>
          <w:color w:val="auto"/>
          <w:spacing w:val="10"/>
          <w:szCs w:val="21"/>
          <w:highlight w:val="none"/>
        </w:rPr>
        <w:t>可根据质疑内容增加或删减</w:t>
      </w:r>
      <w:r>
        <w:rPr>
          <w:rFonts w:ascii="宋体" w:hAnsi="宋体" w:eastAsia="宋体" w:cs="Tahoma"/>
          <w:color w:val="auto"/>
          <w:spacing w:val="10"/>
          <w:szCs w:val="21"/>
          <w:highlight w:val="none"/>
        </w:rPr>
        <w:t>)</w:t>
      </w:r>
    </w:p>
    <w:p>
      <w:pPr>
        <w:widowControl/>
        <w:snapToGrid w:val="0"/>
        <w:spacing w:line="360" w:lineRule="auto"/>
        <w:rPr>
          <w:rFonts w:ascii="宋体" w:hAnsi="Times New Roman" w:eastAsia="宋体" w:cs="Times New Roman"/>
          <w:b/>
          <w:color w:val="auto"/>
          <w:szCs w:val="21"/>
          <w:highlight w:val="none"/>
        </w:rPr>
      </w:pPr>
      <w:r>
        <w:rPr>
          <w:rFonts w:hint="eastAsia" w:ascii="宋体" w:hAnsi="宋体" w:eastAsia="宋体" w:cs="Times New Roman"/>
          <w:b/>
          <w:color w:val="auto"/>
          <w:szCs w:val="21"/>
          <w:highlight w:val="none"/>
        </w:rPr>
        <w:t>广州市信怡招标代理有限公司：</w:t>
      </w:r>
    </w:p>
    <w:p>
      <w:pPr>
        <w:widowControl/>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我公司依法参与了</w:t>
      </w:r>
      <w:r>
        <w:rPr>
          <w:rFonts w:hint="eastAsia" w:ascii="宋体" w:hAnsi="宋体" w:eastAsia="宋体" w:cs="Times New Roman"/>
          <w:color w:val="auto"/>
          <w:szCs w:val="21"/>
          <w:highlight w:val="none"/>
          <w:u w:val="single"/>
        </w:rPr>
        <w:t>（采购代理机构或采购人）</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日组织的政府采购活动。根据《政府采购法》和《政府采购供应商投诉处理办法》等规定，我公司认为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（采购项目名称）（采购项目编号：</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项目的采购活动中，</w:t>
      </w:r>
      <w:r>
        <w:rPr>
          <w:rFonts w:hint="eastAsia" w:ascii="宋体" w:hAnsi="宋体" w:eastAsia="宋体" w:cs="Times New Roman"/>
          <w:color w:val="auto"/>
          <w:szCs w:val="21"/>
          <w:highlight w:val="none"/>
          <w:u w:val="single"/>
        </w:rPr>
        <w:t>（公开遴选文件、采购过程、中标</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成交结果）</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损害了我公司权益，特提出质疑。</w:t>
      </w:r>
    </w:p>
    <w:p>
      <w:pPr>
        <w:widowControl/>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一、我公司认为项目的</w:t>
      </w:r>
      <w:r>
        <w:rPr>
          <w:rFonts w:hint="eastAsia" w:ascii="宋体" w:hAnsi="宋体" w:eastAsia="宋体" w:cs="Times New Roman"/>
          <w:color w:val="auto"/>
          <w:szCs w:val="21"/>
          <w:highlight w:val="none"/>
          <w:u w:val="single"/>
        </w:rPr>
        <w:t>（公开遴选文件、采购过程、中标</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成交结果）</w:t>
      </w:r>
      <w:r>
        <w:rPr>
          <w:rFonts w:hint="eastAsia" w:ascii="宋体" w:hAnsi="宋体" w:eastAsia="宋体" w:cs="Times New Roman"/>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hint="eastAsia" w:ascii="宋体" w:hAnsi="Times New Roman" w:eastAsia="宋体" w:cs="Times New Roman"/>
          <w:b/>
          <w:color w:val="auto"/>
          <w:szCs w:val="21"/>
          <w:highlight w:val="none"/>
        </w:rPr>
      </w:pPr>
      <w:r>
        <w:rPr>
          <w:rFonts w:hint="eastAsia" w:ascii="宋体" w:hAnsi="宋体" w:eastAsia="宋体" w:cs="Times New Roman"/>
          <w:b/>
          <w:color w:val="auto"/>
          <w:szCs w:val="21"/>
          <w:highlight w:val="none"/>
        </w:rPr>
        <w:t>质疑公开遴选文件</w:t>
      </w:r>
    </w:p>
    <w:p>
      <w:pPr>
        <w:widowControl/>
        <w:snapToGrid w:val="0"/>
        <w:spacing w:line="360" w:lineRule="auto"/>
        <w:ind w:firstLine="420" w:firstLineChars="200"/>
        <w:rPr>
          <w:rFonts w:ascii="宋体" w:hAnsi="Times New Roman"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．质疑内容公开遴选文件页，内容“</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损害了我公司权益，</w:t>
      </w:r>
    </w:p>
    <w:p>
      <w:pPr>
        <w:widowControl/>
        <w:snapToGrid w:val="0"/>
        <w:spacing w:line="360" w:lineRule="auto"/>
        <w:ind w:firstLine="735" w:firstLineChars="35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事实依据：</w:t>
      </w:r>
      <w:r>
        <w:rPr>
          <w:rFonts w:ascii="宋体" w:hAnsi="宋体" w:eastAsia="宋体" w:cs="Times New Roman"/>
          <w:color w:val="auto"/>
          <w:szCs w:val="21"/>
          <w:highlight w:val="none"/>
        </w:rPr>
        <w:t xml:space="preserve"> </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证据见附件第页）</w:t>
      </w:r>
    </w:p>
    <w:p>
      <w:pPr>
        <w:widowControl/>
        <w:spacing w:line="360" w:lineRule="auto"/>
        <w:ind w:firstLine="743" w:firstLineChars="354"/>
        <w:rPr>
          <w:rFonts w:ascii="宋体" w:hAnsi="Times New Roman" w:eastAsia="宋体" w:cs="Arial"/>
          <w:color w:val="auto"/>
          <w:szCs w:val="21"/>
          <w:highlight w:val="none"/>
        </w:rPr>
      </w:pPr>
      <w:r>
        <w:rPr>
          <w:rFonts w:hint="eastAsia" w:ascii="宋体" w:hAnsi="宋体" w:eastAsia="宋体" w:cs="Times New Roman"/>
          <w:color w:val="auto"/>
          <w:szCs w:val="21"/>
          <w:highlight w:val="none"/>
        </w:rPr>
        <w:t>法律依据</w:t>
      </w:r>
      <w:r>
        <w:rPr>
          <w:rFonts w:hint="eastAsia" w:ascii="宋体" w:hAnsi="宋体" w:eastAsia="宋体" w:cs="Arial"/>
          <w:color w:val="auto"/>
          <w:szCs w:val="21"/>
          <w:highlight w:val="none"/>
        </w:rPr>
        <w:t>：</w:t>
      </w:r>
    </w:p>
    <w:p>
      <w:pPr>
        <w:widowControl/>
        <w:spacing w:line="360" w:lineRule="auto"/>
        <w:ind w:firstLine="743" w:firstLineChars="354"/>
        <w:rPr>
          <w:rFonts w:ascii="宋体" w:hAnsi="Times New Roman" w:eastAsia="宋体" w:cs="Times New Roman"/>
          <w:color w:val="auto"/>
          <w:szCs w:val="21"/>
          <w:highlight w:val="none"/>
          <w:u w:val="single"/>
        </w:rPr>
      </w:pPr>
      <w:r>
        <w:rPr>
          <w:rFonts w:hint="eastAsia" w:ascii="宋体" w:hAnsi="宋体" w:eastAsia="宋体" w:cs="Times New Roman"/>
          <w:color w:val="auto"/>
          <w:szCs w:val="21"/>
          <w:highlight w:val="none"/>
        </w:rPr>
        <w:t>我方请求公开遴选文件做如下修改：</w:t>
      </w:r>
    </w:p>
    <w:p>
      <w:pPr>
        <w:widowControl/>
        <w:spacing w:line="360" w:lineRule="auto"/>
        <w:ind w:firstLine="743" w:firstLineChars="354"/>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我方对公开遴选文件其他内容无质疑。</w:t>
      </w:r>
    </w:p>
    <w:p>
      <w:pPr>
        <w:widowControl/>
        <w:snapToGrid w:val="0"/>
        <w:spacing w:line="360" w:lineRule="auto"/>
        <w:ind w:firstLine="422" w:firstLineChars="200"/>
        <w:rPr>
          <w:rFonts w:ascii="宋体" w:hAnsi="Times New Roman" w:eastAsia="宋体" w:cs="Times New Roman"/>
          <w:b/>
          <w:color w:val="auto"/>
          <w:szCs w:val="21"/>
          <w:highlight w:val="none"/>
        </w:rPr>
      </w:pPr>
      <w:r>
        <w:rPr>
          <w:rFonts w:hint="eastAsia" w:ascii="宋体" w:hAnsi="宋体" w:eastAsia="宋体" w:cs="Times New Roman"/>
          <w:b/>
          <w:color w:val="auto"/>
          <w:szCs w:val="21"/>
          <w:highlight w:val="none"/>
        </w:rPr>
        <w:t>质疑采购过程</w:t>
      </w:r>
    </w:p>
    <w:p>
      <w:pPr>
        <w:widowControl/>
        <w:snapToGrid w:val="0"/>
        <w:spacing w:line="360" w:lineRule="auto"/>
        <w:ind w:firstLine="420" w:firstLineChars="200"/>
        <w:rPr>
          <w:rFonts w:ascii="宋体" w:hAnsi="Times New Roman"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日，在进行的（收取公开遴选文件（样品）、开标、谈判）过程，发生损害了我公司权益的事项，</w:t>
      </w:r>
    </w:p>
    <w:p>
      <w:pPr>
        <w:widowControl/>
        <w:spacing w:line="360" w:lineRule="auto"/>
        <w:ind w:firstLine="743" w:firstLineChars="354"/>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事实依据：</w:t>
      </w:r>
      <w:r>
        <w:rPr>
          <w:rFonts w:ascii="宋体" w:hAnsi="宋体" w:eastAsia="宋体" w:cs="Times New Roman"/>
          <w:color w:val="auto"/>
          <w:szCs w:val="21"/>
          <w:highlight w:val="none"/>
        </w:rPr>
        <w:t xml:space="preserve"> </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证据见附件第页）</w:t>
      </w:r>
    </w:p>
    <w:p>
      <w:pPr>
        <w:widowControl/>
        <w:spacing w:line="360" w:lineRule="auto"/>
        <w:ind w:firstLine="743" w:firstLineChars="354"/>
        <w:rPr>
          <w:rFonts w:ascii="宋体" w:hAnsi="Times New Roman" w:eastAsia="宋体" w:cs="Arial"/>
          <w:color w:val="auto"/>
          <w:szCs w:val="21"/>
          <w:highlight w:val="none"/>
        </w:rPr>
      </w:pPr>
      <w:r>
        <w:rPr>
          <w:rFonts w:hint="eastAsia" w:ascii="宋体" w:hAnsi="宋体" w:eastAsia="宋体" w:cs="Times New Roman"/>
          <w:color w:val="auto"/>
          <w:szCs w:val="21"/>
          <w:highlight w:val="none"/>
        </w:rPr>
        <w:t>法律依据</w:t>
      </w:r>
      <w:r>
        <w:rPr>
          <w:rFonts w:hint="eastAsia" w:ascii="宋体" w:hAnsi="宋体" w:eastAsia="宋体" w:cs="Arial"/>
          <w:color w:val="auto"/>
          <w:szCs w:val="21"/>
          <w:highlight w:val="none"/>
        </w:rPr>
        <w:t>：</w:t>
      </w:r>
    </w:p>
    <w:p>
      <w:pPr>
        <w:widowControl/>
        <w:spacing w:line="360" w:lineRule="auto"/>
        <w:ind w:firstLine="743" w:firstLineChars="354"/>
        <w:rPr>
          <w:rFonts w:ascii="宋体" w:hAnsi="Times New Roman" w:eastAsia="宋体" w:cs="Times New Roman"/>
          <w:color w:val="auto"/>
          <w:szCs w:val="21"/>
          <w:highlight w:val="none"/>
          <w:u w:val="single"/>
        </w:rPr>
      </w:pPr>
      <w:r>
        <w:rPr>
          <w:rFonts w:hint="eastAsia" w:ascii="宋体" w:hAnsi="宋体" w:eastAsia="宋体" w:cs="Times New Roman"/>
          <w:color w:val="auto"/>
          <w:szCs w:val="21"/>
          <w:highlight w:val="none"/>
        </w:rPr>
        <w:t>我方请求：</w:t>
      </w:r>
    </w:p>
    <w:p>
      <w:pPr>
        <w:widowControl/>
        <w:spacing w:line="360" w:lineRule="auto"/>
        <w:ind w:firstLine="743" w:firstLineChars="354"/>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我方对其他采购过程无质疑。</w:t>
      </w:r>
    </w:p>
    <w:p>
      <w:pPr>
        <w:widowControl/>
        <w:snapToGrid w:val="0"/>
        <w:spacing w:line="360" w:lineRule="auto"/>
        <w:ind w:firstLine="422" w:firstLineChars="200"/>
        <w:rPr>
          <w:rFonts w:ascii="宋体" w:hAnsi="Times New Roman" w:eastAsia="宋体" w:cs="Times New Roman"/>
          <w:b/>
          <w:color w:val="auto"/>
          <w:szCs w:val="21"/>
          <w:highlight w:val="none"/>
        </w:rPr>
      </w:pPr>
      <w:r>
        <w:rPr>
          <w:rFonts w:hint="eastAsia" w:ascii="宋体" w:hAnsi="宋体" w:eastAsia="宋体" w:cs="Times New Roman"/>
          <w:b/>
          <w:color w:val="auto"/>
          <w:szCs w:val="21"/>
          <w:highlight w:val="none"/>
        </w:rPr>
        <w:t>质疑采购结果</w:t>
      </w:r>
    </w:p>
    <w:p>
      <w:pPr>
        <w:widowControl/>
        <w:snapToGrid w:val="0"/>
        <w:spacing w:line="360" w:lineRule="auto"/>
        <w:ind w:firstLine="420" w:firstLineChars="200"/>
        <w:rPr>
          <w:rFonts w:ascii="宋体" w:hAnsi="Times New Roman"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日公布的中标（成交）结果，发生损害了我公司权益的事项，</w:t>
      </w:r>
    </w:p>
    <w:p>
      <w:pPr>
        <w:widowControl/>
        <w:spacing w:line="360" w:lineRule="auto"/>
        <w:ind w:firstLine="743" w:firstLineChars="354"/>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事实依据：</w:t>
      </w:r>
      <w:r>
        <w:rPr>
          <w:rFonts w:ascii="宋体" w:hAnsi="宋体" w:eastAsia="宋体" w:cs="Times New Roman"/>
          <w:color w:val="auto"/>
          <w:szCs w:val="21"/>
          <w:highlight w:val="none"/>
        </w:rPr>
        <w:t xml:space="preserve"> </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证据见附件第页）</w:t>
      </w:r>
    </w:p>
    <w:p>
      <w:pPr>
        <w:widowControl/>
        <w:spacing w:line="360" w:lineRule="auto"/>
        <w:ind w:firstLine="743" w:firstLineChars="354"/>
        <w:rPr>
          <w:rFonts w:ascii="宋体" w:hAnsi="Times New Roman" w:eastAsia="宋体" w:cs="Arial"/>
          <w:color w:val="auto"/>
          <w:szCs w:val="21"/>
          <w:highlight w:val="none"/>
        </w:rPr>
      </w:pPr>
      <w:r>
        <w:rPr>
          <w:rFonts w:hint="eastAsia" w:ascii="宋体" w:hAnsi="宋体" w:eastAsia="宋体" w:cs="Times New Roman"/>
          <w:color w:val="auto"/>
          <w:szCs w:val="21"/>
          <w:highlight w:val="none"/>
        </w:rPr>
        <w:t>法律依据</w:t>
      </w:r>
      <w:r>
        <w:rPr>
          <w:rFonts w:hint="eastAsia" w:ascii="宋体" w:hAnsi="宋体" w:eastAsia="宋体" w:cs="Arial"/>
          <w:color w:val="auto"/>
          <w:szCs w:val="21"/>
          <w:highlight w:val="none"/>
        </w:rPr>
        <w:t>：</w:t>
      </w:r>
    </w:p>
    <w:p>
      <w:pPr>
        <w:widowControl/>
        <w:spacing w:line="360" w:lineRule="auto"/>
        <w:ind w:firstLine="743" w:firstLineChars="354"/>
        <w:rPr>
          <w:rFonts w:ascii="宋体" w:hAnsi="Times New Roman" w:eastAsia="宋体" w:cs="Times New Roman"/>
          <w:color w:val="auto"/>
          <w:szCs w:val="21"/>
          <w:highlight w:val="none"/>
          <w:u w:val="single"/>
        </w:rPr>
      </w:pPr>
      <w:r>
        <w:rPr>
          <w:rFonts w:hint="eastAsia" w:ascii="宋体" w:hAnsi="宋体" w:eastAsia="宋体" w:cs="Times New Roman"/>
          <w:color w:val="auto"/>
          <w:szCs w:val="21"/>
          <w:highlight w:val="none"/>
        </w:rPr>
        <w:t>我方请求：</w:t>
      </w:r>
    </w:p>
    <w:p>
      <w:pPr>
        <w:widowControl/>
        <w:spacing w:line="360" w:lineRule="auto"/>
        <w:ind w:firstLine="743" w:firstLineChars="354"/>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我方对中标（成交）结果公告其他内容无质疑。</w:t>
      </w:r>
    </w:p>
    <w:p>
      <w:pPr>
        <w:widowControl/>
        <w:snapToGrid w:val="0"/>
        <w:spacing w:line="360" w:lineRule="auto"/>
        <w:ind w:firstLine="420" w:firstLineChars="200"/>
        <w:rPr>
          <w:rFonts w:ascii="宋体" w:hAnsi="Times New Roman" w:eastAsia="宋体" w:cs="Times New Roman"/>
          <w:color w:val="auto"/>
          <w:szCs w:val="21"/>
          <w:highlight w:val="none"/>
        </w:rPr>
      </w:pPr>
    </w:p>
    <w:p>
      <w:pPr>
        <w:widowControl/>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质疑供应商</w:t>
      </w:r>
      <w:r>
        <w:rPr>
          <w:rFonts w:hint="eastAsia" w:ascii="宋体" w:hAnsi="宋体" w:eastAsia="宋体" w:cs="Times New Roman"/>
          <w:color w:val="auto"/>
          <w:szCs w:val="21"/>
          <w:highlight w:val="none"/>
          <w:u w:val="single"/>
        </w:rPr>
        <w:t>：</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（签章）</w:t>
      </w:r>
      <w:r>
        <w:rPr>
          <w:rFonts w:ascii="宋体" w:hAnsi="宋体" w:eastAsia="宋体" w:cs="Times New Roman"/>
          <w:color w:val="auto"/>
          <w:szCs w:val="21"/>
          <w:highlight w:val="none"/>
          <w:u w:val="single"/>
        </w:rPr>
        <w:t xml:space="preserve">  </w:t>
      </w:r>
    </w:p>
    <w:p>
      <w:pPr>
        <w:widowControl/>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主要负责人</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：（签署本人姓名或印盖本人姓名章）</w:t>
      </w:r>
    </w:p>
    <w:p>
      <w:pPr>
        <w:widowControl/>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项目联系人：</w:t>
      </w:r>
    </w:p>
    <w:p>
      <w:pPr>
        <w:widowControl/>
        <w:snapToGrid w:val="0"/>
        <w:spacing w:line="360" w:lineRule="auto"/>
        <w:ind w:firstLine="420" w:firstLineChars="200"/>
        <w:rPr>
          <w:rFonts w:ascii="宋体" w:hAnsi="Times New Roman" w:eastAsia="宋体" w:cs="Times New Roman"/>
          <w:color w:val="auto"/>
          <w:szCs w:val="21"/>
          <w:highlight w:val="none"/>
          <w:u w:val="single"/>
        </w:rPr>
      </w:pPr>
      <w:r>
        <w:rPr>
          <w:rFonts w:hint="eastAsia" w:ascii="宋体" w:hAnsi="宋体" w:eastAsia="宋体" w:cs="Times New Roman"/>
          <w:color w:val="auto"/>
          <w:szCs w:val="21"/>
          <w:highlight w:val="none"/>
        </w:rPr>
        <w:t>地址：</w:t>
      </w:r>
    </w:p>
    <w:p>
      <w:pPr>
        <w:widowControl/>
        <w:snapToGrid w:val="0"/>
        <w:spacing w:line="360" w:lineRule="auto"/>
        <w:ind w:firstLine="420" w:firstLineChars="200"/>
        <w:rPr>
          <w:rFonts w:ascii="宋体" w:hAnsi="Times New Roman" w:eastAsia="宋体" w:cs="Times New Roman"/>
          <w:color w:val="auto"/>
          <w:szCs w:val="21"/>
          <w:highlight w:val="none"/>
          <w:u w:val="single"/>
        </w:rPr>
      </w:pPr>
      <w:r>
        <w:rPr>
          <w:rFonts w:hint="eastAsia" w:ascii="宋体" w:hAnsi="宋体" w:eastAsia="宋体" w:cs="Times New Roman"/>
          <w:color w:val="auto"/>
          <w:szCs w:val="21"/>
          <w:highlight w:val="none"/>
        </w:rPr>
        <w:t>法定代表人：（签署本人姓名或印盖本人姓名章）</w:t>
      </w:r>
    </w:p>
    <w:p>
      <w:pPr>
        <w:widowControl/>
        <w:snapToGrid w:val="0"/>
        <w:spacing w:line="360" w:lineRule="auto"/>
        <w:ind w:firstLine="420" w:firstLineChars="200"/>
        <w:rPr>
          <w:rFonts w:ascii="宋体" w:hAnsi="Times New Roman" w:eastAsia="宋体" w:cs="Times New Roman"/>
          <w:color w:val="auto"/>
          <w:szCs w:val="21"/>
          <w:highlight w:val="none"/>
          <w:u w:val="single"/>
        </w:rPr>
      </w:pPr>
      <w:r>
        <w:rPr>
          <w:rFonts w:hint="eastAsia" w:ascii="宋体" w:hAnsi="宋体" w:eastAsia="宋体" w:cs="Times New Roman"/>
          <w:color w:val="auto"/>
          <w:szCs w:val="21"/>
          <w:highlight w:val="none"/>
        </w:rPr>
        <w:t>职位：</w:t>
      </w:r>
    </w:p>
    <w:p>
      <w:pPr>
        <w:widowControl/>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电话（手机</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座机）：</w:t>
      </w:r>
    </w:p>
    <w:p>
      <w:pPr>
        <w:widowControl/>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邮编：</w:t>
      </w:r>
    </w:p>
    <w:p>
      <w:pPr>
        <w:widowControl/>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电子邮箱：</w:t>
      </w:r>
    </w:p>
    <w:p>
      <w:pPr>
        <w:widowControl/>
        <w:snapToGrid w:val="0"/>
        <w:spacing w:line="360" w:lineRule="auto"/>
        <w:ind w:firstLine="420" w:firstLineChars="200"/>
        <w:rPr>
          <w:rFonts w:ascii="宋体" w:hAnsi="Times New Roman" w:eastAsia="宋体" w:cs="Times New Roman"/>
          <w:color w:val="auto"/>
          <w:szCs w:val="21"/>
          <w:highlight w:val="none"/>
          <w:u w:val="single"/>
        </w:rPr>
      </w:pPr>
      <w:r>
        <w:rPr>
          <w:rFonts w:hint="eastAsia" w:ascii="宋体" w:hAnsi="宋体" w:eastAsia="宋体" w:cs="Times New Roman"/>
          <w:color w:val="auto"/>
          <w:szCs w:val="21"/>
          <w:highlight w:val="none"/>
        </w:rPr>
        <w:t>传真：</w:t>
      </w:r>
    </w:p>
    <w:p>
      <w:pPr>
        <w:widowControl/>
        <w:snapToGrid w:val="0"/>
        <w:spacing w:line="360" w:lineRule="auto"/>
        <w:ind w:firstLine="420" w:firstLineChars="200"/>
        <w:jc w:val="lef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 xml:space="preserve">日期：     年   月  </w:t>
      </w:r>
      <w:r>
        <w:rPr>
          <w:rFonts w:hint="eastAsia" w:ascii="宋体" w:hAnsi="宋体" w:eastAsia="宋体" w:cs="宋体"/>
          <w:bCs/>
          <w:color w:val="auto"/>
          <w:szCs w:val="21"/>
          <w:highlight w:val="none"/>
        </w:rPr>
        <w:t xml:space="preserve"> 日</w:t>
      </w:r>
    </w:p>
    <w:p>
      <w:pPr>
        <w:widowControl/>
        <w:snapToGrid w:val="0"/>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备注：</w:t>
      </w:r>
    </w:p>
    <w:p>
      <w:pPr>
        <w:widowControl/>
        <w:numPr>
          <w:ilvl w:val="0"/>
          <w:numId w:val="5"/>
        </w:numPr>
        <w:snapToGrid w:val="0"/>
        <w:spacing w:line="360" w:lineRule="auto"/>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每个质疑事项应有与之相对应的证据予以支持。质疑事项属于涉密的，应提供信息来源或有效证据。</w:t>
      </w:r>
    </w:p>
    <w:p>
      <w:pPr>
        <w:widowControl/>
        <w:numPr>
          <w:ilvl w:val="0"/>
          <w:numId w:val="5"/>
        </w:numPr>
        <w:snapToGrid w:val="0"/>
        <w:spacing w:line="360" w:lineRule="auto"/>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供应商质疑、投诉应当有明确的请求和必要的证明材料</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至</w:t>
      </w: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年内参加政府采购活动</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w:t>
      </w:r>
    </w:p>
    <w:p>
      <w:pPr>
        <w:widowControl/>
        <w:numPr>
          <w:ilvl w:val="0"/>
          <w:numId w:val="5"/>
        </w:numPr>
        <w:snapToGrid w:val="0"/>
        <w:spacing w:line="360" w:lineRule="auto"/>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质疑函应当署名。质疑人为自然人的，应当有本人签名；质疑人为法人或者其他组织的，应当由法定代表人或者主要负责人</w:t>
      </w:r>
      <w:r>
        <w:rPr>
          <w:rFonts w:hint="eastAsia" w:ascii="宋体" w:hAnsi="宋体" w:eastAsia="宋体" w:cs="宋体"/>
          <w:color w:val="auto"/>
          <w:szCs w:val="21"/>
          <w:highlight w:val="none"/>
          <w:lang w:eastAsia="zh-TW"/>
        </w:rPr>
        <w:t>签署本人姓名（或印盖本人姓名章）</w:t>
      </w:r>
      <w:r>
        <w:rPr>
          <w:rFonts w:hint="eastAsia" w:ascii="宋体" w:hAnsi="宋体" w:eastAsia="宋体" w:cs="Times New Roman"/>
          <w:color w:val="auto"/>
          <w:szCs w:val="21"/>
          <w:highlight w:val="none"/>
        </w:rPr>
        <w:t>并加盖公章。</w:t>
      </w:r>
    </w:p>
    <w:p>
      <w:pPr>
        <w:widowControl/>
        <w:snapToGrid w:val="0"/>
        <w:spacing w:line="360" w:lineRule="auto"/>
        <w:jc w:val="center"/>
        <w:rPr>
          <w:rFonts w:hint="eastAsia" w:ascii="宋体" w:hAnsi="宋体" w:eastAsia="宋体" w:cs="Times New Roman"/>
          <w:b/>
          <w:bCs/>
          <w:color w:val="auto"/>
          <w:szCs w:val="21"/>
          <w:highlight w:val="none"/>
        </w:rPr>
        <w:sectPr>
          <w:headerReference r:id="rId14" w:type="first"/>
          <w:pgSz w:w="11906" w:h="16838"/>
          <w:pgMar w:top="1134" w:right="1134" w:bottom="1134" w:left="1134" w:header="567" w:footer="737" w:gutter="0"/>
          <w:cols w:space="720" w:num="1"/>
          <w:docGrid w:linePitch="312" w:charSpace="0"/>
        </w:sectPr>
      </w:pPr>
    </w:p>
    <w:p>
      <w:pPr>
        <w:spacing w:after="120"/>
        <w:rPr>
          <w:rFonts w:ascii="Times New Roman" w:hAnsi="Times New Roman" w:eastAsia="宋体" w:cs="Times New Roman"/>
          <w:color w:val="auto"/>
          <w:szCs w:val="24"/>
          <w:highlight w:val="none"/>
        </w:rPr>
      </w:pPr>
    </w:p>
    <w:p>
      <w:pPr>
        <w:autoSpaceDE w:val="0"/>
        <w:autoSpaceDN w:val="0"/>
        <w:adjustRightInd w:val="0"/>
        <w:snapToGrid w:val="0"/>
        <w:spacing w:line="360" w:lineRule="auto"/>
        <w:outlineLvl w:val="0"/>
        <w:rPr>
          <w:rFonts w:ascii="宋体" w:hAnsi="宋体" w:eastAsia="宋体" w:cs="Times New Roman"/>
          <w:color w:val="auto"/>
          <w:sz w:val="44"/>
          <w:szCs w:val="24"/>
          <w:highlight w:val="none"/>
        </w:rPr>
      </w:pPr>
      <w:bookmarkStart w:id="229" w:name="_Toc320515055"/>
    </w:p>
    <w:p>
      <w:pPr>
        <w:spacing w:line="360" w:lineRule="auto"/>
        <w:rPr>
          <w:rFonts w:ascii="宋体" w:hAnsi="宋体" w:eastAsia="宋体" w:cs="Times New Roman"/>
          <w:color w:val="auto"/>
          <w:sz w:val="44"/>
          <w:szCs w:val="24"/>
          <w:highlight w:val="none"/>
        </w:rPr>
      </w:pPr>
    </w:p>
    <w:p>
      <w:pPr>
        <w:spacing w:line="360" w:lineRule="auto"/>
        <w:rPr>
          <w:rFonts w:ascii="宋体" w:hAnsi="宋体" w:eastAsia="宋体" w:cs="Times New Roman"/>
          <w:color w:val="auto"/>
          <w:sz w:val="44"/>
          <w:szCs w:val="24"/>
          <w:highlight w:val="none"/>
        </w:rPr>
      </w:pPr>
    </w:p>
    <w:p>
      <w:pPr>
        <w:spacing w:line="360" w:lineRule="auto"/>
        <w:rPr>
          <w:rFonts w:ascii="宋体" w:hAnsi="宋体" w:eastAsia="宋体" w:cs="Times New Roman"/>
          <w:color w:val="auto"/>
          <w:sz w:val="44"/>
          <w:szCs w:val="24"/>
          <w:highlight w:val="none"/>
        </w:rPr>
      </w:pPr>
    </w:p>
    <w:p>
      <w:pPr>
        <w:spacing w:line="360" w:lineRule="auto"/>
        <w:rPr>
          <w:rFonts w:ascii="宋体" w:hAnsi="宋体" w:eastAsia="宋体" w:cs="Times New Roman"/>
          <w:color w:val="auto"/>
          <w:sz w:val="44"/>
          <w:szCs w:val="24"/>
          <w:highlight w:val="none"/>
        </w:rPr>
      </w:pPr>
    </w:p>
    <w:p>
      <w:pPr>
        <w:spacing w:line="360" w:lineRule="auto"/>
        <w:rPr>
          <w:rFonts w:ascii="宋体" w:hAnsi="宋体" w:eastAsia="宋体" w:cs="Times New Roman"/>
          <w:color w:val="auto"/>
          <w:sz w:val="44"/>
          <w:szCs w:val="24"/>
          <w:highlight w:val="none"/>
        </w:rPr>
      </w:pPr>
    </w:p>
    <w:p>
      <w:pPr>
        <w:keepNext/>
        <w:autoSpaceDE w:val="0"/>
        <w:spacing w:line="360" w:lineRule="auto"/>
        <w:ind w:right="-441" w:rightChars="-210"/>
        <w:jc w:val="center"/>
        <w:outlineLvl w:val="0"/>
        <w:rPr>
          <w:rFonts w:ascii="宋体" w:hAnsi="宋体" w:eastAsia="宋体" w:cs="Times New Roman"/>
          <w:b/>
          <w:bCs/>
          <w:color w:val="auto"/>
          <w:sz w:val="44"/>
          <w:szCs w:val="24"/>
          <w:highlight w:val="none"/>
        </w:rPr>
      </w:pPr>
      <w:bookmarkStart w:id="230" w:name="_Toc475104521"/>
      <w:r>
        <w:rPr>
          <w:rFonts w:ascii="宋体" w:hAnsi="宋体" w:eastAsia="宋体" w:cs="ZWAdobeF"/>
          <w:bCs/>
          <w:color w:val="auto"/>
          <w:sz w:val="2"/>
          <w:szCs w:val="2"/>
          <w:highlight w:val="none"/>
        </w:rPr>
        <w:t>2B2B</w:t>
      </w:r>
      <w:r>
        <w:rPr>
          <w:rFonts w:hint="eastAsia" w:ascii="宋体" w:hAnsi="宋体" w:eastAsia="宋体" w:cs="Times New Roman"/>
          <w:b/>
          <w:bCs/>
          <w:color w:val="auto"/>
          <w:sz w:val="44"/>
          <w:szCs w:val="24"/>
          <w:highlight w:val="none"/>
        </w:rPr>
        <w:t>第三章</w:t>
      </w:r>
      <w:bookmarkStart w:id="231" w:name="_Toc10525517"/>
      <w:r>
        <w:rPr>
          <w:rFonts w:hint="eastAsia" w:ascii="宋体" w:hAnsi="宋体" w:eastAsia="宋体" w:cs="Times New Roman"/>
          <w:b/>
          <w:bCs/>
          <w:color w:val="auto"/>
          <w:sz w:val="44"/>
          <w:szCs w:val="24"/>
          <w:highlight w:val="none"/>
        </w:rPr>
        <w:t xml:space="preserve"> 采购人需求书</w:t>
      </w:r>
      <w:bookmarkEnd w:id="211"/>
      <w:bookmarkEnd w:id="212"/>
      <w:bookmarkEnd w:id="229"/>
      <w:bookmarkEnd w:id="230"/>
      <w:bookmarkEnd w:id="231"/>
    </w:p>
    <w:p>
      <w:pPr>
        <w:spacing w:line="360" w:lineRule="auto"/>
        <w:rPr>
          <w:rFonts w:ascii="宋体" w:hAnsi="宋体" w:eastAsia="宋体" w:cs="Times New Roman"/>
          <w:color w:val="auto"/>
          <w:szCs w:val="24"/>
          <w:highlight w:val="none"/>
        </w:rPr>
      </w:pPr>
      <w:bookmarkStart w:id="232" w:name="_Toc28489480"/>
      <w:bookmarkStart w:id="233" w:name="_Toc14450822"/>
    </w:p>
    <w:p>
      <w:pPr>
        <w:spacing w:line="360" w:lineRule="auto"/>
        <w:rPr>
          <w:rFonts w:ascii="宋体" w:hAnsi="宋体" w:eastAsia="宋体" w:cs="Times New Roman"/>
          <w:color w:val="auto"/>
          <w:szCs w:val="24"/>
          <w:highlight w:val="none"/>
        </w:rPr>
      </w:pPr>
    </w:p>
    <w:p>
      <w:pPr>
        <w:spacing w:line="360" w:lineRule="auto"/>
        <w:rPr>
          <w:rFonts w:ascii="宋体" w:hAnsi="宋体" w:eastAsia="宋体" w:cs="Times New Roman"/>
          <w:color w:val="auto"/>
          <w:szCs w:val="24"/>
          <w:highlight w:val="none"/>
        </w:rPr>
      </w:pPr>
    </w:p>
    <w:p>
      <w:pPr>
        <w:spacing w:line="360" w:lineRule="auto"/>
        <w:rPr>
          <w:rFonts w:ascii="宋体" w:hAnsi="宋体" w:eastAsia="宋体" w:cs="Times New Roman"/>
          <w:color w:val="auto"/>
          <w:szCs w:val="24"/>
          <w:highlight w:val="none"/>
        </w:rPr>
      </w:pPr>
    </w:p>
    <w:p>
      <w:pPr>
        <w:spacing w:line="360" w:lineRule="auto"/>
        <w:rPr>
          <w:rFonts w:ascii="宋体" w:hAnsi="宋体" w:eastAsia="宋体" w:cs="Times New Roman"/>
          <w:color w:val="auto"/>
          <w:szCs w:val="24"/>
          <w:highlight w:val="none"/>
        </w:rPr>
      </w:pPr>
    </w:p>
    <w:p>
      <w:pPr>
        <w:spacing w:line="360" w:lineRule="auto"/>
        <w:rPr>
          <w:rFonts w:ascii="宋体" w:hAnsi="宋体" w:eastAsia="宋体" w:cs="Times New Roman"/>
          <w:color w:val="auto"/>
          <w:szCs w:val="24"/>
          <w:highlight w:val="none"/>
        </w:rPr>
      </w:pPr>
    </w:p>
    <w:p>
      <w:pPr>
        <w:spacing w:line="360" w:lineRule="auto"/>
        <w:rPr>
          <w:rFonts w:ascii="宋体" w:hAnsi="宋体" w:eastAsia="宋体" w:cs="Times New Roman"/>
          <w:color w:val="auto"/>
          <w:szCs w:val="24"/>
          <w:highlight w:val="none"/>
        </w:rPr>
      </w:pPr>
    </w:p>
    <w:p>
      <w:pPr>
        <w:spacing w:line="360" w:lineRule="auto"/>
        <w:rPr>
          <w:rFonts w:ascii="宋体" w:hAnsi="宋体" w:eastAsia="宋体" w:cs="Times New Roman"/>
          <w:color w:val="auto"/>
          <w:szCs w:val="24"/>
          <w:highlight w:val="none"/>
        </w:rPr>
      </w:pPr>
    </w:p>
    <w:p>
      <w:pPr>
        <w:spacing w:line="360" w:lineRule="auto"/>
        <w:rPr>
          <w:rFonts w:ascii="宋体" w:hAnsi="宋体" w:eastAsia="宋体" w:cs="Times New Roman"/>
          <w:color w:val="auto"/>
          <w:szCs w:val="24"/>
          <w:highlight w:val="none"/>
        </w:rPr>
      </w:pPr>
    </w:p>
    <w:p>
      <w:pPr>
        <w:spacing w:line="360" w:lineRule="auto"/>
        <w:rPr>
          <w:rFonts w:ascii="宋体" w:hAnsi="宋体" w:eastAsia="宋体" w:cs="Times New Roman"/>
          <w:color w:val="auto"/>
          <w:szCs w:val="24"/>
          <w:highlight w:val="none"/>
        </w:rPr>
      </w:pPr>
    </w:p>
    <w:p>
      <w:pPr>
        <w:spacing w:line="360" w:lineRule="auto"/>
        <w:rPr>
          <w:rFonts w:ascii="宋体" w:hAnsi="宋体" w:eastAsia="宋体" w:cs="Times New Roman"/>
          <w:color w:val="auto"/>
          <w:szCs w:val="24"/>
          <w:highlight w:val="none"/>
        </w:rPr>
      </w:pPr>
    </w:p>
    <w:p>
      <w:pPr>
        <w:spacing w:line="360" w:lineRule="auto"/>
        <w:rPr>
          <w:rFonts w:ascii="宋体" w:hAnsi="宋体" w:eastAsia="宋体" w:cs="Times New Roman"/>
          <w:color w:val="auto"/>
          <w:szCs w:val="24"/>
          <w:highlight w:val="none"/>
        </w:rPr>
      </w:pPr>
    </w:p>
    <w:p>
      <w:pPr>
        <w:spacing w:line="360" w:lineRule="auto"/>
        <w:rPr>
          <w:rFonts w:ascii="宋体" w:hAnsi="宋体" w:eastAsia="宋体" w:cs="Times New Roman"/>
          <w:color w:val="auto"/>
          <w:szCs w:val="24"/>
          <w:highlight w:val="none"/>
        </w:rPr>
      </w:pPr>
    </w:p>
    <w:p>
      <w:pPr>
        <w:spacing w:line="360" w:lineRule="auto"/>
        <w:rPr>
          <w:rFonts w:ascii="宋体" w:hAnsi="宋体" w:eastAsia="宋体" w:cs="Times New Roman"/>
          <w:color w:val="auto"/>
          <w:szCs w:val="24"/>
          <w:highlight w:val="none"/>
        </w:rPr>
      </w:pPr>
    </w:p>
    <w:p>
      <w:pPr>
        <w:adjustRightInd w:val="0"/>
        <w:snapToGrid w:val="0"/>
        <w:spacing w:line="360" w:lineRule="auto"/>
        <w:rPr>
          <w:rFonts w:ascii="宋体" w:hAnsi="宋体" w:eastAsia="宋体" w:cs="Times New Roman"/>
          <w:b/>
          <w:color w:val="auto"/>
          <w:sz w:val="24"/>
          <w:szCs w:val="24"/>
          <w:highlight w:val="none"/>
        </w:rPr>
      </w:pPr>
      <w:bookmarkStart w:id="234" w:name="_Toc321815815"/>
      <w:bookmarkEnd w:id="234"/>
      <w:bookmarkStart w:id="235" w:name="_Toc321815809"/>
      <w:bookmarkEnd w:id="235"/>
      <w:bookmarkStart w:id="236" w:name="_Toc321815816"/>
      <w:bookmarkEnd w:id="236"/>
      <w:bookmarkStart w:id="237" w:name="_Toc321815824"/>
      <w:bookmarkEnd w:id="237"/>
      <w:bookmarkStart w:id="238" w:name="_Toc321815808"/>
      <w:bookmarkEnd w:id="238"/>
      <w:bookmarkStart w:id="239" w:name="_Toc321815807"/>
      <w:bookmarkEnd w:id="239"/>
      <w:bookmarkStart w:id="240" w:name="_Toc321815813"/>
      <w:bookmarkEnd w:id="240"/>
      <w:bookmarkStart w:id="241" w:name="_Toc321815805"/>
      <w:bookmarkEnd w:id="241"/>
      <w:bookmarkStart w:id="242" w:name="_Toc321815820"/>
      <w:bookmarkEnd w:id="242"/>
      <w:bookmarkStart w:id="243" w:name="_Toc321815826"/>
      <w:bookmarkEnd w:id="243"/>
      <w:bookmarkStart w:id="244" w:name="_Toc321815806"/>
      <w:bookmarkEnd w:id="244"/>
      <w:bookmarkStart w:id="245" w:name="_Toc321815802"/>
      <w:bookmarkEnd w:id="245"/>
      <w:bookmarkStart w:id="246" w:name="_Toc321815818"/>
      <w:bookmarkEnd w:id="246"/>
      <w:bookmarkStart w:id="247" w:name="_Toc321815817"/>
      <w:bookmarkEnd w:id="247"/>
      <w:bookmarkStart w:id="248" w:name="_Toc321815814"/>
      <w:bookmarkEnd w:id="248"/>
      <w:bookmarkStart w:id="249" w:name="_Toc321815801"/>
      <w:bookmarkEnd w:id="249"/>
      <w:bookmarkStart w:id="250" w:name="_Toc321815811"/>
      <w:bookmarkEnd w:id="250"/>
      <w:bookmarkStart w:id="251" w:name="_Toc321815823"/>
      <w:bookmarkEnd w:id="251"/>
      <w:bookmarkStart w:id="252" w:name="_Toc321815825"/>
      <w:bookmarkEnd w:id="252"/>
      <w:bookmarkStart w:id="253" w:name="_Toc321815822"/>
      <w:bookmarkEnd w:id="253"/>
      <w:bookmarkStart w:id="254" w:name="_Toc321815819"/>
      <w:bookmarkEnd w:id="254"/>
      <w:bookmarkStart w:id="255" w:name="_Toc321815812"/>
      <w:bookmarkEnd w:id="255"/>
      <w:bookmarkStart w:id="256" w:name="_Toc321815804"/>
      <w:bookmarkEnd w:id="256"/>
      <w:bookmarkStart w:id="257" w:name="_Toc321815821"/>
      <w:bookmarkEnd w:id="257"/>
      <w:bookmarkStart w:id="258" w:name="_Toc321815810"/>
      <w:bookmarkEnd w:id="258"/>
      <w:bookmarkStart w:id="259" w:name="_Toc320515056"/>
    </w:p>
    <w:p>
      <w:pPr>
        <w:adjustRightInd w:val="0"/>
        <w:snapToGrid w:val="0"/>
        <w:spacing w:line="360" w:lineRule="auto"/>
        <w:rPr>
          <w:rFonts w:ascii="宋体" w:hAnsi="宋体" w:eastAsia="宋体" w:cs="Times New Roman"/>
          <w:b/>
          <w:color w:val="auto"/>
          <w:sz w:val="24"/>
          <w:szCs w:val="24"/>
          <w:highlight w:val="none"/>
        </w:rPr>
      </w:pPr>
    </w:p>
    <w:p>
      <w:pPr>
        <w:adjustRightInd w:val="0"/>
        <w:snapToGrid w:val="0"/>
        <w:spacing w:line="360" w:lineRule="auto"/>
        <w:rPr>
          <w:rFonts w:ascii="宋体" w:hAnsi="宋体" w:eastAsia="宋体" w:cs="Times New Roman"/>
          <w:b/>
          <w:color w:val="auto"/>
          <w:sz w:val="24"/>
          <w:szCs w:val="24"/>
          <w:highlight w:val="none"/>
        </w:rPr>
      </w:pPr>
    </w:p>
    <w:p>
      <w:pPr>
        <w:adjustRightInd w:val="0"/>
        <w:snapToGrid w:val="0"/>
        <w:spacing w:line="360" w:lineRule="auto"/>
        <w:rPr>
          <w:rFonts w:ascii="宋体" w:hAnsi="宋体" w:eastAsia="宋体" w:cs="Times New Roman"/>
          <w:b/>
          <w:color w:val="auto"/>
          <w:sz w:val="24"/>
          <w:szCs w:val="24"/>
          <w:highlight w:val="none"/>
        </w:rPr>
      </w:pPr>
    </w:p>
    <w:p>
      <w:pPr>
        <w:adjustRightInd w:val="0"/>
        <w:snapToGrid w:val="0"/>
        <w:spacing w:line="360" w:lineRule="auto"/>
        <w:rPr>
          <w:rFonts w:ascii="宋体" w:hAnsi="宋体" w:eastAsia="宋体" w:cs="Times New Roman"/>
          <w:b/>
          <w:color w:val="auto"/>
          <w:sz w:val="24"/>
          <w:szCs w:val="24"/>
          <w:highlight w:val="none"/>
        </w:rPr>
      </w:pPr>
    </w:p>
    <w:bookmarkEnd w:id="232"/>
    <w:bookmarkEnd w:id="233"/>
    <w:bookmarkEnd w:id="259"/>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 供应商须对所响应项目进行整体响应，任何只对其中一部分内容进行的响应都被视为无效响应。</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 标有“★”的条款为实质性响应条款，供应商如有任何一条未完全响应，则将导致其响应无效。</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3.凡标有“▲”的地方为重要条款，请供应商注意，如供应商不满足将严重扣分。</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r>
        <w:rPr>
          <w:rFonts w:hint="eastAsia" w:ascii="宋体" w:hAnsi="宋体" w:eastAsia="宋体" w:cs="宋体"/>
          <w:b/>
          <w:bCs/>
          <w:color w:val="auto"/>
          <w:kern w:val="0"/>
          <w:szCs w:val="21"/>
          <w:highlight w:val="none"/>
        </w:rPr>
        <w:t>项目概况：</w:t>
      </w:r>
      <w:r>
        <w:rPr>
          <w:rFonts w:hint="eastAsia" w:ascii="宋体" w:hAnsi="宋体" w:eastAsia="宋体" w:cs="宋体"/>
          <w:color w:val="auto"/>
          <w:kern w:val="0"/>
          <w:szCs w:val="21"/>
          <w:highlight w:val="none"/>
        </w:rPr>
        <w:t>本项目为民办残疾人社会服务机构资助项目第三方服务评估和质量监察、社区精神康复综合服务中心第三方业务督导和服务质量评估以及残疾人家庭无障碍改造专项提升工作第三方抽检验收服务项目共3个子服务。项目最高限价为人民币18万元，超过18万元，为无效报价。</w:t>
      </w:r>
    </w:p>
    <w:p>
      <w:pPr>
        <w:autoSpaceDE w:val="0"/>
        <w:autoSpaceDN w:val="0"/>
        <w:adjustRightIn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二、项目具体服务内容：</w:t>
      </w:r>
    </w:p>
    <w:p>
      <w:pPr>
        <w:autoSpaceDE w:val="0"/>
        <w:autoSpaceDN w:val="0"/>
        <w:adjustRightIn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服务一 民办残疾人社会服务机构资助项目第三方服务评估和质量监察</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广州市残疾人联合会、广州市民政局、广州市财政局关于印发广州市民办残疾人社会服务机构资助办法的通知》（穗残联规字〔2017〕1号）（简称“资助办法”）的规定：“各区残联根据各自职责做好民办残疾人服务资助的管理工作，认真执行国家、市残疾人服务规范标准，强化民办残疾人服务资助管理，引入第三方社会组织进行服务评估和质量监察，评估结果作为资助经费划拨的依据”，我中心现需要引入有资质的第三方社会组织进行2021年海珠区民办残疾人社会服务机构资助项目服务评估和质量监察。</w:t>
      </w:r>
    </w:p>
    <w:p>
      <w:pPr>
        <w:autoSpaceDE w:val="0"/>
        <w:autoSpaceDN w:val="0"/>
        <w:adjustRightIn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（一）服务需求</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引入有资质的第三方评估机构承担2021年海珠区民办残疾人社会服务机构资助项目评估工作，建立接受资助服务的残疾人对象个人评估档案、具体在2021年的7月、10月、12月，分别对2021年服务机构提交的每季度服务资料进行评估和质量监察，并提交评估报告，在2022年1月10日前提交一份2021年全年综合评估报告。</w:t>
      </w:r>
    </w:p>
    <w:p>
      <w:pPr>
        <w:autoSpaceDE w:val="0"/>
        <w:autoSpaceDN w:val="0"/>
        <w:adjustRightIn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（二）服务内容</w:t>
      </w:r>
    </w:p>
    <w:p>
      <w:pPr>
        <w:autoSpaceDE w:val="0"/>
        <w:autoSpaceDN w:val="0"/>
        <w:adjustRightIn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1.评估对象：符合资助办法规定且为海珠区户籍残疾人提供常规服务项目服务的民办残疾人社会服务机构。目前接受海珠区常规服务项目服务资助的机构情况主要有</w:t>
      </w:r>
      <w:r>
        <w:rPr>
          <w:rFonts w:hint="eastAsia" w:ascii="宋体" w:hAnsi="宋体" w:eastAsia="宋体" w:cs="宋体"/>
          <w:bCs/>
          <w:color w:val="auto"/>
          <w:kern w:val="0"/>
          <w:szCs w:val="21"/>
          <w:highlight w:val="none"/>
        </w:rPr>
        <w:t>：重残寄宿托养对象约23人，分别寄宿托养在三家广州市内托养机构；社工服务对象约19人，由广州市越秀区慧灵社会工作服务中心提供服务；居家托养和日间训练服务对象暂无机构承接，预计总资助经费不超过56万。</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2.项目完成期限：自签订合同之日起至2021年12月31日止</w:t>
      </w:r>
      <w:r>
        <w:rPr>
          <w:rFonts w:hint="eastAsia" w:ascii="宋体" w:hAnsi="宋体" w:eastAsia="宋体" w:cs="宋体"/>
          <w:bCs/>
          <w:color w:val="auto"/>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评估内容：建立接受资助服务的残疾人建立资助服务前评估、服务中心评估、服务结束评估的个人评估档案，从周期中体现资助服务的成效，对2020年服务机构提交的每季度服务资料以及随机进行的实地服务抽查进行评估监察，分别在2020年7月、10月、12月提交评估报告，2022年1月提交一份2021年全年综合评估报告。</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4.评估目标：</w:t>
      </w:r>
      <w:r>
        <w:rPr>
          <w:rFonts w:hint="eastAsia" w:ascii="宋体" w:hAnsi="宋体" w:eastAsia="宋体" w:cs="宋体"/>
          <w:color w:val="auto"/>
          <w:szCs w:val="21"/>
          <w:highlight w:val="none"/>
        </w:rPr>
        <w:t>通过第三方服务质量评估机构，对为海珠区残疾人提供的机构资助项目服务质量进行评估，促进海珠区民办残疾人社会服务机构资助项目的正常开展，保证服务场所、服务质量和数量达到相关要求，确保服务对象的权益；通过收集、整理、分析与反馈有关信息，评估服务机构的服务水平，为我中心划转资助经费提供依据。</w:t>
      </w:r>
    </w:p>
    <w:p>
      <w:pPr>
        <w:tabs>
          <w:tab w:val="left" w:pos="84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5.单次评估团队构成：监测项目团队不少于2人。其中，至少1名具备助理社会工作师资格证书或以上且有3年或以上项目统筹、管理经验；1名行政/财务人员。</w:t>
      </w:r>
    </w:p>
    <w:p>
      <w:pPr>
        <w:tabs>
          <w:tab w:val="left" w:pos="84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6.每次评估后的7个工作日内，根据评估结果分析，按项目向我中心提供评估报告。</w:t>
      </w:r>
    </w:p>
    <w:p>
      <w:pPr>
        <w:tabs>
          <w:tab w:val="left" w:pos="840"/>
        </w:tabs>
        <w:spacing w:line="360" w:lineRule="auto"/>
        <w:ind w:firstLine="422" w:firstLineChars="200"/>
        <w:rPr>
          <w:rFonts w:hint="eastAsia" w:ascii="宋体" w:hAnsi="宋体" w:eastAsia="宋体" w:cs="宋体"/>
          <w:b/>
          <w:color w:val="auto"/>
          <w:kern w:val="28"/>
          <w:szCs w:val="21"/>
          <w:highlight w:val="none"/>
        </w:rPr>
      </w:pPr>
      <w:r>
        <w:rPr>
          <w:rFonts w:hint="eastAsia" w:ascii="宋体" w:hAnsi="宋体" w:eastAsia="宋体" w:cs="宋体"/>
          <w:b/>
          <w:color w:val="auto"/>
          <w:kern w:val="28"/>
          <w:szCs w:val="21"/>
          <w:highlight w:val="none"/>
        </w:rPr>
        <w:t>（三）服务经费估算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经费：本评估服务总价不高于人民币贰万陆仟壹佰肆拾伍元（¥26145元）。包括了人员经费、交通经费、培训经费、调研经费、办公经费、行政资料经费和有关税费以及因项目开展而产生的所有费用。采购人不再另行增加费用。</w:t>
      </w:r>
    </w:p>
    <w:p>
      <w:pPr>
        <w:spacing w:line="360" w:lineRule="auto"/>
        <w:ind w:firstLine="422" w:firstLineChars="200"/>
        <w:rPr>
          <w:rFonts w:hint="eastAsia" w:ascii="宋体" w:hAnsi="宋体" w:eastAsia="宋体" w:cs="宋体"/>
          <w:b/>
          <w:color w:val="auto"/>
          <w:kern w:val="28"/>
          <w:szCs w:val="21"/>
          <w:highlight w:val="none"/>
        </w:rPr>
      </w:pPr>
      <w:r>
        <w:rPr>
          <w:rFonts w:hint="eastAsia" w:ascii="宋体" w:hAnsi="宋体" w:eastAsia="宋体" w:cs="宋体"/>
          <w:b/>
          <w:color w:val="auto"/>
          <w:kern w:val="28"/>
          <w:szCs w:val="21"/>
          <w:highlight w:val="none"/>
        </w:rPr>
        <w:t>（四）工作要求</w:t>
      </w:r>
    </w:p>
    <w:p>
      <w:pPr>
        <w:spacing w:line="360" w:lineRule="auto"/>
        <w:ind w:firstLine="420" w:firstLineChars="200"/>
        <w:rPr>
          <w:rFonts w:hint="eastAsia" w:ascii="宋体" w:hAnsi="宋体" w:eastAsia="宋体" w:cs="宋体"/>
          <w:color w:val="auto"/>
          <w:kern w:val="28"/>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第三方评估机构</w:t>
      </w:r>
      <w:r>
        <w:rPr>
          <w:rFonts w:hint="eastAsia" w:ascii="宋体" w:hAnsi="宋体" w:eastAsia="宋体" w:cs="宋体"/>
          <w:bCs/>
          <w:color w:val="auto"/>
          <w:szCs w:val="21"/>
          <w:highlight w:val="none"/>
        </w:rPr>
        <w:t>应在项目启动时细分工作内容、确定评估指标及评估方法、与我中心讨论确定项目的实施范围、评估指标及评估方法、</w:t>
      </w:r>
      <w:r>
        <w:rPr>
          <w:rFonts w:hint="eastAsia" w:ascii="宋体" w:hAnsi="宋体" w:eastAsia="宋体" w:cs="宋体"/>
          <w:color w:val="auto"/>
          <w:szCs w:val="21"/>
          <w:highlight w:val="none"/>
        </w:rPr>
        <w:t>完善实施方案</w:t>
      </w:r>
      <w:r>
        <w:rPr>
          <w:rFonts w:hint="eastAsia" w:ascii="宋体" w:hAnsi="宋体" w:eastAsia="宋体" w:cs="宋体"/>
          <w:bCs/>
          <w:color w:val="auto"/>
          <w:szCs w:val="21"/>
          <w:highlight w:val="none"/>
        </w:rPr>
        <w:t>，如有变动需征求我中心的意见，并获得我中心的许可。</w:t>
      </w:r>
    </w:p>
    <w:p>
      <w:pPr>
        <w:widowControl/>
        <w:tabs>
          <w:tab w:val="left" w:pos="1080"/>
        </w:tabs>
        <w:spacing w:line="360" w:lineRule="auto"/>
        <w:ind w:firstLine="315" w:firstLineChars="150"/>
        <w:jc w:val="left"/>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2.第三方评估机构须向我中心提供服务年度计划、接受我中心的监督、主动向我中心通告评估有关情况或问题。</w:t>
      </w:r>
    </w:p>
    <w:p>
      <w:pPr>
        <w:widowControl/>
        <w:tabs>
          <w:tab w:val="left" w:pos="1080"/>
        </w:tabs>
        <w:spacing w:line="360" w:lineRule="auto"/>
        <w:ind w:firstLine="315" w:firstLineChars="150"/>
        <w:jc w:val="left"/>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3.我中心有权对不履行服务或违反我中心管理规定的第三方评估机构人员提出警告或有权要求第三方评估机构将其调离该项目。</w:t>
      </w:r>
    </w:p>
    <w:p>
      <w:pPr>
        <w:widowControl/>
        <w:tabs>
          <w:tab w:val="left" w:pos="1080"/>
        </w:tabs>
        <w:spacing w:line="360" w:lineRule="auto"/>
        <w:ind w:firstLine="315" w:firstLineChars="150"/>
        <w:jc w:val="left"/>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4.第三方评估机构应每完成一次评估工作后向我中心提供评估报告，完成全年的机构评估后，分析总结，完成一份总的评估报告，对报告的真实性、准确性、完整性负责，并负有保密责任。第三方评估机构应有健全的档案管理制度，妥善保管评估过程中的所有文件资料，对评估过程中收集整理的自评资料、服务痕迹材料、财务报表等分类整理并封存，项目结束后移交我中心。</w:t>
      </w:r>
    </w:p>
    <w:p>
      <w:pPr>
        <w:widowControl/>
        <w:tabs>
          <w:tab w:val="left" w:pos="1080"/>
        </w:tabs>
        <w:spacing w:line="360" w:lineRule="auto"/>
        <w:jc w:val="left"/>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 xml:space="preserve">    5.第三方评估机构应熟悉我市民办残疾人社会服务机构资助项目的评估政策，能制定完善的整体评估方案。评估结果是根据量化的评价指标和非量化的评价指标综合得出，不只是单纯的定性评价。</w:t>
      </w:r>
    </w:p>
    <w:p>
      <w:pPr>
        <w:widowControl/>
        <w:tabs>
          <w:tab w:val="left" w:pos="1080"/>
        </w:tabs>
        <w:spacing w:line="360" w:lineRule="auto"/>
        <w:jc w:val="left"/>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 xml:space="preserve">    6.第三方评估机构根据我区民办残疾人社会服务机构资助项目的实际情况，对评估项目的营运机构制定评估工作方案。工作方案应包含各项服务的内容和时间安排，评估人员的资格证明材料。</w:t>
      </w:r>
    </w:p>
    <w:p>
      <w:pPr>
        <w:widowControl/>
        <w:tabs>
          <w:tab w:val="left" w:pos="108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28"/>
          <w:szCs w:val="21"/>
          <w:highlight w:val="none"/>
        </w:rPr>
        <w:t xml:space="preserve">     7.第三方评估机构须按照相关文件要求履行职责，公平公正地对相关项目进行评估，</w:t>
      </w:r>
      <w:r>
        <w:rPr>
          <w:rFonts w:hint="eastAsia" w:ascii="宋体" w:hAnsi="宋体" w:eastAsia="宋体" w:cs="宋体"/>
          <w:color w:val="auto"/>
          <w:szCs w:val="21"/>
          <w:highlight w:val="none"/>
        </w:rPr>
        <w:t>做好每次评估的数据统计记录，交受评估的机构签署确认。</w:t>
      </w:r>
      <w:r>
        <w:rPr>
          <w:rFonts w:hint="eastAsia" w:ascii="宋体" w:hAnsi="宋体" w:eastAsia="宋体" w:cs="宋体"/>
          <w:color w:val="auto"/>
          <w:kern w:val="28"/>
          <w:szCs w:val="21"/>
          <w:highlight w:val="none"/>
        </w:rPr>
        <w:t xml:space="preserve">如因违法违规和违反相关文件要求，出具虚假的评估报告的，我中心有权单方终止本服务协议，第三方评估机构返还我中心已支付的服务经费须按照财政拨款的规定原路退回，情节严重的追究第三方评估机构的法律责任。 </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（五）参考文件</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、《广州市残疾人联合会 广州市民政局 广州市财政局关于印发广州市民办残疾人社会服务机构资助办法的通知》（穗残联规字〔2017〕1号）；</w:t>
      </w:r>
    </w:p>
    <w:p>
      <w:pPr>
        <w:widowControl/>
        <w:tabs>
          <w:tab w:val="left" w:pos="108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《广州市残联关于印发广州市民办残疾人社会服务机构常规服务评估指标（参考文本）的通知》（穗残联〔2018〕2号）。 </w:t>
      </w:r>
    </w:p>
    <w:p>
      <w:pPr>
        <w:widowControl/>
        <w:tabs>
          <w:tab w:val="left" w:pos="1080"/>
        </w:tabs>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pPr>
        <w:widowControl/>
        <w:tabs>
          <w:tab w:val="left" w:pos="1080"/>
        </w:tabs>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服务二  社区精神康复综合服务中心第三方业务督导和服务质量评估</w:t>
      </w:r>
    </w:p>
    <w:p>
      <w:pPr>
        <w:widowControl/>
        <w:tabs>
          <w:tab w:val="left" w:pos="108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依据：《广州市残疾人联合会 广州市卫生健康委员会 广州市民政局 广州市财政局关于印发广州市社区精神康复综合服务中心管理办法的通知》第二十五条规定：各区残联委托具有社区精神康复服务经验且未承接本市社区精神康复综合服务中心服务的第三方社会服务机构，由其开展本区内的社区精神康复综合服务中心业务督导和服务质量督导工作。</w:t>
      </w:r>
    </w:p>
    <w:p>
      <w:pPr>
        <w:widowControl/>
        <w:tabs>
          <w:tab w:val="left" w:pos="1080"/>
        </w:tabs>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（一）服务需求</w:t>
      </w:r>
    </w:p>
    <w:p>
      <w:pPr>
        <w:widowControl/>
        <w:tabs>
          <w:tab w:val="left" w:pos="108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引入有资质的第三方评估机构对2021年度海珠区社区精神康复综合服务中心服务项目进行业务督导与服务质量评估，每次服务须递交书面报告，每年年终须提交年度工作报告。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1、对海珠区社区精神康复综合服务中心运营项目进行服务质量监察评估。</w:t>
      </w:r>
    </w:p>
    <w:p>
      <w:pPr>
        <w:spacing w:line="360" w:lineRule="auto"/>
        <w:ind w:firstLine="409" w:firstLineChars="195"/>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（1）对海珠区社区精神康复综合服务中心运营项目进行服务质量监察评估。2021年进行一次中期评估，一次末期评估，合共2次实地评估。中期评估在2021年的7-8月进行，末期评估在2021年的12月进行。</w:t>
      </w:r>
    </w:p>
    <w:p>
      <w:pPr>
        <w:spacing w:line="360" w:lineRule="auto"/>
        <w:ind w:firstLine="409" w:firstLineChars="19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估目标：促进社区精神康复服务项目在制度建设、运营管理、服务内容、绩效产出等方面的完善；通过对服务资源的投入、配置和效益等方面的监督，规范财务管理，增强运营机构的成本效率和效益意识，加强公信力建设；通过收集、整理、分析与反馈有关信息，帮助运营机构审视当前服务水平，实施合理决策。</w:t>
      </w:r>
    </w:p>
    <w:p>
      <w:pPr>
        <w:spacing w:line="360" w:lineRule="auto"/>
        <w:ind w:firstLine="409" w:firstLineChars="195"/>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（3）单次评估团队构成：每次评估团队4人，其中，持有本地社工督导资格证，且3年以上社区精神康复服务经验的中级社工  1名；本地高校社会工作专业讲师或以上职称教师1名；持有会计师资格证的财务人员1名；随行工作人员1名。</w:t>
      </w:r>
    </w:p>
    <w:p>
      <w:pPr>
        <w:spacing w:line="360" w:lineRule="auto"/>
        <w:ind w:firstLine="409" w:firstLineChars="195"/>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（4）完成实地评估后在10个工作日内出具书面评估报告。</w:t>
      </w:r>
    </w:p>
    <w:p>
      <w:pPr>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（5）服务质量监察评估按照《广州市残疾人联合会 广州市卫生健康委员会 广州市民政局 广州市财政局关于印发广州市社区精神康复综合服务中心管理办法的通知》（穗残联规字﹝2020﹞1号）文件要求及中标文件执行；如广州市残疾人联合会出台新的广州市社区精神康复综合服务中心服务质量评估办法，则按新的评估办法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2、对海珠区社区精神康复综合服务中心的承接服务机构进行实地业务督导。</w:t>
      </w:r>
    </w:p>
    <w:p>
      <w:pPr>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（1）对海珠区社区精神康复综合服务中心的承接服务机构进行实地业务督导；2021年业务督导不少于3次，每次督导时间不少于6小时（不含事前准备、事后总结和交通耗时），并完成书面督导报告；</w:t>
      </w:r>
    </w:p>
    <w:p>
      <w:pPr>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（2）督导团队2人，其中 1人为业务督导、1 人为行政人员，督导人员须为持中级社会工作师资格证3年以上，有3年或以上社区精神康复服务经验并持有社工督导资格证明材料。</w:t>
      </w:r>
    </w:p>
    <w:p>
      <w:pPr>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（3）每完成一次业务督导后10个工作日出具书面督导工作报告，每个季度提交一次工作情况报告，第三方评估服务机构对报告的真实性、准确性负责，并负有保密责任。</w:t>
      </w:r>
    </w:p>
    <w:p>
      <w:pPr>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（4）为推动项目有效发展，每次督导后，依据督导的内容，开展不定期的跟进。对有重要整改的内容，跟进了解改进事项。</w:t>
      </w:r>
    </w:p>
    <w:p>
      <w:pPr>
        <w:adjustRightInd w:val="0"/>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（二）服务经费估算：</w:t>
      </w:r>
      <w:r>
        <w:rPr>
          <w:rFonts w:hint="eastAsia" w:ascii="宋体" w:hAnsi="宋体" w:eastAsia="宋体" w:cs="宋体"/>
          <w:color w:val="auto"/>
          <w:szCs w:val="21"/>
          <w:highlight w:val="none"/>
        </w:rPr>
        <w:t>2021年度海珠区社区精神康复综合服务中心第三方业务督导和评估经费上限为83832元；采购人不再另行增加费用。</w:t>
      </w:r>
    </w:p>
    <w:p>
      <w:pPr>
        <w:spacing w:line="360" w:lineRule="auto"/>
        <w:ind w:firstLine="413" w:firstLineChars="196"/>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（三）</w:t>
      </w:r>
      <w:r>
        <w:rPr>
          <w:rFonts w:hint="eastAsia" w:ascii="宋体" w:hAnsi="宋体" w:eastAsia="宋体" w:cs="宋体"/>
          <w:b/>
          <w:bCs/>
          <w:color w:val="auto"/>
          <w:szCs w:val="21"/>
          <w:highlight w:val="none"/>
        </w:rPr>
        <w:t>项目完成期限</w:t>
      </w:r>
    </w:p>
    <w:p>
      <w:pPr>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委托服务期间自签订合同之日起至2021年12月31日止。</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（四）服务质量承诺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1、第三方评估服务机构同意根据采购人要求修改、完善实施方案及提交的有关成果报告。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2、第三方评估服务机构制定服务质量满意度评价指标并根据指标制定服务满意度调查问卷，经采购人审核后，与每次服务后交评估或督导对象签署，服务满意率达到80%以上。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3、第三方评估服务机构须做好每次服务的工时统计记录，交评估或督导对象签署认可。</w:t>
      </w:r>
    </w:p>
    <w:p>
      <w:pPr>
        <w:adjustRightInd w:val="0"/>
        <w:spacing w:line="360" w:lineRule="auto"/>
        <w:ind w:firstLine="422" w:firstLineChars="200"/>
        <w:jc w:val="left"/>
        <w:rPr>
          <w:rFonts w:hint="eastAsia" w:ascii="宋体" w:hAnsi="宋体" w:eastAsia="宋体" w:cs="宋体"/>
          <w:b/>
          <w:bCs/>
          <w:color w:val="auto"/>
          <w:szCs w:val="21"/>
          <w:highlight w:val="none"/>
        </w:rPr>
      </w:pPr>
    </w:p>
    <w:p>
      <w:pPr>
        <w:adjustRightIn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服务三   残疾人家庭无障碍改造专项提升工作第三方抽检验收服务</w:t>
      </w:r>
    </w:p>
    <w:p>
      <w:pPr>
        <w:adjustRightInd w:val="0"/>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依据：</w:t>
      </w:r>
      <w:r>
        <w:rPr>
          <w:rFonts w:hint="eastAsia" w:ascii="宋体" w:hAnsi="宋体" w:eastAsia="宋体" w:cs="宋体"/>
          <w:color w:val="auto"/>
          <w:szCs w:val="21"/>
          <w:highlight w:val="none"/>
        </w:rPr>
        <w:t>《广州市残疾人联合会 广州市财政局关于印发广州市残疾人家庭无障碍改造专项提升工作方案的通知》（穗残联〔2020〕124号文件“检查考核。各区政府成立督导小组并开展督导、检查、考核、验收，评审改造效果。”、《海珠区残联关于统筹落实海珠区残疾人家庭无障碍改造专项提升工作有关事项的通知》第三点“成立提升工作督导小组-督导小组可对我区提升工作土建类项目家庭户数不少于5%的抽样检查，对提升工作辅具类产品及签收使用情况不少于10%的抽样检查。督导小组成员在2021年4月12日工作推进会议上建议由区残联聘请第三方机构来开展此项验收评估工作，经费方面由区残联调剂。</w:t>
      </w:r>
    </w:p>
    <w:p>
      <w:pPr>
        <w:adjustRightInd w:val="0"/>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（一）服务需求：</w:t>
      </w:r>
      <w:r>
        <w:rPr>
          <w:rFonts w:hint="eastAsia" w:ascii="宋体" w:hAnsi="宋体" w:eastAsia="宋体" w:cs="宋体"/>
          <w:color w:val="auto"/>
          <w:szCs w:val="21"/>
          <w:highlight w:val="none"/>
        </w:rPr>
        <w:t>委托第三方服务机构根据省市区有关残疾人家庭无障碍改造（服务类）文件要求，制定第三方评估验收方案、评估要求并出具专业评估报告。对海珠区残疾人家庭无障碍改造专项提升工作分土建类和辅具类分别进行实地（物）抽检、资料核查、系统建档资料抽查。土建项目大概随机实地抽查55例，辅具项目大概随机抽查140例，如抽中家庭恰巧既有土建又有辅具改造项目，可以一并开展，算入土建1例。</w:t>
      </w:r>
    </w:p>
    <w:p>
      <w:pPr>
        <w:adjustRightInd w:val="0"/>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（二）服务经费上限：</w:t>
      </w:r>
      <w:r>
        <w:rPr>
          <w:rFonts w:hint="eastAsia" w:ascii="宋体" w:hAnsi="宋体" w:eastAsia="宋体" w:cs="宋体"/>
          <w:color w:val="auto"/>
          <w:szCs w:val="21"/>
          <w:highlight w:val="none"/>
        </w:rPr>
        <w:t>人民币75023元。采购人不再另行增加费用。</w:t>
      </w:r>
    </w:p>
    <w:p>
      <w:pPr>
        <w:adjustRightInd w:val="0"/>
        <w:spacing w:line="360" w:lineRule="auto"/>
        <w:ind w:firstLine="422" w:firstLineChars="200"/>
        <w:jc w:val="left"/>
        <w:rPr>
          <w:rFonts w:hint="eastAsia" w:ascii="宋体" w:hAnsi="宋体" w:eastAsia="宋体" w:cs="宋体"/>
          <w:color w:val="auto"/>
          <w:szCs w:val="21"/>
          <w:highlight w:val="none"/>
          <w:u w:val="single"/>
        </w:rPr>
      </w:pPr>
      <w:r>
        <w:rPr>
          <w:rFonts w:hint="eastAsia" w:ascii="宋体" w:hAnsi="宋体" w:eastAsia="宋体" w:cs="宋体"/>
          <w:b/>
          <w:bCs/>
          <w:color w:val="auto"/>
          <w:szCs w:val="21"/>
          <w:highlight w:val="none"/>
        </w:rPr>
        <w:t>（三）项目完成期限</w:t>
      </w:r>
      <w:r>
        <w:rPr>
          <w:rFonts w:hint="eastAsia" w:ascii="宋体" w:hAnsi="宋体" w:eastAsia="宋体" w:cs="宋体"/>
          <w:color w:val="auto"/>
          <w:szCs w:val="21"/>
          <w:highlight w:val="none"/>
        </w:rPr>
        <w:t>：2021年6月25日</w:t>
      </w:r>
      <w:r>
        <w:rPr>
          <w:rFonts w:hint="eastAsia" w:ascii="宋体" w:hAnsi="宋体" w:eastAsia="宋体" w:cs="宋体"/>
          <w:color w:val="auto"/>
          <w:szCs w:val="21"/>
          <w:highlight w:val="none"/>
          <w:u w:val="single"/>
        </w:rPr>
        <w:t>前（以提供抽检验收报告日期为服务完成时间）。</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（四）服务质量承诺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三方评估服务机构应在项目启动时细分工作内容、确定抽检验收方法、与采购人讨论确定项目的实施范围、抽检验收指标及抽检验收方法、完善实施方案，如有变动需征求采购人的意见，并获得采购人的许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2）第三方评估服务机构须向采购人提供服务抽检验收计划、接受采购人的监督、主动向采购人通告抽检验收有关情况或问题。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第三方评估服务机构应完成抽检验收工作后向采购人提供抽检验收报告，完成全部抽检验收后，分析总结，对报告的真实性、准确性、完整性负责，并负有保密责任。第三方评估服务机构应有健全的档案管理制度，妥善保管抽检验收过程中的所有文件资料，对抽检验收过程中收集整理的自评资料、服务痕迹材料、财务报表等分类整理并封存，项目结束后移交采购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第三方评估服务机构应熟悉残疾人家庭无障碍改造专项提升工作项目的抽检验收政策，能制定完善的整体抽检验收方案。抽检验收结果是根据量化的评价指标和非量化的评价指标综合得出，不只是单纯的定性评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第三方评估服务机构根据海珠区残疾人家庭无障碍改造专项提升工作项目的实际情况，对抽检验收项目的营运机构制定抽检验收工作方案。工作方案应包含各项服务的内容和时间安排，抽检验收人员的资格证明材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第三方评估服务机构须按照相关文件要求履行职责，公平公正地对相关项目进行抽检验收，做好每次抽检验收的数据统计记录，交受抽检验收的相关人员签署确认。如因违法违规和违反相关文件要求，出具虚假的抽检验收报告的，采购人有权单方终止本服务协议，第三方评估服务机构返还采购人已支付的服务经费须按照财政拨款的规定原路退回，情节严重的追究第三方评估服务机构的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7）第三方评估服务机构不得以转包、分包、合作等任何方式向其他组织和个人转让服务项目。如违反，采购人有权终止协议及追究相关责任。</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（五）团队配置：</w:t>
      </w:r>
      <w:r>
        <w:rPr>
          <w:rFonts w:hint="eastAsia" w:ascii="宋体" w:hAnsi="宋体" w:eastAsia="宋体" w:cs="宋体"/>
          <w:color w:val="auto"/>
          <w:szCs w:val="21"/>
          <w:highlight w:val="none"/>
        </w:rPr>
        <w:t>至少有5人的团队组成。</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（六）参考文件</w:t>
      </w:r>
    </w:p>
    <w:p>
      <w:pPr>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《广州市残疾人联合会 广州市财政局关于印发广州市残疾人家庭无障碍改造专项提升工作方案的通知》（穗残联〔2020〕124号）。</w:t>
      </w:r>
    </w:p>
    <w:p>
      <w:pPr>
        <w:spacing w:after="120"/>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三、付款方式</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
          <w:color w:val="auto"/>
          <w:szCs w:val="21"/>
          <w:highlight w:val="none"/>
          <w:u w:val="single"/>
        </w:rPr>
        <w:t>民办残疾人社会服务机构资助项目第三方服务评估和质量监察</w:t>
      </w:r>
      <w:r>
        <w:rPr>
          <w:rFonts w:hint="eastAsia" w:ascii="宋体" w:hAnsi="宋体" w:eastAsia="宋体" w:cs="宋体"/>
          <w:bCs/>
          <w:color w:val="auto"/>
          <w:szCs w:val="21"/>
          <w:highlight w:val="none"/>
        </w:rPr>
        <w:t>服务经费分二期支付：第一期经费于第二次评估报告提交后的15个工作日内支付50%；第二期经费于完成全年度评估报告后15 个工作日内支付50%。支付每期款项前第三方评估服务机构均需提供正式发票给采购人，否则采购人有权拒绝拨付经费。</w:t>
      </w:r>
    </w:p>
    <w:p>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u w:val="single"/>
        </w:rPr>
        <w:t>社区精神康复综合服务中心第三方业务督导和服务质量评估</w:t>
      </w:r>
      <w:r>
        <w:rPr>
          <w:rFonts w:hint="eastAsia" w:ascii="宋体" w:hAnsi="宋体" w:eastAsia="宋体" w:cs="宋体"/>
          <w:bCs/>
          <w:color w:val="auto"/>
          <w:szCs w:val="21"/>
          <w:highlight w:val="none"/>
        </w:rPr>
        <w:t>服务费分两期支付，第一期支付协议总额的50%；第二期经费于完成2021年末期评估工作并出具评估报告日后，支付协议总额50%。采购人在收取第三方评估服务机构提供的正规发票，并查询到财局下拨的用款额度后10个工作日内，以银行转账方式进行支付。</w:t>
      </w:r>
    </w:p>
    <w:p>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u w:val="single"/>
        </w:rPr>
        <w:t>残疾人家庭无障碍改造专项提升工作第三方抽检验收</w:t>
      </w:r>
      <w:r>
        <w:rPr>
          <w:rFonts w:hint="eastAsia" w:ascii="宋体" w:hAnsi="宋体" w:eastAsia="宋体" w:cs="宋体"/>
          <w:bCs/>
          <w:color w:val="auto"/>
          <w:szCs w:val="21"/>
          <w:highlight w:val="none"/>
        </w:rPr>
        <w:t>服务费两期支付，第一期于签订服务合同5个工作日内办理支付手续支付协议总额的30%；第二期经费于完成本项目抽检验收工作并出具抽检验收报告5个工作日内办理支付手续支付协议总额的70%。采购人在收取第三方评估服务机构提供的正规发票，并查询到财局下拨的用款额度后10个工作日内，以银行转账方式进行支付。</w:t>
      </w:r>
    </w:p>
    <w:p>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2、若发生政策调整、财政消减、财政支付不足，导致该服务项目无法运营时，采购人有权终止协议、提前解除协议、缩减服务期限，经费按实际服务次数计算。如遇财政额度拨款原因不能及时支付，采购人不承担逾期支付赔偿责任。 </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3、发票信息：</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发票抬头：广州市海珠区残疾人康复服务中心</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发票内容：2021年海珠区民办残疾人社会服务机构资助项目第三方服务评估和质量监察/社区精神康复综合服务中心第三方业务督导和服务质量评估/残疾人家庭无障碍改造专项提升工作第三方抽检验收服务项目费（第一期/第二期）</w:t>
      </w:r>
    </w:p>
    <w:p>
      <w:pPr>
        <w:rPr>
          <w:rFonts w:ascii="Times New Roman" w:hAnsi="Times New Roman" w:eastAsia="宋体" w:cs="Times New Roman"/>
          <w:color w:val="auto"/>
          <w:highlight w:val="none"/>
        </w:rPr>
      </w:pPr>
      <w:r>
        <w:rPr>
          <w:rFonts w:hint="eastAsia" w:ascii="宋体" w:hAnsi="宋体" w:eastAsia="宋体" w:cs="宋体"/>
          <w:bCs/>
          <w:color w:val="auto"/>
          <w:szCs w:val="21"/>
          <w:highlight w:val="none"/>
        </w:rPr>
        <w:br w:type="page"/>
      </w: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keepNext/>
        <w:autoSpaceDE w:val="0"/>
        <w:spacing w:line="360" w:lineRule="auto"/>
        <w:ind w:right="-441" w:rightChars="-210"/>
        <w:jc w:val="center"/>
        <w:outlineLvl w:val="0"/>
        <w:rPr>
          <w:rFonts w:hint="eastAsia" w:ascii="宋体" w:hAnsi="宋体" w:eastAsia="宋体" w:cs="Times New Roman"/>
          <w:b/>
          <w:bCs/>
          <w:color w:val="auto"/>
          <w:sz w:val="44"/>
          <w:szCs w:val="24"/>
          <w:highlight w:val="none"/>
        </w:rPr>
      </w:pPr>
    </w:p>
    <w:p>
      <w:pPr>
        <w:keepNext/>
        <w:autoSpaceDE w:val="0"/>
        <w:spacing w:line="360" w:lineRule="auto"/>
        <w:ind w:right="-441" w:rightChars="-210"/>
        <w:jc w:val="center"/>
        <w:outlineLvl w:val="0"/>
        <w:rPr>
          <w:rFonts w:hint="eastAsia" w:ascii="宋体" w:hAnsi="宋体" w:eastAsia="宋体" w:cs="Times New Roman"/>
          <w:b/>
          <w:bCs/>
          <w:color w:val="auto"/>
          <w:sz w:val="44"/>
          <w:szCs w:val="24"/>
          <w:highlight w:val="none"/>
        </w:rPr>
      </w:pPr>
    </w:p>
    <w:p>
      <w:pPr>
        <w:keepNext/>
        <w:autoSpaceDE w:val="0"/>
        <w:spacing w:line="360" w:lineRule="auto"/>
        <w:ind w:right="-441" w:rightChars="-210"/>
        <w:jc w:val="center"/>
        <w:outlineLvl w:val="0"/>
        <w:rPr>
          <w:rFonts w:hint="eastAsia" w:ascii="宋体" w:hAnsi="宋体" w:eastAsia="宋体" w:cs="Times New Roman"/>
          <w:b/>
          <w:bCs/>
          <w:color w:val="auto"/>
          <w:sz w:val="44"/>
          <w:szCs w:val="24"/>
          <w:highlight w:val="none"/>
        </w:rPr>
      </w:pPr>
    </w:p>
    <w:p>
      <w:pPr>
        <w:keepNext/>
        <w:autoSpaceDE w:val="0"/>
        <w:spacing w:line="360" w:lineRule="auto"/>
        <w:ind w:right="-441" w:rightChars="-210"/>
        <w:jc w:val="center"/>
        <w:outlineLvl w:val="0"/>
        <w:rPr>
          <w:rFonts w:hint="eastAsia" w:ascii="宋体" w:hAnsi="宋体" w:eastAsia="宋体" w:cs="Times New Roman"/>
          <w:b/>
          <w:bCs/>
          <w:color w:val="auto"/>
          <w:sz w:val="44"/>
          <w:szCs w:val="24"/>
          <w:highlight w:val="none"/>
        </w:rPr>
      </w:pPr>
    </w:p>
    <w:p>
      <w:pPr>
        <w:keepNext/>
        <w:autoSpaceDE w:val="0"/>
        <w:spacing w:line="360" w:lineRule="auto"/>
        <w:ind w:right="-441" w:rightChars="-210"/>
        <w:jc w:val="center"/>
        <w:outlineLvl w:val="0"/>
        <w:rPr>
          <w:rFonts w:hint="eastAsia" w:ascii="宋体" w:hAnsi="宋体" w:eastAsia="宋体" w:cs="Times New Roman"/>
          <w:b/>
          <w:bCs/>
          <w:color w:val="auto"/>
          <w:sz w:val="44"/>
          <w:szCs w:val="24"/>
          <w:highlight w:val="none"/>
        </w:rPr>
      </w:pPr>
      <w:r>
        <w:rPr>
          <w:rFonts w:hint="eastAsia" w:ascii="宋体" w:hAnsi="宋体" w:eastAsia="宋体" w:cs="Times New Roman"/>
          <w:b/>
          <w:bCs/>
          <w:color w:val="auto"/>
          <w:sz w:val="44"/>
          <w:szCs w:val="24"/>
          <w:highlight w:val="none"/>
        </w:rPr>
        <w:t>第四章</w:t>
      </w:r>
      <w:r>
        <w:rPr>
          <w:rFonts w:ascii="宋体" w:hAnsi="宋体" w:eastAsia="宋体" w:cs="Times New Roman"/>
          <w:b/>
          <w:bCs/>
          <w:color w:val="auto"/>
          <w:sz w:val="44"/>
          <w:szCs w:val="24"/>
          <w:highlight w:val="none"/>
        </w:rPr>
        <w:tab/>
      </w:r>
      <w:r>
        <w:rPr>
          <w:rFonts w:hint="eastAsia" w:ascii="宋体" w:hAnsi="宋体" w:eastAsia="宋体" w:cs="Times New Roman"/>
          <w:b/>
          <w:bCs/>
          <w:color w:val="auto"/>
          <w:sz w:val="44"/>
          <w:szCs w:val="24"/>
          <w:highlight w:val="none"/>
        </w:rPr>
        <w:t>合同（样本）</w:t>
      </w:r>
    </w:p>
    <w:p>
      <w:pPr>
        <w:spacing w:line="360" w:lineRule="auto"/>
        <w:jc w:val="center"/>
        <w:rPr>
          <w:rFonts w:ascii="Times New Roman" w:hAnsi="宋体" w:eastAsia="宋体" w:cs="Times New Roman"/>
          <w:color w:val="auto"/>
          <w:szCs w:val="24"/>
          <w:highlight w:val="none"/>
        </w:rPr>
      </w:pPr>
      <w:r>
        <w:rPr>
          <w:rFonts w:hint="eastAsia" w:ascii="Times New Roman" w:hAnsi="宋体" w:eastAsia="宋体" w:cs="Times New Roman"/>
          <w:bCs/>
          <w:color w:val="auto"/>
          <w:kern w:val="44"/>
          <w:szCs w:val="24"/>
          <w:highlight w:val="none"/>
          <w:lang w:val="zh-CN"/>
        </w:rPr>
        <w:t>（仅供参考，最终以甲、乙双方签订的合同为准）</w:t>
      </w:r>
    </w:p>
    <w:p>
      <w:pPr>
        <w:adjustRightInd w:val="0"/>
        <w:snapToGrid w:val="0"/>
        <w:spacing w:line="360" w:lineRule="auto"/>
        <w:jc w:val="center"/>
        <w:rPr>
          <w:rFonts w:hint="eastAsia" w:ascii="宋体" w:hAnsi="宋体" w:eastAsia="宋体" w:cs="宋体"/>
          <w:b/>
          <w:color w:val="auto"/>
          <w:szCs w:val="21"/>
          <w:highlight w:val="none"/>
        </w:rPr>
      </w:pPr>
      <w:r>
        <w:rPr>
          <w:rFonts w:ascii="Times New Roman" w:hAnsi="Times New Roman" w:eastAsia="宋体" w:cs="Times New Roman"/>
          <w:b/>
          <w:color w:val="auto"/>
          <w:sz w:val="36"/>
          <w:szCs w:val="36"/>
          <w:highlight w:val="none"/>
        </w:rPr>
        <w:br w:type="page"/>
      </w:r>
    </w:p>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2021年海珠区民办残疾人社会服务机构资助项目第三方服务评估和质量监察、社区精神康复综合服务中心第三方业务督导和服务质量评估以及残疾人家庭无障碍改造专项提升工作第三方抽检验收服务项目</w:t>
      </w:r>
    </w:p>
    <w:p>
      <w:pPr>
        <w:jc w:val="center"/>
        <w:rPr>
          <w:rFonts w:hint="eastAsia" w:ascii="宋体" w:hAnsi="宋体" w:eastAsia="宋体" w:cs="宋体"/>
          <w:b/>
          <w:color w:val="auto"/>
          <w:szCs w:val="21"/>
          <w:highlight w:val="none"/>
        </w:rPr>
      </w:pPr>
    </w:p>
    <w:p>
      <w:pPr>
        <w:tabs>
          <w:tab w:val="left" w:pos="720"/>
        </w:tabs>
        <w:rPr>
          <w:rFonts w:hint="eastAsia" w:ascii="宋体" w:hAnsi="宋体" w:eastAsia="宋体" w:cs="宋体"/>
          <w:b/>
          <w:color w:val="auto"/>
          <w:szCs w:val="21"/>
          <w:highlight w:val="none"/>
        </w:rPr>
      </w:pPr>
    </w:p>
    <w:p>
      <w:pPr>
        <w:spacing w:after="120"/>
        <w:rPr>
          <w:rFonts w:hint="eastAsia" w:ascii="宋体" w:hAnsi="宋体" w:eastAsia="宋体" w:cs="宋体"/>
          <w:color w:val="auto"/>
          <w:szCs w:val="21"/>
          <w:highlight w:val="none"/>
        </w:rPr>
      </w:pPr>
    </w:p>
    <w:p>
      <w:pPr>
        <w:spacing w:after="120"/>
        <w:rPr>
          <w:rFonts w:hint="eastAsia" w:ascii="宋体" w:hAnsi="宋体" w:eastAsia="宋体" w:cs="宋体"/>
          <w:color w:val="auto"/>
          <w:szCs w:val="21"/>
          <w:highlight w:val="none"/>
        </w:rPr>
      </w:pPr>
    </w:p>
    <w:p>
      <w:pPr>
        <w:spacing w:after="120"/>
        <w:rPr>
          <w:rFonts w:hint="eastAsia" w:ascii="宋体" w:hAnsi="宋体" w:eastAsia="宋体" w:cs="宋体"/>
          <w:color w:val="auto"/>
          <w:szCs w:val="21"/>
          <w:highlight w:val="none"/>
        </w:rPr>
      </w:pPr>
    </w:p>
    <w:p>
      <w:pPr>
        <w:tabs>
          <w:tab w:val="left" w:pos="720"/>
        </w:tabs>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合 </w:t>
      </w:r>
    </w:p>
    <w:p>
      <w:pPr>
        <w:tabs>
          <w:tab w:val="left" w:pos="720"/>
        </w:tabs>
        <w:jc w:val="center"/>
        <w:rPr>
          <w:rFonts w:hint="eastAsia" w:ascii="宋体" w:hAnsi="宋体" w:eastAsia="宋体" w:cs="宋体"/>
          <w:b/>
          <w:color w:val="auto"/>
          <w:sz w:val="32"/>
          <w:szCs w:val="32"/>
          <w:highlight w:val="none"/>
        </w:rPr>
      </w:pPr>
    </w:p>
    <w:p>
      <w:pPr>
        <w:tabs>
          <w:tab w:val="left" w:pos="720"/>
        </w:tabs>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同 </w:t>
      </w:r>
    </w:p>
    <w:p>
      <w:pPr>
        <w:tabs>
          <w:tab w:val="left" w:pos="720"/>
        </w:tabs>
        <w:jc w:val="center"/>
        <w:rPr>
          <w:rFonts w:hint="eastAsia" w:ascii="宋体" w:hAnsi="宋体" w:eastAsia="宋体" w:cs="宋体"/>
          <w:b/>
          <w:color w:val="auto"/>
          <w:sz w:val="32"/>
          <w:szCs w:val="32"/>
          <w:highlight w:val="none"/>
        </w:rPr>
      </w:pPr>
    </w:p>
    <w:p>
      <w:pPr>
        <w:tabs>
          <w:tab w:val="left" w:pos="720"/>
        </w:tabs>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书</w:t>
      </w:r>
    </w:p>
    <w:p>
      <w:pPr>
        <w:tabs>
          <w:tab w:val="left" w:pos="720"/>
        </w:tabs>
        <w:rPr>
          <w:rFonts w:hint="eastAsia" w:ascii="宋体" w:hAnsi="宋体" w:eastAsia="宋体" w:cs="宋体"/>
          <w:b/>
          <w:color w:val="auto"/>
          <w:szCs w:val="21"/>
          <w:highlight w:val="none"/>
        </w:rPr>
      </w:pPr>
    </w:p>
    <w:p>
      <w:pPr>
        <w:tabs>
          <w:tab w:val="left" w:pos="720"/>
        </w:tabs>
        <w:rPr>
          <w:rFonts w:hint="eastAsia" w:ascii="宋体" w:hAnsi="宋体" w:eastAsia="宋体" w:cs="宋体"/>
          <w:b/>
          <w:color w:val="auto"/>
          <w:szCs w:val="21"/>
          <w:highlight w:val="none"/>
        </w:rPr>
      </w:pPr>
    </w:p>
    <w:p>
      <w:pPr>
        <w:spacing w:after="120"/>
        <w:rPr>
          <w:rFonts w:hint="eastAsia" w:ascii="宋体" w:hAnsi="宋体" w:eastAsia="宋体" w:cs="宋体"/>
          <w:color w:val="auto"/>
          <w:szCs w:val="21"/>
          <w:highlight w:val="none"/>
        </w:rPr>
      </w:pPr>
    </w:p>
    <w:p>
      <w:pPr>
        <w:spacing w:after="120"/>
        <w:rPr>
          <w:rFonts w:hint="eastAsia" w:ascii="宋体" w:hAnsi="宋体" w:eastAsia="宋体" w:cs="宋体"/>
          <w:color w:val="auto"/>
          <w:szCs w:val="21"/>
          <w:highlight w:val="none"/>
        </w:rPr>
      </w:pPr>
    </w:p>
    <w:p>
      <w:pPr>
        <w:spacing w:after="120"/>
        <w:rPr>
          <w:rFonts w:hint="eastAsia" w:ascii="宋体" w:hAnsi="宋体" w:eastAsia="宋体" w:cs="宋体"/>
          <w:color w:val="auto"/>
          <w:szCs w:val="21"/>
          <w:highlight w:val="none"/>
        </w:rPr>
      </w:pPr>
    </w:p>
    <w:p>
      <w:pPr>
        <w:spacing w:after="120"/>
        <w:rPr>
          <w:rFonts w:hint="eastAsia" w:ascii="宋体" w:hAnsi="宋体" w:eastAsia="宋体" w:cs="宋体"/>
          <w:color w:val="auto"/>
          <w:szCs w:val="21"/>
          <w:highlight w:val="none"/>
        </w:rPr>
      </w:pPr>
    </w:p>
    <w:p>
      <w:pPr>
        <w:spacing w:after="120"/>
        <w:rPr>
          <w:rFonts w:hint="eastAsia" w:ascii="宋体" w:hAnsi="宋体" w:eastAsia="宋体" w:cs="宋体"/>
          <w:color w:val="auto"/>
          <w:szCs w:val="21"/>
          <w:highlight w:val="none"/>
        </w:rPr>
      </w:pPr>
    </w:p>
    <w:p>
      <w:pPr>
        <w:spacing w:after="120"/>
        <w:rPr>
          <w:rFonts w:hint="eastAsia" w:ascii="宋体" w:hAnsi="宋体" w:eastAsia="宋体" w:cs="宋体"/>
          <w:color w:val="auto"/>
          <w:szCs w:val="21"/>
          <w:highlight w:val="none"/>
        </w:rPr>
      </w:pPr>
    </w:p>
    <w:p>
      <w:pPr>
        <w:tabs>
          <w:tab w:val="left" w:pos="720"/>
        </w:tabs>
        <w:rPr>
          <w:rFonts w:hint="eastAsia" w:ascii="宋体" w:hAnsi="宋体" w:eastAsia="宋体" w:cs="宋体"/>
          <w:b/>
          <w:color w:val="auto"/>
          <w:szCs w:val="21"/>
          <w:highlight w:val="none"/>
        </w:rPr>
      </w:pPr>
    </w:p>
    <w:p>
      <w:pPr>
        <w:tabs>
          <w:tab w:val="left" w:pos="720"/>
        </w:tabs>
        <w:rPr>
          <w:rFonts w:hint="eastAsia" w:ascii="宋体" w:hAnsi="宋体" w:eastAsia="宋体" w:cs="宋体"/>
          <w:b/>
          <w:color w:val="auto"/>
          <w:szCs w:val="21"/>
          <w:highlight w:val="none"/>
        </w:rPr>
      </w:pPr>
    </w:p>
    <w:p>
      <w:pPr>
        <w:spacing w:after="120"/>
        <w:rPr>
          <w:rFonts w:hint="eastAsia" w:ascii="宋体" w:hAnsi="宋体" w:eastAsia="宋体" w:cs="宋体"/>
          <w:color w:val="auto"/>
          <w:szCs w:val="21"/>
          <w:highlight w:val="none"/>
        </w:rPr>
      </w:pPr>
    </w:p>
    <w:p>
      <w:pPr>
        <w:adjustRightInd w:val="0"/>
        <w:snapToGrid w:val="0"/>
        <w:spacing w:line="360" w:lineRule="auto"/>
        <w:ind w:firstLine="1037" w:firstLineChars="49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合同编号：</w:t>
      </w:r>
    </w:p>
    <w:p>
      <w:pPr>
        <w:adjustRightInd w:val="0"/>
        <w:snapToGrid w:val="0"/>
        <w:spacing w:line="360" w:lineRule="auto"/>
        <w:ind w:firstLine="1037" w:firstLineChars="49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签约地点：</w:t>
      </w:r>
    </w:p>
    <w:p>
      <w:pPr>
        <w:adjustRightInd w:val="0"/>
        <w:snapToGrid w:val="0"/>
        <w:spacing w:line="360" w:lineRule="auto"/>
        <w:ind w:firstLine="1054" w:firstLineChars="500"/>
        <w:rPr>
          <w:rFonts w:hint="eastAsia" w:ascii="宋体" w:hAnsi="宋体" w:eastAsia="宋体" w:cs="宋体"/>
          <w:b/>
          <w:color w:val="auto"/>
          <w:szCs w:val="21"/>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b/>
          <w:color w:val="auto"/>
          <w:szCs w:val="21"/>
          <w:highlight w:val="none"/>
        </w:rPr>
        <w:t>签订日期：二〇二一年   月   日</w:t>
      </w:r>
    </w:p>
    <w:p>
      <w:pPr>
        <w:spacing w:line="48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甲方（采购人方）：广州市海珠区残疾人康复服务中心   </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    话：020-34376806           　          </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    址：广州市海珠区同福中路319号 </w:t>
      </w:r>
    </w:p>
    <w:p>
      <w:pPr>
        <w:spacing w:line="480" w:lineRule="auto"/>
        <w:rPr>
          <w:rFonts w:hint="eastAsia" w:ascii="宋体" w:hAnsi="宋体" w:eastAsia="宋体" w:cs="宋体"/>
          <w:b/>
          <w:color w:val="auto"/>
          <w:szCs w:val="21"/>
          <w:highlight w:val="none"/>
        </w:rPr>
      </w:pPr>
    </w:p>
    <w:p>
      <w:pPr>
        <w:spacing w:line="48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乙方（成交人）：</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电    话：     </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    址：  </w:t>
      </w:r>
    </w:p>
    <w:p>
      <w:pPr>
        <w:tabs>
          <w:tab w:val="left" w:pos="720"/>
        </w:tabs>
        <w:spacing w:line="360" w:lineRule="auto"/>
        <w:rPr>
          <w:rFonts w:hint="eastAsia" w:ascii="宋体" w:hAnsi="宋体" w:eastAsia="宋体" w:cs="宋体"/>
          <w:color w:val="auto"/>
          <w:szCs w:val="21"/>
          <w:highlight w:val="none"/>
        </w:rPr>
      </w:pPr>
    </w:p>
    <w:p>
      <w:pPr>
        <w:tabs>
          <w:tab w:val="left" w:pos="720"/>
        </w:tabs>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2021年海珠区民办残疾人社会服务机构资助项目第三方服务评估和质量监察、社区精神康复综合服务中心第三方业务督导和服务质量评估以及残疾人家庭无障碍改造专项提升工作第三方抽检验收服务项目</w:t>
      </w:r>
    </w:p>
    <w:p>
      <w:pPr>
        <w:spacing w:line="360" w:lineRule="auto"/>
        <w:ind w:firstLine="420" w:firstLineChars="200"/>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采购编号：202106-184098-0080</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8"/>
          <w:szCs w:val="21"/>
          <w:highlight w:val="none"/>
        </w:rPr>
        <w:t>根据</w:t>
      </w:r>
      <w:r>
        <w:rPr>
          <w:rFonts w:hint="eastAsia" w:ascii="宋体" w:hAnsi="宋体" w:eastAsia="宋体" w:cs="宋体"/>
          <w:color w:val="auto"/>
          <w:szCs w:val="21"/>
          <w:highlight w:val="none"/>
          <w:u w:val="single"/>
        </w:rPr>
        <w:t>2021年海珠区民办残疾人社会服务机构资助项目第三方服务评估和质量监察、社区精神康复综合服务中心第三方业务督导和服务质量评估以及残疾人家庭无障碍改造专项提升工作第三方抽检验收服务</w:t>
      </w:r>
      <w:r>
        <w:rPr>
          <w:rFonts w:hint="eastAsia" w:ascii="宋体" w:hAnsi="宋体" w:eastAsia="宋体" w:cs="宋体"/>
          <w:color w:val="auto"/>
          <w:kern w:val="28"/>
          <w:szCs w:val="21"/>
          <w:highlight w:val="none"/>
        </w:rPr>
        <w:t>项目的采购结果，按照《中华人民共和国民法典》及其他有关法律法规的规定，经双方协商，本着平等互利和诚实信用的原则，一致同意签订本合同如下。</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一、合同金额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合同总金额为人民币（大写）：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元），其中，民办残疾人社会服务机构资助项目第三方服务评估和质量监察服务金额为人民币（大写）</w:t>
      </w:r>
      <w:r>
        <w:rPr>
          <w:rFonts w:hint="eastAsia" w:ascii="宋体" w:hAnsi="宋体" w:eastAsia="宋体" w:cs="宋体"/>
          <w:color w:val="auto"/>
          <w:szCs w:val="21"/>
          <w:highlight w:val="none"/>
          <w:u w:val="single"/>
        </w:rPr>
        <w:t>：  元（￥  元），</w:t>
      </w:r>
      <w:r>
        <w:rPr>
          <w:rFonts w:hint="eastAsia" w:ascii="宋体" w:hAnsi="宋体" w:eastAsia="宋体" w:cs="宋体"/>
          <w:color w:val="auto"/>
          <w:szCs w:val="21"/>
          <w:highlight w:val="none"/>
        </w:rPr>
        <w:t>社区精神康复综合服务中心第三方业务督导和服务质量评估服务金额为人民币（大写）：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元），残疾人家庭无障碍改造专项提升工作第三方抽检验收服务金额为人民币（大写）：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二、服务范围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bCs/>
          <w:color w:val="auto"/>
          <w:szCs w:val="21"/>
          <w:highlight w:val="none"/>
        </w:rPr>
        <w:t>民办残疾人社会服务机构资助项目第三方服务评估和质量监察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1、甲方聘请乙方提供以下服务：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估目标：通过第三方服务质量评估机构，对为海珠区残疾人提供的机构资助项目的服务质量进行评估，促进海珠区民办残疾人社会服务机构资助项目的正常开展，保证服务场所、服务质量和数量达到相关要求，确保服务对象的权益；通过收集、整理、分析与反馈有关信息，评估服务机构的服务水平，为甲方支付资助经费提供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（2）评估对象：符合资助办法规定且为海珠区户籍残疾人提供常规服务项目的民办残疾人社会服务机构。目前接受海珠区常规服务项目服务资助的机构情况主要有：重残寄宿托养对象约</w:t>
      </w:r>
      <w:r>
        <w:rPr>
          <w:rFonts w:hint="eastAsia" w:ascii="宋体" w:hAnsi="宋体" w:eastAsia="宋体" w:cs="宋体"/>
          <w:color w:val="auto"/>
          <w:szCs w:val="21"/>
          <w:highlight w:val="none"/>
          <w:u w:val="single"/>
        </w:rPr>
        <w:t>23</w:t>
      </w:r>
      <w:r>
        <w:rPr>
          <w:rFonts w:hint="eastAsia" w:ascii="宋体" w:hAnsi="宋体" w:eastAsia="宋体" w:cs="宋体"/>
          <w:color w:val="auto"/>
          <w:szCs w:val="21"/>
          <w:highlight w:val="none"/>
        </w:rPr>
        <w:t>人，分别寄宿托养在三家广州市内托养机构；社工服务对象约</w:t>
      </w:r>
      <w:r>
        <w:rPr>
          <w:rFonts w:hint="eastAsia" w:ascii="宋体" w:hAnsi="宋体" w:eastAsia="宋体" w:cs="宋体"/>
          <w:color w:val="auto"/>
          <w:szCs w:val="21"/>
          <w:highlight w:val="none"/>
          <w:u w:val="single"/>
        </w:rPr>
        <w:t>19</w:t>
      </w:r>
      <w:r>
        <w:rPr>
          <w:rFonts w:hint="eastAsia" w:ascii="宋体" w:hAnsi="宋体" w:eastAsia="宋体" w:cs="宋体"/>
          <w:color w:val="auto"/>
          <w:szCs w:val="21"/>
          <w:highlight w:val="none"/>
        </w:rPr>
        <w:t>人，主要由通过广州市海珠区招投标确认的三家广州市内社工服务机构承接服务；居家托养和日间训练服务对象暂无机构承接，预计总资助经费不超过</w:t>
      </w:r>
      <w:r>
        <w:rPr>
          <w:rFonts w:hint="eastAsia" w:ascii="宋体" w:hAnsi="宋体" w:eastAsia="宋体" w:cs="宋体"/>
          <w:color w:val="auto"/>
          <w:szCs w:val="21"/>
          <w:highlight w:val="none"/>
          <w:u w:val="single"/>
        </w:rPr>
        <w:t>56</w:t>
      </w:r>
      <w:r>
        <w:rPr>
          <w:rFonts w:hint="eastAsia" w:ascii="宋体" w:hAnsi="宋体" w:eastAsia="宋体" w:cs="宋体"/>
          <w:color w:val="auto"/>
          <w:szCs w:val="21"/>
          <w:highlight w:val="none"/>
        </w:rPr>
        <w:t>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估内容：为接受资助服务的残疾人建立资助服务前评估、服务中评估、服务结束评估的个人评估档案，从周期中体现资助服务的成效，每季度对2021年服务对象接受服务情况随机进行实地服务抽查和机构提供的服务资料进行评估监察，分别在2021年7月、10月、12月提交评估报告，2022年1月提交一份2021年全年综合评估报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（4）每次评估后的7个工作日内，根据评估结果分析，按项目向甲方提供评估报告。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（5）评估监测参考文件：《广州市残疾人联合会 广州市民政局 广州市财政局关于印发广州市民办残疾人社会服务机构资助办法的通知》（穗残联规字〔2017〕1号）、《广州市残联关于印发广州市民办残疾人社会服务机构常规服务评估指标（参考文本）的通知》（穗残联〔2018〕2号）</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2、团队配置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单次评估团队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人。其中，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名具备助理社会工作师资格证书或以上且有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年或以上项目统筹、管理经验；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名行政/财务人员。乙方本项目投入的团队名单如下：</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76"/>
        <w:gridCol w:w="1429"/>
        <w:gridCol w:w="2088"/>
        <w:gridCol w:w="214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序号</w:t>
            </w:r>
          </w:p>
        </w:tc>
        <w:tc>
          <w:tcPr>
            <w:tcW w:w="1176" w:type="dxa"/>
            <w:vAlign w:val="center"/>
          </w:tcPr>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szCs w:val="21"/>
                <w:highlight w:val="none"/>
              </w:rPr>
              <w:t>姓名</w:t>
            </w:r>
          </w:p>
        </w:tc>
        <w:tc>
          <w:tcPr>
            <w:tcW w:w="1429" w:type="dxa"/>
            <w:vAlign w:val="center"/>
          </w:tcPr>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szCs w:val="21"/>
                <w:highlight w:val="none"/>
              </w:rPr>
              <w:t>现职务</w:t>
            </w:r>
          </w:p>
        </w:tc>
        <w:tc>
          <w:tcPr>
            <w:tcW w:w="2088" w:type="dxa"/>
            <w:vAlign w:val="center"/>
          </w:tcPr>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szCs w:val="21"/>
                <w:highlight w:val="none"/>
              </w:rPr>
              <w:t>职称/资格</w:t>
            </w:r>
          </w:p>
        </w:tc>
        <w:tc>
          <w:tcPr>
            <w:tcW w:w="2145" w:type="dxa"/>
            <w:vAlign w:val="center"/>
          </w:tcPr>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专业</w:t>
            </w:r>
          </w:p>
        </w:tc>
        <w:tc>
          <w:tcPr>
            <w:tcW w:w="898" w:type="dxa"/>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专业</w:t>
            </w:r>
          </w:p>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szCs w:val="21"/>
                <w:highlight w:val="none"/>
              </w:rPr>
              <w:t>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74" w:type="dxa"/>
            <w:gridSpan w:val="6"/>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spacing w:line="360" w:lineRule="auto"/>
              <w:jc w:val="center"/>
              <w:rPr>
                <w:rFonts w:hint="eastAsia" w:ascii="宋体" w:hAnsi="宋体" w:eastAsia="宋体" w:cs="宋体"/>
                <w:bCs/>
                <w:color w:val="auto"/>
                <w:szCs w:val="21"/>
                <w:highlight w:val="none"/>
              </w:rPr>
            </w:pPr>
          </w:p>
        </w:tc>
        <w:tc>
          <w:tcPr>
            <w:tcW w:w="1176" w:type="dxa"/>
            <w:vAlign w:val="center"/>
          </w:tcPr>
          <w:p>
            <w:pPr>
              <w:spacing w:line="360" w:lineRule="auto"/>
              <w:jc w:val="center"/>
              <w:rPr>
                <w:rFonts w:hint="eastAsia" w:ascii="宋体" w:hAnsi="宋体" w:eastAsia="宋体" w:cs="宋体"/>
                <w:bCs/>
                <w:color w:val="auto"/>
                <w:szCs w:val="21"/>
                <w:highlight w:val="none"/>
              </w:rPr>
            </w:pPr>
          </w:p>
        </w:tc>
        <w:tc>
          <w:tcPr>
            <w:tcW w:w="1429" w:type="dxa"/>
            <w:vAlign w:val="center"/>
          </w:tcPr>
          <w:p>
            <w:pPr>
              <w:spacing w:line="360" w:lineRule="auto"/>
              <w:jc w:val="center"/>
              <w:rPr>
                <w:rFonts w:hint="eastAsia" w:ascii="宋体" w:hAnsi="宋体" w:eastAsia="宋体" w:cs="宋体"/>
                <w:bCs/>
                <w:color w:val="auto"/>
                <w:szCs w:val="21"/>
                <w:highlight w:val="none"/>
              </w:rPr>
            </w:pPr>
          </w:p>
        </w:tc>
        <w:tc>
          <w:tcPr>
            <w:tcW w:w="2088" w:type="dxa"/>
            <w:vAlign w:val="center"/>
          </w:tcPr>
          <w:p>
            <w:pPr>
              <w:spacing w:line="360" w:lineRule="auto"/>
              <w:jc w:val="center"/>
              <w:rPr>
                <w:rFonts w:hint="eastAsia" w:ascii="宋体" w:hAnsi="宋体" w:eastAsia="宋体" w:cs="宋体"/>
                <w:bCs/>
                <w:color w:val="auto"/>
                <w:kern w:val="0"/>
                <w:szCs w:val="21"/>
                <w:highlight w:val="none"/>
              </w:rPr>
            </w:pPr>
          </w:p>
        </w:tc>
        <w:tc>
          <w:tcPr>
            <w:tcW w:w="2145" w:type="dxa"/>
            <w:vAlign w:val="center"/>
          </w:tcPr>
          <w:p>
            <w:pPr>
              <w:spacing w:line="360" w:lineRule="auto"/>
              <w:jc w:val="center"/>
              <w:rPr>
                <w:rFonts w:hint="eastAsia" w:ascii="宋体" w:hAnsi="宋体" w:eastAsia="宋体" w:cs="宋体"/>
                <w:bCs/>
                <w:color w:val="auto"/>
                <w:szCs w:val="21"/>
                <w:highlight w:val="none"/>
              </w:rPr>
            </w:pPr>
          </w:p>
        </w:tc>
        <w:tc>
          <w:tcPr>
            <w:tcW w:w="898" w:type="dxa"/>
            <w:vAlign w:val="center"/>
          </w:tcPr>
          <w:p>
            <w:pPr>
              <w:spacing w:line="360" w:lineRule="auto"/>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74" w:type="dxa"/>
            <w:gridSpan w:val="6"/>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spacing w:line="360" w:lineRule="auto"/>
              <w:jc w:val="center"/>
              <w:rPr>
                <w:rFonts w:hint="eastAsia" w:ascii="宋体" w:hAnsi="宋体" w:eastAsia="宋体" w:cs="宋体"/>
                <w:bCs/>
                <w:color w:val="auto"/>
                <w:szCs w:val="21"/>
                <w:highlight w:val="none"/>
              </w:rPr>
            </w:pPr>
          </w:p>
        </w:tc>
        <w:tc>
          <w:tcPr>
            <w:tcW w:w="1176" w:type="dxa"/>
            <w:vAlign w:val="center"/>
          </w:tcPr>
          <w:p>
            <w:pPr>
              <w:spacing w:line="360" w:lineRule="auto"/>
              <w:jc w:val="center"/>
              <w:rPr>
                <w:rFonts w:hint="eastAsia" w:ascii="宋体" w:hAnsi="宋体" w:eastAsia="宋体" w:cs="宋体"/>
                <w:bCs/>
                <w:color w:val="auto"/>
                <w:szCs w:val="21"/>
                <w:highlight w:val="none"/>
              </w:rPr>
            </w:pPr>
          </w:p>
        </w:tc>
        <w:tc>
          <w:tcPr>
            <w:tcW w:w="1429" w:type="dxa"/>
            <w:vAlign w:val="center"/>
          </w:tcPr>
          <w:p>
            <w:pPr>
              <w:spacing w:line="360" w:lineRule="auto"/>
              <w:jc w:val="center"/>
              <w:rPr>
                <w:rFonts w:hint="eastAsia" w:ascii="宋体" w:hAnsi="宋体" w:eastAsia="宋体" w:cs="宋体"/>
                <w:bCs/>
                <w:color w:val="auto"/>
                <w:szCs w:val="21"/>
                <w:highlight w:val="none"/>
              </w:rPr>
            </w:pPr>
          </w:p>
        </w:tc>
        <w:tc>
          <w:tcPr>
            <w:tcW w:w="2088" w:type="dxa"/>
            <w:vAlign w:val="center"/>
          </w:tcPr>
          <w:p>
            <w:pPr>
              <w:jc w:val="center"/>
              <w:rPr>
                <w:rFonts w:hint="eastAsia" w:ascii="宋体" w:hAnsi="宋体" w:eastAsia="宋体" w:cs="宋体"/>
                <w:bCs/>
                <w:color w:val="auto"/>
                <w:kern w:val="0"/>
                <w:szCs w:val="21"/>
                <w:highlight w:val="none"/>
              </w:rPr>
            </w:pPr>
          </w:p>
        </w:tc>
        <w:tc>
          <w:tcPr>
            <w:tcW w:w="2145" w:type="dxa"/>
            <w:vAlign w:val="center"/>
          </w:tcPr>
          <w:p>
            <w:pPr>
              <w:jc w:val="center"/>
              <w:rPr>
                <w:rFonts w:hint="eastAsia" w:ascii="宋体" w:hAnsi="宋体" w:eastAsia="宋体" w:cs="宋体"/>
                <w:bCs/>
                <w:color w:val="auto"/>
                <w:szCs w:val="21"/>
                <w:highlight w:val="none"/>
              </w:rPr>
            </w:pPr>
          </w:p>
        </w:tc>
        <w:tc>
          <w:tcPr>
            <w:tcW w:w="898" w:type="dxa"/>
            <w:vAlign w:val="center"/>
          </w:tcPr>
          <w:p>
            <w:pPr>
              <w:spacing w:line="360" w:lineRule="auto"/>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74" w:type="dxa"/>
            <w:gridSpan w:val="6"/>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财务人员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spacing w:line="360" w:lineRule="auto"/>
              <w:jc w:val="center"/>
              <w:rPr>
                <w:rFonts w:hint="eastAsia" w:ascii="宋体" w:hAnsi="宋体" w:eastAsia="宋体" w:cs="宋体"/>
                <w:bCs/>
                <w:color w:val="auto"/>
                <w:szCs w:val="21"/>
                <w:highlight w:val="none"/>
              </w:rPr>
            </w:pPr>
          </w:p>
        </w:tc>
        <w:tc>
          <w:tcPr>
            <w:tcW w:w="1176" w:type="dxa"/>
            <w:vAlign w:val="center"/>
          </w:tcPr>
          <w:p>
            <w:pPr>
              <w:spacing w:line="360" w:lineRule="auto"/>
              <w:jc w:val="center"/>
              <w:rPr>
                <w:rFonts w:hint="eastAsia" w:ascii="宋体" w:hAnsi="宋体" w:eastAsia="宋体" w:cs="宋体"/>
                <w:bCs/>
                <w:color w:val="auto"/>
                <w:kern w:val="0"/>
                <w:szCs w:val="21"/>
                <w:highlight w:val="none"/>
              </w:rPr>
            </w:pPr>
          </w:p>
        </w:tc>
        <w:tc>
          <w:tcPr>
            <w:tcW w:w="1429" w:type="dxa"/>
            <w:vAlign w:val="center"/>
          </w:tcPr>
          <w:p>
            <w:pPr>
              <w:spacing w:line="360" w:lineRule="auto"/>
              <w:jc w:val="center"/>
              <w:rPr>
                <w:rFonts w:hint="eastAsia" w:ascii="宋体" w:hAnsi="宋体" w:eastAsia="宋体" w:cs="宋体"/>
                <w:bCs/>
                <w:color w:val="auto"/>
                <w:kern w:val="0"/>
                <w:szCs w:val="21"/>
                <w:highlight w:val="none"/>
              </w:rPr>
            </w:pPr>
          </w:p>
        </w:tc>
        <w:tc>
          <w:tcPr>
            <w:tcW w:w="2088" w:type="dxa"/>
            <w:vAlign w:val="center"/>
          </w:tcPr>
          <w:p>
            <w:pPr>
              <w:spacing w:line="360" w:lineRule="auto"/>
              <w:jc w:val="center"/>
              <w:rPr>
                <w:rFonts w:hint="eastAsia" w:ascii="宋体" w:hAnsi="宋体" w:eastAsia="宋体" w:cs="宋体"/>
                <w:bCs/>
                <w:color w:val="auto"/>
                <w:kern w:val="0"/>
                <w:szCs w:val="21"/>
                <w:highlight w:val="none"/>
              </w:rPr>
            </w:pPr>
          </w:p>
        </w:tc>
        <w:tc>
          <w:tcPr>
            <w:tcW w:w="2145" w:type="dxa"/>
            <w:vAlign w:val="center"/>
          </w:tcPr>
          <w:p>
            <w:pPr>
              <w:spacing w:line="360" w:lineRule="auto"/>
              <w:jc w:val="center"/>
              <w:rPr>
                <w:rFonts w:hint="eastAsia" w:ascii="宋体" w:hAnsi="宋体" w:eastAsia="宋体" w:cs="宋体"/>
                <w:bCs/>
                <w:color w:val="auto"/>
                <w:kern w:val="0"/>
                <w:szCs w:val="21"/>
                <w:highlight w:val="none"/>
              </w:rPr>
            </w:pPr>
          </w:p>
        </w:tc>
        <w:tc>
          <w:tcPr>
            <w:tcW w:w="898" w:type="dxa"/>
            <w:vAlign w:val="center"/>
          </w:tcPr>
          <w:p>
            <w:pPr>
              <w:spacing w:line="360" w:lineRule="auto"/>
              <w:jc w:val="center"/>
              <w:rPr>
                <w:rFonts w:hint="eastAsia" w:ascii="宋体" w:hAnsi="宋体" w:eastAsia="宋体" w:cs="宋体"/>
                <w:bCs/>
                <w:color w:val="auto"/>
                <w:kern w:val="0"/>
                <w:szCs w:val="21"/>
                <w:highlight w:val="none"/>
              </w:rPr>
            </w:pPr>
          </w:p>
        </w:tc>
      </w:tr>
    </w:tbl>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3、甲方乙方的权利和义务</w:t>
      </w:r>
    </w:p>
    <w:p>
      <w:pPr>
        <w:tabs>
          <w:tab w:val="left" w:pos="85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（1）甲方的权利和义务</w:t>
      </w:r>
    </w:p>
    <w:p>
      <w:pPr>
        <w:tabs>
          <w:tab w:val="left" w:pos="85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1）负责为乙方开展服务质量监测工作的进行必要协调工作。</w:t>
      </w:r>
    </w:p>
    <w:p>
      <w:pPr>
        <w:tabs>
          <w:tab w:val="left" w:pos="85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2）负责按本协议划拨服务质量监测工作所需要的经费。</w:t>
      </w:r>
    </w:p>
    <w:p>
      <w:pPr>
        <w:tabs>
          <w:tab w:val="left" w:pos="85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3）甲方有权对不履行协议或违反甲方管理规定或不具备相应资格的乙方人员提出警告或有权要求乙方将其调离该项目。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（2）乙方的权利和义务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1）乙方应在项目启动时细分工作内容、确定评估指标及评估方法、与甲方讨论确定项目的实施范围、评估指标及评估方法、完善实施方案，如有变动需征求甲方的意见，并获得甲方的许可。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2）乙方须向甲方提供服务年度计划、接受甲方的监督、主动向甲方通告评估有关情况或问题。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每完成一次评估工作后向甲方提供评估报告，完成全年的机构评估后，分析总结，完成一份总的评估报告，对报告的真实性、准确性、完整性负责，并负有保密责任。乙方应有健全的档案管理制度，妥善保管评估过程中的所有文件资料，对评估过程中收集整理的自评资料、服务痕迹材料、财务报表等分类整理并封存，项目结束后移交甲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4）乙方应熟悉广州市民办残疾人社会服务机构资助项目的评估政策，能制定完善的整体评估方案。评估结果是根据量化的评价指标和非量化的评价指标综合得出，不只是单纯的定性评价。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5）乙方根据海珠区民办残疾人社会服务机构资助项目的实际情况，对评估项目的营运机构制定评估工作方案。工作方案应包含各项服务的内容和时间安排，评估人员的资格证明材料。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须按照相关文件要求履行职责，公平公正地对相关项目进行评估，做好每次评估的数据统计记录，交受评估的机构签署确认。如因违法违规和违反相关文件要求，出具虚假的评估报告的，甲方有权单方终止本服务协议，乙方返还甲方已支付的服务经费须按照财政拨款的规定原路退回，情节严重的追究乙方的法律责任。</w:t>
      </w:r>
    </w:p>
    <w:p>
      <w:pPr>
        <w:spacing w:line="360" w:lineRule="auto"/>
        <w:ind w:firstLine="420" w:firstLineChars="200"/>
        <w:rPr>
          <w:rFonts w:hint="eastAsia" w:ascii="Times New Roman" w:hAnsi="Times New Roman" w:eastAsia="宋体" w:cs="Times New Roman"/>
          <w:color w:val="auto"/>
          <w:szCs w:val="24"/>
          <w:highlight w:val="none"/>
        </w:rPr>
      </w:pPr>
      <w:r>
        <w:rPr>
          <w:rFonts w:hint="eastAsia" w:ascii="宋体" w:hAnsi="宋体" w:eastAsia="宋体" w:cs="宋体"/>
          <w:color w:val="auto"/>
          <w:szCs w:val="21"/>
          <w:highlight w:val="none"/>
        </w:rPr>
        <w:t>7）乙方不得以转包、分包、合作等任何方式向其他组织和个人转让服务项目。如违反，甲方有权终止协议及追究相关责任。</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w:t>
      </w:r>
      <w:r>
        <w:rPr>
          <w:rFonts w:hint="eastAsia" w:ascii="宋体" w:hAnsi="宋体" w:eastAsia="宋体" w:cs="宋体"/>
          <w:b/>
          <w:bCs/>
          <w:color w:val="auto"/>
          <w:szCs w:val="21"/>
          <w:highlight w:val="none"/>
        </w:rPr>
        <w:t>项目完成期限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委托服务期间自合同签订之日起至2021年12月31日止。</w:t>
      </w:r>
    </w:p>
    <w:p>
      <w:pPr>
        <w:spacing w:after="120"/>
        <w:rPr>
          <w:rFonts w:hint="eastAsia" w:ascii="Times New Roman" w:hAnsi="Times New Roman" w:eastAsia="宋体" w:cs="Times New Roman"/>
          <w:color w:val="auto"/>
          <w:szCs w:val="24"/>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（二）社区精神康复综合服务中心第三方业务督导和服务质量评估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1、甲方聘请乙方提供以下服务：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通过有资质的第三方评估机构对2021年度海珠区社区精神康复综合服务中心服务项目进行业务督导与服务质量评估，每次服务须递交书面报告，每年年终须提交年度工作报告。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（1）对海珠区社区精神康复综合服务中心运营项目进行服务质量监察评估。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1）对海珠区社区精神康复综合服务中心运营项目进行服务质量监察评估。2021年进行一次中期评估，一次末期评估，合共2次实地评估。中期评估在2021年的7-8月进行，末期评估在2021年的12月进行。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估目标：促进社区精神康复服务项目在制度建设、运营管理、服务内容、绩效产出等方面的完善；通过对服务资源的投入、配置和效益等方面的监督，规范财务管理，增强运营机构的成本效率和效益意识，加强公信力建设；通过收集、整理、分析与反馈有关信息，帮助运营机构审视当前服务水平，实施合理决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3）完成实地评估后在10个工作日内出具书面评估报告。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4）服务质量监察评估按照《广州市残疾人联合会 广州市卫生健康委员会 广州市民政局 广州市财政局关于印发广州市社区精神康复综合服务中心管理办法的通知》（穗残联规字﹝2020﹞1号）文件要求及中标文件执行；如广州市残疾人联合会出台新的广州市社区精神康复综合服务中心服务质量评估办法，则按新的评估办法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（2）对海珠区社区精神康复综合服务中心的承接服务机构进行实地业务督导。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1）对海珠区社区精神康复综合服务中心的承接服务机构进行实地业务督导；2021年业务督导不少于3次，每次督导时间不少于6小时（不含事前准备、事后总结和交通耗时），并完成书面督导报告；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2）每完成一次业务督导后10个工作日出具书面督导工作报告，每个季度提交一次工作情况报告，乙方对报告的真实性、准确性负责，并负有保密责任。</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3）为推动项目有效发展，每次督导后，依据督导的内容，开展不定期的跟进。对有重要整改的内容，跟进了解改进事项。</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2、团队配置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督导团队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人，其中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人为业务督导、</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人为行政人员，乙方本项目投入的团队名单如下：</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76"/>
        <w:gridCol w:w="1429"/>
        <w:gridCol w:w="2088"/>
        <w:gridCol w:w="214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序号</w:t>
            </w:r>
          </w:p>
        </w:tc>
        <w:tc>
          <w:tcPr>
            <w:tcW w:w="1176" w:type="dxa"/>
            <w:vAlign w:val="center"/>
          </w:tcPr>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szCs w:val="21"/>
                <w:highlight w:val="none"/>
              </w:rPr>
              <w:t>姓名</w:t>
            </w:r>
          </w:p>
        </w:tc>
        <w:tc>
          <w:tcPr>
            <w:tcW w:w="1429" w:type="dxa"/>
            <w:vAlign w:val="center"/>
          </w:tcPr>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szCs w:val="21"/>
                <w:highlight w:val="none"/>
              </w:rPr>
              <w:t>现职务</w:t>
            </w:r>
          </w:p>
        </w:tc>
        <w:tc>
          <w:tcPr>
            <w:tcW w:w="2088" w:type="dxa"/>
            <w:vAlign w:val="center"/>
          </w:tcPr>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szCs w:val="21"/>
                <w:highlight w:val="none"/>
              </w:rPr>
              <w:t>职称/资格</w:t>
            </w:r>
          </w:p>
        </w:tc>
        <w:tc>
          <w:tcPr>
            <w:tcW w:w="2145" w:type="dxa"/>
            <w:vAlign w:val="center"/>
          </w:tcPr>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专业</w:t>
            </w:r>
          </w:p>
        </w:tc>
        <w:tc>
          <w:tcPr>
            <w:tcW w:w="898" w:type="dxa"/>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专业</w:t>
            </w:r>
          </w:p>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szCs w:val="21"/>
                <w:highlight w:val="none"/>
              </w:rPr>
              <w:t>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74" w:type="dxa"/>
            <w:gridSpan w:val="6"/>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spacing w:line="360" w:lineRule="auto"/>
              <w:jc w:val="center"/>
              <w:rPr>
                <w:rFonts w:hint="eastAsia" w:ascii="宋体" w:hAnsi="宋体" w:eastAsia="宋体" w:cs="宋体"/>
                <w:bCs/>
                <w:color w:val="auto"/>
                <w:szCs w:val="21"/>
                <w:highlight w:val="none"/>
              </w:rPr>
            </w:pPr>
          </w:p>
        </w:tc>
        <w:tc>
          <w:tcPr>
            <w:tcW w:w="1176" w:type="dxa"/>
            <w:vAlign w:val="center"/>
          </w:tcPr>
          <w:p>
            <w:pPr>
              <w:spacing w:line="360" w:lineRule="auto"/>
              <w:jc w:val="center"/>
              <w:rPr>
                <w:rFonts w:hint="eastAsia" w:ascii="宋体" w:hAnsi="宋体" w:eastAsia="宋体" w:cs="宋体"/>
                <w:bCs/>
                <w:color w:val="auto"/>
                <w:szCs w:val="21"/>
                <w:highlight w:val="none"/>
              </w:rPr>
            </w:pPr>
          </w:p>
        </w:tc>
        <w:tc>
          <w:tcPr>
            <w:tcW w:w="1429" w:type="dxa"/>
            <w:vAlign w:val="center"/>
          </w:tcPr>
          <w:p>
            <w:pPr>
              <w:spacing w:line="360" w:lineRule="auto"/>
              <w:jc w:val="center"/>
              <w:rPr>
                <w:rFonts w:hint="eastAsia" w:ascii="宋体" w:hAnsi="宋体" w:eastAsia="宋体" w:cs="宋体"/>
                <w:bCs/>
                <w:color w:val="auto"/>
                <w:szCs w:val="21"/>
                <w:highlight w:val="none"/>
              </w:rPr>
            </w:pPr>
          </w:p>
        </w:tc>
        <w:tc>
          <w:tcPr>
            <w:tcW w:w="2088" w:type="dxa"/>
            <w:vAlign w:val="center"/>
          </w:tcPr>
          <w:p>
            <w:pPr>
              <w:spacing w:line="360" w:lineRule="auto"/>
              <w:jc w:val="center"/>
              <w:rPr>
                <w:rFonts w:hint="eastAsia" w:ascii="宋体" w:hAnsi="宋体" w:eastAsia="宋体" w:cs="宋体"/>
                <w:bCs/>
                <w:color w:val="auto"/>
                <w:kern w:val="0"/>
                <w:szCs w:val="21"/>
                <w:highlight w:val="none"/>
              </w:rPr>
            </w:pPr>
          </w:p>
        </w:tc>
        <w:tc>
          <w:tcPr>
            <w:tcW w:w="2145" w:type="dxa"/>
            <w:vAlign w:val="center"/>
          </w:tcPr>
          <w:p>
            <w:pPr>
              <w:spacing w:line="360" w:lineRule="auto"/>
              <w:jc w:val="center"/>
              <w:rPr>
                <w:rFonts w:hint="eastAsia" w:ascii="宋体" w:hAnsi="宋体" w:eastAsia="宋体" w:cs="宋体"/>
                <w:bCs/>
                <w:color w:val="auto"/>
                <w:szCs w:val="21"/>
                <w:highlight w:val="none"/>
              </w:rPr>
            </w:pPr>
          </w:p>
        </w:tc>
        <w:tc>
          <w:tcPr>
            <w:tcW w:w="898" w:type="dxa"/>
            <w:vAlign w:val="center"/>
          </w:tcPr>
          <w:p>
            <w:pPr>
              <w:spacing w:line="360" w:lineRule="auto"/>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74" w:type="dxa"/>
            <w:gridSpan w:val="6"/>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spacing w:line="360" w:lineRule="auto"/>
              <w:jc w:val="center"/>
              <w:rPr>
                <w:rFonts w:hint="eastAsia" w:ascii="宋体" w:hAnsi="宋体" w:eastAsia="宋体" w:cs="宋体"/>
                <w:bCs/>
                <w:color w:val="auto"/>
                <w:szCs w:val="21"/>
                <w:highlight w:val="none"/>
              </w:rPr>
            </w:pPr>
          </w:p>
        </w:tc>
        <w:tc>
          <w:tcPr>
            <w:tcW w:w="1176" w:type="dxa"/>
            <w:vAlign w:val="center"/>
          </w:tcPr>
          <w:p>
            <w:pPr>
              <w:spacing w:line="360" w:lineRule="auto"/>
              <w:jc w:val="center"/>
              <w:rPr>
                <w:rFonts w:hint="eastAsia" w:ascii="宋体" w:hAnsi="宋体" w:eastAsia="宋体" w:cs="宋体"/>
                <w:bCs/>
                <w:color w:val="auto"/>
                <w:szCs w:val="21"/>
                <w:highlight w:val="none"/>
              </w:rPr>
            </w:pPr>
          </w:p>
        </w:tc>
        <w:tc>
          <w:tcPr>
            <w:tcW w:w="1429" w:type="dxa"/>
            <w:vAlign w:val="center"/>
          </w:tcPr>
          <w:p>
            <w:pPr>
              <w:spacing w:line="360" w:lineRule="auto"/>
              <w:jc w:val="center"/>
              <w:rPr>
                <w:rFonts w:hint="eastAsia" w:ascii="宋体" w:hAnsi="宋体" w:eastAsia="宋体" w:cs="宋体"/>
                <w:bCs/>
                <w:color w:val="auto"/>
                <w:szCs w:val="21"/>
                <w:highlight w:val="none"/>
              </w:rPr>
            </w:pPr>
          </w:p>
        </w:tc>
        <w:tc>
          <w:tcPr>
            <w:tcW w:w="2088" w:type="dxa"/>
            <w:vAlign w:val="center"/>
          </w:tcPr>
          <w:p>
            <w:pPr>
              <w:jc w:val="center"/>
              <w:rPr>
                <w:rFonts w:hint="eastAsia" w:ascii="宋体" w:hAnsi="宋体" w:eastAsia="宋体" w:cs="宋体"/>
                <w:bCs/>
                <w:color w:val="auto"/>
                <w:kern w:val="0"/>
                <w:szCs w:val="21"/>
                <w:highlight w:val="none"/>
              </w:rPr>
            </w:pPr>
          </w:p>
        </w:tc>
        <w:tc>
          <w:tcPr>
            <w:tcW w:w="2145" w:type="dxa"/>
            <w:vAlign w:val="center"/>
          </w:tcPr>
          <w:p>
            <w:pPr>
              <w:jc w:val="center"/>
              <w:rPr>
                <w:rFonts w:hint="eastAsia" w:ascii="宋体" w:hAnsi="宋体" w:eastAsia="宋体" w:cs="宋体"/>
                <w:bCs/>
                <w:color w:val="auto"/>
                <w:szCs w:val="21"/>
                <w:highlight w:val="none"/>
              </w:rPr>
            </w:pPr>
          </w:p>
        </w:tc>
        <w:tc>
          <w:tcPr>
            <w:tcW w:w="898" w:type="dxa"/>
            <w:vAlign w:val="center"/>
          </w:tcPr>
          <w:p>
            <w:pPr>
              <w:spacing w:line="360" w:lineRule="auto"/>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74" w:type="dxa"/>
            <w:gridSpan w:val="6"/>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spacing w:line="360" w:lineRule="auto"/>
              <w:jc w:val="center"/>
              <w:rPr>
                <w:rFonts w:hint="eastAsia" w:ascii="宋体" w:hAnsi="宋体" w:eastAsia="宋体" w:cs="宋体"/>
                <w:bCs/>
                <w:color w:val="auto"/>
                <w:szCs w:val="21"/>
                <w:highlight w:val="none"/>
              </w:rPr>
            </w:pPr>
          </w:p>
        </w:tc>
        <w:tc>
          <w:tcPr>
            <w:tcW w:w="1176" w:type="dxa"/>
            <w:vAlign w:val="center"/>
          </w:tcPr>
          <w:p>
            <w:pPr>
              <w:spacing w:line="360" w:lineRule="auto"/>
              <w:jc w:val="center"/>
              <w:rPr>
                <w:rFonts w:hint="eastAsia" w:ascii="宋体" w:hAnsi="宋体" w:eastAsia="宋体" w:cs="宋体"/>
                <w:bCs/>
                <w:color w:val="auto"/>
                <w:kern w:val="0"/>
                <w:szCs w:val="21"/>
                <w:highlight w:val="none"/>
              </w:rPr>
            </w:pPr>
          </w:p>
        </w:tc>
        <w:tc>
          <w:tcPr>
            <w:tcW w:w="1429" w:type="dxa"/>
            <w:vAlign w:val="center"/>
          </w:tcPr>
          <w:p>
            <w:pPr>
              <w:spacing w:line="360" w:lineRule="auto"/>
              <w:jc w:val="center"/>
              <w:rPr>
                <w:rFonts w:hint="eastAsia" w:ascii="宋体" w:hAnsi="宋体" w:eastAsia="宋体" w:cs="宋体"/>
                <w:bCs/>
                <w:color w:val="auto"/>
                <w:kern w:val="0"/>
                <w:szCs w:val="21"/>
                <w:highlight w:val="none"/>
              </w:rPr>
            </w:pPr>
          </w:p>
        </w:tc>
        <w:tc>
          <w:tcPr>
            <w:tcW w:w="2088" w:type="dxa"/>
            <w:vAlign w:val="center"/>
          </w:tcPr>
          <w:p>
            <w:pPr>
              <w:spacing w:line="360" w:lineRule="auto"/>
              <w:jc w:val="center"/>
              <w:rPr>
                <w:rFonts w:hint="eastAsia" w:ascii="宋体" w:hAnsi="宋体" w:eastAsia="宋体" w:cs="宋体"/>
                <w:bCs/>
                <w:color w:val="auto"/>
                <w:kern w:val="0"/>
                <w:szCs w:val="21"/>
                <w:highlight w:val="none"/>
              </w:rPr>
            </w:pPr>
          </w:p>
        </w:tc>
        <w:tc>
          <w:tcPr>
            <w:tcW w:w="2145" w:type="dxa"/>
            <w:vAlign w:val="center"/>
          </w:tcPr>
          <w:p>
            <w:pPr>
              <w:spacing w:line="360" w:lineRule="auto"/>
              <w:jc w:val="center"/>
              <w:rPr>
                <w:rFonts w:hint="eastAsia" w:ascii="宋体" w:hAnsi="宋体" w:eastAsia="宋体" w:cs="宋体"/>
                <w:bCs/>
                <w:color w:val="auto"/>
                <w:kern w:val="0"/>
                <w:szCs w:val="21"/>
                <w:highlight w:val="none"/>
              </w:rPr>
            </w:pPr>
          </w:p>
        </w:tc>
        <w:tc>
          <w:tcPr>
            <w:tcW w:w="898" w:type="dxa"/>
            <w:vAlign w:val="center"/>
          </w:tcPr>
          <w:p>
            <w:pPr>
              <w:spacing w:line="360" w:lineRule="auto"/>
              <w:jc w:val="center"/>
              <w:rPr>
                <w:rFonts w:hint="eastAsia" w:ascii="宋体" w:hAnsi="宋体" w:eastAsia="宋体" w:cs="宋体"/>
                <w:bCs/>
                <w:color w:val="auto"/>
                <w:kern w:val="0"/>
                <w:szCs w:val="21"/>
                <w:highlight w:val="none"/>
              </w:rPr>
            </w:pPr>
          </w:p>
        </w:tc>
      </w:tr>
    </w:tbl>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3、甲方乙方的权利和义务</w:t>
      </w:r>
    </w:p>
    <w:p>
      <w:pPr>
        <w:tabs>
          <w:tab w:val="left" w:pos="85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（1）甲方的权利和义务</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1）负责为乙方开展业务督导与服务质量评估工作的进行必要协调工作。</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2）负责按本协议划拨业务督导与评估所需要的经费。</w:t>
      </w:r>
    </w:p>
    <w:p>
      <w:pPr>
        <w:spacing w:line="360" w:lineRule="auto"/>
        <w:ind w:firstLine="420" w:firstLineChars="200"/>
        <w:rPr>
          <w:rFonts w:hint="eastAsia" w:ascii="仿宋_GB2312" w:hAnsi="仿宋_GB2312" w:eastAsia="仿宋_GB2312" w:cs="仿宋_GB2312"/>
          <w:bCs/>
          <w:color w:val="auto"/>
          <w:sz w:val="28"/>
          <w:szCs w:val="28"/>
          <w:highlight w:val="none"/>
        </w:rPr>
      </w:pPr>
      <w:r>
        <w:rPr>
          <w:rFonts w:hint="eastAsia" w:ascii="宋体" w:hAnsi="宋体" w:eastAsia="宋体" w:cs="宋体"/>
          <w:bCs/>
          <w:color w:val="auto"/>
          <w:szCs w:val="21"/>
          <w:highlight w:val="none"/>
        </w:rPr>
        <w:t>3）甲方有权对不履行协议或违反甲方管理规定或不具备相应资格的乙方工作人员提出警告或有权要求乙方将其调离该项目。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(2)乙方的权利和义务</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1)乙方应在项目启动时制定项目实施计划，获得甲方认可后，组织实施。如有变动需书面征求甲方的意见，并获得甲方许可。</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2)乙方应每完成一次督导或评估工作后向甲方提供书面评估报告和书面督导工作报告，对报告的真实性、准确性负责，并负有保密责任。</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3)乙方应有健全的档案管理制度，妥善保管评估过程中的所有文件资料，对评估和督导过程中收集整理的自评资料、服务痕迹材料、财务报表等分类整理并封存，项目结束后移交甲方。</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4)乙方应熟悉我市社区精神康复工作服务项目的评估政策，能制定完善的整体评估计划。评估结果是根据量化的评价指标和非量化的评价指标综合得出，不只是单纯的定性评价。</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5)乙方须按照相关文件要求履行职责，公平公正地对该项目进行评估和督导，如因违法违规和违反相关文件要求，出具虚假的评估报告的，甲方有权单方终止本协议，并要求乙方返还甲方已支付的服务经费，须按照财政拨款的规定原路退回，情节严重的追究乙方的法律责任。 </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6)乙方不得以转包、分包、合作等任何方式向其它组织和个人转让服务项目。如违反，甲方有权终止协议及追究相关责任。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4、项目完成期限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委托服务期间自合同签订之日起至2021年12月31日止。</w:t>
      </w:r>
    </w:p>
    <w:p>
      <w:pPr>
        <w:spacing w:after="120"/>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5、服务质量要求</w:t>
      </w:r>
    </w:p>
    <w:p>
      <w:pPr>
        <w:spacing w:after="12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（1）乙方应根据甲方要求修改、完善实施方案及提交的有关成果报告。</w:t>
      </w:r>
    </w:p>
    <w:p>
      <w:pPr>
        <w:spacing w:after="12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（2）乙方制定服务质量满意度评价指标并根据指标制定服务满意度调查问卷，经甲方审核后，与每次服务后交评估或督导对象签署，服务满意率达到80%以上。</w:t>
      </w:r>
    </w:p>
    <w:p>
      <w:pPr>
        <w:spacing w:after="120"/>
        <w:ind w:firstLine="420" w:firstLineChars="200"/>
        <w:rPr>
          <w:rFonts w:hint="eastAsia" w:ascii="Times New Roman" w:hAnsi="Times New Roman" w:eastAsia="宋体" w:cs="Times New Roman"/>
          <w:color w:val="auto"/>
          <w:szCs w:val="24"/>
          <w:highlight w:val="none"/>
        </w:rPr>
      </w:pPr>
      <w:r>
        <w:rPr>
          <w:rFonts w:hint="eastAsia" w:ascii="宋体" w:hAnsi="宋体" w:eastAsia="宋体" w:cs="宋体"/>
          <w:color w:val="auto"/>
          <w:szCs w:val="21"/>
          <w:highlight w:val="none"/>
        </w:rPr>
        <w:t>（3）乙方须做好每次服务的工时统计记录，交评估或督导对象签署认可。</w:t>
      </w:r>
    </w:p>
    <w:p>
      <w:pPr>
        <w:spacing w:line="360" w:lineRule="auto"/>
        <w:ind w:firstLine="420" w:firstLineChars="200"/>
        <w:rPr>
          <w:rFonts w:hint="eastAsia" w:ascii="宋体" w:hAnsi="宋体" w:eastAsia="宋体" w:cs="宋体"/>
          <w:color w:val="auto"/>
          <w:szCs w:val="21"/>
          <w:highlight w:val="none"/>
        </w:rPr>
      </w:pPr>
    </w:p>
    <w:p>
      <w:pPr>
        <w:numPr>
          <w:ilvl w:val="0"/>
          <w:numId w:val="6"/>
        </w:numPr>
        <w:spacing w:line="360" w:lineRule="auto"/>
        <w:ind w:firstLine="420" w:firstLineChars="200"/>
        <w:rPr>
          <w:rFonts w:hint="eastAsia" w:ascii="Times New Roman" w:hAnsi="Times New Roman" w:eastAsia="宋体" w:cs="Times New Roman"/>
          <w:color w:val="auto"/>
          <w:szCs w:val="24"/>
          <w:highlight w:val="none"/>
        </w:rPr>
      </w:pPr>
      <w:r>
        <w:rPr>
          <w:rFonts w:hint="eastAsia" w:ascii="宋体" w:hAnsi="宋体" w:eastAsia="宋体" w:cs="宋体"/>
          <w:color w:val="auto"/>
          <w:szCs w:val="21"/>
          <w:highlight w:val="none"/>
        </w:rPr>
        <w:t>残疾人家庭无障碍改造专项提升工作第三方抽检验收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1、甲方聘请乙方提供以下服务：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委托第三方服务机构根据省市区有关残疾人家庭无障碍改造（服务类）文件要求，制定第三方抽检验收方案要求并出具专业抽检验收报告。对海珠区残疾人家庭无障碍改造专项提升工作分土建类和辅具类分别进行实地（物）抽检、资料核查、系统建档资料抽查。土建项目大概随机实地抽查55例，辅具项目大概随机抽查140例，如抽中家庭恰巧既有土建又有辅具改造项目，可以一并开展，算入土建1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（2）项目完成期限：2021年6月25日前，根据抽检验收结果分析，向甲方提供抽检验收报告。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（3）抽检验收及质量要求参考文件：《广州市残疾人联合会 广州市财政局关于印发广州市残疾人家庭无障碍改造专项提升工作方案的通知》（穗残联〔2020〕124号文件、《海珠区残联关于统筹落实海珠区残疾人家庭无障碍改造专项提升工作有关事项的通知》。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2、甲方乙方的权利和义务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（1）甲方的权利和义务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1）负责为乙方开展服务抽检验收工作的进行必要协调工作。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2）负责按本协议划拨服务抽检验收工作所需要的经费。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3）甲方有权对不履行协议或违反甲方管理规定或不具备相应资格的乙方人员提出警告或有权要求乙方将其调离该项目。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（2）乙方的权利和义务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1）乙方应在项目启动时细分工作内容、确定抽检验收方法、与甲方讨论确定项目的实施范围、抽检验收指标及抽检验收方法、完善实施方案，如有变动需征求甲方的意见，并获得甲方的许可。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2）乙方须向甲方提供服务抽检验收计划、接受甲方的监督、主动向甲方通告抽检验收有关情况或问题。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完成抽检验收工作后向甲方提供抽检验收报告，完成全部抽检验收后，分析总结，对报告的真实性、准确性、完整性负责，并负有保密责任。乙方应有健全的档案管理制度，妥善保管抽检验收过程中的所有文件资料，对抽检验收过程中收集整理的自评资料、服务痕迹材料、财务报表等分类整理并封存，项目结束后移交甲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4）乙方应熟悉残疾人家庭无障碍改造专项提升工作项目的抽检验收政策，能制定完善的整体抽检验收方案。抽检验收结果是根据量化的评价指标和非量化的评价指标综合得出，不只是单纯的定性评价。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5）乙方根据海珠区残疾人家庭无障碍改造专项提升工作项目的实际情况，对抽检验收项目的营运机构制定抽检验收工作方案。工作方案应包含各项服务的内容和时间安排，抽检验收人员的资格证明材料。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须按照相关文件要求履行职责，公平公正地对相关项目进行抽检验收，做好每次抽检验收的数据统计记录，交受抽检验收的相关人员签署确认。如因违法违规和违反相关文件要求，出具虚假的抽检验收报告的，甲方有权单方终止本服务协议，乙方返还甲方已支付的服务经费须按照财政拨款的规定原路退回，情节严重的追究乙方的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7）乙方不得以转包、分包、合作等任何方式向其他组织和个人转让服务项目。如违反，甲方有权终止协议及追究相关责任。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3、项目完成期限：2021年6月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日前（以提供抽检验收报告日期为服务完成时间）。</w:t>
      </w:r>
    </w:p>
    <w:p>
      <w:pPr>
        <w:spacing w:after="120"/>
        <w:ind w:firstLine="420" w:firstLineChars="200"/>
        <w:rPr>
          <w:rFonts w:hint="eastAsia" w:ascii="Times New Roman" w:hAnsi="Times New Roman" w:eastAsia="宋体" w:cs="Times New Roman"/>
          <w:color w:val="auto"/>
          <w:szCs w:val="24"/>
          <w:highlight w:val="none"/>
        </w:rPr>
      </w:pPr>
      <w:r>
        <w:rPr>
          <w:rFonts w:hint="eastAsia" w:ascii="宋体" w:hAnsi="宋体" w:eastAsia="宋体" w:cs="宋体"/>
          <w:color w:val="auto"/>
          <w:szCs w:val="21"/>
          <w:highlight w:val="none"/>
        </w:rPr>
        <w:t>3、团队配置</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76"/>
        <w:gridCol w:w="1429"/>
        <w:gridCol w:w="2088"/>
        <w:gridCol w:w="214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序号</w:t>
            </w:r>
          </w:p>
        </w:tc>
        <w:tc>
          <w:tcPr>
            <w:tcW w:w="1176" w:type="dxa"/>
            <w:vAlign w:val="center"/>
          </w:tcPr>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szCs w:val="21"/>
                <w:highlight w:val="none"/>
              </w:rPr>
              <w:t>姓名</w:t>
            </w:r>
          </w:p>
        </w:tc>
        <w:tc>
          <w:tcPr>
            <w:tcW w:w="1429" w:type="dxa"/>
            <w:vAlign w:val="center"/>
          </w:tcPr>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szCs w:val="21"/>
                <w:highlight w:val="none"/>
              </w:rPr>
              <w:t>现职务</w:t>
            </w:r>
          </w:p>
        </w:tc>
        <w:tc>
          <w:tcPr>
            <w:tcW w:w="2088" w:type="dxa"/>
            <w:vAlign w:val="center"/>
          </w:tcPr>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szCs w:val="21"/>
                <w:highlight w:val="none"/>
              </w:rPr>
              <w:t>职称/资格</w:t>
            </w:r>
          </w:p>
        </w:tc>
        <w:tc>
          <w:tcPr>
            <w:tcW w:w="2145" w:type="dxa"/>
            <w:vAlign w:val="center"/>
          </w:tcPr>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专业</w:t>
            </w:r>
          </w:p>
        </w:tc>
        <w:tc>
          <w:tcPr>
            <w:tcW w:w="898" w:type="dxa"/>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专业</w:t>
            </w:r>
          </w:p>
          <w:p>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Cs/>
                <w:color w:val="auto"/>
                <w:szCs w:val="21"/>
                <w:highlight w:val="none"/>
              </w:rPr>
              <w:t>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74" w:type="dxa"/>
            <w:gridSpan w:val="6"/>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spacing w:line="360" w:lineRule="auto"/>
              <w:jc w:val="center"/>
              <w:rPr>
                <w:rFonts w:hint="eastAsia" w:ascii="宋体" w:hAnsi="宋体" w:eastAsia="宋体" w:cs="宋体"/>
                <w:bCs/>
                <w:color w:val="auto"/>
                <w:szCs w:val="21"/>
                <w:highlight w:val="none"/>
              </w:rPr>
            </w:pPr>
          </w:p>
        </w:tc>
        <w:tc>
          <w:tcPr>
            <w:tcW w:w="1176" w:type="dxa"/>
            <w:vAlign w:val="center"/>
          </w:tcPr>
          <w:p>
            <w:pPr>
              <w:spacing w:line="360" w:lineRule="auto"/>
              <w:jc w:val="center"/>
              <w:rPr>
                <w:rFonts w:hint="eastAsia" w:ascii="宋体" w:hAnsi="宋体" w:eastAsia="宋体" w:cs="宋体"/>
                <w:bCs/>
                <w:color w:val="auto"/>
                <w:szCs w:val="21"/>
                <w:highlight w:val="none"/>
              </w:rPr>
            </w:pPr>
          </w:p>
        </w:tc>
        <w:tc>
          <w:tcPr>
            <w:tcW w:w="1429" w:type="dxa"/>
            <w:vAlign w:val="center"/>
          </w:tcPr>
          <w:p>
            <w:pPr>
              <w:spacing w:line="360" w:lineRule="auto"/>
              <w:jc w:val="center"/>
              <w:rPr>
                <w:rFonts w:hint="eastAsia" w:ascii="宋体" w:hAnsi="宋体" w:eastAsia="宋体" w:cs="宋体"/>
                <w:bCs/>
                <w:color w:val="auto"/>
                <w:szCs w:val="21"/>
                <w:highlight w:val="none"/>
              </w:rPr>
            </w:pPr>
          </w:p>
        </w:tc>
        <w:tc>
          <w:tcPr>
            <w:tcW w:w="2088" w:type="dxa"/>
            <w:vAlign w:val="center"/>
          </w:tcPr>
          <w:p>
            <w:pPr>
              <w:spacing w:line="360" w:lineRule="auto"/>
              <w:jc w:val="center"/>
              <w:rPr>
                <w:rFonts w:hint="eastAsia" w:ascii="宋体" w:hAnsi="宋体" w:eastAsia="宋体" w:cs="宋体"/>
                <w:bCs/>
                <w:color w:val="auto"/>
                <w:kern w:val="0"/>
                <w:szCs w:val="21"/>
                <w:highlight w:val="none"/>
              </w:rPr>
            </w:pPr>
          </w:p>
        </w:tc>
        <w:tc>
          <w:tcPr>
            <w:tcW w:w="2145" w:type="dxa"/>
            <w:vAlign w:val="center"/>
          </w:tcPr>
          <w:p>
            <w:pPr>
              <w:spacing w:line="360" w:lineRule="auto"/>
              <w:jc w:val="center"/>
              <w:rPr>
                <w:rFonts w:hint="eastAsia" w:ascii="宋体" w:hAnsi="宋体" w:eastAsia="宋体" w:cs="宋体"/>
                <w:bCs/>
                <w:color w:val="auto"/>
                <w:szCs w:val="21"/>
                <w:highlight w:val="none"/>
              </w:rPr>
            </w:pPr>
          </w:p>
        </w:tc>
        <w:tc>
          <w:tcPr>
            <w:tcW w:w="898" w:type="dxa"/>
            <w:vAlign w:val="center"/>
          </w:tcPr>
          <w:p>
            <w:pPr>
              <w:spacing w:line="360" w:lineRule="auto"/>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74" w:type="dxa"/>
            <w:gridSpan w:val="6"/>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spacing w:line="360" w:lineRule="auto"/>
              <w:jc w:val="center"/>
              <w:rPr>
                <w:rFonts w:hint="eastAsia" w:ascii="宋体" w:hAnsi="宋体" w:eastAsia="宋体" w:cs="宋体"/>
                <w:bCs/>
                <w:color w:val="auto"/>
                <w:szCs w:val="21"/>
                <w:highlight w:val="none"/>
              </w:rPr>
            </w:pPr>
          </w:p>
        </w:tc>
        <w:tc>
          <w:tcPr>
            <w:tcW w:w="1176" w:type="dxa"/>
            <w:vAlign w:val="center"/>
          </w:tcPr>
          <w:p>
            <w:pPr>
              <w:spacing w:line="360" w:lineRule="auto"/>
              <w:jc w:val="center"/>
              <w:rPr>
                <w:rFonts w:hint="eastAsia" w:ascii="宋体" w:hAnsi="宋体" w:eastAsia="宋体" w:cs="宋体"/>
                <w:bCs/>
                <w:color w:val="auto"/>
                <w:szCs w:val="21"/>
                <w:highlight w:val="none"/>
              </w:rPr>
            </w:pPr>
          </w:p>
        </w:tc>
        <w:tc>
          <w:tcPr>
            <w:tcW w:w="1429" w:type="dxa"/>
            <w:vAlign w:val="center"/>
          </w:tcPr>
          <w:p>
            <w:pPr>
              <w:spacing w:line="360" w:lineRule="auto"/>
              <w:jc w:val="center"/>
              <w:rPr>
                <w:rFonts w:hint="eastAsia" w:ascii="宋体" w:hAnsi="宋体" w:eastAsia="宋体" w:cs="宋体"/>
                <w:bCs/>
                <w:color w:val="auto"/>
                <w:szCs w:val="21"/>
                <w:highlight w:val="none"/>
              </w:rPr>
            </w:pPr>
          </w:p>
        </w:tc>
        <w:tc>
          <w:tcPr>
            <w:tcW w:w="2088" w:type="dxa"/>
            <w:vAlign w:val="center"/>
          </w:tcPr>
          <w:p>
            <w:pPr>
              <w:jc w:val="center"/>
              <w:rPr>
                <w:rFonts w:hint="eastAsia" w:ascii="宋体" w:hAnsi="宋体" w:eastAsia="宋体" w:cs="宋体"/>
                <w:bCs/>
                <w:color w:val="auto"/>
                <w:kern w:val="0"/>
                <w:szCs w:val="21"/>
                <w:highlight w:val="none"/>
              </w:rPr>
            </w:pPr>
          </w:p>
        </w:tc>
        <w:tc>
          <w:tcPr>
            <w:tcW w:w="2145" w:type="dxa"/>
            <w:vAlign w:val="center"/>
          </w:tcPr>
          <w:p>
            <w:pPr>
              <w:jc w:val="center"/>
              <w:rPr>
                <w:rFonts w:hint="eastAsia" w:ascii="宋体" w:hAnsi="宋体" w:eastAsia="宋体" w:cs="宋体"/>
                <w:bCs/>
                <w:color w:val="auto"/>
                <w:szCs w:val="21"/>
                <w:highlight w:val="none"/>
              </w:rPr>
            </w:pPr>
          </w:p>
        </w:tc>
        <w:tc>
          <w:tcPr>
            <w:tcW w:w="898" w:type="dxa"/>
            <w:vAlign w:val="center"/>
          </w:tcPr>
          <w:p>
            <w:pPr>
              <w:spacing w:line="360" w:lineRule="auto"/>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74" w:type="dxa"/>
            <w:gridSpan w:val="6"/>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spacing w:line="360" w:lineRule="auto"/>
              <w:jc w:val="center"/>
              <w:rPr>
                <w:rFonts w:hint="eastAsia" w:ascii="宋体" w:hAnsi="宋体" w:eastAsia="宋体" w:cs="宋体"/>
                <w:bCs/>
                <w:color w:val="auto"/>
                <w:szCs w:val="21"/>
                <w:highlight w:val="none"/>
              </w:rPr>
            </w:pPr>
          </w:p>
        </w:tc>
        <w:tc>
          <w:tcPr>
            <w:tcW w:w="1176" w:type="dxa"/>
            <w:vAlign w:val="center"/>
          </w:tcPr>
          <w:p>
            <w:pPr>
              <w:spacing w:line="360" w:lineRule="auto"/>
              <w:jc w:val="center"/>
              <w:rPr>
                <w:rFonts w:hint="eastAsia" w:ascii="宋体" w:hAnsi="宋体" w:eastAsia="宋体" w:cs="宋体"/>
                <w:bCs/>
                <w:color w:val="auto"/>
                <w:kern w:val="0"/>
                <w:szCs w:val="21"/>
                <w:highlight w:val="none"/>
              </w:rPr>
            </w:pPr>
          </w:p>
        </w:tc>
        <w:tc>
          <w:tcPr>
            <w:tcW w:w="1429" w:type="dxa"/>
            <w:vAlign w:val="center"/>
          </w:tcPr>
          <w:p>
            <w:pPr>
              <w:spacing w:line="360" w:lineRule="auto"/>
              <w:jc w:val="center"/>
              <w:rPr>
                <w:rFonts w:hint="eastAsia" w:ascii="宋体" w:hAnsi="宋体" w:eastAsia="宋体" w:cs="宋体"/>
                <w:bCs/>
                <w:color w:val="auto"/>
                <w:kern w:val="0"/>
                <w:szCs w:val="21"/>
                <w:highlight w:val="none"/>
              </w:rPr>
            </w:pPr>
          </w:p>
        </w:tc>
        <w:tc>
          <w:tcPr>
            <w:tcW w:w="2088" w:type="dxa"/>
            <w:vAlign w:val="center"/>
          </w:tcPr>
          <w:p>
            <w:pPr>
              <w:spacing w:line="360" w:lineRule="auto"/>
              <w:jc w:val="center"/>
              <w:rPr>
                <w:rFonts w:hint="eastAsia" w:ascii="宋体" w:hAnsi="宋体" w:eastAsia="宋体" w:cs="宋体"/>
                <w:bCs/>
                <w:color w:val="auto"/>
                <w:kern w:val="0"/>
                <w:szCs w:val="21"/>
                <w:highlight w:val="none"/>
              </w:rPr>
            </w:pPr>
          </w:p>
        </w:tc>
        <w:tc>
          <w:tcPr>
            <w:tcW w:w="2145" w:type="dxa"/>
            <w:vAlign w:val="center"/>
          </w:tcPr>
          <w:p>
            <w:pPr>
              <w:spacing w:line="360" w:lineRule="auto"/>
              <w:jc w:val="center"/>
              <w:rPr>
                <w:rFonts w:hint="eastAsia" w:ascii="宋体" w:hAnsi="宋体" w:eastAsia="宋体" w:cs="宋体"/>
                <w:bCs/>
                <w:color w:val="auto"/>
                <w:kern w:val="0"/>
                <w:szCs w:val="21"/>
                <w:highlight w:val="none"/>
              </w:rPr>
            </w:pPr>
          </w:p>
        </w:tc>
        <w:tc>
          <w:tcPr>
            <w:tcW w:w="898" w:type="dxa"/>
            <w:vAlign w:val="center"/>
          </w:tcPr>
          <w:p>
            <w:pPr>
              <w:spacing w:line="360" w:lineRule="auto"/>
              <w:jc w:val="center"/>
              <w:rPr>
                <w:rFonts w:hint="eastAsia" w:ascii="宋体" w:hAnsi="宋体" w:eastAsia="宋体" w:cs="宋体"/>
                <w:bCs/>
                <w:color w:val="auto"/>
                <w:kern w:val="0"/>
                <w:szCs w:val="21"/>
                <w:highlight w:val="none"/>
              </w:rPr>
            </w:pPr>
          </w:p>
        </w:tc>
      </w:tr>
    </w:tbl>
    <w:p>
      <w:pPr>
        <w:spacing w:after="120"/>
        <w:rPr>
          <w:rFonts w:hint="eastAsia" w:ascii="Times New Roman" w:hAnsi="Times New Roman" w:eastAsia="宋体" w:cs="Times New Roman"/>
          <w:color w:val="auto"/>
          <w:szCs w:val="24"/>
          <w:highlight w:val="none"/>
        </w:rPr>
      </w:pPr>
    </w:p>
    <w:p>
      <w:pPr>
        <w:spacing w:after="120"/>
        <w:rPr>
          <w:rFonts w:hint="eastAsia" w:ascii="Times New Roman" w:hAnsi="Times New Roman" w:eastAsia="宋体" w:cs="Times New Roman"/>
          <w:color w:val="auto"/>
          <w:szCs w:val="24"/>
          <w:highlight w:val="none"/>
        </w:rPr>
      </w:pPr>
    </w:p>
    <w:p>
      <w:pPr>
        <w:spacing w:line="360" w:lineRule="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三、</w:t>
      </w:r>
      <w:r>
        <w:rPr>
          <w:rFonts w:hint="eastAsia" w:ascii="宋体" w:hAnsi="宋体" w:eastAsia="宋体" w:cs="宋体"/>
          <w:b/>
          <w:bCs/>
          <w:color w:val="auto"/>
          <w:szCs w:val="21"/>
          <w:highlight w:val="none"/>
        </w:rPr>
        <w:t>付款方式</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
          <w:color w:val="auto"/>
          <w:szCs w:val="21"/>
          <w:highlight w:val="none"/>
          <w:u w:val="single"/>
        </w:rPr>
        <w:t>民办残疾人社会服务机构资助项目第三方服务评估和质量监察</w:t>
      </w:r>
      <w:r>
        <w:rPr>
          <w:rFonts w:hint="eastAsia" w:ascii="宋体" w:hAnsi="宋体" w:eastAsia="宋体" w:cs="宋体"/>
          <w:bCs/>
          <w:color w:val="auto"/>
          <w:szCs w:val="21"/>
          <w:highlight w:val="none"/>
        </w:rPr>
        <w:t>服务经费分二期支付：第一期经费于第二次评估报告提交后的15个工作日内支付50%；第二期经费于完成全年度评估报告后15 个工作日内支付50%。支付每期款项前乙方均需提供正式发票给甲方，否则甲方有权拒绝拨付经费。</w:t>
      </w:r>
    </w:p>
    <w:p>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u w:val="single"/>
        </w:rPr>
        <w:t>社区精神康复综合服务中心第三方业务督导和服务质量评估</w:t>
      </w:r>
      <w:r>
        <w:rPr>
          <w:rFonts w:hint="eastAsia" w:ascii="宋体" w:hAnsi="宋体" w:eastAsia="宋体" w:cs="宋体"/>
          <w:bCs/>
          <w:color w:val="auto"/>
          <w:szCs w:val="21"/>
          <w:highlight w:val="none"/>
        </w:rPr>
        <w:t>服务费分两期支付，第一期支付协议总额的50%；第二期经费于完成2021年末期评估工作并出具评估报告日后，支付协议总额50%。甲方在收取第三方评估服务机构提供的正规发票，并查询到财局下拨的用款额度后10个工作日内，以银行转账方式进行支付。</w:t>
      </w:r>
    </w:p>
    <w:p>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u w:val="single"/>
        </w:rPr>
        <w:t>残疾人家庭无障碍改造专项提升工作第三方抽检验收</w:t>
      </w:r>
      <w:r>
        <w:rPr>
          <w:rFonts w:hint="eastAsia" w:ascii="宋体" w:hAnsi="宋体" w:eastAsia="宋体" w:cs="宋体"/>
          <w:bCs/>
          <w:color w:val="auto"/>
          <w:szCs w:val="21"/>
          <w:highlight w:val="none"/>
        </w:rPr>
        <w:t>服务费两期支付，第一期于签订服务合同5个工作日内办理支付手续支付协议总额的30%；第二期经费于完成本项目抽检验收工作并出具抽检验收报告5个工作日内办理支付手续支付协议总额的70%。甲方在收取乙方提供的正规发票，并查询到财局下拨的用款额度后10个工作日内，以银行转账方式进行支付。</w:t>
      </w:r>
    </w:p>
    <w:p>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若发生政策调整、财政消减、财政支付不足，导致该服务项目无法运营时，甲方有权终止协议、提前解除协议、缩减服务期限，经费按实际服务次数计算。如遇财政额度拨款原因不能及时支付，甲方不承担逾期支付赔偿责任。</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3、付款信息：</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开户名称：        </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银行账号： </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开 户 行： </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开户行地址： </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4、发票信息：</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发票抬头：广州市海珠区残疾人康复服务中心</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发票内容：2021年海珠区民办残疾人社会服务机构资助项目第三方服务评估和质量监察/社区精神康复综合服务中心第三方业务督导和服务质量评估/残疾人家庭无障碍改造专项提升工作第三方抽检验收服务项目费（第一期/第二期）</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纳税人识别号：</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四、知识产权归属</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乙方应保证，甲方在中华人民共和国使用服务/货物或服务/货物的任何一部分时，甲方免受第三方提出侵犯其专利权、商标权或其它知识产权的起诉。</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五、保密</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乙方应永久恪守因签署或履行本服务而获知的甲方、服务机构、服务对象的秘密信息及其它秘密资料，特别是国家安全秘密。如将获知的对方秘密信息泄露给第三方，应赔偿因泄密而给对方造成的一切损失并承担相应的法律责任（包括刑事责任）。任何一方违反本服务所规定的保密义务，承担由此引起的责任，违约方应按本服务总价的5%支付违约金。</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六、服务终止</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1、在服务期内，乙方不得无故单方面终止服务，如乙方提出终止服务，须提前一个月以书面形式通知甲方，乙方须赔付甲方服务标的额20%违约金。</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本项目经费为财政资金，如协议期内因法律法规和国家政策调整以及甲方上级政策、文件等方面的调整导致本项目停止、部分停止或出现财政拨款不足等情形导致本协议无法履行的，本协议自动终止，双方互不追究对方任何违约责任。</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七、违约责任与赔偿损失</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1、如有违约，违约方按当年已拨付金额的10%支付违约金。</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乙方无法继续履行协议的服务项目，应及时向甲方提出，并清算服务经费，循原资金划拨渠道缴回，由此产生的相关责任由乙方承担，并按甲方购买金额向甲方赔偿项目款项。乙方不得将整个项目承包给第三方机构作为实验项目，也不得以转包、分包、合作等任何方式向其它组织和个人转让服务项目，如违反，甲方有权终止协议及追究相关责任。</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违反本合同及附件的规定，所提供的服务未达到本协议及附件的要求，甲方书面提出整改通知，整改次数累计达三次（含本数）以上或乙方未按要求及时整改的，甲方有权终止本协议，由此造成甲方的经济损失，乙方应给予赔偿。</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该项目服务经费由财政拨款支付，甲方的付款责任仅限于办理申请财政支付款的手续。如甲方已按照约定时间完成申请支付手续，而财政资金支付部门未能及时将款项支付给乙方的，则甲方不承担违约责任。乙方不得追究甲方的违约责任。 </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5、若发生政策调整、财政消减、财政支付不足时，甲方有权单方终止本协议、提前解除合同、缩减服务期限，对此，乙方已作清晰了解，同意并接受该风险，并不得因此而追究甲方任何责任。</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八、其他事项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1、本合同所有附件、遴选文件、遴选响应文件、成交通知书均为合同的有效组成部分，与本合同具有同等法律效力。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2、在执行本合同的过程中，所有经双方签署确认的文件（包括会议纪要、补充协议、往来信函）即成为本合同的有效组成部分。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3、如一方地址、电话、传真号码有变更，应在变更当日内书面通知对方，否则，应承担相应责任。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4、除甲方事先书面同意外，乙方不得部分或全部转让其应履行的合同项下的义务。</w:t>
      </w:r>
    </w:p>
    <w:p>
      <w:pPr>
        <w:adjustRightInd w:val="0"/>
        <w:snapToGrid w:val="0"/>
        <w:spacing w:after="1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本协议执行过程中遇不可抗力因素或上级政府部门的政策、文件调整原因，导致本协议项下的服务不能提供、无需提供或者明显减少服务工作量的或者本协议项下的服务经费数额及划拨时间有所调整的，本项目服务经费的数额调减以及划拨时间可由甲乙双方根据政策文件及实际减少的服务量占据中标项目服务总量的比例进行协商调减，并由双方签订补充协议确定调减后的拨付金额及拨付时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九、税费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在中国境内、外发生的与本合同执行有关的一切税费均由乙方负担。</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十、管辖法律及争议解决 </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本协议适用中华人民共和国法律解释并管辖。因本协议引起的或与本协议有关的争议，任何一方可向甲方所在地的广州市海珠区人民法院提起诉讼。</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十一、合同生效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1、本合同在甲乙双方法人代表或其授权代表签字盖章后生效。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2、合同一式</w:t>
      </w:r>
      <w:r>
        <w:rPr>
          <w:rFonts w:hint="eastAsia" w:ascii="宋体" w:hAnsi="宋体" w:eastAsia="宋体" w:cs="宋体"/>
          <w:color w:val="auto"/>
          <w:szCs w:val="21"/>
          <w:highlight w:val="none"/>
          <w:u w:val="single"/>
        </w:rPr>
        <w:t>伍</w:t>
      </w:r>
      <w:r>
        <w:rPr>
          <w:rFonts w:hint="eastAsia" w:ascii="宋体" w:hAnsi="宋体" w:eastAsia="宋体" w:cs="宋体"/>
          <w:color w:val="auto"/>
          <w:szCs w:val="21"/>
          <w:highlight w:val="none"/>
        </w:rPr>
        <w:t>份，其中甲乙双方各执</w:t>
      </w:r>
      <w:r>
        <w:rPr>
          <w:rFonts w:hint="eastAsia" w:ascii="宋体" w:hAnsi="宋体" w:eastAsia="宋体" w:cs="宋体"/>
          <w:color w:val="auto"/>
          <w:szCs w:val="21"/>
          <w:highlight w:val="none"/>
          <w:u w:val="single"/>
        </w:rPr>
        <w:t>贰</w:t>
      </w:r>
      <w:r>
        <w:rPr>
          <w:rFonts w:hint="eastAsia" w:ascii="宋体" w:hAnsi="宋体" w:eastAsia="宋体" w:cs="宋体"/>
          <w:color w:val="auto"/>
          <w:szCs w:val="21"/>
          <w:highlight w:val="none"/>
        </w:rPr>
        <w:t>份，采购代理机构执壹份。</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甲方（盖章）：                乙方（盖章）：</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代表：                       代表： </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日期：   年   月  日         日期：     年   月   日 </w:t>
      </w:r>
    </w:p>
    <w:p>
      <w:pPr>
        <w:keepNext/>
        <w:keepLines/>
        <w:spacing w:line="360" w:lineRule="auto"/>
        <w:jc w:val="center"/>
        <w:outlineLvl w:val="3"/>
        <w:rPr>
          <w:rFonts w:hint="eastAsia" w:ascii="宋体" w:hAnsi="宋体" w:eastAsia="宋体" w:cs="Times New Roman"/>
          <w:bCs/>
          <w:color w:val="auto"/>
          <w:sz w:val="32"/>
          <w:szCs w:val="32"/>
          <w:highlight w:val="none"/>
        </w:rPr>
      </w:pPr>
    </w:p>
    <w:p>
      <w:pPr>
        <w:keepNext/>
        <w:keepLines/>
        <w:spacing w:line="360" w:lineRule="auto"/>
        <w:jc w:val="center"/>
        <w:outlineLvl w:val="3"/>
        <w:rPr>
          <w:rFonts w:hint="eastAsia" w:ascii="宋体" w:hAnsi="宋体" w:eastAsia="宋体" w:cs="Times New Roman"/>
          <w:bCs/>
          <w:color w:val="auto"/>
          <w:sz w:val="32"/>
          <w:szCs w:val="32"/>
          <w:highlight w:val="none"/>
        </w:rPr>
      </w:pPr>
    </w:p>
    <w:p>
      <w:pPr>
        <w:spacing w:line="360" w:lineRule="auto"/>
        <w:ind w:left="718" w:leftChars="342"/>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spacing w:line="360" w:lineRule="auto"/>
        <w:rPr>
          <w:rFonts w:ascii="宋体" w:hAnsi="宋体" w:eastAsia="宋体" w:cs="宋体"/>
          <w:color w:val="auto"/>
          <w:kern w:val="0"/>
          <w:szCs w:val="21"/>
          <w:highlight w:val="none"/>
        </w:rPr>
      </w:pPr>
    </w:p>
    <w:p>
      <w:pPr>
        <w:spacing w:line="360" w:lineRule="auto"/>
        <w:rPr>
          <w:rFonts w:ascii="宋体" w:hAnsi="宋体" w:eastAsia="宋体" w:cs="宋体"/>
          <w:color w:val="auto"/>
          <w:kern w:val="0"/>
          <w:szCs w:val="21"/>
          <w:highlight w:val="none"/>
        </w:rPr>
      </w:pPr>
    </w:p>
    <w:p>
      <w:pPr>
        <w:spacing w:line="360" w:lineRule="auto"/>
        <w:rPr>
          <w:rFonts w:ascii="宋体" w:hAnsi="宋体" w:eastAsia="宋体" w:cs="宋体"/>
          <w:color w:val="auto"/>
          <w:kern w:val="0"/>
          <w:szCs w:val="21"/>
          <w:highlight w:val="none"/>
        </w:rPr>
      </w:pPr>
    </w:p>
    <w:p>
      <w:pPr>
        <w:rPr>
          <w:rFonts w:ascii="宋体" w:hAnsi="宋体" w:eastAsia="宋体" w:cs="Times New Roman"/>
          <w:color w:val="auto"/>
          <w:szCs w:val="21"/>
          <w:highlight w:val="none"/>
        </w:rPr>
      </w:pPr>
      <w:bookmarkStart w:id="260" w:name="OLE_LINK4"/>
    </w:p>
    <w:p>
      <w:pPr>
        <w:rPr>
          <w:rFonts w:ascii="宋体" w:hAnsi="宋体" w:eastAsia="宋体" w:cs="Times New Roman"/>
          <w:color w:val="auto"/>
          <w:szCs w:val="21"/>
          <w:highlight w:val="none"/>
        </w:rPr>
      </w:pPr>
    </w:p>
    <w:p>
      <w:pPr>
        <w:rPr>
          <w:rFonts w:ascii="宋体" w:hAnsi="宋体" w:eastAsia="宋体" w:cs="Times New Roman"/>
          <w:color w:val="auto"/>
          <w:szCs w:val="21"/>
          <w:highlight w:val="none"/>
        </w:rPr>
      </w:pPr>
    </w:p>
    <w:p>
      <w:pPr>
        <w:rPr>
          <w:rFonts w:ascii="宋体" w:hAnsi="宋体" w:eastAsia="宋体" w:cs="Times New Roman"/>
          <w:color w:val="auto"/>
          <w:szCs w:val="21"/>
          <w:highlight w:val="none"/>
        </w:rPr>
      </w:pPr>
    </w:p>
    <w:p>
      <w:pPr>
        <w:rPr>
          <w:rFonts w:ascii="宋体" w:hAnsi="宋体" w:eastAsia="宋体" w:cs="Times New Roman"/>
          <w:color w:val="auto"/>
          <w:szCs w:val="21"/>
          <w:highlight w:val="none"/>
        </w:rPr>
      </w:pPr>
    </w:p>
    <w:p>
      <w:pPr>
        <w:rPr>
          <w:rFonts w:ascii="宋体" w:hAnsi="宋体" w:eastAsia="宋体" w:cs="Times New Roman"/>
          <w:color w:val="auto"/>
          <w:szCs w:val="21"/>
          <w:highlight w:val="none"/>
        </w:rPr>
      </w:pPr>
    </w:p>
    <w:p>
      <w:pPr>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keepNext/>
        <w:autoSpaceDE w:val="0"/>
        <w:spacing w:line="360" w:lineRule="auto"/>
        <w:ind w:right="-441" w:rightChars="-210"/>
        <w:jc w:val="center"/>
        <w:outlineLvl w:val="0"/>
        <w:rPr>
          <w:rFonts w:hint="eastAsia" w:ascii="宋体" w:hAnsi="宋体" w:eastAsia="宋体" w:cs="Times New Roman"/>
          <w:b/>
          <w:bCs/>
          <w:color w:val="auto"/>
          <w:sz w:val="44"/>
          <w:szCs w:val="24"/>
          <w:highlight w:val="none"/>
        </w:rPr>
      </w:pPr>
      <w:bookmarkStart w:id="261" w:name="_Toc475104528"/>
      <w:r>
        <w:rPr>
          <w:rFonts w:hint="eastAsia" w:ascii="宋体" w:hAnsi="宋体" w:eastAsia="宋体" w:cs="Times New Roman"/>
          <w:b/>
          <w:bCs/>
          <w:color w:val="auto"/>
          <w:sz w:val="44"/>
          <w:szCs w:val="24"/>
          <w:highlight w:val="none"/>
        </w:rPr>
        <w:t>第五章 评分体系与标准</w:t>
      </w:r>
      <w:bookmarkEnd w:id="261"/>
    </w:p>
    <w:p>
      <w:pPr>
        <w:numPr>
          <w:ilvl w:val="0"/>
          <w:numId w:val="7"/>
        </w:numPr>
        <w:autoSpaceDE w:val="0"/>
        <w:autoSpaceDN w:val="0"/>
        <w:adjustRightInd w:val="0"/>
        <w:snapToGrid w:val="0"/>
        <w:spacing w:line="360" w:lineRule="auto"/>
        <w:outlineLvl w:val="0"/>
        <w:rPr>
          <w:rFonts w:hint="eastAsia" w:ascii="宋体" w:hAnsi="宋体" w:eastAsia="宋体" w:cs="宋体"/>
          <w:b/>
          <w:color w:val="auto"/>
          <w:sz w:val="24"/>
          <w:szCs w:val="24"/>
          <w:highlight w:val="none"/>
        </w:rPr>
      </w:pPr>
      <w:r>
        <w:rPr>
          <w:rFonts w:hint="eastAsia" w:ascii="Times New Roman" w:hAnsi="Times New Roman" w:eastAsia="宋体" w:cs="Times New Roman"/>
          <w:color w:val="auto"/>
          <w:sz w:val="44"/>
          <w:szCs w:val="24"/>
          <w:highlight w:val="none"/>
        </w:rPr>
        <w:br w:type="page"/>
      </w:r>
      <w:bookmarkStart w:id="262" w:name="_Toc333236674"/>
      <w:bookmarkStart w:id="263" w:name="_Toc475104529"/>
      <w:bookmarkStart w:id="264" w:name="_Toc101775128"/>
      <w:bookmarkStart w:id="265" w:name="_Toc98579606"/>
      <w:bookmarkStart w:id="266" w:name="_Toc50276153"/>
      <w:bookmarkStart w:id="267" w:name="_Toc98579065"/>
      <w:bookmarkStart w:id="268" w:name="_Toc42394513"/>
      <w:bookmarkStart w:id="269" w:name="_Toc101951266"/>
      <w:bookmarkStart w:id="270" w:name="_Toc98579007"/>
      <w:bookmarkStart w:id="271" w:name="_Toc42394669"/>
      <w:bookmarkStart w:id="272" w:name="_Toc101771375"/>
      <w:bookmarkStart w:id="273" w:name="_Toc98580289"/>
      <w:bookmarkStart w:id="274" w:name="_Toc101843128"/>
      <w:bookmarkStart w:id="275" w:name="_Toc264203535"/>
      <w:bookmarkStart w:id="276" w:name="_Toc41723931"/>
      <w:bookmarkStart w:id="277" w:name="_Toc42313167"/>
      <w:bookmarkStart w:id="278" w:name="_Toc41884701"/>
      <w:bookmarkStart w:id="279" w:name="_Toc102211724"/>
      <w:bookmarkStart w:id="280" w:name="_Toc35834934"/>
      <w:bookmarkStart w:id="281" w:name="_Toc150050902"/>
      <w:bookmarkStart w:id="282" w:name="_Toc131922503"/>
      <w:bookmarkStart w:id="283" w:name="_Toc124646434"/>
      <w:bookmarkStart w:id="284" w:name="_Toc169334816"/>
      <w:bookmarkStart w:id="285" w:name="_Toc113277292"/>
      <w:bookmarkStart w:id="286" w:name="_Toc68620012"/>
      <w:bookmarkStart w:id="287" w:name="_Toc104874465"/>
      <w:bookmarkStart w:id="288" w:name="_Toc124570687"/>
      <w:bookmarkStart w:id="289" w:name="_Toc104902929"/>
      <w:bookmarkStart w:id="290" w:name="_Toc101553556"/>
      <w:bookmarkStart w:id="291" w:name="_Toc125770208"/>
      <w:bookmarkStart w:id="292" w:name="_Toc108001800"/>
      <w:bookmarkStart w:id="293" w:name="_Toc28142601"/>
      <w:bookmarkStart w:id="294" w:name="_Toc124401382"/>
      <w:bookmarkStart w:id="295" w:name="_Toc95304223"/>
      <w:bookmarkStart w:id="296" w:name="_Toc101553661"/>
      <w:bookmarkStart w:id="297" w:name="_Toc138506092"/>
      <w:bookmarkStart w:id="298" w:name="_Toc131904930"/>
      <w:bookmarkStart w:id="299" w:name="_Toc28489533"/>
      <w:bookmarkStart w:id="300" w:name="_Toc148060906"/>
      <w:bookmarkStart w:id="301" w:name="_Toc108243616"/>
      <w:bookmarkStart w:id="302" w:name="_Toc95249607"/>
      <w:bookmarkStart w:id="303" w:name="_Toc67911942"/>
      <w:bookmarkStart w:id="304" w:name="_Toc66722112"/>
      <w:bookmarkStart w:id="305" w:name="_Toc138568672"/>
      <w:bookmarkStart w:id="306" w:name="_Toc148420070"/>
      <w:bookmarkStart w:id="307" w:name="_Toc34535380"/>
      <w:r>
        <w:rPr>
          <w:rFonts w:hint="eastAsia" w:ascii="宋体" w:hAnsi="宋体" w:eastAsia="宋体" w:cs="Times New Roman"/>
          <w:bCs/>
          <w:color w:val="auto"/>
          <w:szCs w:val="21"/>
          <w:highlight w:val="none"/>
        </w:rPr>
        <w:t>开标</w:t>
      </w:r>
      <w:bookmarkEnd w:id="262"/>
    </w:p>
    <w:p>
      <w:pPr>
        <w:numPr>
          <w:ilvl w:val="1"/>
          <w:numId w:val="7"/>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TW"/>
        </w:rPr>
        <w:t>开标在</w:t>
      </w:r>
      <w:r>
        <w:rPr>
          <w:rFonts w:hint="eastAsia" w:ascii="宋体" w:hAnsi="宋体" w:eastAsia="宋体" w:cs="宋体"/>
          <w:color w:val="auto"/>
          <w:szCs w:val="21"/>
          <w:highlight w:val="none"/>
        </w:rPr>
        <w:t>公开遴选文件</w:t>
      </w:r>
      <w:r>
        <w:rPr>
          <w:rFonts w:hint="eastAsia" w:ascii="宋体" w:hAnsi="宋体" w:eastAsia="宋体" w:cs="宋体"/>
          <w:color w:val="auto"/>
          <w:szCs w:val="21"/>
          <w:highlight w:val="none"/>
          <w:lang w:eastAsia="zh-TW"/>
        </w:rPr>
        <w:t>确定的</w:t>
      </w:r>
      <w:r>
        <w:rPr>
          <w:rFonts w:hint="eastAsia" w:ascii="宋体" w:hAnsi="宋体" w:eastAsia="宋体" w:cs="宋体"/>
          <w:color w:val="auto"/>
          <w:szCs w:val="21"/>
          <w:highlight w:val="none"/>
        </w:rPr>
        <w:t>遴选响应文件</w:t>
      </w:r>
      <w:r>
        <w:rPr>
          <w:rFonts w:hint="eastAsia" w:ascii="宋体" w:hAnsi="宋体" w:eastAsia="宋体" w:cs="宋体"/>
          <w:color w:val="auto"/>
          <w:szCs w:val="21"/>
          <w:highlight w:val="none"/>
          <w:lang w:eastAsia="zh-TW"/>
        </w:rPr>
        <w:t>递交截止时间的同一时间公开进行，开标地点为</w:t>
      </w:r>
      <w:r>
        <w:rPr>
          <w:rFonts w:hint="eastAsia" w:ascii="宋体" w:hAnsi="宋体" w:eastAsia="宋体" w:cs="宋体"/>
          <w:color w:val="auto"/>
          <w:szCs w:val="21"/>
          <w:highlight w:val="none"/>
        </w:rPr>
        <w:t>公开遴选文件</w:t>
      </w:r>
      <w:r>
        <w:rPr>
          <w:rFonts w:hint="eastAsia" w:ascii="宋体" w:hAnsi="宋体" w:eastAsia="宋体" w:cs="宋体"/>
          <w:color w:val="auto"/>
          <w:szCs w:val="21"/>
          <w:highlight w:val="none"/>
          <w:lang w:eastAsia="zh-TW"/>
        </w:rPr>
        <w:t>预先确定的地点。</w:t>
      </w:r>
    </w:p>
    <w:p>
      <w:pPr>
        <w:numPr>
          <w:ilvl w:val="1"/>
          <w:numId w:val="7"/>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TW"/>
        </w:rPr>
        <w:t>开标由</w:t>
      </w:r>
      <w:r>
        <w:rPr>
          <w:rFonts w:hint="eastAsia" w:ascii="宋体" w:hAnsi="宋体" w:eastAsia="宋体" w:cs="宋体"/>
          <w:color w:val="auto"/>
          <w:szCs w:val="21"/>
          <w:highlight w:val="none"/>
        </w:rPr>
        <w:t>采购人或</w:t>
      </w:r>
      <w:r>
        <w:rPr>
          <w:rFonts w:hint="eastAsia" w:ascii="宋体" w:hAnsi="宋体" w:eastAsia="宋体" w:cs="宋体"/>
          <w:color w:val="auto"/>
          <w:szCs w:val="21"/>
          <w:highlight w:val="none"/>
          <w:lang w:eastAsia="zh-TW"/>
        </w:rPr>
        <w:t>采购代理机构主持，邀请所有投标人代表持本人身份证原件</w:t>
      </w:r>
      <w:r>
        <w:rPr>
          <w:rFonts w:hint="eastAsia" w:ascii="宋体" w:hAnsi="宋体" w:eastAsia="宋体" w:cs="宋体"/>
          <w:color w:val="auto"/>
          <w:szCs w:val="21"/>
          <w:highlight w:val="none"/>
        </w:rPr>
        <w:t>、法定代表人证明书、法定代表人授权书（如适用）参加。</w:t>
      </w:r>
    </w:p>
    <w:p>
      <w:pPr>
        <w:numPr>
          <w:ilvl w:val="1"/>
          <w:numId w:val="7"/>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投标人不足3家的，不得开标。采购代理机构应在投标截止时间后当场退还遴选响应文件，并与投标人办理退还手续。</w:t>
      </w:r>
    </w:p>
    <w:p>
      <w:pPr>
        <w:numPr>
          <w:ilvl w:val="1"/>
          <w:numId w:val="7"/>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在公开遴选文件规定的投标截止时间到点时，主持人应当宣布投标截止时间已到，以后递交的遴选响应文件一律不予接受。</w:t>
      </w:r>
    </w:p>
    <w:p>
      <w:pPr>
        <w:numPr>
          <w:ilvl w:val="1"/>
          <w:numId w:val="7"/>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主持人宣读开标大会会场纪律。</w:t>
      </w:r>
    </w:p>
    <w:p>
      <w:pPr>
        <w:numPr>
          <w:ilvl w:val="1"/>
          <w:numId w:val="7"/>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TW"/>
        </w:rPr>
        <w:t>在</w:t>
      </w:r>
      <w:r>
        <w:rPr>
          <w:rFonts w:hint="eastAsia" w:ascii="宋体" w:hAnsi="宋体" w:eastAsia="宋体" w:cs="宋体"/>
          <w:color w:val="auto"/>
          <w:szCs w:val="21"/>
          <w:highlight w:val="none"/>
        </w:rPr>
        <w:t>公开遴选文件</w:t>
      </w:r>
      <w:r>
        <w:rPr>
          <w:rFonts w:hint="eastAsia" w:ascii="宋体" w:hAnsi="宋体" w:eastAsia="宋体" w:cs="宋体"/>
          <w:color w:val="auto"/>
          <w:szCs w:val="21"/>
          <w:highlight w:val="none"/>
          <w:lang w:eastAsia="zh-TW"/>
        </w:rPr>
        <w:t>要求提交</w:t>
      </w:r>
      <w:r>
        <w:rPr>
          <w:rFonts w:hint="eastAsia" w:ascii="宋体" w:hAnsi="宋体" w:eastAsia="宋体" w:cs="宋体"/>
          <w:color w:val="auto"/>
          <w:szCs w:val="21"/>
          <w:highlight w:val="none"/>
        </w:rPr>
        <w:t>遴选响应文件</w:t>
      </w:r>
      <w:r>
        <w:rPr>
          <w:rFonts w:hint="eastAsia" w:ascii="宋体" w:hAnsi="宋体" w:eastAsia="宋体" w:cs="宋体"/>
          <w:color w:val="auto"/>
          <w:szCs w:val="21"/>
          <w:highlight w:val="none"/>
          <w:lang w:eastAsia="zh-TW"/>
        </w:rPr>
        <w:t>的截止时间前收到的所有经检查合格的</w:t>
      </w:r>
      <w:r>
        <w:rPr>
          <w:rFonts w:hint="eastAsia" w:ascii="宋体" w:hAnsi="宋体" w:eastAsia="宋体" w:cs="宋体"/>
          <w:color w:val="auto"/>
          <w:szCs w:val="21"/>
          <w:highlight w:val="none"/>
        </w:rPr>
        <w:t>遴选响应文件</w:t>
      </w:r>
      <w:r>
        <w:rPr>
          <w:rFonts w:hint="eastAsia" w:ascii="宋体" w:hAnsi="宋体" w:eastAsia="宋体" w:cs="宋体"/>
          <w:color w:val="auto"/>
          <w:szCs w:val="21"/>
          <w:highlight w:val="none"/>
          <w:lang w:eastAsia="zh-TW"/>
        </w:rPr>
        <w:t>，开标时，</w:t>
      </w:r>
      <w:r>
        <w:rPr>
          <w:rFonts w:hint="eastAsia" w:ascii="宋体" w:hAnsi="宋体" w:eastAsia="宋体" w:cs="宋体"/>
          <w:color w:val="auto"/>
          <w:szCs w:val="21"/>
          <w:highlight w:val="none"/>
        </w:rPr>
        <w:t>由递交遴选响应文件的前三名投标人授权代表作为全体投标人推选的代表就全部遴选响应文件的密封情况进行检查，也可以由招标人委托的公证机构检查并公证；经确认无误后，由招标工作人员当众拆封，宣读投标人名称、价格、公开遴选文件允许提供的备选投标方案和遴选响应文件的其他主要内容</w:t>
      </w:r>
      <w:r>
        <w:rPr>
          <w:rFonts w:hint="eastAsia" w:ascii="宋体" w:hAnsi="宋体" w:eastAsia="宋体" w:cs="宋体"/>
          <w:color w:val="auto"/>
          <w:szCs w:val="21"/>
          <w:highlight w:val="none"/>
          <w:lang w:eastAsia="zh-TW"/>
        </w:rPr>
        <w:t>。</w:t>
      </w:r>
    </w:p>
    <w:p>
      <w:pPr>
        <w:numPr>
          <w:ilvl w:val="1"/>
          <w:numId w:val="7"/>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TW"/>
        </w:rPr>
        <w:t>开标会记录人应在开标记录表上记录唱标内容，并当场公示。</w:t>
      </w:r>
    </w:p>
    <w:p>
      <w:pPr>
        <w:numPr>
          <w:ilvl w:val="1"/>
          <w:numId w:val="7"/>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TW"/>
        </w:rPr>
        <w:t>如开标记录表上内容与</w:t>
      </w:r>
      <w:r>
        <w:rPr>
          <w:rFonts w:hint="eastAsia" w:ascii="宋体" w:hAnsi="宋体" w:eastAsia="宋体" w:cs="宋体"/>
          <w:color w:val="auto"/>
          <w:szCs w:val="21"/>
          <w:highlight w:val="none"/>
        </w:rPr>
        <w:t>遴选响应文件</w:t>
      </w:r>
      <w:r>
        <w:rPr>
          <w:rFonts w:hint="eastAsia" w:ascii="宋体" w:hAnsi="宋体" w:eastAsia="宋体" w:cs="宋体"/>
          <w:color w:val="auto"/>
          <w:szCs w:val="21"/>
          <w:highlight w:val="none"/>
          <w:lang w:eastAsia="zh-TW"/>
        </w:rPr>
        <w:t>不一致时，投标人代表须当场提出。开标记录表由记录人、唱标人、投标人代表和有关人员签字确认。</w:t>
      </w:r>
    </w:p>
    <w:p>
      <w:pPr>
        <w:numPr>
          <w:ilvl w:val="1"/>
          <w:numId w:val="7"/>
        </w:numPr>
        <w:autoSpaceDE w:val="0"/>
        <w:autoSpaceDN w:val="0"/>
        <w:adjustRightInd w:val="0"/>
        <w:snapToGrid w:val="0"/>
        <w:spacing w:line="360" w:lineRule="auto"/>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numPr>
          <w:ilvl w:val="0"/>
          <w:numId w:val="7"/>
        </w:numPr>
        <w:autoSpaceDE w:val="0"/>
        <w:autoSpaceDN w:val="0"/>
        <w:adjustRightInd w:val="0"/>
        <w:snapToGrid w:val="0"/>
        <w:spacing w:line="360" w:lineRule="auto"/>
        <w:outlineLvl w:val="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本评审办法采用综合评分法。</w:t>
      </w:r>
      <w:bookmarkEnd w:id="263"/>
    </w:p>
    <w:p>
      <w:pPr>
        <w:numPr>
          <w:ilvl w:val="0"/>
          <w:numId w:val="7"/>
        </w:numPr>
        <w:autoSpaceDE w:val="0"/>
        <w:autoSpaceDN w:val="0"/>
        <w:adjustRightInd w:val="0"/>
        <w:snapToGrid w:val="0"/>
        <w:spacing w:line="360" w:lineRule="auto"/>
        <w:outlineLvl w:val="0"/>
        <w:rPr>
          <w:rFonts w:ascii="宋体" w:hAnsi="Times New Roman" w:eastAsia="宋体" w:cs="宋体"/>
          <w:color w:val="auto"/>
          <w:szCs w:val="24"/>
          <w:highlight w:val="none"/>
        </w:rPr>
      </w:pPr>
      <w:bookmarkStart w:id="308" w:name="_Toc475104530"/>
      <w:bookmarkStart w:id="309" w:name="_Toc475104531"/>
      <w:r>
        <w:rPr>
          <w:rFonts w:hint="eastAsia" w:ascii="宋体" w:hAnsi="Times New Roman" w:eastAsia="宋体" w:cs="宋体"/>
          <w:color w:val="auto"/>
          <w:szCs w:val="24"/>
          <w:highlight w:val="none"/>
        </w:rPr>
        <w:t>通过资格性和符合性检查的有效供应商方有资格提交最后报价及进行技术、商务及价格的详细评审，最后评审小组出具公开遴选报告。</w:t>
      </w:r>
      <w:bookmarkEnd w:id="308"/>
    </w:p>
    <w:bookmarkEnd w:id="264"/>
    <w:bookmarkEnd w:id="265"/>
    <w:bookmarkEnd w:id="266"/>
    <w:bookmarkEnd w:id="267"/>
    <w:bookmarkEnd w:id="268"/>
    <w:bookmarkEnd w:id="269"/>
    <w:bookmarkEnd w:id="270"/>
    <w:bookmarkEnd w:id="271"/>
    <w:bookmarkEnd w:id="272"/>
    <w:bookmarkEnd w:id="273"/>
    <w:bookmarkEnd w:id="274"/>
    <w:bookmarkEnd w:id="275"/>
    <w:bookmarkEnd w:id="309"/>
    <w:p>
      <w:pPr>
        <w:numPr>
          <w:ilvl w:val="0"/>
          <w:numId w:val="7"/>
        </w:numPr>
        <w:autoSpaceDE w:val="0"/>
        <w:autoSpaceDN w:val="0"/>
        <w:adjustRightInd w:val="0"/>
        <w:snapToGrid w:val="0"/>
        <w:spacing w:line="360" w:lineRule="auto"/>
        <w:outlineLvl w:val="0"/>
        <w:rPr>
          <w:rFonts w:ascii="宋体" w:hAnsi="宋体" w:eastAsia="宋体" w:cs="Times New Roman"/>
          <w:bCs/>
          <w:color w:val="auto"/>
          <w:szCs w:val="21"/>
          <w:highlight w:val="none"/>
        </w:rPr>
      </w:pPr>
      <w:bookmarkStart w:id="310" w:name="_Toc475104532"/>
      <w:r>
        <w:rPr>
          <w:rFonts w:hint="eastAsia" w:ascii="宋体" w:hAnsi="Times New Roman" w:eastAsia="宋体" w:cs="宋体"/>
          <w:color w:val="auto"/>
          <w:szCs w:val="24"/>
          <w:highlight w:val="none"/>
        </w:rPr>
        <w:t>按照评审程序、评分标准以及权重分配的规定，评审小组各成员分别就各个</w:t>
      </w:r>
      <w:r>
        <w:rPr>
          <w:rFonts w:hint="eastAsia" w:ascii="宋体" w:hAnsi="宋体" w:eastAsia="宋体" w:cs="Times New Roman"/>
          <w:bCs/>
          <w:color w:val="auto"/>
          <w:szCs w:val="24"/>
          <w:highlight w:val="none"/>
        </w:rPr>
        <w:t>供应商</w:t>
      </w:r>
      <w:r>
        <w:rPr>
          <w:rFonts w:hint="eastAsia" w:ascii="宋体" w:hAnsi="Times New Roman" w:eastAsia="宋体" w:cs="宋体"/>
          <w:color w:val="auto"/>
          <w:szCs w:val="24"/>
          <w:highlight w:val="none"/>
        </w:rPr>
        <w:t>的技术状况、商务状况及其对公开遴选文件要求的响应情况进行评议和比较，评出其</w:t>
      </w:r>
      <w:r>
        <w:rPr>
          <w:rFonts w:hint="eastAsia" w:ascii="宋体" w:hAnsi="宋体" w:eastAsia="宋体" w:cs="Times New Roman"/>
          <w:color w:val="auto"/>
          <w:szCs w:val="21"/>
          <w:highlight w:val="none"/>
        </w:rPr>
        <w:t>商务</w:t>
      </w:r>
      <w:r>
        <w:rPr>
          <w:rFonts w:hint="eastAsia" w:ascii="宋体" w:hAnsi="宋体" w:eastAsia="宋体" w:cs="Times New Roman"/>
          <w:color w:val="auto"/>
          <w:szCs w:val="24"/>
          <w:highlight w:val="none"/>
        </w:rPr>
        <w:t>技术</w:t>
      </w:r>
      <w:r>
        <w:rPr>
          <w:rFonts w:hint="eastAsia" w:ascii="宋体" w:hAnsi="Times New Roman" w:eastAsia="宋体" w:cs="宋体"/>
          <w:color w:val="auto"/>
          <w:szCs w:val="24"/>
          <w:highlight w:val="none"/>
        </w:rPr>
        <w:t>评分、价格评分相加得出其综合得分。</w:t>
      </w:r>
    </w:p>
    <w:p>
      <w:pPr>
        <w:numPr>
          <w:ilvl w:val="0"/>
          <w:numId w:val="7"/>
        </w:numPr>
        <w:autoSpaceDE w:val="0"/>
        <w:autoSpaceDN w:val="0"/>
        <w:adjustRightInd w:val="0"/>
        <w:snapToGrid w:val="0"/>
        <w:spacing w:line="360" w:lineRule="auto"/>
        <w:outlineLvl w:val="0"/>
        <w:rPr>
          <w:rFonts w:ascii="宋体" w:hAnsi="宋体" w:eastAsia="宋体" w:cs="Times New Roman"/>
          <w:bCs/>
          <w:color w:val="auto"/>
          <w:szCs w:val="21"/>
          <w:highlight w:val="none"/>
        </w:rPr>
      </w:pPr>
      <w:r>
        <w:rPr>
          <w:rFonts w:hint="eastAsia" w:ascii="宋体" w:hAnsi="宋体" w:eastAsia="宋体" w:cs="Times New Roman"/>
          <w:color w:val="auto"/>
          <w:szCs w:val="21"/>
          <w:highlight w:val="none"/>
        </w:rPr>
        <w:t>评审以公开遴选文件规定的条件为依据。评分比重如下：</w:t>
      </w:r>
      <w:bookmarkEnd w:id="310"/>
    </w:p>
    <w:tbl>
      <w:tblPr>
        <w:tblStyle w:val="89"/>
        <w:tblpPr w:leftFromText="180" w:rightFromText="180" w:vertAnchor="text" w:tblpX="318"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1984"/>
        <w:gridCol w:w="246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5" w:type="dxa"/>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评分项目</w:t>
            </w:r>
          </w:p>
        </w:tc>
        <w:tc>
          <w:tcPr>
            <w:tcW w:w="1984" w:type="dxa"/>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技术商务部分</w:t>
            </w:r>
          </w:p>
        </w:tc>
        <w:tc>
          <w:tcPr>
            <w:tcW w:w="2464" w:type="dxa"/>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Times New Roman"/>
                <w:color w:val="auto"/>
                <w:szCs w:val="24"/>
                <w:highlight w:val="none"/>
              </w:rPr>
              <w:t>价格部分</w:t>
            </w:r>
          </w:p>
        </w:tc>
        <w:tc>
          <w:tcPr>
            <w:tcW w:w="2571" w:type="dxa"/>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55" w:type="dxa"/>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权重</w:t>
            </w:r>
          </w:p>
        </w:tc>
        <w:tc>
          <w:tcPr>
            <w:tcW w:w="1984" w:type="dxa"/>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70%</w:t>
            </w:r>
          </w:p>
        </w:tc>
        <w:tc>
          <w:tcPr>
            <w:tcW w:w="2464" w:type="dxa"/>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Times New Roman"/>
                <w:color w:val="auto"/>
                <w:szCs w:val="24"/>
                <w:highlight w:val="none"/>
              </w:rPr>
              <w:t>30%</w:t>
            </w:r>
          </w:p>
        </w:tc>
        <w:tc>
          <w:tcPr>
            <w:tcW w:w="2571" w:type="dxa"/>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100%</w:t>
            </w:r>
          </w:p>
        </w:tc>
      </w:tr>
    </w:tbl>
    <w:p>
      <w:pPr>
        <w:spacing w:after="120"/>
        <w:rPr>
          <w:rFonts w:hint="eastAsia" w:ascii="宋体" w:hAnsi="宋体" w:eastAsia="宋体" w:cs="Times New Roman"/>
          <w:color w:val="auto"/>
          <w:szCs w:val="21"/>
          <w:highlight w:val="none"/>
        </w:rPr>
      </w:pPr>
    </w:p>
    <w:p>
      <w:pPr>
        <w:autoSpaceDE w:val="0"/>
        <w:autoSpaceDN w:val="0"/>
        <w:adjustRightInd w:val="0"/>
        <w:snapToGrid w:val="0"/>
        <w:spacing w:line="360" w:lineRule="auto"/>
        <w:ind w:firstLine="420" w:firstLineChars="200"/>
        <w:outlineLvl w:val="0"/>
        <w:rPr>
          <w:rFonts w:hint="eastAsia" w:ascii="宋体" w:hAnsi="宋体" w:eastAsia="宋体" w:cs="Times New Roman"/>
          <w:color w:val="auto"/>
          <w:szCs w:val="21"/>
          <w:highlight w:val="none"/>
        </w:rPr>
      </w:pPr>
      <w:bookmarkStart w:id="311" w:name="_Toc333236680"/>
      <w:bookmarkStart w:id="312" w:name="_Toc475104534"/>
      <w:r>
        <w:rPr>
          <w:rFonts w:hint="eastAsia" w:ascii="宋体" w:hAnsi="宋体" w:eastAsia="宋体" w:cs="Times New Roman"/>
          <w:color w:val="auto"/>
          <w:szCs w:val="21"/>
          <w:highlight w:val="none"/>
        </w:rPr>
        <w:t>（1）遴选响应文件中报价一览表（报价表）内容与遴选响应文件中相应内容不一致的，以报价一览表（报价表）为准；</w:t>
      </w:r>
    </w:p>
    <w:p>
      <w:pPr>
        <w:autoSpaceDE w:val="0"/>
        <w:autoSpaceDN w:val="0"/>
        <w:adjustRightInd w:val="0"/>
        <w:snapToGrid w:val="0"/>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（2）大写金额和小写金额不一致的，以大写金额为准；</w:t>
      </w:r>
    </w:p>
    <w:p>
      <w:pPr>
        <w:autoSpaceDE w:val="0"/>
        <w:autoSpaceDN w:val="0"/>
        <w:adjustRightInd w:val="0"/>
        <w:snapToGrid w:val="0"/>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（3）单价金额小数点或者百分比有明显错位的，以报价一览表的总价为准，并修改单价；</w:t>
      </w:r>
    </w:p>
    <w:p>
      <w:pPr>
        <w:autoSpaceDE w:val="0"/>
        <w:autoSpaceDN w:val="0"/>
        <w:adjustRightInd w:val="0"/>
        <w:snapToGrid w:val="0"/>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（4）总价金额与按单价汇总金额不一致的，以单价金额计算结果为准。</w:t>
      </w:r>
    </w:p>
    <w:p>
      <w:pPr>
        <w:autoSpaceDE w:val="0"/>
        <w:autoSpaceDN w:val="0"/>
        <w:adjustRightInd w:val="0"/>
        <w:snapToGrid w:val="0"/>
        <w:spacing w:line="360" w:lineRule="auto"/>
        <w:ind w:firstLine="420" w:firstLineChars="200"/>
        <w:outlineLvl w:val="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同时出现两种以上不一致的，按照前款规定的顺序修正。</w:t>
      </w:r>
    </w:p>
    <w:p>
      <w:pPr>
        <w:numPr>
          <w:ilvl w:val="0"/>
          <w:numId w:val="7"/>
        </w:numPr>
        <w:autoSpaceDE w:val="0"/>
        <w:autoSpaceDN w:val="0"/>
        <w:adjustRightInd w:val="0"/>
        <w:snapToGrid w:val="0"/>
        <w:spacing w:line="360" w:lineRule="auto"/>
        <w:outlineLvl w:val="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商务</w:t>
      </w:r>
      <w:r>
        <w:rPr>
          <w:rFonts w:hint="eastAsia" w:ascii="宋体" w:hAnsi="宋体" w:eastAsia="宋体" w:cs="Times New Roman"/>
          <w:color w:val="auto"/>
          <w:szCs w:val="24"/>
          <w:highlight w:val="none"/>
        </w:rPr>
        <w:t>技术</w:t>
      </w:r>
      <w:r>
        <w:rPr>
          <w:rFonts w:hint="eastAsia" w:ascii="宋体" w:hAnsi="宋体" w:eastAsia="宋体" w:cs="Times New Roman"/>
          <w:color w:val="auto"/>
          <w:szCs w:val="21"/>
          <w:highlight w:val="none"/>
        </w:rPr>
        <w:t>评定</w:t>
      </w:r>
    </w:p>
    <w:p>
      <w:pPr>
        <w:numPr>
          <w:ilvl w:val="1"/>
          <w:numId w:val="7"/>
        </w:numPr>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由评审小组对所有有效遴选响应文件的商务</w:t>
      </w:r>
      <w:r>
        <w:rPr>
          <w:rFonts w:hint="eastAsia" w:ascii="宋体" w:hAnsi="宋体" w:eastAsia="宋体" w:cs="Times New Roman"/>
          <w:color w:val="auto"/>
          <w:szCs w:val="24"/>
          <w:highlight w:val="none"/>
        </w:rPr>
        <w:t>技术</w:t>
      </w:r>
      <w:r>
        <w:rPr>
          <w:rFonts w:hint="eastAsia" w:ascii="宋体" w:hAnsi="宋体" w:eastAsia="宋体" w:cs="Times New Roman"/>
          <w:color w:val="auto"/>
          <w:szCs w:val="21"/>
          <w:highlight w:val="none"/>
        </w:rPr>
        <w:t>响应方案进行审核和分析，填写《商务</w:t>
      </w:r>
      <w:r>
        <w:rPr>
          <w:rFonts w:hint="eastAsia" w:ascii="宋体" w:hAnsi="宋体" w:eastAsia="宋体" w:cs="Times New Roman"/>
          <w:color w:val="auto"/>
          <w:szCs w:val="24"/>
          <w:highlight w:val="none"/>
        </w:rPr>
        <w:t>技术</w:t>
      </w:r>
      <w:r>
        <w:rPr>
          <w:rFonts w:hint="eastAsia" w:ascii="宋体" w:hAnsi="宋体" w:eastAsia="宋体" w:cs="Times New Roman"/>
          <w:color w:val="auto"/>
          <w:szCs w:val="21"/>
          <w:highlight w:val="none"/>
        </w:rPr>
        <w:t>响应评分表》。评审内容见附表。</w:t>
      </w:r>
    </w:p>
    <w:p>
      <w:pPr>
        <w:numPr>
          <w:ilvl w:val="1"/>
          <w:numId w:val="7"/>
        </w:numPr>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评审小组各成员应当独立对每个有效响应的文件进行评价、打分，然后汇总每个供应商每项评分因素的得分。</w:t>
      </w:r>
      <w:r>
        <w:rPr>
          <w:rFonts w:hint="eastAsia" w:ascii="宋体" w:hAnsi="宋体" w:eastAsia="宋体" w:cs="Times New Roman"/>
          <w:bCs/>
          <w:color w:val="auto"/>
          <w:szCs w:val="24"/>
          <w:highlight w:val="none"/>
        </w:rPr>
        <w:t>（四舍五入后，</w:t>
      </w:r>
      <w:r>
        <w:rPr>
          <w:rFonts w:hint="eastAsia" w:ascii="Arial" w:hAnsi="Arial" w:eastAsia="宋体" w:cs="Arial"/>
          <w:color w:val="auto"/>
          <w:szCs w:val="20"/>
          <w:highlight w:val="none"/>
        </w:rPr>
        <w:t>小数点后保留两位有效数</w:t>
      </w:r>
      <w:r>
        <w:rPr>
          <w:rFonts w:hint="eastAsia" w:ascii="宋体" w:hAnsi="宋体" w:eastAsia="宋体" w:cs="Times New Roman"/>
          <w:bCs/>
          <w:color w:val="auto"/>
          <w:szCs w:val="24"/>
          <w:highlight w:val="none"/>
        </w:rPr>
        <w:t>）。</w:t>
      </w:r>
    </w:p>
    <w:bookmarkEnd w:id="276"/>
    <w:bookmarkEnd w:id="277"/>
    <w:bookmarkEnd w:id="278"/>
    <w:bookmarkEnd w:id="311"/>
    <w:bookmarkEnd w:id="312"/>
    <w:p>
      <w:pPr>
        <w:numPr>
          <w:ilvl w:val="0"/>
          <w:numId w:val="7"/>
        </w:numPr>
        <w:autoSpaceDE w:val="0"/>
        <w:autoSpaceDN w:val="0"/>
        <w:adjustRightInd w:val="0"/>
        <w:snapToGrid w:val="0"/>
        <w:spacing w:line="360" w:lineRule="auto"/>
        <w:outlineLvl w:val="0"/>
        <w:rPr>
          <w:rFonts w:ascii="宋体" w:hAnsi="宋体" w:eastAsia="宋体" w:cs="Times New Roman"/>
          <w:color w:val="auto"/>
          <w:szCs w:val="21"/>
          <w:highlight w:val="none"/>
        </w:rPr>
      </w:pPr>
      <w:bookmarkStart w:id="313" w:name="_Toc333236685"/>
      <w:bookmarkStart w:id="314" w:name="_Toc475104535"/>
      <w:r>
        <w:rPr>
          <w:rFonts w:hint="eastAsia" w:ascii="宋体" w:hAnsi="宋体" w:eastAsia="宋体" w:cs="Times New Roman"/>
          <w:color w:val="auto"/>
          <w:szCs w:val="21"/>
          <w:highlight w:val="none"/>
        </w:rPr>
        <w:t>价格评定</w:t>
      </w:r>
    </w:p>
    <w:p>
      <w:pPr>
        <w:numPr>
          <w:ilvl w:val="1"/>
          <w:numId w:val="7"/>
        </w:numPr>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价格核准：评审小组对有效</w:t>
      </w:r>
      <w:r>
        <w:rPr>
          <w:rFonts w:hint="eastAsia" w:ascii="宋体" w:hAnsi="宋体" w:eastAsia="宋体" w:cs="Times New Roman"/>
          <w:bCs/>
          <w:color w:val="auto"/>
          <w:szCs w:val="24"/>
          <w:highlight w:val="none"/>
        </w:rPr>
        <w:t>供应商</w:t>
      </w:r>
      <w:r>
        <w:rPr>
          <w:rFonts w:hint="eastAsia" w:ascii="宋体" w:hAnsi="宋体" w:eastAsia="宋体" w:cs="Times New Roman"/>
          <w:color w:val="auto"/>
          <w:szCs w:val="21"/>
          <w:highlight w:val="none"/>
        </w:rPr>
        <w:t>的详细报价进行复核，看其是否有计算错误或供货范围上的错误，修正错误的原则参见第二章的25.3条。</w:t>
      </w:r>
    </w:p>
    <w:p>
      <w:pPr>
        <w:numPr>
          <w:ilvl w:val="1"/>
          <w:numId w:val="7"/>
        </w:numPr>
        <w:autoSpaceDE w:val="0"/>
        <w:autoSpaceDN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价格评分：综合评分法中的价格分统一采用低价优先法计算，即满足遴选文件要求且最后报价最低的供应商的价格为遴选基准价，其价格分为满分。其他供应商的价格分统一按照下列公式计算：</w:t>
      </w:r>
    </w:p>
    <w:p>
      <w:pPr>
        <w:tabs>
          <w:tab w:val="left" w:pos="720"/>
        </w:tabs>
        <w:spacing w:line="360" w:lineRule="auto"/>
        <w:ind w:firstLine="630" w:firstLineChars="300"/>
        <w:rPr>
          <w:rFonts w:ascii="Times New Roman" w:hAnsi="Times New Roman" w:eastAsia="宋体" w:cs="Times New Roman"/>
          <w:color w:val="auto"/>
          <w:szCs w:val="21"/>
          <w:highlight w:val="none"/>
        </w:rPr>
      </w:pPr>
      <w:r>
        <w:rPr>
          <w:rFonts w:hint="eastAsia" w:ascii="宋体" w:hAnsi="宋体" w:eastAsia="宋体" w:cs="Times New Roman"/>
          <w:color w:val="auto"/>
          <w:szCs w:val="21"/>
          <w:highlight w:val="none"/>
        </w:rPr>
        <w:t>　　遴选报价得分=（遴选基准价/最后遴选报价）×价格权值×100</w:t>
      </w:r>
    </w:p>
    <w:p>
      <w:pPr>
        <w:autoSpaceDE w:val="0"/>
        <w:autoSpaceDN w:val="0"/>
        <w:adjustRightInd w:val="0"/>
        <w:snapToGrid w:val="0"/>
        <w:spacing w:line="360" w:lineRule="auto"/>
        <w:ind w:firstLine="630" w:firstLineChars="30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遴选报价得分四舍五入后，小数点后保留两位有效数。</w:t>
      </w:r>
    </w:p>
    <w:p>
      <w:pPr>
        <w:widowControl/>
        <w:spacing w:line="360" w:lineRule="auto"/>
        <w:ind w:firstLine="420" w:firstLineChars="200"/>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争性遴选中第二次报价作为</w:t>
      </w:r>
      <w:r>
        <w:rPr>
          <w:rFonts w:hint="eastAsia" w:ascii="宋体" w:hAnsi="宋体" w:eastAsia="宋体" w:cs="宋体"/>
          <w:color w:val="auto"/>
          <w:kern w:val="0"/>
          <w:szCs w:val="21"/>
          <w:highlight w:val="none"/>
        </w:rPr>
        <w:t>最终响应</w:t>
      </w:r>
      <w:r>
        <w:rPr>
          <w:rFonts w:hint="eastAsia" w:ascii="Times New Roman" w:hAnsi="Times New Roman" w:eastAsia="宋体" w:cs="Times New Roman"/>
          <w:color w:val="auto"/>
          <w:szCs w:val="21"/>
          <w:highlight w:val="none"/>
        </w:rPr>
        <w:t>，以供应商第二次报价作为基准，计算价格扣减作为供应商的价格评分，评审价只作为分值的计算，最终成交价格按照供应商第二次响应报价为准。</w:t>
      </w:r>
    </w:p>
    <w:p>
      <w:pPr>
        <w:widowControl/>
        <w:spacing w:line="360" w:lineRule="auto"/>
        <w:ind w:firstLine="420" w:firstLineChars="200"/>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rPr>
        <w:t>评审过程中，不得去掉报价中的最高报价和最低报价。因落实政府采购政策进行价格调整的，以调整后的价格计算评审基准价和投标报价。</w:t>
      </w:r>
    </w:p>
    <w:p>
      <w:pPr>
        <w:widowControl/>
        <w:numPr>
          <w:ilvl w:val="2"/>
          <w:numId w:val="7"/>
        </w:numPr>
        <w:spacing w:line="360" w:lineRule="auto"/>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Times New Roman"/>
          <w:bCs/>
          <w:color w:val="auto"/>
          <w:szCs w:val="21"/>
          <w:highlight w:val="none"/>
        </w:rPr>
        <w:t>根据财政部、工业和信息化部印发的《政府采购促进中小企业发展管理办法》（财库〔2020〕46号）的规定，对小型和微型企业产品的价格给予8%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（2）《政府采购促进中小企业发展管理办法》所称中小企业（含中型、小型、微型企业，下同）应当同时符合以下条件：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（5）小型、微型企业提供中型企业制造的货物的，视同为中型企业。</w:t>
      </w:r>
    </w:p>
    <w:p>
      <w:pPr>
        <w:autoSpaceDE w:val="0"/>
        <w:autoSpaceDN w:val="0"/>
        <w:adjustRightInd w:val="0"/>
        <w:snapToGrid w:val="0"/>
        <w:spacing w:line="360" w:lineRule="auto"/>
        <w:ind w:left="525" w:leftChars="2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如投标人为非制造商，其代理产品的制造商也应同时提交《中小企业声明函》，否则评审时不能享受相应的价格扣除。</w:t>
      </w:r>
    </w:p>
    <w:p>
      <w:pPr>
        <w:widowControl/>
        <w:numPr>
          <w:ilvl w:val="2"/>
          <w:numId w:val="7"/>
        </w:numPr>
        <w:spacing w:line="360" w:lineRule="auto"/>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widowControl/>
        <w:numPr>
          <w:ilvl w:val="2"/>
          <w:numId w:val="7"/>
        </w:numPr>
        <w:spacing w:line="360" w:lineRule="auto"/>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遴选响应文件格式），并对声明的真实性负责。一旦中标将在中标公告中公告其声明函，接受社会监督。投标人提供的《残疾人福利性单位声明函》与事实不符的，依照《政府采购法》第七十七条第一款的规定追究法律责任。</w:t>
      </w:r>
    </w:p>
    <w:p>
      <w:pPr>
        <w:widowControl/>
        <w:numPr>
          <w:ilvl w:val="2"/>
          <w:numId w:val="7"/>
        </w:numPr>
        <w:spacing w:line="360" w:lineRule="auto"/>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widowControl/>
        <w:numPr>
          <w:ilvl w:val="2"/>
          <w:numId w:val="7"/>
        </w:numPr>
        <w:spacing w:line="360" w:lineRule="auto"/>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投标人同时为小型、微型企业、监狱企业、残疾人福利性单位任两种或以上情况的，评审中只享受一次价格扣除，不重复进行价格扣除。</w:t>
      </w:r>
    </w:p>
    <w:p>
      <w:pPr>
        <w:widowControl/>
        <w:numPr>
          <w:ilvl w:val="2"/>
          <w:numId w:val="7"/>
        </w:numPr>
        <w:spacing w:line="360" w:lineRule="auto"/>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lang w:val="en-GB" w:eastAsia="zh-TW"/>
        </w:rPr>
        <w:t>投标人</w:t>
      </w:r>
      <w:r>
        <w:rPr>
          <w:rFonts w:hint="eastAsia" w:ascii="宋体" w:hAnsi="宋体" w:eastAsia="宋体" w:cs="宋体"/>
          <w:color w:val="auto"/>
          <w:szCs w:val="21"/>
          <w:highlight w:val="none"/>
          <w:lang w:eastAsia="zh-TW"/>
        </w:rPr>
        <w:t>应当提供《</w:t>
      </w:r>
      <w:r>
        <w:rPr>
          <w:rFonts w:hint="eastAsia" w:ascii="宋体" w:hAnsi="宋体" w:eastAsia="宋体" w:cs="宋体"/>
          <w:color w:val="auto"/>
          <w:szCs w:val="21"/>
          <w:highlight w:val="none"/>
          <w:lang w:val="en-GB" w:eastAsia="zh-TW"/>
        </w:rPr>
        <w:t>产品适用政府采购政策情况表</w:t>
      </w:r>
      <w:r>
        <w:rPr>
          <w:rFonts w:hint="eastAsia" w:ascii="宋体" w:hAnsi="宋体" w:eastAsia="宋体" w:cs="宋体"/>
          <w:color w:val="auto"/>
          <w:szCs w:val="21"/>
          <w:highlight w:val="none"/>
          <w:lang w:eastAsia="zh-TW"/>
        </w:rPr>
        <w:t>》（格式见第七章</w:t>
      </w:r>
      <w:r>
        <w:rPr>
          <w:rFonts w:hint="eastAsia" w:ascii="宋体" w:hAnsi="宋体" w:eastAsia="宋体" w:cs="宋体"/>
          <w:color w:val="auto"/>
          <w:szCs w:val="21"/>
          <w:highlight w:val="none"/>
        </w:rPr>
        <w:t>遴选响应文件</w:t>
      </w:r>
      <w:r>
        <w:rPr>
          <w:rFonts w:hint="eastAsia" w:ascii="宋体" w:hAnsi="宋体" w:eastAsia="宋体" w:cs="宋体"/>
          <w:color w:val="auto"/>
          <w:szCs w:val="21"/>
          <w:highlight w:val="none"/>
          <w:lang w:eastAsia="zh-TW"/>
        </w:rPr>
        <w:t>格式）。</w:t>
      </w:r>
    </w:p>
    <w:p>
      <w:pPr>
        <w:numPr>
          <w:ilvl w:val="1"/>
          <w:numId w:val="7"/>
        </w:numPr>
        <w:autoSpaceDE w:val="0"/>
        <w:autoSpaceDN w:val="0"/>
        <w:adjustRightInd w:val="0"/>
        <w:snapToGrid w:val="0"/>
        <w:spacing w:before="120" w:before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评审结果汇总完成后，除下列情形外，任何人不得修改评审结果：</w:t>
      </w:r>
    </w:p>
    <w:p>
      <w:pPr>
        <w:widowControl/>
        <w:numPr>
          <w:ilvl w:val="2"/>
          <w:numId w:val="7"/>
        </w:numPr>
        <w:spacing w:line="360" w:lineRule="auto"/>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分值汇总计算错误的；</w:t>
      </w:r>
    </w:p>
    <w:p>
      <w:pPr>
        <w:widowControl/>
        <w:numPr>
          <w:ilvl w:val="2"/>
          <w:numId w:val="7"/>
        </w:numPr>
        <w:spacing w:line="360" w:lineRule="auto"/>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分项评分超出评分标准范围的；</w:t>
      </w:r>
    </w:p>
    <w:p>
      <w:pPr>
        <w:widowControl/>
        <w:numPr>
          <w:ilvl w:val="2"/>
          <w:numId w:val="7"/>
        </w:numPr>
        <w:spacing w:line="360" w:lineRule="auto"/>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eastAsia="zh-TW"/>
        </w:rPr>
        <w:t>委员会成员对客观评审因素评分不一致的；</w:t>
      </w:r>
    </w:p>
    <w:p>
      <w:pPr>
        <w:widowControl/>
        <w:numPr>
          <w:ilvl w:val="2"/>
          <w:numId w:val="7"/>
        </w:numPr>
        <w:spacing w:line="360" w:lineRule="auto"/>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经</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eastAsia="zh-TW"/>
        </w:rPr>
        <w:t>委员会认定评分畸高、畸低的。</w:t>
      </w:r>
    </w:p>
    <w:p>
      <w:pPr>
        <w:autoSpaceDE w:val="0"/>
        <w:autoSpaceDN w:val="0"/>
        <w:adjustRightInd w:val="0"/>
        <w:snapToGrid w:val="0"/>
        <w:spacing w:line="360" w:lineRule="auto"/>
        <w:outlineLvl w:val="0"/>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eastAsia="zh-TW"/>
        </w:rPr>
        <w:t>报告签署前</w:t>
      </w:r>
      <w:r>
        <w:rPr>
          <w:rFonts w:hint="eastAsia" w:ascii="宋体" w:hAnsi="宋体" w:eastAsia="宋体" w:cs="宋体"/>
          <w:color w:val="auto"/>
          <w:szCs w:val="21"/>
          <w:highlight w:val="none"/>
        </w:rPr>
        <w:t>，经复核发现存在以上情形之一的，评审委员会应当当场修改评审结果，并在评审报告中记载。</w:t>
      </w:r>
    </w:p>
    <w:p>
      <w:pPr>
        <w:numPr>
          <w:ilvl w:val="1"/>
          <w:numId w:val="7"/>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综合评分的计算</w:t>
      </w:r>
    </w:p>
    <w:p>
      <w:pPr>
        <w:numPr>
          <w:ilvl w:val="1"/>
          <w:numId w:val="7"/>
        </w:numPr>
        <w:autoSpaceDE w:val="0"/>
        <w:autoSpaceDN w:val="0"/>
        <w:adjustRightInd w:val="0"/>
        <w:snapToGrid w:val="0"/>
        <w:spacing w:line="360" w:lineRule="auto"/>
        <w:jc w:val="left"/>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综合评分=技术商务得分</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价格</w:t>
      </w:r>
      <w:r>
        <w:rPr>
          <w:rFonts w:hint="eastAsia" w:ascii="宋体" w:hAnsi="宋体" w:eastAsia="宋体" w:cs="宋体"/>
          <w:bCs/>
          <w:color w:val="auto"/>
          <w:szCs w:val="21"/>
          <w:highlight w:val="none"/>
        </w:rPr>
        <w:t>得分。</w:t>
      </w:r>
      <w:r>
        <w:rPr>
          <w:rFonts w:hint="eastAsia" w:ascii="宋体" w:hAnsi="宋体" w:eastAsia="宋体" w:cs="宋体"/>
          <w:color w:val="auto"/>
          <w:szCs w:val="21"/>
          <w:highlight w:val="none"/>
        </w:rPr>
        <w:t>各项得分按四舍五入原则精确到小数点后两位。</w:t>
      </w:r>
    </w:p>
    <w:p>
      <w:pPr>
        <w:numPr>
          <w:ilvl w:val="0"/>
          <w:numId w:val="7"/>
        </w:numPr>
        <w:autoSpaceDE w:val="0"/>
        <w:autoSpaceDN w:val="0"/>
        <w:adjustRightInd w:val="0"/>
        <w:snapToGrid w:val="0"/>
        <w:spacing w:line="360" w:lineRule="auto"/>
        <w:outlineLvl w:val="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附件</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13"/>
      <w:bookmarkEnd w:id="314"/>
    </w:p>
    <w:p>
      <w:pPr>
        <w:spacing w:line="360" w:lineRule="auto"/>
        <w:ind w:firstLine="403" w:firstLineChars="192"/>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本评审文件包括以下评审过程中所需文件附件：</w:t>
      </w:r>
    </w:p>
    <w:p>
      <w:pPr>
        <w:spacing w:line="360" w:lineRule="auto"/>
        <w:ind w:left="720" w:leftChars="343"/>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附件1  资格性审查及符合性检查表</w:t>
      </w:r>
    </w:p>
    <w:p>
      <w:pPr>
        <w:spacing w:line="360" w:lineRule="auto"/>
        <w:ind w:left="720" w:leftChars="343"/>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附件2  技术商务响应评分标准</w:t>
      </w:r>
    </w:p>
    <w:p>
      <w:pPr>
        <w:spacing w:line="360" w:lineRule="auto"/>
        <w:ind w:left="720" w:leftChars="343"/>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附件3  价格评审表</w:t>
      </w:r>
    </w:p>
    <w:p>
      <w:pPr>
        <w:spacing w:line="360" w:lineRule="auto"/>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br w:type="page"/>
      </w:r>
      <w:r>
        <w:rPr>
          <w:rFonts w:hint="eastAsia" w:ascii="宋体" w:hAnsi="宋体" w:eastAsia="宋体" w:cs="Times New Roman"/>
          <w:b/>
          <w:color w:val="auto"/>
          <w:sz w:val="24"/>
          <w:szCs w:val="24"/>
          <w:highlight w:val="none"/>
        </w:rPr>
        <w:t>附件1</w:t>
      </w:r>
    </w:p>
    <w:p>
      <w:pPr>
        <w:keepNext/>
        <w:spacing w:line="360" w:lineRule="auto"/>
        <w:ind w:right="-441" w:rightChars="-210"/>
        <w:jc w:val="center"/>
        <w:outlineLvl w:val="0"/>
        <w:rPr>
          <w:rFonts w:ascii="宋体" w:hAnsi="宋体" w:eastAsia="宋体" w:cs="Times New Roman"/>
          <w:b/>
          <w:bCs/>
          <w:color w:val="auto"/>
          <w:sz w:val="24"/>
          <w:szCs w:val="24"/>
          <w:highlight w:val="none"/>
        </w:rPr>
      </w:pPr>
      <w:bookmarkStart w:id="315" w:name="_Toc475104536"/>
      <w:r>
        <w:rPr>
          <w:rFonts w:hint="eastAsia" w:ascii="宋体" w:hAnsi="宋体" w:eastAsia="宋体" w:cs="Times New Roman"/>
          <w:b/>
          <w:bCs/>
          <w:color w:val="auto"/>
          <w:sz w:val="24"/>
          <w:szCs w:val="24"/>
          <w:highlight w:val="none"/>
        </w:rPr>
        <w:t>资格性审查及符合性检查表</w:t>
      </w:r>
      <w:bookmarkEnd w:id="315"/>
    </w:p>
    <w:p>
      <w:pPr>
        <w:tabs>
          <w:tab w:val="left" w:pos="735"/>
        </w:tabs>
        <w:snapToGrid w:val="0"/>
        <w:spacing w:line="360" w:lineRule="auto"/>
        <w:ind w:firstLine="360"/>
        <w:rPr>
          <w:rFonts w:ascii="宋体" w:hAnsi="Arial" w:eastAsia="宋体" w:cs="Times New Roman"/>
          <w:color w:val="auto"/>
          <w:szCs w:val="24"/>
          <w:highlight w:val="none"/>
        </w:rPr>
      </w:pPr>
      <w:r>
        <w:rPr>
          <w:rFonts w:hint="eastAsia" w:ascii="宋体" w:hAnsi="宋体" w:eastAsia="宋体" w:cs="Times New Roman"/>
          <w:bCs/>
          <w:color w:val="auto"/>
          <w:szCs w:val="21"/>
          <w:highlight w:val="none"/>
        </w:rPr>
        <w:t>　　　　　　　</w:t>
      </w:r>
    </w:p>
    <w:p>
      <w:pPr>
        <w:tabs>
          <w:tab w:val="left" w:pos="735"/>
        </w:tabs>
        <w:snapToGrid w:val="0"/>
        <w:spacing w:line="360" w:lineRule="auto"/>
        <w:ind w:firstLine="360"/>
        <w:rPr>
          <w:rFonts w:ascii="宋体" w:hAnsi="宋体" w:eastAsia="宋体" w:cs="Times New Roman"/>
          <w:color w:val="auto"/>
          <w:szCs w:val="21"/>
          <w:highlight w:val="none"/>
        </w:rPr>
      </w:pPr>
      <w:r>
        <w:rPr>
          <w:rFonts w:hint="eastAsia" w:ascii="宋体" w:hAnsi="Arial" w:eastAsia="宋体" w:cs="Times New Roman"/>
          <w:color w:val="auto"/>
          <w:szCs w:val="24"/>
          <w:highlight w:val="none"/>
        </w:rPr>
        <w:t>项目名称：</w:t>
      </w:r>
    </w:p>
    <w:p>
      <w:pPr>
        <w:tabs>
          <w:tab w:val="left" w:pos="735"/>
        </w:tabs>
        <w:snapToGrid w:val="0"/>
        <w:spacing w:line="360" w:lineRule="auto"/>
        <w:ind w:firstLine="360"/>
        <w:rPr>
          <w:rFonts w:ascii="Arial" w:hAnsi="Arial" w:eastAsia="宋体" w:cs="Times New Roman"/>
          <w:color w:val="auto"/>
          <w:szCs w:val="21"/>
          <w:highlight w:val="none"/>
        </w:rPr>
      </w:pPr>
      <w:r>
        <w:rPr>
          <w:rFonts w:hint="eastAsia" w:ascii="宋体" w:hAnsi="Arial" w:eastAsia="宋体" w:cs="Times New Roman"/>
          <w:color w:val="auto"/>
          <w:szCs w:val="24"/>
          <w:highlight w:val="none"/>
        </w:rPr>
        <w:t>项目编号：</w:t>
      </w:r>
    </w:p>
    <w:tbl>
      <w:tblPr>
        <w:tblStyle w:val="8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1"/>
        <w:gridCol w:w="3364"/>
        <w:gridCol w:w="853"/>
        <w:gridCol w:w="995"/>
        <w:gridCol w:w="854"/>
        <w:gridCol w:w="1138"/>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序号</w:t>
            </w:r>
          </w:p>
        </w:tc>
        <w:tc>
          <w:tcPr>
            <w:tcW w:w="3364"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widowControl/>
              <w:jc w:val="left"/>
              <w:rPr>
                <w:rFonts w:hint="eastAsia" w:ascii="Times New Roman" w:hAnsi="Times New Roman" w:eastAsia="宋体" w:cs="宋体"/>
                <w:color w:val="auto"/>
                <w:kern w:val="0"/>
                <w:sz w:val="22"/>
                <w:highlight w:val="none"/>
              </w:rPr>
            </w:pPr>
          </w:p>
          <w:p>
            <w:pPr>
              <w:widowControl/>
              <w:ind w:firstLine="1760" w:firstLineChars="800"/>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供应商名称</w:t>
            </w:r>
          </w:p>
          <w:p>
            <w:pPr>
              <w:widowControl/>
              <w:jc w:val="left"/>
              <w:rPr>
                <w:rFonts w:hint="eastAsia" w:ascii="Times New Roman" w:hAnsi="Times New Roman" w:eastAsia="宋体" w:cs="宋体"/>
                <w:color w:val="auto"/>
                <w:kern w:val="0"/>
                <w:sz w:val="22"/>
                <w:highlight w:val="none"/>
              </w:rPr>
            </w:pPr>
          </w:p>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资格性审查及符合性内容</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A</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B</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结论</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1</w:t>
            </w:r>
          </w:p>
        </w:tc>
        <w:tc>
          <w:tcPr>
            <w:tcW w:w="33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满足供应商资格要求</w:t>
            </w:r>
          </w:p>
        </w:tc>
        <w:tc>
          <w:tcPr>
            <w:tcW w:w="853"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995"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854"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1138"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1665"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2</w:t>
            </w:r>
          </w:p>
        </w:tc>
        <w:tc>
          <w:tcPr>
            <w:tcW w:w="33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遴选响应文件齐全，盖章、签字有效</w:t>
            </w:r>
          </w:p>
        </w:tc>
        <w:tc>
          <w:tcPr>
            <w:tcW w:w="853"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995"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854"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1138"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1665"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3</w:t>
            </w:r>
          </w:p>
        </w:tc>
        <w:tc>
          <w:tcPr>
            <w:tcW w:w="33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报价商务技术没有实质性不响应或重大偏离</w:t>
            </w:r>
          </w:p>
        </w:tc>
        <w:tc>
          <w:tcPr>
            <w:tcW w:w="853"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995"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854"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1138"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1665"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4</w:t>
            </w:r>
          </w:p>
        </w:tc>
        <w:tc>
          <w:tcPr>
            <w:tcW w:w="33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没有选择性报价及备选方案。首次报价固定唯一，且没有超采购项目预算金额</w:t>
            </w:r>
          </w:p>
        </w:tc>
        <w:tc>
          <w:tcPr>
            <w:tcW w:w="853"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995"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854"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1138"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1665"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5</w:t>
            </w:r>
          </w:p>
        </w:tc>
        <w:tc>
          <w:tcPr>
            <w:tcW w:w="33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没有被评审小组认定供应商低于成本进行遴选响应</w:t>
            </w:r>
          </w:p>
        </w:tc>
        <w:tc>
          <w:tcPr>
            <w:tcW w:w="853"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995"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854"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1138"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1665"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6</w:t>
            </w:r>
          </w:p>
        </w:tc>
        <w:tc>
          <w:tcPr>
            <w:tcW w:w="33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报价有效期满足要求</w:t>
            </w:r>
          </w:p>
        </w:tc>
        <w:tc>
          <w:tcPr>
            <w:tcW w:w="853"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995"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854"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1138"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1665"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7</w:t>
            </w:r>
          </w:p>
        </w:tc>
        <w:tc>
          <w:tcPr>
            <w:tcW w:w="33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宋体" w:cs="宋体"/>
                <w:color w:val="auto"/>
                <w:kern w:val="0"/>
                <w:sz w:val="22"/>
                <w:highlight w:val="none"/>
              </w:rPr>
            </w:pPr>
            <w:r>
              <w:rPr>
                <w:rFonts w:hint="eastAsia" w:ascii="Times New Roman" w:hAnsi="Times New Roman" w:eastAsia="宋体" w:cs="宋体"/>
                <w:color w:val="auto"/>
                <w:kern w:val="0"/>
                <w:sz w:val="22"/>
                <w:highlight w:val="none"/>
              </w:rPr>
              <w:t>满足公开遴选文件中带★号的条款和指标，且符合公开遴选文件的其他要求，没有重大偏离的</w:t>
            </w:r>
          </w:p>
        </w:tc>
        <w:tc>
          <w:tcPr>
            <w:tcW w:w="853"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995"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854"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1138"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c>
          <w:tcPr>
            <w:tcW w:w="1665"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Times New Roman" w:hAnsi="Times New Roman" w:eastAsia="宋体" w:cs="宋体"/>
                <w:color w:val="auto"/>
                <w:kern w:val="0"/>
                <w:sz w:val="22"/>
                <w:highlight w:val="none"/>
              </w:rPr>
            </w:pPr>
          </w:p>
        </w:tc>
      </w:tr>
    </w:tbl>
    <w:p>
      <w:pPr>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备注：</w:t>
      </w:r>
    </w:p>
    <w:p>
      <w:pPr>
        <w:adjustRightInd w:val="0"/>
        <w:snapToGrid w:val="0"/>
        <w:spacing w:line="360" w:lineRule="auto"/>
        <w:rPr>
          <w:rFonts w:ascii="宋体" w:hAnsi="Times New Roman" w:eastAsia="宋体" w:cs="宋体"/>
          <w:b/>
          <w:color w:val="auto"/>
          <w:szCs w:val="21"/>
          <w:highlight w:val="none"/>
        </w:rPr>
      </w:pPr>
      <w:r>
        <w:rPr>
          <w:rFonts w:hint="eastAsia" w:ascii="宋体" w:hAnsi="宋体" w:eastAsia="宋体" w:cs="宋体"/>
          <w:b/>
          <w:color w:val="auto"/>
          <w:szCs w:val="21"/>
          <w:highlight w:val="none"/>
        </w:rPr>
        <w:t>1．表中填写“○”表示该项符合公开遴选文件要求，“×”表示该项不符合公开遴选文件要求。</w:t>
      </w:r>
    </w:p>
    <w:p>
      <w:pPr>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2．在结论栏中填写“通过”或“不通过”。</w:t>
      </w:r>
    </w:p>
    <w:p>
      <w:pPr>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4. 如对本表中某种情形的评审意见不一致时，以少数服从多数的原则作为评审小组对该情形的认定结论。</w:t>
      </w:r>
    </w:p>
    <w:p>
      <w:pPr>
        <w:spacing w:line="360" w:lineRule="auto"/>
        <w:rPr>
          <w:rFonts w:ascii="宋体" w:hAnsi="宋体" w:eastAsia="宋体" w:cs="Times New Roman"/>
          <w:color w:val="auto"/>
          <w:szCs w:val="21"/>
          <w:highlight w:val="none"/>
        </w:rPr>
      </w:pPr>
      <w:r>
        <w:rPr>
          <w:rFonts w:hint="eastAsia" w:ascii="Times New Roman" w:hAnsi="Times New Roman" w:eastAsia="宋体" w:cs="Times New Roman"/>
          <w:color w:val="auto"/>
          <w:szCs w:val="21"/>
          <w:highlight w:val="none"/>
        </w:rPr>
        <w:t>评委签名：</w:t>
      </w:r>
      <w:r>
        <w:rPr>
          <w:rFonts w:hint="eastAsia" w:ascii="宋体" w:hAnsi="宋体" w:eastAsia="宋体" w:cs="Times New Roman"/>
          <w:bCs/>
          <w:color w:val="auto"/>
          <w:szCs w:val="21"/>
          <w:highlight w:val="none"/>
        </w:rPr>
        <w:t xml:space="preserve">                                            日期：   年  月  日</w:t>
      </w:r>
    </w:p>
    <w:p>
      <w:pPr>
        <w:spacing w:line="360" w:lineRule="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br w:type="page"/>
      </w:r>
      <w:r>
        <w:rPr>
          <w:rFonts w:hint="eastAsia" w:ascii="宋体" w:hAnsi="宋体" w:eastAsia="宋体" w:cs="Times New Roman"/>
          <w:b/>
          <w:bCs/>
          <w:color w:val="auto"/>
          <w:sz w:val="24"/>
          <w:szCs w:val="24"/>
          <w:highlight w:val="none"/>
        </w:rPr>
        <w:t>附件2</w:t>
      </w:r>
      <w:bookmarkStart w:id="316" w:name="_Toc462307146"/>
      <w:bookmarkEnd w:id="316"/>
      <w:r>
        <w:rPr>
          <w:rFonts w:hint="eastAsia" w:ascii="宋体" w:hAnsi="宋体" w:eastAsia="宋体" w:cs="Times New Roman"/>
          <w:b/>
          <w:bCs/>
          <w:color w:val="auto"/>
          <w:sz w:val="24"/>
          <w:szCs w:val="24"/>
          <w:highlight w:val="none"/>
        </w:rPr>
        <w:t xml:space="preserve">  技术商务部分评分标准</w:t>
      </w:r>
    </w:p>
    <w:p>
      <w:pPr>
        <w:spacing w:line="360" w:lineRule="auto"/>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项目编号：                                       项目名称：</w:t>
      </w:r>
    </w:p>
    <w:tbl>
      <w:tblPr>
        <w:tblStyle w:val="89"/>
        <w:tblpPr w:leftFromText="180" w:rightFromText="180" w:vertAnchor="text" w:horzAnchor="page" w:tblpX="1283"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25"/>
        <w:gridCol w:w="737"/>
        <w:gridCol w:w="7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712"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25"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评审内容</w:t>
            </w:r>
          </w:p>
        </w:tc>
        <w:tc>
          <w:tcPr>
            <w:tcW w:w="737"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c>
          <w:tcPr>
            <w:tcW w:w="7449"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评分档次及依据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712" w:type="dxa"/>
            <w:vAlign w:val="center"/>
          </w:tcPr>
          <w:p>
            <w:pPr>
              <w:numPr>
                <w:ilvl w:val="0"/>
                <w:numId w:val="8"/>
              </w:numPr>
              <w:tabs>
                <w:tab w:val="left" w:pos="840"/>
              </w:tabs>
              <w:jc w:val="center"/>
              <w:rPr>
                <w:rFonts w:hint="eastAsia" w:ascii="宋体" w:hAnsi="宋体" w:eastAsia="宋体" w:cs="宋体"/>
                <w:color w:val="auto"/>
                <w:szCs w:val="21"/>
                <w:highlight w:val="none"/>
              </w:rPr>
            </w:pPr>
          </w:p>
        </w:tc>
        <w:tc>
          <w:tcPr>
            <w:tcW w:w="825" w:type="dxa"/>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经验</w:t>
            </w:r>
          </w:p>
        </w:tc>
        <w:tc>
          <w:tcPr>
            <w:tcW w:w="737" w:type="dxa"/>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10分</w:t>
            </w:r>
          </w:p>
        </w:tc>
        <w:tc>
          <w:tcPr>
            <w:tcW w:w="7449" w:type="dxa"/>
            <w:vAlign w:val="center"/>
          </w:tcPr>
          <w:p>
            <w:pP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提供2016年以来完成类似项目业绩每提供一份业绩得2分，满分10分。</w:t>
            </w:r>
          </w:p>
          <w:p>
            <w:pPr>
              <w:spacing w:after="12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（注：提供类似项目业绩合同复印件）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712" w:type="dxa"/>
            <w:vAlign w:val="center"/>
          </w:tcPr>
          <w:p>
            <w:pPr>
              <w:numPr>
                <w:ilvl w:val="0"/>
                <w:numId w:val="8"/>
              </w:numPr>
              <w:tabs>
                <w:tab w:val="left" w:pos="840"/>
              </w:tabs>
              <w:jc w:val="center"/>
              <w:rPr>
                <w:rFonts w:ascii="宋体" w:hAnsi="宋体" w:eastAsia="宋体" w:cs="宋体"/>
                <w:color w:val="auto"/>
                <w:szCs w:val="21"/>
                <w:highlight w:val="none"/>
              </w:rPr>
            </w:pPr>
          </w:p>
        </w:tc>
        <w:tc>
          <w:tcPr>
            <w:tcW w:w="825" w:type="dxa"/>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服务方案</w:t>
            </w:r>
          </w:p>
        </w:tc>
        <w:tc>
          <w:tcPr>
            <w:tcW w:w="737" w:type="dxa"/>
            <w:vAlign w:val="center"/>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15分</w:t>
            </w:r>
          </w:p>
        </w:tc>
        <w:tc>
          <w:tcPr>
            <w:tcW w:w="7449" w:type="dxa"/>
            <w:vAlign w:val="center"/>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1、前期准备工作非常充分，项目进度安排非常科学合理，项目过程管理非常到位，信息管理和资料移交非常完善，得15分；</w:t>
            </w:r>
          </w:p>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2、前期准备工作比较充分，项目进度安排比较合理，项目过程管理比较到位，信息管理和资料移交比较完善，得10分；</w:t>
            </w: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3、前期准备工作不太充分，项目进度安排不太合理，项目过程管理不太到位，信息管理和资料移交不太完善，得5分；</w:t>
            </w:r>
          </w:p>
          <w:p>
            <w:pPr>
              <w:rPr>
                <w:rFonts w:ascii="Times New Roman" w:hAnsi="Times New Roman" w:eastAsia="宋体" w:cs="Times New Roman"/>
                <w:color w:val="auto"/>
                <w:szCs w:val="24"/>
                <w:highlight w:val="none"/>
              </w:rPr>
            </w:pPr>
            <w:r>
              <w:rPr>
                <w:rFonts w:hint="eastAsia" w:ascii="宋体" w:hAnsi="宋体" w:eastAsia="宋体" w:cs="宋体"/>
                <w:color w:val="auto"/>
                <w:kern w:val="0"/>
                <w:szCs w:val="21"/>
                <w:highlight w:val="none"/>
              </w:rPr>
              <w:t>4、没有提供服务方案的得0分。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712" w:type="dxa"/>
            <w:vAlign w:val="center"/>
          </w:tcPr>
          <w:p>
            <w:pPr>
              <w:numPr>
                <w:ilvl w:val="0"/>
                <w:numId w:val="8"/>
              </w:numPr>
              <w:tabs>
                <w:tab w:val="left" w:pos="840"/>
              </w:tabs>
              <w:jc w:val="center"/>
              <w:rPr>
                <w:rFonts w:ascii="宋体" w:hAnsi="宋体" w:eastAsia="宋体" w:cs="宋体"/>
                <w:color w:val="auto"/>
                <w:szCs w:val="21"/>
                <w:highlight w:val="none"/>
              </w:rPr>
            </w:pPr>
          </w:p>
        </w:tc>
        <w:tc>
          <w:tcPr>
            <w:tcW w:w="825" w:type="dxa"/>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服务质量评估方案</w:t>
            </w:r>
          </w:p>
        </w:tc>
        <w:tc>
          <w:tcPr>
            <w:tcW w:w="737" w:type="dxa"/>
            <w:vAlign w:val="center"/>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15分</w:t>
            </w:r>
          </w:p>
        </w:tc>
        <w:tc>
          <w:tcPr>
            <w:tcW w:w="7449" w:type="dxa"/>
            <w:vAlign w:val="center"/>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1、服务质量评估前期准备工作非常充分，项目进度安排非常科学合理，项目过程管理非常到位，信息管理和资料移交非常完善，得15分；</w:t>
            </w:r>
          </w:p>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2、服务质量评估前期准备工作比较充分，项目进度安排比较合理，项目过程管理比较到位，信息管理和资料移交比较完善，得10分；</w:t>
            </w: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3、服务质量评估前期准备工作不太充分，项目进度安排不太合理，项目过程管理不太到位，信息管理和资料移交不太完善，得5分；</w:t>
            </w:r>
          </w:p>
          <w:p>
            <w:pPr>
              <w:rPr>
                <w:rFonts w:ascii="Times New Roman" w:hAnsi="Times New Roman" w:eastAsia="宋体" w:cs="Times New Roman"/>
                <w:color w:val="auto"/>
                <w:szCs w:val="24"/>
                <w:highlight w:val="none"/>
              </w:rPr>
            </w:pPr>
            <w:r>
              <w:rPr>
                <w:rFonts w:hint="eastAsia" w:ascii="宋体" w:hAnsi="宋体" w:eastAsia="宋体" w:cs="宋体"/>
                <w:color w:val="auto"/>
                <w:kern w:val="0"/>
                <w:szCs w:val="21"/>
                <w:highlight w:val="none"/>
              </w:rPr>
              <w:t>4、没有提供服务质量评估方案的得0分。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712" w:type="dxa"/>
            <w:vAlign w:val="center"/>
          </w:tcPr>
          <w:p>
            <w:pPr>
              <w:numPr>
                <w:ilvl w:val="0"/>
                <w:numId w:val="8"/>
              </w:numPr>
              <w:tabs>
                <w:tab w:val="left" w:pos="840"/>
              </w:tabs>
              <w:jc w:val="center"/>
              <w:rPr>
                <w:rFonts w:hint="eastAsia" w:ascii="宋体" w:hAnsi="宋体" w:eastAsia="宋体" w:cs="宋体"/>
                <w:color w:val="auto"/>
                <w:szCs w:val="21"/>
                <w:highlight w:val="none"/>
              </w:rPr>
            </w:pPr>
          </w:p>
        </w:tc>
        <w:tc>
          <w:tcPr>
            <w:tcW w:w="825" w:type="dxa"/>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项目实施计划</w:t>
            </w:r>
          </w:p>
        </w:tc>
        <w:tc>
          <w:tcPr>
            <w:tcW w:w="737" w:type="dxa"/>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15分</w:t>
            </w:r>
          </w:p>
        </w:tc>
        <w:tc>
          <w:tcPr>
            <w:tcW w:w="7449" w:type="dxa"/>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1、项目经费预算科目清晰，全面考虑了工作中的各项可能性支出，预算明细合理且符合相关文件规定的得15分；</w:t>
            </w: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2、项目经费预算科目清晰，较全面考虑了工作中的主要性支出，预算明细较合理且符合相关文件规定的得10分；</w:t>
            </w: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3、项目经费预算科目清晰，但对工作中的各项主要性支出描述不够全面，预算明细基本合理的得5分；</w:t>
            </w: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4、没有项目经费预算科目的得0分；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12" w:type="dxa"/>
            <w:vAlign w:val="center"/>
          </w:tcPr>
          <w:p>
            <w:pPr>
              <w:numPr>
                <w:ilvl w:val="0"/>
                <w:numId w:val="8"/>
              </w:numPr>
              <w:tabs>
                <w:tab w:val="left" w:pos="840"/>
              </w:tabs>
              <w:jc w:val="center"/>
              <w:rPr>
                <w:rFonts w:ascii="宋体" w:hAnsi="宋体" w:eastAsia="宋体" w:cs="宋体"/>
                <w:color w:val="auto"/>
                <w:szCs w:val="21"/>
                <w:highlight w:val="none"/>
              </w:rPr>
            </w:pPr>
          </w:p>
        </w:tc>
        <w:tc>
          <w:tcPr>
            <w:tcW w:w="825" w:type="dxa"/>
            <w:vAlign w:val="center"/>
          </w:tcPr>
          <w:p>
            <w:pPr>
              <w:rPr>
                <w:rFonts w:hint="eastAsia" w:ascii="宋体" w:hAnsi="宋体" w:eastAsia="宋体" w:cs="宋体"/>
                <w:bCs/>
                <w:color w:val="auto"/>
                <w:szCs w:val="21"/>
                <w:highlight w:val="none"/>
              </w:rPr>
            </w:pPr>
            <w:r>
              <w:rPr>
                <w:rFonts w:hint="eastAsia" w:ascii="Times New Roman" w:hAnsi="Times New Roman" w:eastAsia="宋体" w:cs="Times New Roman"/>
                <w:color w:val="auto"/>
                <w:szCs w:val="24"/>
                <w:highlight w:val="none"/>
              </w:rPr>
              <w:t>评估</w:t>
            </w:r>
            <w:r>
              <w:rPr>
                <w:rFonts w:hint="eastAsia" w:ascii="宋体" w:hAnsi="宋体" w:eastAsia="宋体" w:cs="宋体"/>
                <w:bCs/>
                <w:color w:val="auto"/>
                <w:szCs w:val="21"/>
                <w:highlight w:val="none"/>
              </w:rPr>
              <w:t>团队</w:t>
            </w:r>
          </w:p>
        </w:tc>
        <w:tc>
          <w:tcPr>
            <w:tcW w:w="737" w:type="dxa"/>
            <w:vAlign w:val="center"/>
          </w:tcPr>
          <w:p>
            <w:pPr>
              <w:tabs>
                <w:tab w:val="left" w:pos="840"/>
              </w:tabs>
              <w:jc w:val="center"/>
              <w:rPr>
                <w:rFonts w:ascii="宋体" w:hAnsi="宋体" w:eastAsia="宋体" w:cs="宋体"/>
                <w:color w:val="auto"/>
                <w:szCs w:val="21"/>
                <w:highlight w:val="none"/>
              </w:rPr>
            </w:pPr>
            <w:r>
              <w:rPr>
                <w:rFonts w:hint="eastAsia" w:ascii="宋体" w:hAnsi="宋体" w:eastAsia="宋体" w:cs="宋体"/>
                <w:color w:val="auto"/>
                <w:szCs w:val="21"/>
                <w:highlight w:val="none"/>
              </w:rPr>
              <w:t>8分</w:t>
            </w:r>
          </w:p>
        </w:tc>
        <w:tc>
          <w:tcPr>
            <w:tcW w:w="7449" w:type="dxa"/>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民办残疾人社会服务机构资助项目第三方服务评估和质量监察服务团队：单次评估团队构成：监测项目团队不少于2人。其中，至少1名具备助理社会工作师资格证书或以上且有3年或以上项目统筹、管理经验；1名行政/财务人员。</w:t>
            </w:r>
          </w:p>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2、社区精神康复综合服务中心第三方业务督导和服务质量评估服务团队：</w:t>
            </w:r>
            <w:r>
              <w:rPr>
                <w:rFonts w:hint="eastAsia" w:ascii="宋体" w:hAnsi="宋体" w:eastAsia="宋体" w:cs="宋体"/>
                <w:color w:val="auto"/>
                <w:szCs w:val="21"/>
                <w:highlight w:val="none"/>
              </w:rPr>
              <w:t>每次评估团队4人，其中，持有社工督导资格证，且3年</w:t>
            </w:r>
            <w:r>
              <w:rPr>
                <w:rFonts w:hint="eastAsia" w:ascii="Times New Roman" w:hAnsi="Times New Roman" w:eastAsia="宋体" w:cs="Times New Roman"/>
                <w:color w:val="auto"/>
                <w:szCs w:val="24"/>
                <w:highlight w:val="none"/>
              </w:rPr>
              <w:t>或以上</w:t>
            </w:r>
            <w:r>
              <w:rPr>
                <w:rFonts w:hint="eastAsia" w:ascii="宋体" w:hAnsi="宋体" w:eastAsia="宋体" w:cs="宋体"/>
                <w:color w:val="auto"/>
                <w:szCs w:val="21"/>
                <w:highlight w:val="none"/>
              </w:rPr>
              <w:t>社区精神康复服务经验的中级或以上级别社工1名；高校社会工作专业讲师或以上职称教师1名；持有会计师资格证的财务人员1名；随行工作人员1名。</w:t>
            </w: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3、残疾人家庭无障碍改造专项提升工作第三方抽检验收服务团队：至少5人组成。</w:t>
            </w:r>
          </w:p>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承诺内容满足或优于以上要求的得8分，其他不得分。</w:t>
            </w:r>
          </w:p>
          <w:p>
            <w:pPr>
              <w:rPr>
                <w:rFonts w:hint="eastAsia" w:ascii="Times New Roman" w:hAnsi="Times New Roman" w:eastAsia="宋体" w:cs="Times New Roman"/>
                <w:color w:val="auto"/>
                <w:szCs w:val="24"/>
                <w:highlight w:val="none"/>
              </w:rPr>
            </w:pPr>
            <w:r>
              <w:rPr>
                <w:rFonts w:hint="eastAsia" w:ascii="宋体" w:hAnsi="宋体" w:eastAsia="宋体" w:cs="宋体"/>
                <w:color w:val="auto"/>
                <w:kern w:val="0"/>
                <w:szCs w:val="21"/>
                <w:highlight w:val="none"/>
              </w:rPr>
              <w:t>（提供评估团队书面承诺书）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12" w:type="dxa"/>
            <w:vAlign w:val="center"/>
          </w:tcPr>
          <w:p>
            <w:pPr>
              <w:numPr>
                <w:ilvl w:val="0"/>
                <w:numId w:val="8"/>
              </w:numPr>
              <w:tabs>
                <w:tab w:val="left" w:pos="840"/>
              </w:tabs>
              <w:jc w:val="center"/>
              <w:rPr>
                <w:rFonts w:ascii="宋体" w:hAnsi="宋体" w:eastAsia="宋体" w:cs="宋体"/>
                <w:color w:val="auto"/>
                <w:szCs w:val="21"/>
                <w:highlight w:val="none"/>
              </w:rPr>
            </w:pPr>
          </w:p>
        </w:tc>
        <w:tc>
          <w:tcPr>
            <w:tcW w:w="825" w:type="dxa"/>
            <w:vAlign w:val="center"/>
          </w:tcPr>
          <w:p>
            <w:pP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督导团队</w:t>
            </w:r>
          </w:p>
        </w:tc>
        <w:tc>
          <w:tcPr>
            <w:tcW w:w="737" w:type="dxa"/>
            <w:vAlign w:val="center"/>
          </w:tcPr>
          <w:p>
            <w:pPr>
              <w:tabs>
                <w:tab w:val="left" w:pos="840"/>
              </w:tabs>
              <w:jc w:val="center"/>
              <w:rPr>
                <w:rFonts w:ascii="宋体" w:hAnsi="宋体" w:eastAsia="宋体" w:cs="宋体"/>
                <w:color w:val="auto"/>
                <w:szCs w:val="21"/>
                <w:highlight w:val="none"/>
              </w:rPr>
            </w:pPr>
            <w:r>
              <w:rPr>
                <w:rFonts w:hint="eastAsia" w:ascii="宋体" w:hAnsi="宋体" w:eastAsia="宋体" w:cs="宋体"/>
                <w:color w:val="auto"/>
                <w:szCs w:val="21"/>
                <w:highlight w:val="none"/>
              </w:rPr>
              <w:t>7分</w:t>
            </w:r>
          </w:p>
        </w:tc>
        <w:tc>
          <w:tcPr>
            <w:tcW w:w="7449"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投标人拟投入本项目督导团队的构成：督导团队2人，其中 1人为业务督导、1 人为行政人员，督导人员须为持中级</w:t>
            </w:r>
            <w:r>
              <w:rPr>
                <w:rFonts w:hint="eastAsia" w:ascii="Times New Roman" w:hAnsi="Times New Roman" w:eastAsia="宋体" w:cs="Times New Roman"/>
                <w:color w:val="auto"/>
                <w:szCs w:val="24"/>
                <w:highlight w:val="none"/>
              </w:rPr>
              <w:t>或以上级别</w:t>
            </w:r>
            <w:r>
              <w:rPr>
                <w:rFonts w:hint="eastAsia" w:ascii="宋体" w:hAnsi="宋体" w:eastAsia="宋体" w:cs="宋体"/>
                <w:color w:val="auto"/>
                <w:szCs w:val="21"/>
                <w:highlight w:val="none"/>
              </w:rPr>
              <w:t>社会工作师资格证</w:t>
            </w:r>
            <w:r>
              <w:rPr>
                <w:rFonts w:hint="eastAsia" w:ascii="Times New Roman" w:hAnsi="Times New Roman" w:eastAsia="宋体" w:cs="Times New Roman"/>
                <w:color w:val="auto"/>
                <w:szCs w:val="24"/>
                <w:highlight w:val="none"/>
              </w:rPr>
              <w:t>3年或以上</w:t>
            </w:r>
            <w:r>
              <w:rPr>
                <w:rFonts w:hint="eastAsia" w:ascii="宋体" w:hAnsi="宋体" w:eastAsia="宋体" w:cs="宋体"/>
                <w:color w:val="auto"/>
                <w:szCs w:val="21"/>
                <w:highlight w:val="none"/>
              </w:rPr>
              <w:t>，有3年或以上社区精神康复服务经验并持有社工督导资格证明材料。</w:t>
            </w:r>
          </w:p>
          <w:p>
            <w:pPr>
              <w:rPr>
                <w:rFonts w:ascii="宋体" w:hAnsi="宋体" w:eastAsia="宋体" w:cs="宋体"/>
                <w:color w:val="auto"/>
                <w:szCs w:val="21"/>
                <w:highlight w:val="none"/>
              </w:rPr>
            </w:pPr>
            <w:r>
              <w:rPr>
                <w:rFonts w:hint="eastAsia" w:ascii="宋体" w:hAnsi="宋体" w:eastAsia="宋体" w:cs="宋体"/>
                <w:color w:val="auto"/>
                <w:szCs w:val="21"/>
                <w:highlight w:val="none"/>
              </w:rPr>
              <w:t>承诺内容满足或优于以上要求的得7分，其他不得分。</w:t>
            </w:r>
          </w:p>
          <w:p>
            <w:pPr>
              <w:rPr>
                <w:rFonts w:hint="eastAsia" w:ascii="Times New Roman" w:hAnsi="Times New Roman" w:eastAsia="宋体" w:cs="Times New Roman"/>
                <w:color w:val="auto"/>
                <w:szCs w:val="24"/>
                <w:highlight w:val="none"/>
              </w:rPr>
            </w:pPr>
            <w:r>
              <w:rPr>
                <w:rFonts w:hint="eastAsia" w:ascii="宋体" w:hAnsi="宋体" w:eastAsia="宋体" w:cs="宋体"/>
                <w:color w:val="auto"/>
                <w:szCs w:val="21"/>
                <w:highlight w:val="none"/>
              </w:rPr>
              <w:t>（提供督导团队书面承诺书）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37" w:type="dxa"/>
            <w:gridSpan w:val="2"/>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737" w:type="dxa"/>
            <w:vAlign w:val="center"/>
          </w:tcPr>
          <w:p>
            <w:pPr>
              <w:tabs>
                <w:tab w:val="left" w:pos="840"/>
              </w:tabs>
              <w:jc w:val="center"/>
              <w:rPr>
                <w:rFonts w:ascii="宋体" w:hAnsi="宋体" w:eastAsia="宋体" w:cs="宋体"/>
                <w:color w:val="auto"/>
                <w:szCs w:val="21"/>
                <w:highlight w:val="none"/>
              </w:rPr>
            </w:pPr>
            <w:r>
              <w:rPr>
                <w:rFonts w:hint="eastAsia" w:ascii="宋体" w:hAnsi="宋体" w:eastAsia="宋体" w:cs="宋体"/>
                <w:color w:val="auto"/>
                <w:szCs w:val="21"/>
                <w:highlight w:val="none"/>
              </w:rPr>
              <w:t>70分</w:t>
            </w:r>
          </w:p>
        </w:tc>
        <w:tc>
          <w:tcPr>
            <w:tcW w:w="7449" w:type="dxa"/>
            <w:vAlign w:val="center"/>
          </w:tcPr>
          <w:p>
            <w:pPr>
              <w:jc w:val="left"/>
              <w:rPr>
                <w:rFonts w:hint="eastAsia" w:ascii="宋体" w:hAnsi="宋体" w:eastAsia="宋体" w:cs="宋体"/>
                <w:color w:val="auto"/>
                <w:szCs w:val="21"/>
                <w:highlight w:val="none"/>
              </w:rPr>
            </w:pPr>
          </w:p>
        </w:tc>
      </w:tr>
    </w:tbl>
    <w:p>
      <w:pPr>
        <w:spacing w:line="360" w:lineRule="auto"/>
        <w:rPr>
          <w:rFonts w:hint="eastAsia" w:ascii="宋体" w:hAnsi="Times New Roman" w:eastAsia="宋体" w:cs="宋体"/>
          <w:snapToGrid w:val="0"/>
          <w:color w:val="auto"/>
          <w:szCs w:val="24"/>
          <w:highlight w:val="none"/>
        </w:rPr>
      </w:pPr>
    </w:p>
    <w:p>
      <w:pPr>
        <w:spacing w:line="360" w:lineRule="auto"/>
        <w:rPr>
          <w:rFonts w:ascii="宋体" w:hAnsi="宋体" w:eastAsia="宋体" w:cs="Times New Roman"/>
          <w:bCs/>
          <w:color w:val="auto"/>
          <w:szCs w:val="24"/>
          <w:highlight w:val="none"/>
        </w:rPr>
      </w:pPr>
      <w:r>
        <w:rPr>
          <w:rFonts w:hint="eastAsia" w:ascii="宋体" w:hAnsi="Times New Roman" w:eastAsia="宋体" w:cs="宋体"/>
          <w:snapToGrid w:val="0"/>
          <w:color w:val="auto"/>
          <w:szCs w:val="24"/>
          <w:highlight w:val="none"/>
        </w:rPr>
        <w:t>备注：</w:t>
      </w:r>
      <w:r>
        <w:rPr>
          <w:rFonts w:hint="eastAsia" w:ascii="宋体" w:hAnsi="宋体" w:eastAsia="宋体" w:cs="Times New Roman"/>
          <w:bCs/>
          <w:color w:val="auto"/>
          <w:szCs w:val="24"/>
          <w:highlight w:val="none"/>
        </w:rPr>
        <w:t>公开遴选文件要求提交的与评价指标体系相关的各类有效资料，供应商如未按要求提交的，该项评分为零分。</w:t>
      </w:r>
    </w:p>
    <w:p>
      <w:pPr>
        <w:spacing w:line="360" w:lineRule="auto"/>
        <w:rPr>
          <w:rFonts w:ascii="宋体" w:hAnsi="宋体" w:eastAsia="宋体" w:cs="Times New Roman"/>
          <w:bCs/>
          <w:color w:val="auto"/>
          <w:szCs w:val="21"/>
          <w:highlight w:val="none"/>
        </w:rPr>
        <w:sectPr>
          <w:headerReference r:id="rId15" w:type="default"/>
          <w:pgSz w:w="11906" w:h="16838"/>
          <w:pgMar w:top="567" w:right="1134" w:bottom="567" w:left="1134" w:header="567" w:footer="737" w:gutter="0"/>
          <w:cols w:space="720" w:num="1"/>
          <w:docGrid w:linePitch="312" w:charSpace="0"/>
        </w:sectPr>
      </w:pPr>
      <w:r>
        <w:rPr>
          <w:rFonts w:hint="eastAsia" w:ascii="Times New Roman" w:hAnsi="Times New Roman" w:eastAsia="宋体" w:cs="Times New Roman"/>
          <w:color w:val="auto"/>
          <w:szCs w:val="21"/>
          <w:highlight w:val="none"/>
        </w:rPr>
        <w:t xml:space="preserve">评委签名：                                                     </w:t>
      </w:r>
      <w:r>
        <w:rPr>
          <w:rFonts w:hint="eastAsia" w:ascii="宋体" w:hAnsi="宋体" w:eastAsia="宋体" w:cs="Times New Roman"/>
          <w:bCs/>
          <w:color w:val="auto"/>
          <w:szCs w:val="21"/>
          <w:highlight w:val="none"/>
        </w:rPr>
        <w:t>日期：   年  月  日</w:t>
      </w:r>
    </w:p>
    <w:p>
      <w:pPr>
        <w:jc w:val="left"/>
        <w:rPr>
          <w:rFonts w:ascii="宋体" w:hAnsi="宋体" w:eastAsia="宋体" w:cs="Times New Roman"/>
          <w:color w:val="auto"/>
          <w:sz w:val="24"/>
          <w:szCs w:val="24"/>
          <w:highlight w:val="none"/>
        </w:rPr>
      </w:pPr>
      <w:r>
        <w:rPr>
          <w:rFonts w:hint="eastAsia" w:ascii="宋体" w:hAnsi="宋体" w:eastAsia="宋体" w:cs="Times New Roman"/>
          <w:b/>
          <w:bCs/>
          <w:color w:val="auto"/>
          <w:sz w:val="24"/>
          <w:szCs w:val="24"/>
          <w:highlight w:val="none"/>
        </w:rPr>
        <w:t xml:space="preserve">附件3  </w:t>
      </w:r>
      <w:r>
        <w:rPr>
          <w:rFonts w:hint="eastAsia" w:ascii="宋体" w:hAnsi="宋体" w:eastAsia="宋体" w:cs="Times New Roman"/>
          <w:b/>
          <w:color w:val="auto"/>
          <w:sz w:val="24"/>
          <w:szCs w:val="24"/>
          <w:highlight w:val="none"/>
        </w:rPr>
        <w:t>价格评审表</w:t>
      </w:r>
    </w:p>
    <w:p>
      <w:pPr>
        <w:snapToGrid w:val="0"/>
        <w:spacing w:line="360" w:lineRule="auto"/>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项目编号：</w:t>
      </w:r>
    </w:p>
    <w:p>
      <w:pPr>
        <w:spacing w:line="360" w:lineRule="auto"/>
        <w:rPr>
          <w:rFonts w:ascii="Times New Roman" w:hAnsi="Times New Roman" w:eastAsia="宋体" w:cs="Times New Roman"/>
          <w:color w:val="auto"/>
          <w:szCs w:val="21"/>
          <w:highlight w:val="none"/>
        </w:rPr>
      </w:pPr>
      <w:r>
        <w:rPr>
          <w:rFonts w:hint="eastAsia" w:ascii="宋体" w:hAnsi="宋体" w:eastAsia="宋体" w:cs="Times New Roman"/>
          <w:bCs/>
          <w:color w:val="auto"/>
          <w:szCs w:val="21"/>
          <w:highlight w:val="none"/>
        </w:rPr>
        <w:t>项目名称：</w:t>
      </w:r>
    </w:p>
    <w:tbl>
      <w:tblPr>
        <w:tblStyle w:val="8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有效供应商</w:t>
            </w:r>
          </w:p>
          <w:p>
            <w:pPr>
              <w:widowControl/>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eastAsia="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eastAsia="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eastAsia="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eastAsia="宋体" w:cs="宋体"/>
                <w:color w:val="auto"/>
                <w:kern w:val="0"/>
                <w:szCs w:val="21"/>
                <w:highlight w:val="none"/>
              </w:rPr>
            </w:pPr>
          </w:p>
        </w:tc>
      </w:tr>
    </w:tbl>
    <w:p>
      <w:pPr>
        <w:spacing w:line="360" w:lineRule="auto"/>
        <w:rPr>
          <w:rFonts w:ascii="宋体" w:hAnsi="宋体" w:eastAsia="宋体" w:cs="Times New Roman"/>
          <w:color w:val="auto"/>
          <w:szCs w:val="21"/>
          <w:highlight w:val="none"/>
        </w:rPr>
      </w:pPr>
    </w:p>
    <w:p>
      <w:pPr>
        <w:spacing w:line="360" w:lineRule="auto"/>
        <w:rPr>
          <w:rFonts w:ascii="宋体" w:hAnsi="宋体" w:eastAsia="宋体" w:cs="宋体"/>
          <w:b/>
          <w:color w:val="auto"/>
          <w:kern w:val="0"/>
          <w:szCs w:val="21"/>
          <w:highlight w:val="none"/>
        </w:rPr>
      </w:pPr>
    </w:p>
    <w:p>
      <w:pPr>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w:t>
      </w:r>
    </w:p>
    <w:p>
      <w:pPr>
        <w:adjustRightInd w:val="0"/>
        <w:snapToGrid w:val="0"/>
        <w:spacing w:line="360" w:lineRule="auto"/>
        <w:ind w:left="42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1、价格核准：评审小组对有效供应商的详细报价进行复核，看其是否有计算错误或供货范围上的错误，修正错误的原则详见招标相关条款。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eastAsia="宋体" w:cs="宋体"/>
          <w:b/>
          <w:color w:val="auto"/>
          <w:kern w:val="0"/>
          <w:szCs w:val="21"/>
          <w:highlight w:val="none"/>
        </w:rPr>
      </w:pPr>
      <w:r>
        <w:rPr>
          <w:rFonts w:hint="eastAsia" w:ascii="宋体" w:hAnsi="宋体" w:eastAsia="宋体" w:cs="Times New Roman"/>
          <w:b/>
          <w:color w:val="auto"/>
          <w:szCs w:val="21"/>
          <w:highlight w:val="none"/>
        </w:rPr>
        <w:t>2、价格评分：</w:t>
      </w:r>
      <w:r>
        <w:rPr>
          <w:rFonts w:hint="eastAsia" w:ascii="宋体" w:hAnsi="宋体" w:eastAsia="宋体" w:cs="宋体"/>
          <w:b/>
          <w:color w:val="auto"/>
          <w:kern w:val="0"/>
          <w:szCs w:val="21"/>
          <w:highlight w:val="none"/>
        </w:rPr>
        <w:t>综合评分法中的价格分统一采用低价优先法计算，即满足遴选文件要求且最后报价最低的供应商的价格为遴选基准价，其价格分为满分。其他供应商的价格分统一按照下列公式计算：</w:t>
      </w:r>
    </w:p>
    <w:p>
      <w:pPr>
        <w:adjustRightInd w:val="0"/>
        <w:snapToGrid w:val="0"/>
        <w:spacing w:line="360" w:lineRule="auto"/>
        <w:ind w:left="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遴选报价得分=（遴选基准价/最后遴选报价）×价格权值×100</w:t>
      </w:r>
    </w:p>
    <w:p>
      <w:pPr>
        <w:adjustRightInd w:val="0"/>
        <w:snapToGrid w:val="0"/>
        <w:spacing w:line="360" w:lineRule="auto"/>
        <w:ind w:left="42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3、遴选报价得分四舍五入后，小数点后保留两位有效数。</w:t>
      </w:r>
    </w:p>
    <w:p>
      <w:pPr>
        <w:adjustRightInd w:val="0"/>
        <w:snapToGrid w:val="0"/>
        <w:spacing w:line="360" w:lineRule="auto"/>
        <w:ind w:left="420"/>
        <w:jc w:val="left"/>
        <w:rPr>
          <w:rFonts w:ascii="宋体" w:hAnsi="宋体" w:eastAsia="宋体" w:cs="宋体"/>
          <w:b/>
          <w:color w:val="auto"/>
          <w:kern w:val="0"/>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keepNext/>
        <w:autoSpaceDE w:val="0"/>
        <w:spacing w:line="360" w:lineRule="auto"/>
        <w:ind w:right="-441" w:rightChars="-210"/>
        <w:jc w:val="center"/>
        <w:outlineLvl w:val="0"/>
        <w:rPr>
          <w:rFonts w:hint="eastAsia" w:ascii="宋体" w:hAnsi="宋体" w:eastAsia="宋体" w:cs="Times New Roman"/>
          <w:b/>
          <w:bCs/>
          <w:color w:val="auto"/>
          <w:sz w:val="44"/>
          <w:szCs w:val="24"/>
          <w:highlight w:val="none"/>
        </w:rPr>
      </w:pPr>
      <w:bookmarkStart w:id="317" w:name="_Toc320515058"/>
      <w:bookmarkStart w:id="318" w:name="_Toc475104537"/>
    </w:p>
    <w:p>
      <w:pPr>
        <w:keepNext/>
        <w:autoSpaceDE w:val="0"/>
        <w:spacing w:line="360" w:lineRule="auto"/>
        <w:ind w:right="-441" w:rightChars="-210"/>
        <w:outlineLvl w:val="0"/>
        <w:rPr>
          <w:rFonts w:hint="eastAsia" w:ascii="宋体" w:hAnsi="宋体" w:eastAsia="宋体" w:cs="Times New Roman"/>
          <w:b/>
          <w:bCs/>
          <w:color w:val="auto"/>
          <w:sz w:val="44"/>
          <w:szCs w:val="24"/>
          <w:highlight w:val="none"/>
        </w:rPr>
      </w:pPr>
    </w:p>
    <w:p>
      <w:pPr>
        <w:rPr>
          <w:rFonts w:hint="eastAsia" w:ascii="Times New Roman" w:hAnsi="Times New Roman" w:eastAsia="宋体" w:cs="Times New Roman"/>
          <w:color w:val="auto"/>
          <w:szCs w:val="24"/>
          <w:highlight w:val="none"/>
        </w:rPr>
      </w:pPr>
    </w:p>
    <w:p>
      <w:pPr>
        <w:keepNext/>
        <w:autoSpaceDE w:val="0"/>
        <w:spacing w:line="360" w:lineRule="auto"/>
        <w:ind w:right="-441" w:rightChars="-210"/>
        <w:jc w:val="center"/>
        <w:outlineLvl w:val="0"/>
        <w:rPr>
          <w:rFonts w:hint="eastAsia" w:ascii="宋体" w:hAnsi="宋体" w:eastAsia="宋体" w:cs="Times New Roman"/>
          <w:b/>
          <w:bCs/>
          <w:color w:val="auto"/>
          <w:sz w:val="44"/>
          <w:szCs w:val="24"/>
          <w:highlight w:val="none"/>
        </w:rPr>
      </w:pPr>
    </w:p>
    <w:p>
      <w:pPr>
        <w:keepNext/>
        <w:autoSpaceDE w:val="0"/>
        <w:spacing w:line="360" w:lineRule="auto"/>
        <w:ind w:right="-441" w:rightChars="-210"/>
        <w:jc w:val="center"/>
        <w:outlineLvl w:val="0"/>
        <w:rPr>
          <w:rFonts w:hint="eastAsia" w:ascii="宋体" w:hAnsi="宋体" w:eastAsia="宋体" w:cs="Times New Roman"/>
          <w:b/>
          <w:bCs/>
          <w:color w:val="auto"/>
          <w:sz w:val="44"/>
          <w:szCs w:val="24"/>
          <w:highlight w:val="none"/>
        </w:rPr>
      </w:pPr>
    </w:p>
    <w:p>
      <w:pPr>
        <w:keepNext/>
        <w:autoSpaceDE w:val="0"/>
        <w:spacing w:line="360" w:lineRule="auto"/>
        <w:ind w:right="-441" w:rightChars="-210"/>
        <w:jc w:val="center"/>
        <w:outlineLvl w:val="0"/>
        <w:rPr>
          <w:rFonts w:ascii="宋体" w:hAnsi="宋体" w:eastAsia="宋体" w:cs="Times New Roman"/>
          <w:b/>
          <w:bCs/>
          <w:color w:val="auto"/>
          <w:sz w:val="44"/>
          <w:szCs w:val="24"/>
          <w:highlight w:val="none"/>
        </w:rPr>
      </w:pPr>
      <w:r>
        <w:rPr>
          <w:rFonts w:hint="eastAsia" w:ascii="宋体" w:hAnsi="宋体" w:eastAsia="宋体" w:cs="Times New Roman"/>
          <w:b/>
          <w:bCs/>
          <w:color w:val="auto"/>
          <w:sz w:val="44"/>
          <w:szCs w:val="24"/>
          <w:highlight w:val="none"/>
        </w:rPr>
        <w:t>第六章 附  件（格式）</w:t>
      </w:r>
      <w:bookmarkEnd w:id="317"/>
      <w:bookmarkEnd w:id="318"/>
    </w:p>
    <w:p>
      <w:pPr>
        <w:spacing w:line="360" w:lineRule="auto"/>
        <w:rPr>
          <w:rFonts w:ascii="宋体" w:hAnsi="宋体" w:eastAsia="宋体" w:cs="Times New Roman"/>
          <w:bCs/>
          <w:color w:val="auto"/>
          <w:sz w:val="28"/>
          <w:szCs w:val="24"/>
          <w:highlight w:val="none"/>
        </w:rPr>
      </w:pPr>
      <w:bookmarkStart w:id="319" w:name="_Toc14450838"/>
      <w:bookmarkStart w:id="320" w:name="_Toc109467908"/>
      <w:bookmarkStart w:id="321" w:name="_Toc35834912"/>
      <w:bookmarkStart w:id="322" w:name="_Toc28489496"/>
      <w:bookmarkStart w:id="323" w:name="_Toc34535358"/>
    </w:p>
    <w:p>
      <w:pPr>
        <w:spacing w:line="360" w:lineRule="auto"/>
        <w:rPr>
          <w:rFonts w:ascii="宋体" w:hAnsi="宋体" w:eastAsia="宋体" w:cs="Times New Roman"/>
          <w:bCs/>
          <w:color w:val="auto"/>
          <w:sz w:val="28"/>
          <w:szCs w:val="24"/>
          <w:highlight w:val="none"/>
        </w:rPr>
      </w:pPr>
    </w:p>
    <w:p>
      <w:pPr>
        <w:spacing w:line="360" w:lineRule="auto"/>
        <w:rPr>
          <w:rFonts w:ascii="宋体" w:hAnsi="宋体" w:eastAsia="宋体" w:cs="Times New Roman"/>
          <w:bCs/>
          <w:color w:val="auto"/>
          <w:sz w:val="28"/>
          <w:szCs w:val="24"/>
          <w:highlight w:val="none"/>
        </w:rPr>
      </w:pPr>
    </w:p>
    <w:p>
      <w:pPr>
        <w:spacing w:line="360" w:lineRule="auto"/>
        <w:rPr>
          <w:rFonts w:ascii="宋体" w:hAnsi="宋体" w:eastAsia="宋体" w:cs="Times New Roman"/>
          <w:bCs/>
          <w:color w:val="auto"/>
          <w:sz w:val="28"/>
          <w:szCs w:val="24"/>
          <w:highlight w:val="none"/>
        </w:rPr>
      </w:pPr>
    </w:p>
    <w:p>
      <w:pPr>
        <w:spacing w:line="360" w:lineRule="auto"/>
        <w:rPr>
          <w:rFonts w:ascii="宋体" w:hAnsi="宋体" w:eastAsia="宋体" w:cs="Times New Roman"/>
          <w:bCs/>
          <w:color w:val="auto"/>
          <w:sz w:val="28"/>
          <w:szCs w:val="24"/>
          <w:highlight w:val="none"/>
        </w:rPr>
      </w:pPr>
    </w:p>
    <w:p>
      <w:pPr>
        <w:spacing w:line="360" w:lineRule="auto"/>
        <w:rPr>
          <w:rFonts w:ascii="宋体" w:hAnsi="宋体" w:eastAsia="宋体" w:cs="Times New Roman"/>
          <w:bCs/>
          <w:color w:val="auto"/>
          <w:sz w:val="28"/>
          <w:szCs w:val="24"/>
          <w:highlight w:val="none"/>
        </w:rPr>
      </w:pPr>
    </w:p>
    <w:p>
      <w:pPr>
        <w:spacing w:line="360" w:lineRule="auto"/>
        <w:rPr>
          <w:rFonts w:ascii="宋体" w:hAnsi="宋体" w:eastAsia="宋体" w:cs="Times New Roman"/>
          <w:bCs/>
          <w:color w:val="auto"/>
          <w:sz w:val="28"/>
          <w:szCs w:val="24"/>
          <w:highlight w:val="none"/>
        </w:rPr>
      </w:pPr>
    </w:p>
    <w:p>
      <w:pPr>
        <w:spacing w:line="360" w:lineRule="auto"/>
        <w:rPr>
          <w:rFonts w:ascii="宋体" w:hAnsi="宋体" w:eastAsia="宋体" w:cs="Times New Roman"/>
          <w:bCs/>
          <w:color w:val="auto"/>
          <w:sz w:val="28"/>
          <w:szCs w:val="24"/>
          <w:highlight w:val="none"/>
        </w:rPr>
      </w:pPr>
    </w:p>
    <w:p>
      <w:pPr>
        <w:spacing w:line="360" w:lineRule="auto"/>
        <w:rPr>
          <w:rFonts w:ascii="宋体" w:hAnsi="宋体" w:eastAsia="宋体" w:cs="Times New Roman"/>
          <w:bCs/>
          <w:color w:val="auto"/>
          <w:sz w:val="28"/>
          <w:szCs w:val="24"/>
          <w:highlight w:val="none"/>
        </w:rPr>
      </w:pPr>
    </w:p>
    <w:p>
      <w:pPr>
        <w:spacing w:line="360" w:lineRule="auto"/>
        <w:rPr>
          <w:rFonts w:ascii="宋体" w:hAnsi="宋体" w:eastAsia="宋体" w:cs="Times New Roman"/>
          <w:bCs/>
          <w:color w:val="auto"/>
          <w:sz w:val="28"/>
          <w:szCs w:val="24"/>
          <w:highlight w:val="none"/>
        </w:rPr>
      </w:pPr>
    </w:p>
    <w:p>
      <w:pPr>
        <w:spacing w:line="360" w:lineRule="auto"/>
        <w:rPr>
          <w:rFonts w:ascii="宋体" w:hAnsi="宋体" w:eastAsia="宋体" w:cs="Times New Roman"/>
          <w:bCs/>
          <w:color w:val="auto"/>
          <w:sz w:val="28"/>
          <w:szCs w:val="24"/>
          <w:highlight w:val="none"/>
        </w:rPr>
      </w:pPr>
    </w:p>
    <w:p>
      <w:pPr>
        <w:spacing w:line="360" w:lineRule="auto"/>
        <w:rPr>
          <w:rFonts w:ascii="宋体" w:hAnsi="宋体" w:eastAsia="宋体" w:cs="Times New Roman"/>
          <w:bCs/>
          <w:color w:val="auto"/>
          <w:sz w:val="28"/>
          <w:szCs w:val="24"/>
          <w:highlight w:val="none"/>
        </w:rPr>
      </w:pPr>
    </w:p>
    <w:p>
      <w:pPr>
        <w:spacing w:line="360" w:lineRule="auto"/>
        <w:rPr>
          <w:rFonts w:ascii="宋体" w:hAnsi="宋体" w:eastAsia="宋体" w:cs="Times New Roman"/>
          <w:bCs/>
          <w:color w:val="auto"/>
          <w:sz w:val="28"/>
          <w:szCs w:val="24"/>
          <w:highlight w:val="none"/>
        </w:rPr>
      </w:pPr>
    </w:p>
    <w:p>
      <w:pPr>
        <w:spacing w:line="360" w:lineRule="auto"/>
        <w:rPr>
          <w:rFonts w:ascii="宋体" w:hAnsi="宋体" w:eastAsia="宋体" w:cs="Times New Roman"/>
          <w:color w:val="auto"/>
          <w:szCs w:val="30"/>
          <w:highlight w:val="none"/>
        </w:rPr>
      </w:pPr>
    </w:p>
    <w:p>
      <w:pPr>
        <w:keepNext/>
        <w:keepLines/>
        <w:numPr>
          <w:ilvl w:val="0"/>
          <w:numId w:val="9"/>
        </w:numPr>
        <w:tabs>
          <w:tab w:val="left" w:pos="630"/>
        </w:tabs>
        <w:autoSpaceDE w:val="0"/>
        <w:spacing w:before="48" w:beforeLines="20" w:after="48" w:afterLines="20" w:line="360" w:lineRule="auto"/>
        <w:ind w:left="630" w:hanging="630"/>
        <w:jc w:val="left"/>
        <w:outlineLvl w:val="1"/>
        <w:rPr>
          <w:rFonts w:ascii="宋体" w:hAnsi="宋体" w:eastAsia="宋体" w:cs="Times New Roman"/>
          <w:b/>
          <w:color w:val="auto"/>
          <w:kern w:val="0"/>
          <w:sz w:val="30"/>
          <w:szCs w:val="30"/>
          <w:highlight w:val="none"/>
        </w:rPr>
      </w:pPr>
      <w:bookmarkStart w:id="324" w:name="_Toc163481918"/>
      <w:r>
        <w:rPr>
          <w:rFonts w:hint="eastAsia" w:ascii="宋体" w:hAnsi="宋体" w:eastAsia="宋体" w:cs="Times New Roman"/>
          <w:b/>
          <w:color w:val="auto"/>
          <w:kern w:val="0"/>
          <w:sz w:val="30"/>
          <w:szCs w:val="30"/>
          <w:highlight w:val="none"/>
        </w:rPr>
        <w:t>遴选响应文件格式</w:t>
      </w:r>
      <w:bookmarkEnd w:id="324"/>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遴选响应文件请按以下要求的顺序和格式制作。</w:t>
      </w:r>
    </w:p>
    <w:tbl>
      <w:tblPr>
        <w:tblStyle w:val="89"/>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kern w:val="0"/>
                <w:szCs w:val="21"/>
                <w:highlight w:val="none"/>
              </w:rPr>
              <w:t>公开遴选函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★具有独立承担民事责任的能力【提供法人或者其他组织的营业执照、组织机构代码证和税务登记证（或三证合一证明）等证明文件】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★具有良好的商业信誉和健全的财务会计制度【提供书面承诺声明】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★具有履行合同所必需的设备和专业技术能力【提供履行合同所必需的设备清单以及技术人员的名单材料】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★有依法缴纳税收和社会保障资金的良好记录【提供书面承诺声明】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★参加政府采购活动前三年内，在经营活动中没有重大违法记录【提供书面声明】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kern w:val="0"/>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kern w:val="0"/>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供应商必须是国内民政部门登记的合法社会组织，持有有效期内的《民办非企业单位（法人）登记证书》。</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供应商必须是未承接本市社区精神康复综合服务中心服务的第三方社会服务机构，与项目被评估方、被抽检方不存在利害关系。</w:t>
            </w:r>
            <w:r>
              <w:rPr>
                <w:rFonts w:hint="eastAsia" w:ascii="宋体" w:hAnsi="宋体" w:eastAsia="宋体" w:cs="宋体"/>
                <w:color w:val="auto"/>
                <w:kern w:val="0"/>
                <w:szCs w:val="21"/>
                <w:highlight w:val="none"/>
              </w:rPr>
              <w:t>【提供书面声明】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kern w:val="0"/>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本项目不接受联合体投标。</w:t>
            </w:r>
            <w:r>
              <w:rPr>
                <w:rFonts w:hint="eastAsia" w:ascii="宋体" w:hAnsi="宋体" w:eastAsia="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Times New Roman"/>
                <w:color w:val="auto"/>
                <w:szCs w:val="24"/>
                <w:highlight w:val="none"/>
              </w:rPr>
            </w:pPr>
            <w:r>
              <w:rPr>
                <w:rFonts w:hint="eastAsia" w:ascii="宋体" w:hAnsi="宋体" w:eastAsia="宋体" w:cs="宋体"/>
                <w:color w:val="auto"/>
                <w:kern w:val="0"/>
                <w:szCs w:val="21"/>
                <w:highlight w:val="none"/>
              </w:rPr>
              <w:t>书面承诺声明（附件4)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同意公开遴选文件条款说明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明细报价表(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Cs w:val="21"/>
                <w:highlight w:val="none"/>
              </w:rPr>
            </w:pPr>
            <w:r>
              <w:rPr>
                <w:rFonts w:hint="eastAsia" w:ascii="宋体" w:hAnsi="宋体" w:eastAsia="宋体" w:cs="Times New Roman"/>
                <w:bCs/>
                <w:color w:val="auto"/>
                <w:kern w:val="0"/>
                <w:szCs w:val="21"/>
                <w:highlight w:val="none"/>
              </w:rPr>
              <w:t>产品适用政府采购政策情况表</w:t>
            </w:r>
            <w:r>
              <w:rPr>
                <w:rFonts w:hint="eastAsia" w:ascii="宋体" w:hAnsi="宋体" w:eastAsia="宋体" w:cs="Times New Roman"/>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监狱企业的证明文件（如适用）</w:t>
            </w:r>
            <w:r>
              <w:rPr>
                <w:rFonts w:hint="eastAsia" w:ascii="宋体" w:hAnsi="宋体" w:eastAsia="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残疾人福利性单位声明函（如适用）</w:t>
            </w:r>
            <w:r>
              <w:rPr>
                <w:rFonts w:hint="eastAsia" w:ascii="宋体" w:hAnsi="宋体" w:eastAsia="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拟派本项目负责人及主要人员情况表（附件18)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实质性条款响应一览表（附件19）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采购人配合的条件及伴随服务(附件21)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ascii="宋体" w:hAnsi="宋体" w:eastAsia="宋体" w:cs="Times New Roman"/>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供应商认为有必要说明的其他文件(附件22)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eastAsia="宋体" w:cs="Times New Roman"/>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Times New Roman"/>
                <w:color w:val="auto"/>
                <w:kern w:val="0"/>
                <w:szCs w:val="21"/>
                <w:highlight w:val="none"/>
              </w:rPr>
            </w:pPr>
          </w:p>
        </w:tc>
      </w:tr>
    </w:tbl>
    <w:p>
      <w:pPr>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注：如提交的文件为复印件，需加盖公章。所有证书类文件提供复印件且必须在有效期内。</w:t>
      </w: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rPr>
          <w:rFonts w:ascii="Times New Roman" w:hAnsi="Times New Roman" w:eastAsia="宋体" w:cs="Times New Roman"/>
          <w:b/>
          <w:color w:val="auto"/>
          <w:szCs w:val="21"/>
          <w:highlight w:val="none"/>
        </w:rPr>
      </w:pPr>
    </w:p>
    <w:p>
      <w:pPr>
        <w:spacing w:line="360" w:lineRule="auto"/>
        <w:ind w:firstLine="422" w:firstLineChars="200"/>
        <w:rPr>
          <w:rFonts w:ascii="Times New Roman" w:hAnsi="Times New Roman" w:eastAsia="宋体" w:cs="Times New Roman"/>
          <w:b/>
          <w:color w:val="auto"/>
          <w:szCs w:val="21"/>
          <w:highlight w:val="none"/>
        </w:rPr>
      </w:pPr>
    </w:p>
    <w:p>
      <w:pPr>
        <w:spacing w:line="360" w:lineRule="auto"/>
        <w:rPr>
          <w:rFonts w:ascii="Times New Roman" w:hAnsi="Times New Roman" w:eastAsia="宋体" w:cs="Times New Roman"/>
          <w:b/>
          <w:color w:val="auto"/>
          <w:szCs w:val="21"/>
          <w:highlight w:val="none"/>
        </w:rPr>
      </w:pPr>
    </w:p>
    <w:p>
      <w:pPr>
        <w:keepNext/>
        <w:keepLines/>
        <w:numPr>
          <w:ilvl w:val="0"/>
          <w:numId w:val="9"/>
        </w:numPr>
        <w:tabs>
          <w:tab w:val="left" w:pos="630"/>
        </w:tabs>
        <w:autoSpaceDE w:val="0"/>
        <w:spacing w:before="48" w:beforeLines="20" w:after="48" w:afterLines="20" w:line="360" w:lineRule="auto"/>
        <w:ind w:left="630" w:hanging="630"/>
        <w:jc w:val="left"/>
        <w:outlineLvl w:val="1"/>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报价信封内容</w:t>
      </w:r>
    </w:p>
    <w:p>
      <w:pPr>
        <w:spacing w:line="360" w:lineRule="auto"/>
        <w:jc w:val="center"/>
        <w:rPr>
          <w:rFonts w:ascii="宋体" w:hAnsi="宋体" w:eastAsia="宋体" w:cs="Times New Roman"/>
          <w:bCs/>
          <w:color w:val="auto"/>
          <w:sz w:val="24"/>
          <w:szCs w:val="24"/>
          <w:highlight w:val="none"/>
        </w:rPr>
      </w:pPr>
    </w:p>
    <w:p>
      <w:pPr>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报价信封必须单独密封（该信封不要放入其它信封内），封口加盖公章，与遴选响应文件一同递交，其内装以下内容：</w:t>
      </w:r>
    </w:p>
    <w:p>
      <w:pPr>
        <w:spacing w:line="360" w:lineRule="auto"/>
        <w:ind w:left="54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（1）报价一览表</w:t>
      </w:r>
    </w:p>
    <w:p>
      <w:pPr>
        <w:spacing w:line="360" w:lineRule="auto"/>
        <w:ind w:left="54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（2）电子文档一份</w:t>
      </w:r>
    </w:p>
    <w:p>
      <w:pPr>
        <w:spacing w:line="360" w:lineRule="auto"/>
        <w:ind w:left="54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（3）</w:t>
      </w:r>
      <w:r>
        <w:rPr>
          <w:rFonts w:hint="eastAsia" w:ascii="宋体" w:hAnsi="宋体" w:eastAsia="宋体" w:cs="宋体"/>
          <w:color w:val="auto"/>
          <w:kern w:val="0"/>
          <w:szCs w:val="21"/>
          <w:highlight w:val="none"/>
        </w:rPr>
        <w:t>法定代表人授权书</w:t>
      </w:r>
    </w:p>
    <w:p>
      <w:pPr>
        <w:spacing w:line="360" w:lineRule="auto"/>
        <w:ind w:left="540"/>
        <w:rPr>
          <w:rFonts w:ascii="宋体" w:hAnsi="宋体" w:eastAsia="宋体" w:cs="Times New Roman"/>
          <w:bCs/>
          <w:color w:val="auto"/>
          <w:szCs w:val="21"/>
          <w:highlight w:val="none"/>
        </w:rPr>
      </w:pPr>
    </w:p>
    <w:p>
      <w:pPr>
        <w:spacing w:line="360" w:lineRule="auto"/>
        <w:ind w:left="540"/>
        <w:rPr>
          <w:rFonts w:ascii="宋体" w:hAnsi="宋体" w:eastAsia="宋体" w:cs="Times New Roman"/>
          <w:bCs/>
          <w:color w:val="auto"/>
          <w:szCs w:val="21"/>
          <w:highlight w:val="none"/>
        </w:rPr>
      </w:pPr>
    </w:p>
    <w:p>
      <w:pPr>
        <w:spacing w:line="360" w:lineRule="auto"/>
        <w:ind w:left="540"/>
        <w:rPr>
          <w:rFonts w:ascii="宋体" w:hAnsi="宋体" w:eastAsia="宋体" w:cs="Times New Roman"/>
          <w:bCs/>
          <w:color w:val="auto"/>
          <w:szCs w:val="21"/>
          <w:highlight w:val="none"/>
        </w:rPr>
      </w:pPr>
    </w:p>
    <w:p>
      <w:pPr>
        <w:spacing w:line="360" w:lineRule="auto"/>
        <w:ind w:left="540"/>
        <w:rPr>
          <w:rFonts w:ascii="宋体" w:hAnsi="宋体" w:eastAsia="宋体" w:cs="Times New Roman"/>
          <w:bCs/>
          <w:color w:val="auto"/>
          <w:szCs w:val="21"/>
          <w:highlight w:val="none"/>
        </w:rPr>
      </w:pPr>
    </w:p>
    <w:p>
      <w:pPr>
        <w:spacing w:line="360" w:lineRule="auto"/>
        <w:ind w:left="540"/>
        <w:rPr>
          <w:rFonts w:ascii="宋体" w:hAnsi="宋体" w:eastAsia="宋体" w:cs="Times New Roman"/>
          <w:bCs/>
          <w:color w:val="auto"/>
          <w:szCs w:val="21"/>
          <w:highlight w:val="none"/>
        </w:rPr>
      </w:pPr>
    </w:p>
    <w:p>
      <w:pPr>
        <w:spacing w:line="360" w:lineRule="auto"/>
        <w:ind w:left="540"/>
        <w:rPr>
          <w:rFonts w:ascii="宋体" w:hAnsi="宋体" w:eastAsia="宋体" w:cs="Times New Roman"/>
          <w:bCs/>
          <w:color w:val="auto"/>
          <w:szCs w:val="21"/>
          <w:highlight w:val="none"/>
        </w:rPr>
      </w:pPr>
    </w:p>
    <w:p>
      <w:pPr>
        <w:spacing w:line="360" w:lineRule="auto"/>
        <w:ind w:left="540"/>
        <w:rPr>
          <w:rFonts w:ascii="宋体" w:hAnsi="宋体" w:eastAsia="宋体" w:cs="Times New Roman"/>
          <w:bCs/>
          <w:color w:val="auto"/>
          <w:szCs w:val="21"/>
          <w:highlight w:val="none"/>
        </w:rPr>
      </w:pPr>
    </w:p>
    <w:p>
      <w:pPr>
        <w:spacing w:line="360" w:lineRule="auto"/>
        <w:ind w:left="540"/>
        <w:rPr>
          <w:rFonts w:ascii="宋体" w:hAnsi="宋体" w:eastAsia="宋体" w:cs="Times New Roman"/>
          <w:bCs/>
          <w:color w:val="auto"/>
          <w:szCs w:val="21"/>
          <w:highlight w:val="none"/>
        </w:rPr>
      </w:pPr>
    </w:p>
    <w:p>
      <w:pPr>
        <w:spacing w:line="360" w:lineRule="auto"/>
        <w:ind w:left="540"/>
        <w:rPr>
          <w:rFonts w:ascii="宋体" w:hAnsi="宋体" w:eastAsia="宋体" w:cs="Times New Roman"/>
          <w:bCs/>
          <w:color w:val="auto"/>
          <w:szCs w:val="21"/>
          <w:highlight w:val="none"/>
        </w:rPr>
      </w:pPr>
    </w:p>
    <w:p>
      <w:pPr>
        <w:spacing w:line="360" w:lineRule="auto"/>
        <w:ind w:left="540"/>
        <w:rPr>
          <w:rFonts w:ascii="宋体" w:hAnsi="宋体" w:eastAsia="宋体" w:cs="Times New Roman"/>
          <w:bCs/>
          <w:color w:val="auto"/>
          <w:szCs w:val="21"/>
          <w:highlight w:val="none"/>
        </w:rPr>
      </w:pPr>
    </w:p>
    <w:p>
      <w:pPr>
        <w:spacing w:line="360" w:lineRule="auto"/>
        <w:ind w:left="540"/>
        <w:rPr>
          <w:rFonts w:ascii="宋体" w:hAnsi="宋体" w:eastAsia="宋体" w:cs="Times New Roman"/>
          <w:bCs/>
          <w:color w:val="auto"/>
          <w:szCs w:val="21"/>
          <w:highlight w:val="none"/>
        </w:rPr>
      </w:pPr>
    </w:p>
    <w:p>
      <w:pPr>
        <w:spacing w:line="360" w:lineRule="auto"/>
        <w:ind w:left="540"/>
        <w:rPr>
          <w:rFonts w:ascii="宋体" w:hAnsi="宋体" w:eastAsia="宋体" w:cs="Times New Roman"/>
          <w:bCs/>
          <w:color w:val="auto"/>
          <w:szCs w:val="21"/>
          <w:highlight w:val="none"/>
        </w:rPr>
      </w:pPr>
    </w:p>
    <w:p>
      <w:pPr>
        <w:spacing w:line="360" w:lineRule="auto"/>
        <w:ind w:left="540"/>
        <w:rPr>
          <w:rFonts w:ascii="宋体" w:hAnsi="宋体" w:eastAsia="宋体" w:cs="Times New Roman"/>
          <w:bCs/>
          <w:color w:val="auto"/>
          <w:szCs w:val="21"/>
          <w:highlight w:val="none"/>
        </w:rPr>
      </w:pPr>
    </w:p>
    <w:p>
      <w:pPr>
        <w:spacing w:line="360" w:lineRule="auto"/>
        <w:ind w:left="540"/>
        <w:rPr>
          <w:rFonts w:ascii="宋体" w:hAnsi="宋体" w:eastAsia="宋体" w:cs="Times New Roman"/>
          <w:bCs/>
          <w:color w:val="auto"/>
          <w:szCs w:val="21"/>
          <w:highlight w:val="none"/>
        </w:rPr>
      </w:pPr>
    </w:p>
    <w:p>
      <w:pPr>
        <w:spacing w:line="360" w:lineRule="auto"/>
        <w:ind w:left="540"/>
        <w:rPr>
          <w:rFonts w:ascii="宋体" w:hAnsi="宋体" w:eastAsia="宋体" w:cs="Times New Roman"/>
          <w:bCs/>
          <w:color w:val="auto"/>
          <w:szCs w:val="21"/>
          <w:highlight w:val="none"/>
        </w:rPr>
      </w:pPr>
    </w:p>
    <w:p>
      <w:pPr>
        <w:spacing w:line="360" w:lineRule="auto"/>
        <w:ind w:left="540"/>
        <w:rPr>
          <w:rFonts w:ascii="宋体" w:hAnsi="宋体" w:eastAsia="宋体" w:cs="Times New Roman"/>
          <w:bCs/>
          <w:color w:val="auto"/>
          <w:szCs w:val="21"/>
          <w:highlight w:val="none"/>
        </w:rPr>
      </w:pPr>
    </w:p>
    <w:p>
      <w:pPr>
        <w:spacing w:line="360" w:lineRule="auto"/>
        <w:ind w:left="540"/>
        <w:rPr>
          <w:rFonts w:ascii="宋体" w:hAnsi="宋体" w:eastAsia="宋体" w:cs="Times New Roman"/>
          <w:bCs/>
          <w:color w:val="auto"/>
          <w:szCs w:val="21"/>
          <w:highlight w:val="none"/>
        </w:rPr>
      </w:pPr>
    </w:p>
    <w:p>
      <w:pPr>
        <w:spacing w:line="360" w:lineRule="auto"/>
        <w:rPr>
          <w:rFonts w:ascii="宋体" w:hAnsi="宋体" w:eastAsia="宋体" w:cs="Times New Roman"/>
          <w:bCs/>
          <w:color w:val="auto"/>
          <w:szCs w:val="21"/>
          <w:highlight w:val="none"/>
        </w:rPr>
      </w:pPr>
    </w:p>
    <w:p>
      <w:pPr>
        <w:spacing w:line="360" w:lineRule="auto"/>
        <w:rPr>
          <w:rFonts w:ascii="宋体" w:hAnsi="宋体" w:eastAsia="宋体" w:cs="Times New Roman"/>
          <w:bCs/>
          <w:color w:val="auto"/>
          <w:szCs w:val="21"/>
          <w:highlight w:val="none"/>
        </w:rPr>
      </w:pPr>
    </w:p>
    <w:p>
      <w:pPr>
        <w:spacing w:line="360" w:lineRule="auto"/>
        <w:rPr>
          <w:rFonts w:ascii="宋体" w:hAnsi="宋体" w:eastAsia="宋体" w:cs="Times New Roman"/>
          <w:bCs/>
          <w:color w:val="auto"/>
          <w:szCs w:val="21"/>
          <w:highlight w:val="none"/>
        </w:rPr>
      </w:pPr>
    </w:p>
    <w:p>
      <w:pPr>
        <w:spacing w:line="360" w:lineRule="auto"/>
        <w:rPr>
          <w:rFonts w:ascii="宋体" w:hAnsi="宋体" w:eastAsia="宋体" w:cs="Times New Roman"/>
          <w:bCs/>
          <w:color w:val="auto"/>
          <w:szCs w:val="21"/>
          <w:highlight w:val="none"/>
        </w:rPr>
      </w:pPr>
    </w:p>
    <w:p>
      <w:pPr>
        <w:spacing w:line="360" w:lineRule="auto"/>
        <w:rPr>
          <w:rFonts w:ascii="宋体" w:hAnsi="宋体" w:eastAsia="宋体" w:cs="Times New Roman"/>
          <w:bCs/>
          <w:color w:val="auto"/>
          <w:szCs w:val="21"/>
          <w:highlight w:val="none"/>
        </w:rPr>
      </w:pPr>
    </w:p>
    <w:p>
      <w:pPr>
        <w:spacing w:line="360" w:lineRule="auto"/>
        <w:rPr>
          <w:rFonts w:ascii="宋体" w:hAnsi="宋体" w:eastAsia="宋体" w:cs="Times New Roman"/>
          <w:bCs/>
          <w:color w:val="auto"/>
          <w:szCs w:val="21"/>
          <w:highlight w:val="none"/>
        </w:rPr>
      </w:pPr>
    </w:p>
    <w:p>
      <w:pPr>
        <w:spacing w:line="360" w:lineRule="auto"/>
        <w:rPr>
          <w:rFonts w:ascii="宋体" w:hAnsi="宋体" w:eastAsia="宋体" w:cs="Times New Roman"/>
          <w:bCs/>
          <w:color w:val="auto"/>
          <w:szCs w:val="21"/>
          <w:highlight w:val="none"/>
        </w:rPr>
      </w:pPr>
    </w:p>
    <w:p>
      <w:pPr>
        <w:spacing w:line="360" w:lineRule="auto"/>
        <w:rPr>
          <w:rFonts w:ascii="宋体" w:hAnsi="宋体" w:eastAsia="宋体" w:cs="Times New Roman"/>
          <w:bCs/>
          <w:color w:val="auto"/>
          <w:szCs w:val="21"/>
          <w:highlight w:val="none"/>
        </w:rPr>
      </w:pPr>
    </w:p>
    <w:p>
      <w:pPr>
        <w:spacing w:line="360" w:lineRule="auto"/>
        <w:rPr>
          <w:rFonts w:ascii="宋体" w:hAnsi="宋体" w:eastAsia="宋体" w:cs="Times New Roman"/>
          <w:bCs/>
          <w:color w:val="auto"/>
          <w:szCs w:val="21"/>
          <w:highlight w:val="none"/>
        </w:rPr>
      </w:pPr>
    </w:p>
    <w:p>
      <w:pPr>
        <w:spacing w:line="360" w:lineRule="auto"/>
        <w:rPr>
          <w:rFonts w:ascii="宋体" w:hAnsi="宋体" w:eastAsia="宋体" w:cs="Times New Roman"/>
          <w:bCs/>
          <w:color w:val="auto"/>
          <w:sz w:val="28"/>
          <w:szCs w:val="28"/>
          <w:highlight w:val="none"/>
        </w:rPr>
      </w:pPr>
      <w:r>
        <w:rPr>
          <w:rFonts w:hint="eastAsia" w:ascii="宋体" w:hAnsi="宋体" w:eastAsia="宋体" w:cs="Times New Roman"/>
          <w:b/>
          <w:bCs/>
          <w:color w:val="auto"/>
          <w:kern w:val="0"/>
          <w:sz w:val="28"/>
          <w:szCs w:val="28"/>
          <w:highlight w:val="none"/>
        </w:rPr>
        <w:br w:type="page"/>
      </w:r>
      <w:r>
        <w:rPr>
          <w:rFonts w:hint="eastAsia" w:ascii="宋体" w:hAnsi="宋体" w:eastAsia="宋体" w:cs="Times New Roman"/>
          <w:b/>
          <w:bCs/>
          <w:color w:val="auto"/>
          <w:kern w:val="0"/>
          <w:sz w:val="28"/>
          <w:szCs w:val="28"/>
          <w:highlight w:val="none"/>
        </w:rPr>
        <w:t>附件1 公开遴选函</w:t>
      </w:r>
    </w:p>
    <w:p>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致：广州市信怡招标代理有限公司</w:t>
      </w:r>
    </w:p>
    <w:p>
      <w:pPr>
        <w:autoSpaceDE w:val="0"/>
        <w:spacing w:line="360" w:lineRule="auto"/>
        <w:ind w:firstLine="48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我方确认收到你方提供的</w:t>
      </w:r>
      <w:r>
        <w:rPr>
          <w:rFonts w:ascii="ZWAdobeF" w:hAnsi="ZWAdobeF" w:eastAsia="宋体" w:cs="ZWAdobeF"/>
          <w:color w:val="auto"/>
          <w:sz w:val="2"/>
          <w:szCs w:val="2"/>
          <w:highlight w:val="none"/>
        </w:rPr>
        <w:t>UUU</w:t>
      </w:r>
      <w:r>
        <w:rPr>
          <w:rFonts w:ascii="ZWAdobeF" w:hAnsi="ZWAdobeF" w:eastAsia="宋体" w:cs="ZWAdobeF"/>
          <w:color w:val="auto"/>
          <w:sz w:val="2"/>
          <w:szCs w:val="2"/>
          <w:highlight w:val="none"/>
          <w:u w:val="single"/>
        </w:rPr>
        <w:t>U</w:t>
      </w:r>
      <w:r>
        <w:rPr>
          <w:rFonts w:hint="eastAsia" w:ascii="宋体" w:hAnsi="宋体" w:eastAsia="宋体" w:cs="Times New Roman"/>
          <w:bCs/>
          <w:color w:val="auto"/>
          <w:szCs w:val="24"/>
          <w:highlight w:val="none"/>
          <w:u w:val="single"/>
        </w:rPr>
        <w:t xml:space="preserve">项目名称     </w:t>
      </w:r>
      <w:r>
        <w:rPr>
          <w:rFonts w:ascii="ZWAdobeF" w:hAnsi="ZWAdobeF" w:eastAsia="宋体" w:cs="ZWAdobeF"/>
          <w:color w:val="auto"/>
          <w:sz w:val="2"/>
          <w:szCs w:val="2"/>
          <w:highlight w:val="none"/>
          <w:u w:val="single"/>
        </w:rPr>
        <w:t>UU</w:t>
      </w:r>
      <w:r>
        <w:rPr>
          <w:rFonts w:ascii="ZWAdobeF" w:hAnsi="ZWAdobeF" w:eastAsia="宋体" w:cs="ZWAdobeF"/>
          <w:color w:val="auto"/>
          <w:sz w:val="2"/>
          <w:szCs w:val="2"/>
          <w:highlight w:val="none"/>
        </w:rPr>
        <w:t>UU</w:t>
      </w:r>
      <w:r>
        <w:rPr>
          <w:rFonts w:hint="eastAsia" w:ascii="宋体" w:hAnsi="宋体" w:eastAsia="宋体" w:cs="Times New Roman"/>
          <w:color w:val="auto"/>
          <w:szCs w:val="21"/>
          <w:highlight w:val="none"/>
        </w:rPr>
        <w:t>及其相关服务的公开遴选文件的全部内容。我方：</w:t>
      </w:r>
      <w:r>
        <w:rPr>
          <w:rFonts w:ascii="ZWAdobeF" w:hAnsi="ZWAdobeF" w:eastAsia="宋体" w:cs="ZWAdobeF"/>
          <w:color w:val="auto"/>
          <w:sz w:val="2"/>
          <w:szCs w:val="2"/>
          <w:highlight w:val="none"/>
        </w:rPr>
        <w:t>UUUU</w:t>
      </w:r>
      <w:r>
        <w:rPr>
          <w:rFonts w:hint="eastAsia" w:ascii="宋体" w:hAnsi="宋体" w:eastAsia="宋体" w:cs="Times New Roman"/>
          <w:color w:val="auto"/>
          <w:szCs w:val="21"/>
          <w:highlight w:val="none"/>
          <w:u w:val="single"/>
        </w:rPr>
        <w:t>（供应商名称）</w:t>
      </w:r>
      <w:r>
        <w:rPr>
          <w:rFonts w:ascii="ZWAdobeF" w:hAnsi="ZWAdobeF" w:eastAsia="宋体" w:cs="ZWAdobeF"/>
          <w:color w:val="auto"/>
          <w:sz w:val="2"/>
          <w:szCs w:val="2"/>
          <w:highlight w:val="none"/>
        </w:rPr>
        <w:t>UUUU</w:t>
      </w:r>
      <w:r>
        <w:rPr>
          <w:rFonts w:hint="eastAsia" w:ascii="宋体" w:hAnsi="宋体" w:eastAsia="宋体" w:cs="Times New Roman"/>
          <w:color w:val="auto"/>
          <w:szCs w:val="21"/>
          <w:highlight w:val="none"/>
        </w:rPr>
        <w:t>作为报价者正式授权</w:t>
      </w:r>
      <w:r>
        <w:rPr>
          <w:rFonts w:ascii="ZWAdobeF" w:hAnsi="ZWAdobeF" w:eastAsia="宋体" w:cs="ZWAdobeF"/>
          <w:color w:val="auto"/>
          <w:sz w:val="2"/>
          <w:szCs w:val="2"/>
          <w:highlight w:val="none"/>
        </w:rPr>
        <w:t>UUUU</w:t>
      </w:r>
      <w:r>
        <w:rPr>
          <w:rFonts w:hint="eastAsia" w:ascii="宋体" w:hAnsi="宋体" w:eastAsia="宋体" w:cs="Times New Roman"/>
          <w:color w:val="auto"/>
          <w:szCs w:val="21"/>
          <w:highlight w:val="none"/>
          <w:u w:val="single"/>
        </w:rPr>
        <w:t>（姓名、职位）</w:t>
      </w:r>
      <w:r>
        <w:rPr>
          <w:rFonts w:ascii="ZWAdobeF" w:hAnsi="ZWAdobeF" w:eastAsia="宋体" w:cs="ZWAdobeF"/>
          <w:color w:val="auto"/>
          <w:sz w:val="2"/>
          <w:szCs w:val="2"/>
          <w:highlight w:val="none"/>
        </w:rPr>
        <w:t>UUUU</w:t>
      </w:r>
      <w:r>
        <w:rPr>
          <w:rFonts w:hint="eastAsia" w:ascii="宋体" w:hAnsi="宋体" w:eastAsia="宋体" w:cs="Times New Roman"/>
          <w:color w:val="auto"/>
          <w:szCs w:val="21"/>
          <w:highlight w:val="none"/>
        </w:rPr>
        <w:t>代表我方进行有关报价的一切事宜。在此提交的报价文件，正本</w:t>
      </w:r>
      <w:r>
        <w:rPr>
          <w:rFonts w:hint="eastAsia" w:ascii="宋体" w:hAnsi="宋体" w:eastAsia="宋体" w:cs="Times New Roman"/>
          <w:color w:val="auto"/>
          <w:szCs w:val="21"/>
          <w:highlight w:val="none"/>
          <w:u w:val="single"/>
        </w:rPr>
        <w:t>壹</w:t>
      </w:r>
      <w:r>
        <w:rPr>
          <w:rFonts w:hint="eastAsia" w:ascii="宋体" w:hAnsi="宋体" w:eastAsia="宋体" w:cs="Times New Roman"/>
          <w:color w:val="auto"/>
          <w:szCs w:val="21"/>
          <w:highlight w:val="none"/>
        </w:rPr>
        <w:t>份，副本</w:t>
      </w:r>
      <w:r>
        <w:rPr>
          <w:rFonts w:hint="eastAsia" w:ascii="宋体" w:hAnsi="宋体" w:eastAsia="宋体" w:cs="Times New Roman"/>
          <w:color w:val="auto"/>
          <w:szCs w:val="21"/>
          <w:highlight w:val="none"/>
          <w:u w:val="single"/>
        </w:rPr>
        <w:t>贰</w:t>
      </w:r>
      <w:r>
        <w:rPr>
          <w:rFonts w:hint="eastAsia" w:ascii="宋体" w:hAnsi="宋体" w:eastAsia="宋体" w:cs="Times New Roman"/>
          <w:color w:val="auto"/>
          <w:szCs w:val="21"/>
          <w:highlight w:val="none"/>
        </w:rPr>
        <w:t>份。我方已完全明白公开遴选文件的所有条款要求，并重申以下几点：</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1.我方决定参加：项目编号为</w:t>
      </w:r>
      <w:r>
        <w:rPr>
          <w:rFonts w:hint="eastAsia" w:ascii="宋体" w:hAnsi="宋体" w:eastAsia="宋体" w:cs="Times New Roman"/>
          <w:color w:val="auto"/>
          <w:szCs w:val="21"/>
          <w:highlight w:val="none"/>
          <w:u w:val="single"/>
        </w:rPr>
        <w:t xml:space="preserve">     项目编号      </w:t>
      </w:r>
      <w:r>
        <w:rPr>
          <w:rFonts w:hint="eastAsia" w:ascii="宋体" w:hAnsi="宋体" w:eastAsia="宋体" w:cs="Times New Roman"/>
          <w:color w:val="auto"/>
          <w:szCs w:val="21"/>
          <w:highlight w:val="none"/>
        </w:rPr>
        <w:t>号的遴选响应。投标总报价为</w:t>
      </w:r>
      <w:r>
        <w:rPr>
          <w:rFonts w:hint="eastAsia" w:ascii="宋体" w:hAnsi="宋体" w:eastAsia="宋体" w:cs="Times New Roman"/>
          <w:color w:val="auto"/>
          <w:szCs w:val="21"/>
          <w:highlight w:val="none"/>
          <w:u w:val="single"/>
        </w:rPr>
        <w:t xml:space="preserve">          （元）</w:t>
      </w:r>
      <w:r>
        <w:rPr>
          <w:rFonts w:hint="eastAsia" w:ascii="宋体" w:hAnsi="宋体" w:eastAsia="宋体" w:cs="Times New Roman"/>
          <w:color w:val="auto"/>
          <w:szCs w:val="21"/>
          <w:highlight w:val="none"/>
        </w:rPr>
        <w:t>；</w:t>
      </w:r>
    </w:p>
    <w:p>
      <w:pPr>
        <w:autoSpaceDE w:val="0"/>
        <w:spacing w:line="360" w:lineRule="auto"/>
        <w:ind w:left="240" w:hanging="24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2.本报价文件的有效期为</w:t>
      </w:r>
      <w:r>
        <w:rPr>
          <w:rFonts w:hint="eastAsia" w:ascii="宋体" w:hAnsi="宋体" w:eastAsia="宋体" w:cs="Times New Roman"/>
          <w:color w:val="auto"/>
          <w:szCs w:val="24"/>
          <w:highlight w:val="none"/>
        </w:rPr>
        <w:t>遴选响应文件递交</w:t>
      </w:r>
      <w:r>
        <w:rPr>
          <w:rFonts w:hint="eastAsia" w:ascii="宋体" w:hAnsi="宋体" w:eastAsia="宋体" w:cs="Times New Roman"/>
          <w:color w:val="auto"/>
          <w:szCs w:val="21"/>
          <w:highlight w:val="none"/>
        </w:rPr>
        <w:t>截止日后</w:t>
      </w:r>
      <w:r>
        <w:rPr>
          <w:rFonts w:ascii="ZWAdobeF" w:hAnsi="ZWAdobeF" w:eastAsia="宋体" w:cs="ZWAdobeF"/>
          <w:color w:val="auto"/>
          <w:sz w:val="2"/>
          <w:szCs w:val="2"/>
          <w:highlight w:val="none"/>
        </w:rPr>
        <w:t>UUUU</w:t>
      </w:r>
      <w:r>
        <w:rPr>
          <w:rFonts w:hint="eastAsia" w:ascii="宋体" w:hAnsi="宋体" w:eastAsia="宋体" w:cs="Times New Roman"/>
          <w:color w:val="auto"/>
          <w:szCs w:val="21"/>
          <w:highlight w:val="none"/>
          <w:u w:val="single"/>
        </w:rPr>
        <w:t>90</w:t>
      </w:r>
      <w:r>
        <w:rPr>
          <w:rFonts w:ascii="ZWAdobeF" w:hAnsi="ZWAdobeF" w:eastAsia="宋体" w:cs="ZWAdobeF"/>
          <w:color w:val="auto"/>
          <w:sz w:val="2"/>
          <w:szCs w:val="2"/>
          <w:highlight w:val="none"/>
        </w:rPr>
        <w:t>UUUU</w:t>
      </w:r>
      <w:r>
        <w:rPr>
          <w:rFonts w:hint="eastAsia" w:ascii="宋体" w:hAnsi="宋体" w:eastAsia="宋体" w:cs="Times New Roman"/>
          <w:color w:val="auto"/>
          <w:szCs w:val="21"/>
          <w:highlight w:val="none"/>
        </w:rPr>
        <w:t>天有效，如被确定为供应商成交供应商，有效期将延至合同终止日为止；</w:t>
      </w:r>
    </w:p>
    <w:p>
      <w:pPr>
        <w:spacing w:line="360" w:lineRule="auto"/>
        <w:ind w:left="240" w:hanging="24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3.我方已详细研究了公开遴选文件的所有内容包括修正（如果有）和所有已提供的参考资料以及有关格式并完全明白，我方放弃在此方面提出含糊意见或误解的一切权利；</w:t>
      </w:r>
    </w:p>
    <w:p>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4.我方同意按照你方可能提出的要求提供与报价有关的任何其它数据或信息；</w:t>
      </w:r>
    </w:p>
    <w:p>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5.我方理解评审小组不一定接受最低报价或任何你方可能收到的报价；</w:t>
      </w:r>
    </w:p>
    <w:p>
      <w:pPr>
        <w:spacing w:line="360" w:lineRule="auto"/>
        <w:ind w:left="240" w:hanging="24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6.我方如被确定为供应商成交供应商，将保证履行公开遴选文件以及公开遴选文件修改书（如有的话）中的全部责任和义务，按质、按量、按期完成《合同》中的全部任务；</w:t>
      </w:r>
    </w:p>
    <w:p>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7.我方自行完全承担因报价文件错误、缺漏、不清晰而导致的一切后果；</w:t>
      </w:r>
    </w:p>
    <w:p>
      <w:pPr>
        <w:spacing w:line="360" w:lineRule="auto"/>
        <w:ind w:left="240" w:hanging="24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8.我方确认此次遴选中提供的一切资料均是真实的，准确的，并完全承担因此产生的一切后果。</w:t>
      </w:r>
    </w:p>
    <w:p>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9.我方的报价被接受，我方同意按照公开遴选文件规定向采购代理机构缴纳采购代理服务费。</w:t>
      </w:r>
    </w:p>
    <w:p>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所有与本公开遴选文件有关的函件请发往下列地址：</w:t>
      </w:r>
    </w:p>
    <w:p>
      <w:pPr>
        <w:spacing w:line="360" w:lineRule="auto"/>
        <w:ind w:firstLine="210" w:firstLineChars="100"/>
        <w:jc w:val="left"/>
        <w:rPr>
          <w:rFonts w:ascii="宋体" w:hAnsi="宋体" w:eastAsia="宋体" w:cs="Times New Roman"/>
          <w:color w:val="auto"/>
          <w:szCs w:val="21"/>
          <w:highlight w:val="none"/>
        </w:rPr>
      </w:pPr>
    </w:p>
    <w:p>
      <w:pPr>
        <w:spacing w:line="360" w:lineRule="auto"/>
        <w:ind w:firstLine="420" w:firstLineChars="200"/>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供应商全称（加盖公章）：</w:t>
      </w:r>
    </w:p>
    <w:p>
      <w:pPr>
        <w:spacing w:line="360" w:lineRule="auto"/>
        <w:ind w:firstLine="420" w:firstLineChars="200"/>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地址：  邮政编码：</w:t>
      </w:r>
    </w:p>
    <w:p>
      <w:pPr>
        <w:spacing w:line="360" w:lineRule="auto"/>
        <w:ind w:firstLine="420" w:firstLineChars="200"/>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法定代表或其授权代表（签字或签章）：</w:t>
      </w:r>
    </w:p>
    <w:p>
      <w:pPr>
        <w:spacing w:line="360" w:lineRule="auto"/>
        <w:ind w:firstLine="420" w:firstLineChars="200"/>
        <w:jc w:val="left"/>
        <w:rPr>
          <w:rFonts w:ascii="宋体" w:hAnsi="宋体" w:eastAsia="宋体" w:cs="Times New Roman"/>
          <w:color w:val="auto"/>
          <w:szCs w:val="24"/>
          <w:highlight w:val="none"/>
        </w:rPr>
      </w:pPr>
      <w:r>
        <w:rPr>
          <w:rFonts w:hint="eastAsia" w:ascii="宋体" w:hAnsi="宋体" w:eastAsia="宋体" w:cs="Times New Roman"/>
          <w:color w:val="auto"/>
          <w:szCs w:val="21"/>
          <w:highlight w:val="none"/>
        </w:rPr>
        <w:t>日    期： 2021年  月  日</w:t>
      </w:r>
      <w:r>
        <w:rPr>
          <w:rFonts w:hint="eastAsia" w:ascii="宋体" w:hAnsi="宋体" w:eastAsia="宋体" w:cs="Times New Roman"/>
          <w:color w:val="auto"/>
          <w:szCs w:val="24"/>
          <w:highlight w:val="none"/>
        </w:rPr>
        <w:br w:type="page"/>
      </w:r>
      <w:bookmarkStart w:id="325" w:name="_Toc28489497"/>
      <w:bookmarkStart w:id="326" w:name="_Toc41448359"/>
      <w:bookmarkStart w:id="327" w:name="_Toc25224019"/>
      <w:bookmarkStart w:id="328" w:name="_Toc34535359"/>
      <w:bookmarkStart w:id="329" w:name="_Toc86065029"/>
      <w:bookmarkStart w:id="330" w:name="_Toc109467909"/>
      <w:bookmarkStart w:id="331" w:name="_Toc35834913"/>
      <w:bookmarkStart w:id="332" w:name="_Toc14450839"/>
      <w:bookmarkStart w:id="333" w:name="_Toc55816096"/>
    </w:p>
    <w:p>
      <w:pPr>
        <w:spacing w:line="360" w:lineRule="auto"/>
        <w:rPr>
          <w:rFonts w:ascii="宋体" w:hAnsi="宋体" w:eastAsia="宋体" w:cs="Times New Roman"/>
          <w:color w:val="auto"/>
          <w:szCs w:val="24"/>
          <w:highlight w:val="none"/>
        </w:rPr>
      </w:pPr>
      <w:r>
        <w:rPr>
          <w:rFonts w:hint="eastAsia" w:ascii="宋体" w:hAnsi="宋体" w:eastAsia="宋体" w:cs="Times New Roman"/>
          <w:b/>
          <w:bCs/>
          <w:color w:val="auto"/>
          <w:kern w:val="0"/>
          <w:sz w:val="28"/>
          <w:szCs w:val="28"/>
          <w:highlight w:val="none"/>
        </w:rPr>
        <w:t>附件2法定代表人证明书</w:t>
      </w:r>
    </w:p>
    <w:p>
      <w:pPr>
        <w:spacing w:line="360" w:lineRule="auto"/>
        <w:rPr>
          <w:rFonts w:ascii="宋体" w:hAnsi="宋体" w:eastAsia="宋体" w:cs="Times New Roman"/>
          <w:b/>
          <w:color w:val="auto"/>
          <w:sz w:val="24"/>
          <w:szCs w:val="24"/>
          <w:highlight w:val="none"/>
        </w:rPr>
      </w:pPr>
    </w:p>
    <w:p>
      <w:pPr>
        <w:spacing w:line="360" w:lineRule="auto"/>
        <w:rPr>
          <w:rFonts w:ascii="宋体" w:hAnsi="宋体" w:eastAsia="宋体" w:cs="Times New Roman"/>
          <w:color w:val="auto"/>
          <w:szCs w:val="21"/>
          <w:highlight w:val="none"/>
        </w:rPr>
      </w:pPr>
      <w:bookmarkStart w:id="334" w:name="_Toc223939105"/>
      <w:r>
        <w:rPr>
          <w:rFonts w:hint="eastAsia" w:ascii="宋体" w:hAnsi="宋体" w:eastAsia="宋体" w:cs="Times New Roman"/>
          <w:color w:val="auto"/>
          <w:szCs w:val="21"/>
          <w:highlight w:val="none"/>
        </w:rPr>
        <w:t>现任我单位职务，为法定代表人，特此证明。</w:t>
      </w:r>
      <w:bookmarkEnd w:id="334"/>
      <w:bookmarkStart w:id="335" w:name="_Toc223939106"/>
    </w:p>
    <w:p>
      <w:pPr>
        <w:spacing w:line="360"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有效期限：</w:t>
      </w:r>
      <w:bookmarkEnd w:id="335"/>
      <w:bookmarkStart w:id="336" w:name="_Toc223939107"/>
    </w:p>
    <w:p>
      <w:pPr>
        <w:spacing w:line="360" w:lineRule="auto"/>
        <w:ind w:left="359" w:leftChars="171"/>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附：代表人性别：年龄：身份证号码：</w:t>
      </w:r>
      <w:bookmarkEnd w:id="336"/>
      <w:bookmarkStart w:id="337" w:name="_Toc223939108"/>
    </w:p>
    <w:p>
      <w:pPr>
        <w:spacing w:line="360" w:lineRule="auto"/>
        <w:ind w:left="359" w:leftChars="171"/>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工商注册号：</w:t>
      </w:r>
    </w:p>
    <w:p>
      <w:pPr>
        <w:spacing w:line="360" w:lineRule="auto"/>
        <w:ind w:left="239" w:leftChars="114" w:firstLine="105" w:firstLineChars="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企业类型：</w:t>
      </w:r>
      <w:r>
        <w:rPr>
          <w:rFonts w:hint="eastAsia" w:ascii="宋体" w:hAnsi="宋体" w:eastAsia="宋体" w:cs="Times New Roman"/>
          <w:color w:val="auto"/>
          <w:szCs w:val="21"/>
          <w:highlight w:val="none"/>
          <w:u w:val="single"/>
        </w:rPr>
        <w:t>_                     _</w:t>
      </w:r>
      <w:bookmarkEnd w:id="337"/>
      <w:bookmarkStart w:id="338" w:name="_Toc223939109"/>
    </w:p>
    <w:p>
      <w:pPr>
        <w:spacing w:line="360" w:lineRule="auto"/>
        <w:ind w:left="239" w:leftChars="114" w:firstLine="105" w:firstLineChars="50"/>
        <w:rPr>
          <w:rFonts w:ascii="宋体" w:hAnsi="宋体" w:eastAsia="宋体" w:cs="Times New Roman"/>
          <w:b/>
          <w:color w:val="auto"/>
          <w:szCs w:val="21"/>
          <w:highlight w:val="none"/>
        </w:rPr>
      </w:pPr>
      <w:r>
        <w:rPr>
          <w:rFonts w:hint="eastAsia" w:ascii="宋体" w:hAnsi="宋体" w:eastAsia="宋体" w:cs="Times New Roman"/>
          <w:color w:val="auto"/>
          <w:szCs w:val="21"/>
          <w:highlight w:val="none"/>
        </w:rPr>
        <w:t>经营范围：</w:t>
      </w:r>
      <w:bookmarkEnd w:id="338"/>
    </w:p>
    <w:p>
      <w:pPr>
        <w:spacing w:line="360" w:lineRule="auto"/>
        <w:jc w:val="center"/>
        <w:rPr>
          <w:rFonts w:ascii="宋体" w:hAnsi="宋体" w:eastAsia="宋体" w:cs="Times New Roman"/>
          <w:color w:val="auto"/>
          <w:szCs w:val="21"/>
          <w:highlight w:val="none"/>
        </w:rPr>
      </w:pPr>
    </w:p>
    <w:tbl>
      <w:tblPr>
        <w:tblStyle w:val="8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eastAsia="宋体" w:cs="Times New Roman"/>
                <w:color w:val="auto"/>
                <w:szCs w:val="21"/>
                <w:highlight w:val="none"/>
              </w:rPr>
            </w:pPr>
          </w:p>
          <w:p>
            <w:pPr>
              <w:spacing w:line="360" w:lineRule="auto"/>
              <w:jc w:val="center"/>
              <w:rPr>
                <w:rFonts w:ascii="宋体" w:hAnsi="宋体" w:eastAsia="宋体" w:cs="Times New Roman"/>
                <w:color w:val="auto"/>
                <w:szCs w:val="21"/>
                <w:highlight w:val="none"/>
              </w:rPr>
            </w:pPr>
          </w:p>
          <w:p>
            <w:pPr>
              <w:spacing w:line="360" w:lineRule="auto"/>
              <w:jc w:val="center"/>
              <w:rPr>
                <w:rFonts w:ascii="宋体" w:hAnsi="宋体" w:eastAsia="宋体" w:cs="Times New Roman"/>
                <w:b/>
                <w:color w:val="auto"/>
                <w:szCs w:val="21"/>
                <w:highlight w:val="none"/>
              </w:rPr>
            </w:pPr>
          </w:p>
          <w:p>
            <w:pPr>
              <w:spacing w:line="360" w:lineRule="auto"/>
              <w:jc w:val="center"/>
              <w:rPr>
                <w:rFonts w:ascii="宋体" w:hAnsi="宋体" w:eastAsia="宋体" w:cs="Times New Roman"/>
                <w:b/>
                <w:color w:val="auto"/>
                <w:szCs w:val="21"/>
                <w:highlight w:val="none"/>
              </w:rPr>
            </w:pPr>
          </w:p>
          <w:p>
            <w:pPr>
              <w:spacing w:line="360" w:lineRule="auto"/>
              <w:jc w:val="center"/>
              <w:rPr>
                <w:rFonts w:ascii="宋体" w:hAnsi="宋体" w:eastAsia="宋体" w:cs="Times New Roman"/>
                <w:b/>
                <w:color w:val="auto"/>
                <w:szCs w:val="21"/>
                <w:highlight w:val="none"/>
              </w:rPr>
            </w:pPr>
          </w:p>
          <w:p>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法定代表人</w:t>
            </w:r>
          </w:p>
          <w:p>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居民身份证复印件粘贴处</w:t>
            </w:r>
          </w:p>
          <w:p>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（正反面）</w:t>
            </w:r>
          </w:p>
          <w:p>
            <w:pPr>
              <w:spacing w:line="360" w:lineRule="auto"/>
              <w:jc w:val="center"/>
              <w:rPr>
                <w:rFonts w:ascii="宋体" w:hAnsi="宋体" w:eastAsia="宋体" w:cs="Times New Roman"/>
                <w:color w:val="auto"/>
                <w:szCs w:val="21"/>
                <w:highlight w:val="none"/>
              </w:rPr>
            </w:pPr>
          </w:p>
        </w:tc>
      </w:tr>
    </w:tbl>
    <w:p>
      <w:pPr>
        <w:tabs>
          <w:tab w:val="left" w:pos="3780"/>
        </w:tabs>
        <w:spacing w:line="360" w:lineRule="auto"/>
        <w:rPr>
          <w:rFonts w:ascii="宋体" w:hAnsi="宋体" w:eastAsia="宋体" w:cs="Times New Roman"/>
          <w:color w:val="auto"/>
          <w:szCs w:val="21"/>
          <w:highlight w:val="none"/>
        </w:rPr>
      </w:pPr>
    </w:p>
    <w:p>
      <w:pPr>
        <w:tabs>
          <w:tab w:val="left" w:pos="3780"/>
        </w:tabs>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注：本表格须附在正副的遴选响应文件中，并另封装一份在“报价信封”内。</w:t>
      </w:r>
    </w:p>
    <w:p>
      <w:pPr>
        <w:tabs>
          <w:tab w:val="left" w:pos="3780"/>
        </w:tabs>
        <w:spacing w:line="360" w:lineRule="auto"/>
        <w:rPr>
          <w:rFonts w:ascii="宋体" w:hAnsi="宋体" w:eastAsia="宋体" w:cs="Times New Roman"/>
          <w:color w:val="auto"/>
          <w:sz w:val="24"/>
          <w:szCs w:val="24"/>
          <w:highlight w:val="none"/>
        </w:rPr>
      </w:pPr>
    </w:p>
    <w:p>
      <w:pPr>
        <w:spacing w:line="360" w:lineRule="auto"/>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rPr>
        <w:t>供应商</w:t>
      </w:r>
      <w:r>
        <w:rPr>
          <w:rFonts w:hint="eastAsia" w:ascii="宋体" w:hAnsi="宋体" w:eastAsia="宋体" w:cs="Times New Roman"/>
          <w:bCs/>
          <w:color w:val="auto"/>
          <w:szCs w:val="21"/>
          <w:highlight w:val="none"/>
        </w:rPr>
        <w:t>全称（加盖公章）:</w:t>
      </w:r>
    </w:p>
    <w:p>
      <w:pPr>
        <w:spacing w:line="360" w:lineRule="auto"/>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法定代表或其授权代表(</w:t>
      </w:r>
      <w:r>
        <w:rPr>
          <w:rFonts w:hint="eastAsia" w:ascii="宋体" w:hAnsi="宋体" w:eastAsia="宋体" w:cs="Times New Roman"/>
          <w:color w:val="auto"/>
          <w:szCs w:val="21"/>
          <w:highlight w:val="none"/>
        </w:rPr>
        <w:t>签字或签章</w:t>
      </w:r>
      <w:r>
        <w:rPr>
          <w:rFonts w:hint="eastAsia" w:ascii="宋体" w:hAnsi="宋体" w:eastAsia="宋体" w:cs="Times New Roman"/>
          <w:bCs/>
          <w:color w:val="auto"/>
          <w:szCs w:val="21"/>
          <w:highlight w:val="none"/>
        </w:rPr>
        <w:t>)：</w:t>
      </w:r>
    </w:p>
    <w:p>
      <w:pPr>
        <w:spacing w:line="360" w:lineRule="auto"/>
        <w:rPr>
          <w:rFonts w:ascii="宋体" w:hAnsi="宋体" w:eastAsia="宋体" w:cs="Times New Roman"/>
          <w:b/>
          <w:bCs/>
          <w:color w:val="auto"/>
          <w:kern w:val="0"/>
          <w:sz w:val="28"/>
          <w:szCs w:val="28"/>
          <w:highlight w:val="none"/>
        </w:rPr>
      </w:pPr>
      <w:r>
        <w:rPr>
          <w:rFonts w:hint="eastAsia" w:ascii="宋体" w:hAnsi="宋体" w:eastAsia="宋体" w:cs="Times New Roman"/>
          <w:color w:val="auto"/>
          <w:szCs w:val="21"/>
          <w:highlight w:val="none"/>
        </w:rPr>
        <w:t>日    期： 2021年  月  日</w:t>
      </w: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widowControl/>
        <w:jc w:val="left"/>
        <w:rPr>
          <w:rFonts w:ascii="宋体" w:hAnsi="宋体" w:eastAsia="宋体" w:cs="Times New Roman"/>
          <w:b/>
          <w:bCs/>
          <w:color w:val="auto"/>
          <w:kern w:val="0"/>
          <w:sz w:val="28"/>
          <w:szCs w:val="28"/>
          <w:highlight w:val="none"/>
        </w:rPr>
      </w:pPr>
      <w:r>
        <w:rPr>
          <w:rFonts w:ascii="宋体" w:hAnsi="宋体" w:eastAsia="宋体" w:cs="Times New Roman"/>
          <w:b/>
          <w:bCs/>
          <w:color w:val="auto"/>
          <w:kern w:val="0"/>
          <w:sz w:val="28"/>
          <w:szCs w:val="28"/>
          <w:highlight w:val="none"/>
        </w:rPr>
        <w:br w:type="page"/>
      </w:r>
    </w:p>
    <w:p>
      <w:pPr>
        <w:spacing w:line="360" w:lineRule="auto"/>
        <w:jc w:val="left"/>
        <w:rPr>
          <w:rFonts w:ascii="宋体" w:hAnsi="宋体" w:eastAsia="宋体" w:cs="Times New Roman"/>
          <w:b/>
          <w:bCs/>
          <w:color w:val="auto"/>
          <w:szCs w:val="24"/>
          <w:highlight w:val="none"/>
        </w:rPr>
      </w:pPr>
      <w:r>
        <w:rPr>
          <w:rFonts w:hint="eastAsia" w:ascii="宋体" w:hAnsi="宋体" w:eastAsia="宋体" w:cs="Times New Roman"/>
          <w:b/>
          <w:bCs/>
          <w:color w:val="auto"/>
          <w:kern w:val="0"/>
          <w:sz w:val="28"/>
          <w:szCs w:val="28"/>
          <w:highlight w:val="none"/>
        </w:rPr>
        <w:t>附件3法定代表人授权书</w:t>
      </w:r>
    </w:p>
    <w:p>
      <w:pPr>
        <w:spacing w:line="360" w:lineRule="auto"/>
        <w:jc w:val="left"/>
        <w:rPr>
          <w:rFonts w:ascii="宋体" w:hAnsi="宋体" w:eastAsia="宋体" w:cs="Times New Roman"/>
          <w:b/>
          <w:color w:val="auto"/>
          <w:sz w:val="24"/>
          <w:szCs w:val="24"/>
          <w:highlight w:val="none"/>
        </w:rPr>
      </w:pPr>
    </w:p>
    <w:p>
      <w:pPr>
        <w:spacing w:line="360" w:lineRule="auto"/>
        <w:jc w:val="left"/>
        <w:rPr>
          <w:rFonts w:ascii="宋体" w:hAnsi="宋体" w:eastAsia="宋体" w:cs="Times New Roman"/>
          <w:b/>
          <w:color w:val="auto"/>
          <w:sz w:val="24"/>
          <w:szCs w:val="24"/>
          <w:highlight w:val="none"/>
        </w:rPr>
      </w:pPr>
    </w:p>
    <w:p>
      <w:pPr>
        <w:spacing w:line="360"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致:广州市信怡招标代理有限公司</w:t>
      </w:r>
      <w:r>
        <w:rPr>
          <w:rFonts w:hint="eastAsia" w:ascii="宋体" w:hAnsi="宋体" w:eastAsia="宋体" w:cs="Times New Roman"/>
          <w:color w:val="auto"/>
          <w:szCs w:val="21"/>
          <w:highlight w:val="none"/>
        </w:rPr>
        <w:tab/>
      </w:r>
    </w:p>
    <w:p>
      <w:pPr>
        <w:spacing w:line="360" w:lineRule="auto"/>
        <w:ind w:firstLine="420" w:firstLineChars="200"/>
        <w:jc w:val="left"/>
        <w:rPr>
          <w:rFonts w:ascii="宋体" w:hAnsi="宋体" w:eastAsia="宋体" w:cs="Times New Roman"/>
          <w:color w:val="auto"/>
          <w:szCs w:val="21"/>
          <w:highlight w:val="none"/>
        </w:rPr>
      </w:pPr>
    </w:p>
    <w:p>
      <w:pPr>
        <w:autoSpaceDE w:val="0"/>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本授权书声明：</w:t>
      </w:r>
      <w:r>
        <w:rPr>
          <w:rFonts w:ascii="ZWAdobeF" w:hAnsi="ZWAdobeF" w:eastAsia="宋体" w:cs="ZWAdobeF"/>
          <w:color w:val="auto"/>
          <w:sz w:val="2"/>
          <w:szCs w:val="2"/>
          <w:highlight w:val="none"/>
        </w:rPr>
        <w:t>UU UUUU</w:t>
      </w:r>
      <w:r>
        <w:rPr>
          <w:rFonts w:hint="eastAsia" w:ascii="宋体" w:hAnsi="宋体" w:eastAsia="宋体" w:cs="Times New Roman"/>
          <w:color w:val="auto"/>
          <w:szCs w:val="21"/>
          <w:highlight w:val="none"/>
        </w:rPr>
        <w:t>是注册于的法定代表人，现任</w:t>
      </w:r>
      <w:r>
        <w:rPr>
          <w:rFonts w:ascii="ZWAdobeF" w:hAnsi="ZWAdobeF" w:eastAsia="宋体" w:cs="ZWAdobeF"/>
          <w:color w:val="auto"/>
          <w:sz w:val="2"/>
          <w:szCs w:val="2"/>
          <w:highlight w:val="none"/>
        </w:rPr>
        <w:t>UUUU UUUU</w:t>
      </w:r>
      <w:r>
        <w:rPr>
          <w:rFonts w:hint="eastAsia" w:ascii="宋体" w:hAnsi="宋体" w:eastAsia="宋体" w:cs="Times New Roman"/>
          <w:color w:val="auto"/>
          <w:szCs w:val="21"/>
          <w:highlight w:val="none"/>
        </w:rPr>
        <w:t>。在此授权</w:t>
      </w:r>
      <w:r>
        <w:rPr>
          <w:rFonts w:ascii="ZWAdobeF" w:hAnsi="ZWAdobeF" w:eastAsia="宋体" w:cs="ZWAdobeF"/>
          <w:color w:val="auto"/>
          <w:sz w:val="2"/>
          <w:szCs w:val="2"/>
          <w:highlight w:val="none"/>
        </w:rPr>
        <w:t>UUUU</w:t>
      </w:r>
      <w:r>
        <w:rPr>
          <w:rFonts w:hint="eastAsia" w:ascii="宋体" w:hAnsi="宋体" w:eastAsia="宋体" w:cs="Times New Roman"/>
          <w:i/>
          <w:color w:val="auto"/>
          <w:szCs w:val="21"/>
          <w:highlight w:val="none"/>
          <w:u w:val="single"/>
        </w:rPr>
        <w:t>（姓名、职位）</w:t>
      </w:r>
      <w:r>
        <w:rPr>
          <w:rFonts w:ascii="ZWAdobeF" w:hAnsi="ZWAdobeF" w:eastAsia="宋体" w:cs="ZWAdobeF"/>
          <w:color w:val="auto"/>
          <w:sz w:val="2"/>
          <w:szCs w:val="2"/>
          <w:highlight w:val="none"/>
        </w:rPr>
        <w:t>UUUU</w:t>
      </w:r>
      <w:r>
        <w:rPr>
          <w:rFonts w:hint="eastAsia" w:ascii="宋体" w:hAnsi="宋体" w:eastAsia="宋体" w:cs="Times New Roman"/>
          <w:color w:val="auto"/>
          <w:szCs w:val="21"/>
          <w:highlight w:val="none"/>
        </w:rPr>
        <w:t>作为我公司的全权代理人，在</w:t>
      </w:r>
      <w:r>
        <w:rPr>
          <w:rFonts w:ascii="ZWAdobeF" w:hAnsi="ZWAdobeF" w:eastAsia="宋体" w:cs="ZWAdobeF"/>
          <w:color w:val="auto"/>
          <w:sz w:val="2"/>
          <w:szCs w:val="2"/>
          <w:highlight w:val="none"/>
        </w:rPr>
        <w:t>UUUU UUU</w:t>
      </w:r>
      <w:r>
        <w:rPr>
          <w:rFonts w:hint="eastAsia" w:ascii="宋体" w:hAnsi="宋体" w:eastAsia="宋体" w:cs="Times New Roman"/>
          <w:color w:val="auto"/>
          <w:szCs w:val="21"/>
          <w:highlight w:val="none"/>
        </w:rPr>
        <w:t>的遴选响应（项目编号为：）及其合同执行过程中，以我公司的名义处理一切与之有关的事务。</w:t>
      </w:r>
    </w:p>
    <w:p>
      <w:pPr>
        <w:spacing w:line="360" w:lineRule="auto"/>
        <w:jc w:val="left"/>
        <w:rPr>
          <w:rFonts w:ascii="宋体" w:hAnsi="宋体" w:eastAsia="宋体" w:cs="Times New Roman"/>
          <w:color w:val="auto"/>
          <w:szCs w:val="21"/>
          <w:highlight w:val="none"/>
        </w:rPr>
      </w:pP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本授权书于  2021 年  月  日签字生效，特此声明。</w:t>
      </w:r>
    </w:p>
    <w:p>
      <w:pPr>
        <w:spacing w:line="360" w:lineRule="auto"/>
        <w:ind w:firstLine="105" w:firstLineChars="50"/>
        <w:jc w:val="left"/>
        <w:rPr>
          <w:rFonts w:ascii="宋体" w:hAnsi="宋体" w:eastAsia="宋体" w:cs="Times New Roman"/>
          <w:color w:val="auto"/>
          <w:szCs w:val="21"/>
          <w:highlight w:val="none"/>
        </w:rPr>
      </w:pPr>
    </w:p>
    <w:p>
      <w:pPr>
        <w:spacing w:line="360" w:lineRule="auto"/>
        <w:ind w:firstLine="105" w:firstLineChars="50"/>
        <w:jc w:val="left"/>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供应商</w:t>
      </w:r>
      <w:r>
        <w:rPr>
          <w:rFonts w:hint="eastAsia" w:ascii="宋体" w:hAnsi="宋体" w:eastAsia="宋体" w:cs="Times New Roman"/>
          <w:color w:val="auto"/>
          <w:szCs w:val="21"/>
          <w:highlight w:val="none"/>
        </w:rPr>
        <w:t>全称（加盖公章）：</w:t>
      </w:r>
    </w:p>
    <w:p>
      <w:pPr>
        <w:tabs>
          <w:tab w:val="left" w:pos="2535"/>
        </w:tabs>
        <w:spacing w:line="360" w:lineRule="auto"/>
        <w:ind w:firstLine="105" w:firstLineChars="5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       址：</w:t>
      </w:r>
      <w:r>
        <w:rPr>
          <w:rFonts w:hint="eastAsia" w:ascii="宋体" w:hAnsi="宋体" w:eastAsia="宋体" w:cs="Times New Roman"/>
          <w:color w:val="auto"/>
          <w:szCs w:val="21"/>
          <w:highlight w:val="none"/>
        </w:rPr>
        <w:tab/>
      </w:r>
    </w:p>
    <w:p>
      <w:pPr>
        <w:spacing w:line="360" w:lineRule="auto"/>
        <w:ind w:firstLine="105" w:firstLineChars="5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hint="eastAsia" w:ascii="宋体" w:hAnsi="宋体" w:eastAsia="宋体" w:cs="Times New Roman"/>
          <w:bCs/>
          <w:color w:val="auto"/>
          <w:szCs w:val="21"/>
          <w:highlight w:val="none"/>
        </w:rPr>
        <w:t>(</w:t>
      </w:r>
      <w:r>
        <w:rPr>
          <w:rFonts w:hint="eastAsia" w:ascii="宋体" w:hAnsi="宋体" w:eastAsia="宋体" w:cs="Times New Roman"/>
          <w:color w:val="auto"/>
          <w:szCs w:val="21"/>
          <w:highlight w:val="none"/>
        </w:rPr>
        <w:t>签字或签章</w:t>
      </w:r>
      <w:r>
        <w:rPr>
          <w:rFonts w:hint="eastAsia" w:ascii="宋体" w:hAnsi="宋体" w:eastAsia="宋体" w:cs="Times New Roman"/>
          <w:bCs/>
          <w:color w:val="auto"/>
          <w:szCs w:val="21"/>
          <w:highlight w:val="none"/>
        </w:rPr>
        <w:t>)</w:t>
      </w:r>
      <w:r>
        <w:rPr>
          <w:rFonts w:hint="eastAsia" w:ascii="宋体" w:hAnsi="宋体" w:eastAsia="宋体" w:cs="Times New Roman"/>
          <w:color w:val="auto"/>
          <w:szCs w:val="21"/>
          <w:highlight w:val="none"/>
        </w:rPr>
        <w:t>：</w:t>
      </w:r>
    </w:p>
    <w:p>
      <w:pPr>
        <w:spacing w:line="360" w:lineRule="auto"/>
        <w:ind w:firstLine="105" w:firstLineChars="5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被授权人(</w:t>
      </w:r>
      <w:r>
        <w:rPr>
          <w:rFonts w:hint="eastAsia" w:ascii="宋体" w:hAnsi="宋体" w:eastAsia="宋体" w:cs="宋体"/>
          <w:color w:val="auto"/>
          <w:kern w:val="0"/>
          <w:szCs w:val="21"/>
          <w:highlight w:val="none"/>
        </w:rPr>
        <w:t>供应商</w:t>
      </w:r>
      <w:r>
        <w:rPr>
          <w:rFonts w:hint="eastAsia" w:ascii="宋体" w:hAnsi="宋体" w:eastAsia="宋体" w:cs="Times New Roman"/>
          <w:color w:val="auto"/>
          <w:szCs w:val="21"/>
          <w:highlight w:val="none"/>
        </w:rPr>
        <w:t>授权代表)</w:t>
      </w:r>
      <w:r>
        <w:rPr>
          <w:rFonts w:hint="eastAsia" w:ascii="宋体" w:hAnsi="宋体" w:eastAsia="宋体" w:cs="Times New Roman"/>
          <w:bCs/>
          <w:color w:val="auto"/>
          <w:szCs w:val="21"/>
          <w:highlight w:val="none"/>
        </w:rPr>
        <w:t xml:space="preserve"> (</w:t>
      </w:r>
      <w:r>
        <w:rPr>
          <w:rFonts w:hint="eastAsia" w:ascii="宋体" w:hAnsi="宋体" w:eastAsia="宋体" w:cs="Times New Roman"/>
          <w:color w:val="auto"/>
          <w:szCs w:val="21"/>
          <w:highlight w:val="none"/>
        </w:rPr>
        <w:t>签字或签章</w:t>
      </w:r>
      <w:r>
        <w:rPr>
          <w:rFonts w:hint="eastAsia" w:ascii="宋体" w:hAnsi="宋体" w:eastAsia="宋体" w:cs="Times New Roman"/>
          <w:bCs/>
          <w:color w:val="auto"/>
          <w:szCs w:val="21"/>
          <w:highlight w:val="none"/>
        </w:rPr>
        <w:t>)</w:t>
      </w:r>
      <w:r>
        <w:rPr>
          <w:rFonts w:hint="eastAsia" w:ascii="宋体" w:hAnsi="宋体" w:eastAsia="宋体" w:cs="Times New Roman"/>
          <w:color w:val="auto"/>
          <w:szCs w:val="21"/>
          <w:highlight w:val="none"/>
        </w:rPr>
        <w:t>：</w:t>
      </w:r>
    </w:p>
    <w:tbl>
      <w:tblPr>
        <w:tblStyle w:val="8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eastAsia="宋体" w:cs="Times New Roman"/>
                <w:b/>
                <w:color w:val="auto"/>
                <w:szCs w:val="21"/>
                <w:highlight w:val="none"/>
              </w:rPr>
            </w:pPr>
          </w:p>
          <w:p>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被授权人(供应商授权代表)</w:t>
            </w:r>
          </w:p>
          <w:p>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居民身份证复印件粘贴处</w:t>
            </w:r>
          </w:p>
          <w:p>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（正反面）</w:t>
            </w:r>
          </w:p>
          <w:p>
            <w:pPr>
              <w:spacing w:line="360" w:lineRule="auto"/>
              <w:jc w:val="left"/>
              <w:rPr>
                <w:rFonts w:ascii="宋体" w:hAnsi="宋体" w:eastAsia="宋体" w:cs="Times New Roman"/>
                <w:color w:val="auto"/>
                <w:szCs w:val="21"/>
                <w:highlight w:val="none"/>
              </w:rPr>
            </w:pPr>
          </w:p>
        </w:tc>
      </w:tr>
    </w:tbl>
    <w:p>
      <w:pPr>
        <w:spacing w:line="360" w:lineRule="auto"/>
        <w:ind w:firstLine="422"/>
        <w:jc w:val="left"/>
        <w:rPr>
          <w:rFonts w:ascii="宋体" w:hAnsi="宋体" w:eastAsia="宋体" w:cs="Times New Roman"/>
          <w:b/>
          <w:color w:val="auto"/>
          <w:szCs w:val="21"/>
          <w:highlight w:val="none"/>
        </w:rPr>
      </w:pPr>
    </w:p>
    <w:p>
      <w:pPr>
        <w:spacing w:line="360" w:lineRule="auto"/>
        <w:ind w:firstLine="422"/>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注：本表格须附在正副的遴选响应文件中，并另封装一份在 “报价信封”内。如是法定代表人作为供应商代表，则无需提交此资料。</w:t>
      </w: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widowControl/>
        <w:jc w:val="left"/>
        <w:rPr>
          <w:rFonts w:ascii="宋体" w:hAnsi="宋体" w:eastAsia="宋体" w:cs="Times New Roman"/>
          <w:b/>
          <w:color w:val="auto"/>
          <w:sz w:val="24"/>
          <w:szCs w:val="24"/>
          <w:highlight w:val="none"/>
        </w:rPr>
      </w:pPr>
      <w:r>
        <w:rPr>
          <w:rFonts w:ascii="宋体" w:hAnsi="宋体" w:eastAsia="宋体" w:cs="Times New Roman"/>
          <w:b/>
          <w:bCs/>
          <w:color w:val="auto"/>
          <w:kern w:val="0"/>
          <w:sz w:val="28"/>
          <w:szCs w:val="28"/>
          <w:highlight w:val="none"/>
        </w:rPr>
        <w:br w:type="page"/>
      </w:r>
      <w:r>
        <w:rPr>
          <w:rFonts w:hint="eastAsia" w:ascii="宋体" w:hAnsi="宋体" w:eastAsia="宋体" w:cs="Times New Roman"/>
          <w:b/>
          <w:bCs/>
          <w:color w:val="auto"/>
          <w:kern w:val="0"/>
          <w:sz w:val="28"/>
          <w:szCs w:val="28"/>
          <w:highlight w:val="none"/>
        </w:rPr>
        <w:t>附件4</w:t>
      </w:r>
      <w:r>
        <w:rPr>
          <w:rFonts w:hint="eastAsia" w:ascii="宋体" w:hAnsi="宋体" w:eastAsia="宋体" w:cs="Times New Roman"/>
          <w:b/>
          <w:bCs/>
          <w:color w:val="auto"/>
          <w:sz w:val="28"/>
          <w:szCs w:val="28"/>
          <w:highlight w:val="none"/>
        </w:rPr>
        <w:t xml:space="preserve"> 书面承诺声明</w:t>
      </w:r>
    </w:p>
    <w:p>
      <w:pPr>
        <w:spacing w:line="360" w:lineRule="auto"/>
        <w:jc w:val="left"/>
        <w:rPr>
          <w:rFonts w:ascii="宋体" w:hAnsi="宋体" w:eastAsia="宋体" w:cs="Times New Roman"/>
          <w:b/>
          <w:color w:val="auto"/>
          <w:sz w:val="24"/>
          <w:szCs w:val="24"/>
          <w:highlight w:val="none"/>
        </w:rPr>
      </w:pPr>
    </w:p>
    <w:p>
      <w:pPr>
        <w:spacing w:line="360"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广州市信怡招标代理有限公司：</w:t>
      </w:r>
    </w:p>
    <w:p>
      <w:pPr>
        <w:autoSpaceDE w:val="0"/>
        <w:snapToGrid w:val="0"/>
        <w:spacing w:before="120" w:beforeLines="50" w:line="360" w:lineRule="auto"/>
        <w:ind w:firstLine="525" w:firstLineChars="25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关于贵公司</w:t>
      </w:r>
      <w:r>
        <w:rPr>
          <w:rFonts w:ascii="ZWAdobeF" w:hAnsi="ZWAdobeF" w:eastAsia="宋体" w:cs="ZWAdobeF"/>
          <w:color w:val="auto"/>
          <w:sz w:val="2"/>
          <w:szCs w:val="2"/>
          <w:highlight w:val="none"/>
        </w:rPr>
        <w:t>UUUU</w:t>
      </w:r>
      <w:r>
        <w:rPr>
          <w:rFonts w:hint="eastAsia" w:ascii="宋体" w:hAnsi="宋体" w:eastAsia="宋体" w:cs="Times New Roman"/>
          <w:color w:val="auto"/>
          <w:szCs w:val="21"/>
          <w:highlight w:val="none"/>
        </w:rPr>
        <w:t>发布</w:t>
      </w:r>
      <w:r>
        <w:rPr>
          <w:rFonts w:hint="eastAsia" w:ascii="宋体" w:hAnsi="宋体" w:eastAsia="宋体" w:cs="Times New Roman"/>
          <w:color w:val="auto"/>
          <w:szCs w:val="24"/>
          <w:highlight w:val="none"/>
          <w:u w:val="single"/>
        </w:rPr>
        <w:t xml:space="preserve">    项目名称   </w:t>
      </w:r>
      <w:r>
        <w:rPr>
          <w:rFonts w:hint="eastAsia" w:ascii="宋体" w:hAnsi="宋体" w:eastAsia="宋体" w:cs="Times New Roman"/>
          <w:color w:val="auto"/>
          <w:szCs w:val="21"/>
          <w:highlight w:val="none"/>
        </w:rPr>
        <w:t>项目（项目编号：</w:t>
      </w:r>
      <w:r>
        <w:rPr>
          <w:rFonts w:hint="eastAsia" w:ascii="宋体" w:hAnsi="宋体" w:eastAsia="宋体" w:cs="Times New Roman"/>
          <w:color w:val="auto"/>
          <w:szCs w:val="21"/>
          <w:highlight w:val="none"/>
          <w:u w:val="single"/>
        </w:rPr>
        <w:t xml:space="preserve">   项目编号   </w:t>
      </w:r>
      <w:r>
        <w:rPr>
          <w:rFonts w:hint="eastAsia" w:ascii="宋体" w:hAnsi="宋体" w:eastAsia="宋体" w:cs="Times New Roman"/>
          <w:color w:val="auto"/>
          <w:szCs w:val="21"/>
          <w:highlight w:val="none"/>
        </w:rPr>
        <w:t>）的遴选公告，本机构愿意参加遴选响应，并声明：</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一、本机构具备《中华人民共和国政府采购法》第二十二条资格条件：</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（一）具有独立承担民事责任的能力【</w:t>
      </w:r>
      <w:r>
        <w:rPr>
          <w:rFonts w:hint="eastAsia" w:ascii="Times New Roman" w:hAnsi="Times New Roman" w:eastAsia="宋体" w:cs="Times New Roman"/>
          <w:color w:val="auto"/>
          <w:szCs w:val="24"/>
          <w:highlight w:val="none"/>
        </w:rPr>
        <w:t>提供法人或者其他组织的营业执照、组织机构代码证和税务登记证（或三证合一证明）等证明文件</w:t>
      </w:r>
      <w:r>
        <w:rPr>
          <w:rFonts w:hint="eastAsia" w:ascii="宋体" w:hAnsi="宋体" w:eastAsia="宋体" w:cs="宋体"/>
          <w:color w:val="auto"/>
          <w:szCs w:val="21"/>
          <w:highlight w:val="none"/>
        </w:rPr>
        <w:t>】；</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（二）具有良好的商业信誉和健全的财务会计制度；</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（三）具有履行合同所必需的设备和专业技术能力【</w:t>
      </w:r>
      <w:r>
        <w:rPr>
          <w:rFonts w:hint="eastAsia" w:ascii="Times New Roman" w:hAnsi="Times New Roman" w:eastAsia="宋体" w:cs="Times New Roman"/>
          <w:color w:val="auto"/>
          <w:szCs w:val="24"/>
          <w:highlight w:val="none"/>
        </w:rPr>
        <w:t>提供履行合同所必需的设备清单以及技术人员的名单材料</w:t>
      </w:r>
      <w:r>
        <w:rPr>
          <w:rFonts w:hint="eastAsia" w:ascii="宋体" w:hAnsi="宋体" w:eastAsia="宋体" w:cs="宋体"/>
          <w:color w:val="auto"/>
          <w:szCs w:val="21"/>
          <w:highlight w:val="none"/>
        </w:rPr>
        <w:t>】；</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（四）有依法缴纳税收和社会保障资金的良好记录；</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（五）参加政府采购活动前三年内，在经营活动中没有重大违法记录【</w:t>
      </w:r>
      <w:r>
        <w:rPr>
          <w:rFonts w:hint="eastAsia" w:ascii="Times New Roman" w:hAnsi="Times New Roman" w:eastAsia="宋体" w:cs="Times New Roman"/>
          <w:color w:val="auto"/>
          <w:szCs w:val="24"/>
          <w:highlight w:val="none"/>
        </w:rPr>
        <w:t>提供书面声明</w:t>
      </w:r>
      <w:r>
        <w:rPr>
          <w:rFonts w:hint="eastAsia" w:ascii="宋体" w:hAnsi="宋体" w:eastAsia="宋体" w:cs="宋体"/>
          <w:color w:val="auto"/>
          <w:szCs w:val="21"/>
          <w:highlight w:val="none"/>
        </w:rPr>
        <w:t>】；</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（六）法律、行政法规规定的其他条件。</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根据《中华人民共和国政府采购法实施条例》的规定，本机构如为采购项目提供整体设计、规范编制或者项目管理、监理、检测等服务的供应商，不再参加该采购项目的其他采购活动。否则，由此所造成的损失、不良后果及法律责任，一律由我机构承担。</w:t>
      </w:r>
    </w:p>
    <w:p>
      <w:pPr>
        <w:snapToGrid w:val="0"/>
        <w:spacing w:before="120" w:beforeLines="50" w:line="360" w:lineRule="auto"/>
        <w:ind w:firstLine="525" w:firstLineChars="250"/>
        <w:rPr>
          <w:rFonts w:hint="eastAsia" w:ascii="宋体" w:hAnsi="宋体" w:eastAsia="宋体" w:cs="宋体"/>
          <w:color w:val="auto"/>
          <w:szCs w:val="24"/>
          <w:highlight w:val="none"/>
        </w:rPr>
      </w:pPr>
      <w:r>
        <w:rPr>
          <w:rFonts w:hint="eastAsia" w:ascii="宋体" w:hAnsi="宋体" w:eastAsia="宋体" w:cs="宋体"/>
          <w:color w:val="auto"/>
          <w:szCs w:val="21"/>
          <w:highlight w:val="none"/>
        </w:rPr>
        <w:t>三、</w:t>
      </w:r>
      <w:r>
        <w:rPr>
          <w:rFonts w:hint="eastAsia" w:ascii="宋体" w:hAnsi="宋体" w:eastAsia="宋体" w:cs="宋体"/>
          <w:color w:val="auto"/>
          <w:szCs w:val="24"/>
          <w:highlight w:val="none"/>
        </w:rPr>
        <w:t>本机构的法定代表人或单位负责人与本项目其他投标人的法定代表人或单位负责人不为同一人且与其他投标人之间不存在直接控股、管理关系。</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四、本机构政府采购活动前三年内，没有正在被司法机关立案调查。</w:t>
      </w:r>
    </w:p>
    <w:p>
      <w:pPr>
        <w:spacing w:after="120"/>
        <w:rPr>
          <w:rFonts w:hint="eastAsia" w:ascii="Times New Roman" w:hAnsi="Times New Roman" w:eastAsia="宋体" w:cs="Times New Roman"/>
          <w:color w:val="auto"/>
          <w:szCs w:val="24"/>
          <w:highlight w:val="none"/>
        </w:rPr>
      </w:pPr>
      <w:r>
        <w:rPr>
          <w:rFonts w:hint="eastAsia" w:ascii="宋体" w:hAnsi="宋体" w:eastAsia="宋体" w:cs="宋体"/>
          <w:color w:val="auto"/>
          <w:szCs w:val="21"/>
          <w:highlight w:val="none"/>
        </w:rPr>
        <w:t xml:space="preserve">     五、本机构未承接本市社区精神康复综合服务中心服务的第三方社会服务机构，与项目被评估方、被抽检方不存在利害关系。</w:t>
      </w:r>
    </w:p>
    <w:p>
      <w:pPr>
        <w:snapToGrid w:val="0"/>
        <w:spacing w:before="120" w:beforeLines="50" w:line="360" w:lineRule="auto"/>
        <w:ind w:firstLine="525" w:firstLineChars="250"/>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本机构已清楚公开遴选文件的要求及有关文件规定，并承诺在本次招标采购活动中，如有违法、违规、弄虚作假行为，所造成的损失、不良后果及法律责任，一律由我机构承担。</w:t>
      </w:r>
    </w:p>
    <w:p>
      <w:pPr>
        <w:snapToGrid w:val="0"/>
        <w:spacing w:line="360" w:lineRule="auto"/>
        <w:ind w:firstLine="420" w:firstLineChars="200"/>
        <w:jc w:val="left"/>
        <w:rPr>
          <w:rFonts w:ascii="Times New Roman" w:hAnsi="Times New Roman" w:eastAsia="宋体" w:cs="Times New Roman"/>
          <w:color w:val="auto"/>
          <w:szCs w:val="21"/>
          <w:highlight w:val="none"/>
        </w:rPr>
      </w:pPr>
    </w:p>
    <w:p>
      <w:pPr>
        <w:spacing w:line="360" w:lineRule="auto"/>
        <w:ind w:firstLine="42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特此声明！</w:t>
      </w:r>
    </w:p>
    <w:p>
      <w:pPr>
        <w:adjustRightInd w:val="0"/>
        <w:snapToGrid w:val="0"/>
        <w:spacing w:line="360" w:lineRule="auto"/>
        <w:jc w:val="left"/>
        <w:rPr>
          <w:rFonts w:ascii="宋体" w:hAnsi="宋体" w:eastAsia="宋体" w:cs="Times New Roman"/>
          <w:color w:val="auto"/>
          <w:szCs w:val="21"/>
          <w:highlight w:val="none"/>
        </w:rPr>
      </w:pPr>
    </w:p>
    <w:p>
      <w:pPr>
        <w:tabs>
          <w:tab w:val="left" w:pos="7260"/>
        </w:tabs>
        <w:spacing w:line="360" w:lineRule="auto"/>
        <w:ind w:left="-2" w:leftChars="-1" w:firstLine="539" w:firstLineChars="257"/>
        <w:jc w:val="left"/>
        <w:rPr>
          <w:rFonts w:ascii="宋体" w:hAnsi="宋体" w:eastAsia="宋体" w:cs="Times New Roman"/>
          <w:color w:val="auto"/>
          <w:szCs w:val="21"/>
          <w:highlight w:val="none"/>
          <w:u w:val="single"/>
        </w:rPr>
      </w:pPr>
      <w:r>
        <w:rPr>
          <w:rFonts w:hint="eastAsia" w:ascii="宋体" w:hAnsi="宋体" w:eastAsia="宋体" w:cs="宋体"/>
          <w:color w:val="auto"/>
          <w:kern w:val="0"/>
          <w:szCs w:val="21"/>
          <w:highlight w:val="none"/>
        </w:rPr>
        <w:t>供应商</w:t>
      </w:r>
      <w:r>
        <w:rPr>
          <w:rFonts w:hint="eastAsia" w:ascii="宋体" w:hAnsi="宋体" w:eastAsia="宋体" w:cs="Times New Roman"/>
          <w:color w:val="auto"/>
          <w:szCs w:val="21"/>
          <w:highlight w:val="none"/>
        </w:rPr>
        <w:t>全称（加盖公章）：</w:t>
      </w:r>
    </w:p>
    <w:p>
      <w:pPr>
        <w:tabs>
          <w:tab w:val="left" w:pos="4500"/>
        </w:tabs>
        <w:spacing w:line="360" w:lineRule="auto"/>
        <w:ind w:left="-2" w:leftChars="-1" w:firstLine="539" w:firstLineChars="257"/>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法定代表人或其授权代表</w:t>
      </w:r>
      <w:r>
        <w:rPr>
          <w:rFonts w:hint="eastAsia" w:ascii="宋体" w:hAnsi="宋体" w:eastAsia="宋体" w:cs="Times New Roman"/>
          <w:bCs/>
          <w:color w:val="auto"/>
          <w:szCs w:val="21"/>
          <w:highlight w:val="none"/>
        </w:rPr>
        <w:t>(</w:t>
      </w:r>
      <w:r>
        <w:rPr>
          <w:rFonts w:hint="eastAsia" w:ascii="宋体" w:hAnsi="宋体" w:eastAsia="宋体" w:cs="Times New Roman"/>
          <w:color w:val="auto"/>
          <w:szCs w:val="21"/>
          <w:highlight w:val="none"/>
        </w:rPr>
        <w:t>签字或签章</w:t>
      </w:r>
      <w:r>
        <w:rPr>
          <w:rFonts w:hint="eastAsia" w:ascii="宋体" w:hAnsi="宋体" w:eastAsia="宋体" w:cs="Times New Roman"/>
          <w:bCs/>
          <w:color w:val="auto"/>
          <w:szCs w:val="21"/>
          <w:highlight w:val="none"/>
        </w:rPr>
        <w:t>)</w:t>
      </w:r>
      <w:r>
        <w:rPr>
          <w:rFonts w:hint="eastAsia" w:ascii="宋体" w:hAnsi="宋体" w:eastAsia="宋体" w:cs="Times New Roman"/>
          <w:color w:val="auto"/>
          <w:szCs w:val="21"/>
          <w:highlight w:val="none"/>
        </w:rPr>
        <w:t>:</w:t>
      </w:r>
    </w:p>
    <w:p>
      <w:pPr>
        <w:tabs>
          <w:tab w:val="left" w:pos="4500"/>
        </w:tabs>
        <w:spacing w:line="360" w:lineRule="auto"/>
        <w:ind w:left="-2" w:leftChars="-1" w:firstLine="539" w:firstLineChars="257"/>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邮编：</w:t>
      </w:r>
    </w:p>
    <w:p>
      <w:pPr>
        <w:tabs>
          <w:tab w:val="left" w:pos="4500"/>
        </w:tabs>
        <w:spacing w:line="360" w:lineRule="auto"/>
        <w:ind w:left="-2" w:leftChars="-1" w:firstLine="539" w:firstLineChars="257"/>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 xml:space="preserve">电话：  </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传真：</w:t>
      </w:r>
    </w:p>
    <w:p>
      <w:pPr>
        <w:spacing w:line="360" w:lineRule="auto"/>
        <w:ind w:firstLine="525" w:firstLineChars="250"/>
        <w:jc w:val="left"/>
        <w:rPr>
          <w:rFonts w:ascii="宋体" w:hAnsi="宋体" w:eastAsia="宋体" w:cs="Times New Roman"/>
          <w:b/>
          <w:bCs/>
          <w:color w:val="auto"/>
          <w:kern w:val="0"/>
          <w:sz w:val="28"/>
          <w:szCs w:val="28"/>
          <w:highlight w:val="none"/>
        </w:rPr>
      </w:pPr>
      <w:r>
        <w:rPr>
          <w:rFonts w:hint="eastAsia" w:ascii="宋体" w:hAnsi="宋体" w:eastAsia="宋体" w:cs="Times New Roman"/>
          <w:color w:val="auto"/>
          <w:szCs w:val="21"/>
          <w:highlight w:val="none"/>
        </w:rPr>
        <w:t xml:space="preserve">日    期： </w:t>
      </w:r>
      <w:r>
        <w:rPr>
          <w:rFonts w:hint="eastAsia" w:ascii="宋体" w:hAnsi="宋体" w:eastAsia="宋体" w:cs="Times New Roman"/>
          <w:color w:val="auto"/>
          <w:szCs w:val="21"/>
          <w:highlight w:val="none"/>
          <w:u w:val="single"/>
        </w:rPr>
        <w:t>2021年  月  日</w:t>
      </w:r>
    </w:p>
    <w:p>
      <w:pPr>
        <w:spacing w:line="360" w:lineRule="auto"/>
        <w:jc w:val="left"/>
        <w:rPr>
          <w:rFonts w:ascii="宋体" w:hAnsi="宋体" w:eastAsia="宋体" w:cs="Arial"/>
          <w:color w:val="auto"/>
          <w:sz w:val="32"/>
          <w:szCs w:val="32"/>
          <w:highlight w:val="none"/>
        </w:rPr>
      </w:pPr>
      <w:r>
        <w:rPr>
          <w:rFonts w:hint="eastAsia" w:ascii="宋体" w:hAnsi="宋体" w:eastAsia="宋体" w:cs="Times New Roman"/>
          <w:b/>
          <w:bCs/>
          <w:color w:val="auto"/>
          <w:kern w:val="0"/>
          <w:sz w:val="28"/>
          <w:szCs w:val="28"/>
          <w:highlight w:val="none"/>
        </w:rPr>
        <w:br w:type="page"/>
      </w:r>
      <w:r>
        <w:rPr>
          <w:rFonts w:hint="eastAsia" w:ascii="宋体" w:hAnsi="宋体" w:eastAsia="宋体" w:cs="Times New Roman"/>
          <w:b/>
          <w:bCs/>
          <w:color w:val="auto"/>
          <w:kern w:val="0"/>
          <w:sz w:val="28"/>
          <w:szCs w:val="28"/>
          <w:highlight w:val="none"/>
        </w:rPr>
        <w:t>附件5同意公开遴选文件条款说明</w:t>
      </w:r>
    </w:p>
    <w:p>
      <w:pPr>
        <w:spacing w:line="360" w:lineRule="auto"/>
        <w:jc w:val="left"/>
        <w:rPr>
          <w:rFonts w:ascii="宋体" w:hAnsi="宋体" w:eastAsia="宋体" w:cs="Arial"/>
          <w:color w:val="auto"/>
          <w:szCs w:val="21"/>
          <w:highlight w:val="none"/>
        </w:rPr>
      </w:pPr>
    </w:p>
    <w:p>
      <w:pPr>
        <w:widowControl/>
        <w:spacing w:line="360" w:lineRule="auto"/>
        <w:jc w:val="left"/>
        <w:rPr>
          <w:rFonts w:ascii="宋体" w:hAnsi="宋体" w:eastAsia="宋体" w:cs="Arial"/>
          <w:color w:val="auto"/>
          <w:szCs w:val="21"/>
          <w:highlight w:val="none"/>
        </w:rPr>
      </w:pPr>
      <w:r>
        <w:rPr>
          <w:rFonts w:hint="eastAsia" w:ascii="宋体" w:hAnsi="宋体" w:eastAsia="宋体" w:cs="宋体"/>
          <w:color w:val="auto"/>
          <w:kern w:val="0"/>
          <w:szCs w:val="21"/>
          <w:highlight w:val="none"/>
        </w:rPr>
        <w:t>致：广州市信怡招标代理有限公司</w:t>
      </w:r>
    </w:p>
    <w:p>
      <w:pPr>
        <w:spacing w:line="360" w:lineRule="auto"/>
        <w:jc w:val="left"/>
        <w:rPr>
          <w:rFonts w:ascii="宋体" w:hAnsi="宋体" w:eastAsia="宋体" w:cs="Arial"/>
          <w:color w:val="auto"/>
          <w:szCs w:val="21"/>
          <w:highlight w:val="none"/>
        </w:rPr>
      </w:pPr>
    </w:p>
    <w:p>
      <w:pPr>
        <w:spacing w:line="360" w:lineRule="auto"/>
        <w:jc w:val="left"/>
        <w:rPr>
          <w:rFonts w:ascii="宋体" w:hAnsi="宋体" w:eastAsia="宋体" w:cs="Arial"/>
          <w:color w:val="auto"/>
          <w:szCs w:val="21"/>
          <w:highlight w:val="none"/>
        </w:rPr>
      </w:pPr>
    </w:p>
    <w:p>
      <w:pPr>
        <w:spacing w:line="360" w:lineRule="auto"/>
        <w:ind w:firstLine="478" w:firstLineChars="228"/>
        <w:jc w:val="left"/>
        <w:rPr>
          <w:rFonts w:ascii="宋体" w:hAnsi="宋体" w:eastAsia="宋体" w:cs="Arial"/>
          <w:color w:val="auto"/>
          <w:szCs w:val="21"/>
          <w:highlight w:val="none"/>
        </w:rPr>
      </w:pPr>
      <w:r>
        <w:rPr>
          <w:rFonts w:hint="eastAsia" w:ascii="宋体" w:hAnsi="宋体" w:eastAsia="宋体" w:cs="宋体"/>
          <w:color w:val="auto"/>
          <w:kern w:val="0"/>
          <w:szCs w:val="21"/>
          <w:highlight w:val="none"/>
        </w:rPr>
        <w:t>为响应你方组织的项目名称：</w:t>
      </w:r>
      <w:r>
        <w:rPr>
          <w:rFonts w:hint="eastAsia" w:ascii="宋体" w:hAnsi="宋体" w:eastAsia="宋体" w:cs="Times New Roman"/>
          <w:color w:val="auto"/>
          <w:szCs w:val="24"/>
          <w:highlight w:val="none"/>
          <w:u w:val="single"/>
        </w:rPr>
        <w:t xml:space="preserve">       项目名称      </w:t>
      </w:r>
      <w:r>
        <w:rPr>
          <w:rFonts w:hint="eastAsia" w:ascii="宋体" w:hAnsi="宋体" w:eastAsia="宋体" w:cs="宋体"/>
          <w:color w:val="auto"/>
          <w:kern w:val="0"/>
          <w:szCs w:val="21"/>
          <w:highlight w:val="none"/>
        </w:rPr>
        <w:t>项目的遴选（项目编号：</w:t>
      </w:r>
      <w:r>
        <w:rPr>
          <w:rFonts w:hint="eastAsia" w:ascii="宋体" w:hAnsi="宋体" w:eastAsia="宋体" w:cs="Arial"/>
          <w:color w:val="auto"/>
          <w:kern w:val="28"/>
          <w:szCs w:val="21"/>
          <w:highlight w:val="none"/>
          <w:u w:val="single"/>
        </w:rPr>
        <w:t xml:space="preserve">   项目编号   </w:t>
      </w:r>
      <w:r>
        <w:rPr>
          <w:rFonts w:hint="eastAsia" w:ascii="宋体" w:hAnsi="宋体" w:eastAsia="宋体" w:cs="宋体"/>
          <w:color w:val="auto"/>
          <w:kern w:val="0"/>
          <w:szCs w:val="21"/>
          <w:highlight w:val="none"/>
        </w:rPr>
        <w:t>），我方在参与报价前已详细研究了公开遴选文件的所有内容，包括修改文件（如果有的话）和所有已提供的参考资料以及有关附件，我方完全明白并认为此公开遴选文件没有倾向性，也没有存在排斥潜在供应商的内容，我方并同意公开遴选文件的相关条款。</w:t>
      </w:r>
    </w:p>
    <w:p>
      <w:pPr>
        <w:spacing w:line="360" w:lineRule="auto"/>
        <w:ind w:firstLine="478" w:firstLine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特此声明。</w:t>
      </w:r>
    </w:p>
    <w:p>
      <w:pPr>
        <w:spacing w:line="360" w:lineRule="auto"/>
        <w:jc w:val="left"/>
        <w:rPr>
          <w:rFonts w:ascii="宋体" w:hAnsi="宋体" w:eastAsia="宋体" w:cs="Times New Roman"/>
          <w:bCs/>
          <w:color w:val="auto"/>
          <w:szCs w:val="21"/>
          <w:highlight w:val="none"/>
        </w:rPr>
      </w:pPr>
    </w:p>
    <w:p>
      <w:pPr>
        <w:spacing w:line="360" w:lineRule="auto"/>
        <w:jc w:val="left"/>
        <w:rPr>
          <w:rFonts w:ascii="宋体" w:hAnsi="宋体" w:eastAsia="宋体" w:cs="Times New Roman"/>
          <w:bCs/>
          <w:color w:val="auto"/>
          <w:szCs w:val="21"/>
          <w:highlight w:val="none"/>
        </w:rPr>
      </w:pPr>
    </w:p>
    <w:p>
      <w:pPr>
        <w:spacing w:line="360" w:lineRule="auto"/>
        <w:jc w:val="left"/>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rPr>
        <w:t>供应商</w:t>
      </w:r>
      <w:r>
        <w:rPr>
          <w:rFonts w:hint="eastAsia" w:ascii="宋体" w:hAnsi="宋体" w:eastAsia="宋体" w:cs="Times New Roman"/>
          <w:bCs/>
          <w:color w:val="auto"/>
          <w:szCs w:val="21"/>
          <w:highlight w:val="none"/>
        </w:rPr>
        <w:t>全称（加盖公章）:</w:t>
      </w:r>
    </w:p>
    <w:p>
      <w:pPr>
        <w:spacing w:line="360" w:lineRule="auto"/>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法定代表或其授权代表(</w:t>
      </w:r>
      <w:r>
        <w:rPr>
          <w:rFonts w:hint="eastAsia" w:ascii="宋体" w:hAnsi="宋体" w:eastAsia="宋体" w:cs="Times New Roman"/>
          <w:color w:val="auto"/>
          <w:szCs w:val="21"/>
          <w:highlight w:val="none"/>
        </w:rPr>
        <w:t>签字或签章</w:t>
      </w:r>
      <w:r>
        <w:rPr>
          <w:rFonts w:hint="eastAsia" w:ascii="宋体" w:hAnsi="宋体" w:eastAsia="宋体" w:cs="Times New Roman"/>
          <w:bCs/>
          <w:color w:val="auto"/>
          <w:szCs w:val="21"/>
          <w:highlight w:val="none"/>
        </w:rPr>
        <w:t>)：</w:t>
      </w:r>
    </w:p>
    <w:p>
      <w:pPr>
        <w:spacing w:line="360" w:lineRule="auto"/>
        <w:jc w:val="left"/>
        <w:rPr>
          <w:rFonts w:ascii="宋体" w:hAnsi="宋体" w:eastAsia="宋体" w:cs="Times New Roman"/>
          <w:b/>
          <w:bCs/>
          <w:color w:val="auto"/>
          <w:kern w:val="0"/>
          <w:sz w:val="28"/>
          <w:szCs w:val="28"/>
          <w:highlight w:val="none"/>
        </w:rPr>
      </w:pPr>
      <w:r>
        <w:rPr>
          <w:rFonts w:hint="eastAsia" w:ascii="宋体" w:hAnsi="宋体" w:eastAsia="宋体" w:cs="Times New Roman"/>
          <w:color w:val="auto"/>
          <w:szCs w:val="21"/>
          <w:highlight w:val="none"/>
        </w:rPr>
        <w:t>日    期： 2021年  月  日</w:t>
      </w: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4"/>
          <w:szCs w:val="24"/>
          <w:highlight w:val="none"/>
        </w:rPr>
      </w:pPr>
    </w:p>
    <w:p>
      <w:pPr>
        <w:widowControl/>
        <w:jc w:val="left"/>
        <w:rPr>
          <w:rFonts w:ascii="宋体" w:hAnsi="宋体" w:eastAsia="宋体" w:cs="Times New Roman"/>
          <w:b/>
          <w:bCs/>
          <w:color w:val="auto"/>
          <w:kern w:val="0"/>
          <w:sz w:val="28"/>
          <w:szCs w:val="28"/>
          <w:highlight w:val="none"/>
        </w:rPr>
      </w:pPr>
      <w:r>
        <w:rPr>
          <w:rFonts w:ascii="宋体" w:hAnsi="宋体" w:eastAsia="宋体" w:cs="Times New Roman"/>
          <w:b/>
          <w:bCs/>
          <w:color w:val="auto"/>
          <w:kern w:val="0"/>
          <w:sz w:val="28"/>
          <w:szCs w:val="28"/>
          <w:highlight w:val="none"/>
        </w:rPr>
        <w:br w:type="page"/>
      </w:r>
    </w:p>
    <w:p>
      <w:pPr>
        <w:spacing w:line="360" w:lineRule="auto"/>
        <w:rPr>
          <w:rFonts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t>附件6  公平竞争承诺书</w:t>
      </w: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eastAsia="宋体" w:cs="Times New Roman"/>
          <w:color w:val="auto"/>
          <w:szCs w:val="24"/>
          <w:highlight w:val="none"/>
          <w:u w:val="single"/>
        </w:rPr>
        <w:t xml:space="preserve">    项目名称     </w:t>
      </w:r>
      <w:r>
        <w:rPr>
          <w:rFonts w:hint="eastAsia" w:ascii="宋体" w:hAnsi="宋体" w:eastAsia="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eastAsia="宋体" w:cs="宋体"/>
          <w:color w:val="auto"/>
          <w:kern w:val="0"/>
          <w:szCs w:val="21"/>
          <w:highlight w:val="none"/>
        </w:rPr>
      </w:pPr>
    </w:p>
    <w:p>
      <w:pPr>
        <w:wordWrap w:val="0"/>
        <w:spacing w:line="360" w:lineRule="auto"/>
        <w:ind w:right="900"/>
        <w:rPr>
          <w:rFonts w:ascii="宋体" w:hAnsi="宋体" w:eastAsia="宋体" w:cs="宋体"/>
          <w:color w:val="auto"/>
          <w:kern w:val="0"/>
          <w:szCs w:val="21"/>
          <w:highlight w:val="none"/>
        </w:rPr>
      </w:pPr>
    </w:p>
    <w:p>
      <w:pPr>
        <w:spacing w:line="360" w:lineRule="auto"/>
        <w:ind w:right="900"/>
        <w:jc w:val="center"/>
        <w:rPr>
          <w:rFonts w:ascii="宋体" w:hAnsi="宋体" w:eastAsia="宋体" w:cs="宋体"/>
          <w:color w:val="auto"/>
          <w:kern w:val="0"/>
          <w:szCs w:val="21"/>
          <w:highlight w:val="none"/>
          <w:u w:val="single"/>
        </w:rPr>
      </w:pPr>
    </w:p>
    <w:p>
      <w:pPr>
        <w:spacing w:line="360" w:lineRule="auto"/>
        <w:ind w:firstLine="6300" w:firstLineChars="3000"/>
        <w:rPr>
          <w:rFonts w:ascii="宋体" w:hAnsi="宋体" w:eastAsia="宋体" w:cs="Times New Roman"/>
          <w:b/>
          <w:bCs/>
          <w:color w:val="auto"/>
          <w:kern w:val="0"/>
          <w:sz w:val="28"/>
          <w:szCs w:val="28"/>
          <w:highlight w:val="none"/>
        </w:rPr>
      </w:pPr>
      <w:r>
        <w:rPr>
          <w:rFonts w:hint="eastAsia" w:ascii="宋体" w:hAnsi="宋体" w:eastAsia="宋体" w:cs="Times New Roman"/>
          <w:color w:val="auto"/>
          <w:szCs w:val="21"/>
          <w:highlight w:val="none"/>
        </w:rPr>
        <w:t>日    期： 2021年  月  日</w:t>
      </w: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
          <w:bCs/>
          <w:color w:val="auto"/>
          <w:kern w:val="0"/>
          <w:sz w:val="28"/>
          <w:szCs w:val="28"/>
          <w:highlight w:val="none"/>
        </w:rPr>
      </w:pPr>
    </w:p>
    <w:p>
      <w:pPr>
        <w:widowControl/>
        <w:jc w:val="left"/>
        <w:rPr>
          <w:rFonts w:ascii="宋体" w:hAnsi="宋体" w:eastAsia="宋体" w:cs="Times New Roman"/>
          <w:b/>
          <w:bCs/>
          <w:color w:val="auto"/>
          <w:kern w:val="0"/>
          <w:sz w:val="28"/>
          <w:szCs w:val="28"/>
          <w:highlight w:val="none"/>
        </w:rPr>
      </w:pPr>
      <w:r>
        <w:rPr>
          <w:rFonts w:ascii="宋体" w:hAnsi="宋体" w:eastAsia="宋体" w:cs="Times New Roman"/>
          <w:b/>
          <w:bCs/>
          <w:color w:val="auto"/>
          <w:kern w:val="0"/>
          <w:sz w:val="28"/>
          <w:szCs w:val="28"/>
          <w:highlight w:val="none"/>
        </w:rPr>
        <w:br w:type="page"/>
      </w:r>
    </w:p>
    <w:p>
      <w:pPr>
        <w:spacing w:line="360" w:lineRule="auto"/>
        <w:jc w:val="left"/>
        <w:rPr>
          <w:rFonts w:hint="eastAsia"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t>附件7  报价一览表</w:t>
      </w:r>
    </w:p>
    <w:p>
      <w:pPr>
        <w:spacing w:line="360" w:lineRule="auto"/>
        <w:ind w:right="480"/>
        <w:jc w:val="left"/>
        <w:rPr>
          <w:rFonts w:ascii="宋体" w:hAnsi="宋体" w:eastAsia="宋体" w:cs="Times New Roman"/>
          <w:color w:val="auto"/>
          <w:szCs w:val="20"/>
          <w:highlight w:val="none"/>
        </w:rPr>
      </w:pPr>
    </w:p>
    <w:p>
      <w:pPr>
        <w:spacing w:line="360" w:lineRule="auto"/>
        <w:ind w:right="482"/>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项目名称：                       </w:t>
      </w:r>
    </w:p>
    <w:p>
      <w:pPr>
        <w:spacing w:line="360" w:lineRule="auto"/>
        <w:ind w:right="482"/>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项目编号： </w:t>
      </w:r>
    </w:p>
    <w:tbl>
      <w:tblPr>
        <w:tblStyle w:val="89"/>
        <w:tblpPr w:leftFromText="180" w:rightFromText="180" w:vertAnchor="text" w:horzAnchor="page" w:tblpXSpec="center" w:tblpY="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3305"/>
        <w:gridCol w:w="291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37" w:type="dxa"/>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供应商</w:t>
            </w:r>
          </w:p>
        </w:tc>
        <w:tc>
          <w:tcPr>
            <w:tcW w:w="3305" w:type="dxa"/>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内容</w:t>
            </w:r>
          </w:p>
        </w:tc>
        <w:tc>
          <w:tcPr>
            <w:tcW w:w="2919" w:type="dxa"/>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报价（元）</w:t>
            </w:r>
          </w:p>
        </w:tc>
        <w:tc>
          <w:tcPr>
            <w:tcW w:w="1589" w:type="dxa"/>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jc w:val="center"/>
        </w:trPr>
        <w:tc>
          <w:tcPr>
            <w:tcW w:w="1337" w:type="dxa"/>
            <w:vMerge w:val="restart"/>
            <w:vAlign w:val="center"/>
          </w:tcPr>
          <w:p>
            <w:pPr>
              <w:widowControl/>
              <w:jc w:val="center"/>
              <w:rPr>
                <w:rFonts w:hint="eastAsia" w:ascii="Times New Roman" w:hAnsi="Times New Roman" w:eastAsia="宋体" w:cs="Times New Roman"/>
                <w:color w:val="auto"/>
                <w:szCs w:val="24"/>
                <w:highlight w:val="none"/>
              </w:rPr>
            </w:pPr>
          </w:p>
          <w:p>
            <w:pPr>
              <w:spacing w:after="120"/>
              <w:rPr>
                <w:rFonts w:hint="eastAsia" w:ascii="Times New Roman" w:hAnsi="Times New Roman" w:eastAsia="宋体" w:cs="Times New Roman"/>
                <w:color w:val="auto"/>
                <w:szCs w:val="24"/>
                <w:highlight w:val="none"/>
              </w:rPr>
            </w:pPr>
          </w:p>
        </w:tc>
        <w:tc>
          <w:tcPr>
            <w:tcW w:w="3305"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bCs/>
                <w:color w:val="auto"/>
                <w:szCs w:val="20"/>
                <w:highlight w:val="none"/>
              </w:rPr>
              <w:t>民办残疾人社会服务机构资助项目第三方服务评估和质量监察</w:t>
            </w:r>
          </w:p>
        </w:tc>
        <w:tc>
          <w:tcPr>
            <w:tcW w:w="2919" w:type="dxa"/>
            <w:vAlign w:val="center"/>
          </w:tcPr>
          <w:p>
            <w:pPr>
              <w:widowControl/>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小写（人民币）： </w:t>
            </w:r>
            <w:r>
              <w:rPr>
                <w:rFonts w:hint="eastAsia" w:ascii="宋体" w:hAnsi="宋体" w:eastAsia="宋体" w:cs="宋体"/>
                <w:color w:val="auto"/>
                <w:kern w:val="0"/>
                <w:szCs w:val="21"/>
                <w:highlight w:val="none"/>
                <w:u w:val="single"/>
              </w:rPr>
              <w:t xml:space="preserve">            </w:t>
            </w:r>
            <w:r>
              <w:rPr>
                <w:rFonts w:hint="eastAsia" w:ascii="Times New Roman" w:hAnsi="Times New Roman" w:eastAsia="宋体" w:cs="Times New Roman"/>
                <w:color w:val="auto"/>
                <w:szCs w:val="24"/>
                <w:highlight w:val="none"/>
              </w:rPr>
              <w:t xml:space="preserve">        </w:t>
            </w:r>
          </w:p>
          <w:p>
            <w:pPr>
              <w:rPr>
                <w:rFonts w:hint="eastAsia" w:ascii="Times New Roman" w:hAnsi="Times New Roman" w:eastAsia="宋体" w:cs="Times New Roman"/>
                <w:color w:val="auto"/>
                <w:szCs w:val="24"/>
                <w:highlight w:val="none"/>
              </w:rPr>
            </w:pPr>
          </w:p>
          <w:p>
            <w:pPr>
              <w:rPr>
                <w:rFonts w:ascii="宋体" w:hAnsi="宋体" w:eastAsia="宋体" w:cs="宋体"/>
                <w:color w:val="auto"/>
                <w:sz w:val="28"/>
                <w:szCs w:val="24"/>
                <w:highlight w:val="none"/>
              </w:rPr>
            </w:pPr>
            <w:r>
              <w:rPr>
                <w:rFonts w:hint="eastAsia" w:ascii="Times New Roman" w:hAnsi="Times New Roman" w:eastAsia="宋体" w:cs="Times New Roman"/>
                <w:color w:val="auto"/>
                <w:szCs w:val="24"/>
                <w:highlight w:val="none"/>
              </w:rPr>
              <w:t xml:space="preserve">大写（人民币）： </w:t>
            </w:r>
            <w:r>
              <w:rPr>
                <w:rFonts w:hint="eastAsia" w:ascii="宋体" w:hAnsi="宋体" w:eastAsia="宋体" w:cs="宋体"/>
                <w:color w:val="auto"/>
                <w:kern w:val="0"/>
                <w:sz w:val="28"/>
                <w:szCs w:val="21"/>
                <w:highlight w:val="none"/>
                <w:u w:val="single"/>
              </w:rPr>
              <w:t xml:space="preserve">         </w:t>
            </w:r>
            <w:r>
              <w:rPr>
                <w:rFonts w:hint="eastAsia" w:ascii="Times New Roman" w:hAnsi="Times New Roman" w:eastAsia="宋体" w:cs="Times New Roman"/>
                <w:color w:val="auto"/>
                <w:szCs w:val="24"/>
                <w:highlight w:val="none"/>
              </w:rPr>
              <w:t xml:space="preserve">        </w:t>
            </w:r>
          </w:p>
        </w:tc>
        <w:tc>
          <w:tcPr>
            <w:tcW w:w="1589" w:type="dxa"/>
            <w:vAlign w:val="center"/>
          </w:tcPr>
          <w:p>
            <w:pPr>
              <w:widowControl/>
              <w:jc w:val="left"/>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自合同签订之日起至2021年12月31日止。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1337" w:type="dxa"/>
            <w:vMerge w:val="continue"/>
            <w:vAlign w:val="center"/>
          </w:tcPr>
          <w:p>
            <w:pPr>
              <w:widowControl/>
              <w:jc w:val="center"/>
              <w:rPr>
                <w:rFonts w:hint="eastAsia" w:ascii="宋体" w:hAnsi="宋体" w:eastAsia="宋体" w:cs="宋体"/>
                <w:color w:val="auto"/>
                <w:kern w:val="0"/>
                <w:sz w:val="22"/>
                <w:highlight w:val="none"/>
              </w:rPr>
            </w:pPr>
          </w:p>
        </w:tc>
        <w:tc>
          <w:tcPr>
            <w:tcW w:w="3305" w:type="dxa"/>
            <w:vAlign w:val="center"/>
          </w:tcPr>
          <w:p>
            <w:pPr>
              <w:widowControl/>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社区精神康复综合服务中心第三方业务督导和服务质量评估</w:t>
            </w:r>
          </w:p>
        </w:tc>
        <w:tc>
          <w:tcPr>
            <w:tcW w:w="2919" w:type="dxa"/>
            <w:vAlign w:val="center"/>
          </w:tcPr>
          <w:p>
            <w:pPr>
              <w:widowControl/>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小写（人民币）： </w:t>
            </w:r>
            <w:r>
              <w:rPr>
                <w:rFonts w:hint="eastAsia" w:ascii="宋体" w:hAnsi="宋体" w:eastAsia="宋体" w:cs="宋体"/>
                <w:color w:val="auto"/>
                <w:kern w:val="0"/>
                <w:szCs w:val="21"/>
                <w:highlight w:val="none"/>
                <w:u w:val="single"/>
              </w:rPr>
              <w:t xml:space="preserve">            </w:t>
            </w:r>
            <w:r>
              <w:rPr>
                <w:rFonts w:hint="eastAsia" w:ascii="Times New Roman" w:hAnsi="Times New Roman" w:eastAsia="宋体" w:cs="Times New Roman"/>
                <w:color w:val="auto"/>
                <w:szCs w:val="24"/>
                <w:highlight w:val="none"/>
              </w:rPr>
              <w:t xml:space="preserve">        </w:t>
            </w:r>
          </w:p>
          <w:p>
            <w:pPr>
              <w:rPr>
                <w:rFonts w:hint="eastAsia" w:ascii="Times New Roman" w:hAnsi="Times New Roman" w:eastAsia="宋体" w:cs="Times New Roman"/>
                <w:color w:val="auto"/>
                <w:szCs w:val="24"/>
                <w:highlight w:val="none"/>
              </w:rPr>
            </w:pPr>
          </w:p>
          <w:p>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大写（人民币）： </w:t>
            </w:r>
            <w:r>
              <w:rPr>
                <w:rFonts w:hint="eastAsia" w:ascii="宋体" w:hAnsi="宋体" w:eastAsia="宋体" w:cs="宋体"/>
                <w:color w:val="auto"/>
                <w:kern w:val="0"/>
                <w:sz w:val="28"/>
                <w:szCs w:val="21"/>
                <w:highlight w:val="none"/>
                <w:u w:val="single"/>
              </w:rPr>
              <w:t xml:space="preserve">       </w:t>
            </w:r>
          </w:p>
        </w:tc>
        <w:tc>
          <w:tcPr>
            <w:tcW w:w="1589" w:type="dxa"/>
            <w:vAlign w:val="center"/>
          </w:tcPr>
          <w:p>
            <w:pPr>
              <w:widowControl/>
              <w:jc w:val="left"/>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自合同签订之日起至2021年12月31日止。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exact"/>
          <w:jc w:val="center"/>
        </w:trPr>
        <w:tc>
          <w:tcPr>
            <w:tcW w:w="1337" w:type="dxa"/>
            <w:vMerge w:val="continue"/>
            <w:vAlign w:val="center"/>
          </w:tcPr>
          <w:p>
            <w:pPr>
              <w:spacing w:after="120"/>
              <w:rPr>
                <w:rFonts w:hint="eastAsia" w:ascii="Times New Roman" w:hAnsi="Times New Roman" w:eastAsia="宋体" w:cs="Times New Roman"/>
                <w:color w:val="auto"/>
                <w:szCs w:val="24"/>
                <w:highlight w:val="none"/>
              </w:rPr>
            </w:pPr>
          </w:p>
        </w:tc>
        <w:tc>
          <w:tcPr>
            <w:tcW w:w="3305" w:type="dxa"/>
            <w:vAlign w:val="center"/>
          </w:tcPr>
          <w:p>
            <w:pPr>
              <w:widowControl/>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残疾人家庭无障碍改造专项提升工作第三方抽检验收服务</w:t>
            </w:r>
          </w:p>
        </w:tc>
        <w:tc>
          <w:tcPr>
            <w:tcW w:w="2919" w:type="dxa"/>
            <w:vAlign w:val="center"/>
          </w:tcPr>
          <w:p>
            <w:pPr>
              <w:widowControl/>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小写（人民币）： </w:t>
            </w:r>
            <w:r>
              <w:rPr>
                <w:rFonts w:hint="eastAsia" w:ascii="宋体" w:hAnsi="宋体" w:eastAsia="宋体" w:cs="宋体"/>
                <w:color w:val="auto"/>
                <w:kern w:val="0"/>
                <w:szCs w:val="21"/>
                <w:highlight w:val="none"/>
                <w:u w:val="single"/>
              </w:rPr>
              <w:t xml:space="preserve">            </w:t>
            </w:r>
            <w:r>
              <w:rPr>
                <w:rFonts w:hint="eastAsia" w:ascii="Times New Roman" w:hAnsi="Times New Roman" w:eastAsia="宋体" w:cs="Times New Roman"/>
                <w:color w:val="auto"/>
                <w:szCs w:val="24"/>
                <w:highlight w:val="none"/>
              </w:rPr>
              <w:t xml:space="preserve">        </w:t>
            </w:r>
          </w:p>
          <w:p>
            <w:pPr>
              <w:rPr>
                <w:rFonts w:hint="eastAsia" w:ascii="Times New Roman" w:hAnsi="Times New Roman" w:eastAsia="宋体" w:cs="Times New Roman"/>
                <w:color w:val="auto"/>
                <w:szCs w:val="24"/>
                <w:highlight w:val="none"/>
              </w:rPr>
            </w:pPr>
          </w:p>
          <w:p>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大写（人民币）： </w:t>
            </w:r>
            <w:r>
              <w:rPr>
                <w:rFonts w:hint="eastAsia" w:ascii="宋体" w:hAnsi="宋体" w:eastAsia="宋体" w:cs="宋体"/>
                <w:color w:val="auto"/>
                <w:kern w:val="0"/>
                <w:sz w:val="28"/>
                <w:szCs w:val="21"/>
                <w:highlight w:val="none"/>
                <w:u w:val="single"/>
              </w:rPr>
              <w:t xml:space="preserve">       </w:t>
            </w:r>
          </w:p>
        </w:tc>
        <w:tc>
          <w:tcPr>
            <w:tcW w:w="1589" w:type="dxa"/>
            <w:vAlign w:val="center"/>
          </w:tcPr>
          <w:p>
            <w:pPr>
              <w:widowControl/>
              <w:jc w:val="left"/>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2021年6月25日前（以提供抽检验收报告日期为服务完成时间）。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1337" w:type="dxa"/>
            <w:vMerge w:val="continue"/>
            <w:vAlign w:val="center"/>
          </w:tcPr>
          <w:p>
            <w:pPr>
              <w:spacing w:after="120"/>
              <w:rPr>
                <w:rFonts w:hint="eastAsia" w:ascii="Times New Roman" w:hAnsi="Times New Roman" w:eastAsia="宋体" w:cs="Times New Roman"/>
                <w:color w:val="auto"/>
                <w:szCs w:val="24"/>
                <w:highlight w:val="none"/>
              </w:rPr>
            </w:pPr>
          </w:p>
        </w:tc>
        <w:tc>
          <w:tcPr>
            <w:tcW w:w="3305" w:type="dxa"/>
            <w:vAlign w:val="center"/>
          </w:tcPr>
          <w:p>
            <w:pPr>
              <w:widowControl/>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总计</w:t>
            </w:r>
          </w:p>
        </w:tc>
        <w:tc>
          <w:tcPr>
            <w:tcW w:w="4508" w:type="dxa"/>
            <w:gridSpan w:val="2"/>
            <w:vAlign w:val="center"/>
          </w:tcPr>
          <w:p>
            <w:pPr>
              <w:widowControl/>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小写（人民币）： </w:t>
            </w:r>
            <w:r>
              <w:rPr>
                <w:rFonts w:hint="eastAsia" w:ascii="宋体" w:hAnsi="宋体" w:eastAsia="宋体" w:cs="宋体"/>
                <w:color w:val="auto"/>
                <w:kern w:val="0"/>
                <w:szCs w:val="21"/>
                <w:highlight w:val="none"/>
                <w:u w:val="single"/>
              </w:rPr>
              <w:t xml:space="preserve">            </w:t>
            </w:r>
            <w:r>
              <w:rPr>
                <w:rFonts w:hint="eastAsia" w:ascii="Times New Roman" w:hAnsi="Times New Roman" w:eastAsia="宋体" w:cs="Times New Roman"/>
                <w:color w:val="auto"/>
                <w:szCs w:val="24"/>
                <w:highlight w:val="none"/>
              </w:rPr>
              <w:t xml:space="preserve">        </w:t>
            </w:r>
          </w:p>
          <w:p>
            <w:pPr>
              <w:rPr>
                <w:rFonts w:hint="eastAsia" w:ascii="Times New Roman" w:hAnsi="Times New Roman" w:eastAsia="宋体" w:cs="Times New Roman"/>
                <w:color w:val="auto"/>
                <w:szCs w:val="24"/>
                <w:highlight w:val="none"/>
              </w:rPr>
            </w:pPr>
          </w:p>
          <w:p>
            <w:pPr>
              <w:rPr>
                <w:rFonts w:hint="eastAsia" w:ascii="宋体" w:hAnsi="宋体" w:eastAsia="宋体" w:cs="宋体"/>
                <w:color w:val="auto"/>
                <w:kern w:val="0"/>
                <w:szCs w:val="21"/>
                <w:highlight w:val="none"/>
              </w:rPr>
            </w:pPr>
            <w:r>
              <w:rPr>
                <w:rFonts w:hint="eastAsia" w:ascii="Times New Roman" w:hAnsi="Times New Roman" w:eastAsia="宋体" w:cs="Times New Roman"/>
                <w:color w:val="auto"/>
                <w:szCs w:val="24"/>
                <w:highlight w:val="none"/>
              </w:rPr>
              <w:t xml:space="preserve">大写（人民币）： </w:t>
            </w:r>
            <w:r>
              <w:rPr>
                <w:rFonts w:hint="eastAsia" w:ascii="宋体" w:hAnsi="宋体" w:eastAsia="宋体" w:cs="宋体"/>
                <w:color w:val="auto"/>
                <w:kern w:val="0"/>
                <w:szCs w:val="21"/>
                <w:highlight w:val="none"/>
                <w:u w:val="single"/>
              </w:rPr>
              <w:t xml:space="preserve">            </w:t>
            </w:r>
          </w:p>
        </w:tc>
      </w:tr>
    </w:tbl>
    <w:p>
      <w:pPr>
        <w:spacing w:line="40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注:</w:t>
      </w:r>
    </w:p>
    <w:p>
      <w:pPr>
        <w:numPr>
          <w:ilvl w:val="0"/>
          <w:numId w:val="11"/>
        </w:numPr>
        <w:spacing w:line="400" w:lineRule="exact"/>
        <w:ind w:firstLine="42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供应商报价超出本次项目预算，视为无效报价。</w:t>
      </w:r>
    </w:p>
    <w:p>
      <w:pPr>
        <w:numPr>
          <w:ilvl w:val="0"/>
          <w:numId w:val="11"/>
        </w:numPr>
        <w:spacing w:line="400" w:lineRule="exact"/>
        <w:ind w:firstLine="42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报价应包含采购项目的全部费用，供应商不得再向采购人收取任何费用；</w:t>
      </w:r>
    </w:p>
    <w:p>
      <w:pPr>
        <w:numPr>
          <w:ilvl w:val="0"/>
          <w:numId w:val="11"/>
        </w:numPr>
        <w:spacing w:line="400" w:lineRule="exact"/>
        <w:ind w:firstLine="42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本表格须附在正副的遴选响应文件中，并另封装一份在 “唱标信封”内。</w:t>
      </w:r>
    </w:p>
    <w:p>
      <w:pPr>
        <w:tabs>
          <w:tab w:val="left" w:pos="3960"/>
        </w:tabs>
        <w:spacing w:line="360" w:lineRule="auto"/>
        <w:ind w:firstLine="4330" w:firstLineChars="2062"/>
        <w:jc w:val="left"/>
        <w:rPr>
          <w:rFonts w:ascii="宋体" w:hAnsi="宋体" w:eastAsia="宋体" w:cs="Times New Roman"/>
          <w:color w:val="auto"/>
          <w:szCs w:val="21"/>
          <w:highlight w:val="none"/>
        </w:rPr>
      </w:pPr>
    </w:p>
    <w:p>
      <w:pPr>
        <w:spacing w:line="360" w:lineRule="auto"/>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供应商全称（加盖公章）:</w:t>
      </w:r>
    </w:p>
    <w:p>
      <w:pPr>
        <w:spacing w:line="360" w:lineRule="auto"/>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法定代表或其授权代表(</w:t>
      </w:r>
      <w:r>
        <w:rPr>
          <w:rFonts w:hint="eastAsia" w:ascii="宋体" w:hAnsi="宋体" w:eastAsia="宋体" w:cs="Times New Roman"/>
          <w:color w:val="auto"/>
          <w:szCs w:val="21"/>
          <w:highlight w:val="none"/>
        </w:rPr>
        <w:t>签字或签章</w:t>
      </w:r>
      <w:r>
        <w:rPr>
          <w:rFonts w:hint="eastAsia" w:ascii="宋体" w:hAnsi="宋体" w:eastAsia="宋体" w:cs="Times New Roman"/>
          <w:bCs/>
          <w:color w:val="auto"/>
          <w:szCs w:val="21"/>
          <w:highlight w:val="none"/>
        </w:rPr>
        <w:t>)：</w:t>
      </w:r>
    </w:p>
    <w:p>
      <w:pPr>
        <w:spacing w:line="360" w:lineRule="auto"/>
        <w:jc w:val="left"/>
        <w:rPr>
          <w:rFonts w:ascii="宋体" w:hAnsi="宋体" w:eastAsia="宋体" w:cs="Times New Roman"/>
          <w:b/>
          <w:color w:val="auto"/>
          <w:szCs w:val="21"/>
          <w:highlight w:val="none"/>
        </w:rPr>
      </w:pPr>
      <w:r>
        <w:rPr>
          <w:rFonts w:hint="eastAsia" w:ascii="宋体" w:hAnsi="宋体" w:eastAsia="宋体" w:cs="Times New Roman"/>
          <w:bCs/>
          <w:color w:val="auto"/>
          <w:szCs w:val="21"/>
          <w:highlight w:val="none"/>
        </w:rPr>
        <w:t>日    期：     年   月   日</w:t>
      </w:r>
    </w:p>
    <w:p>
      <w:pPr>
        <w:tabs>
          <w:tab w:val="left" w:pos="3960"/>
        </w:tabs>
        <w:spacing w:line="360" w:lineRule="auto"/>
        <w:ind w:firstLine="4330" w:firstLineChars="2062"/>
        <w:rPr>
          <w:rFonts w:ascii="宋体" w:hAnsi="宋体" w:eastAsia="宋体" w:cs="Times New Roman"/>
          <w:color w:val="auto"/>
          <w:szCs w:val="20"/>
          <w:highlight w:val="none"/>
        </w:rPr>
      </w:pPr>
    </w:p>
    <w:p>
      <w:pPr>
        <w:tabs>
          <w:tab w:val="left" w:pos="3960"/>
        </w:tabs>
        <w:spacing w:line="360" w:lineRule="auto"/>
        <w:ind w:firstLine="4330" w:firstLineChars="2062"/>
        <w:rPr>
          <w:rFonts w:ascii="宋体" w:hAnsi="宋体" w:eastAsia="宋体" w:cs="Times New Roman"/>
          <w:color w:val="auto"/>
          <w:szCs w:val="20"/>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widowControl/>
        <w:jc w:val="left"/>
        <w:rPr>
          <w:rFonts w:hint="eastAsia" w:ascii="宋体" w:hAnsi="宋体" w:eastAsia="宋体" w:cs="Times New Roman"/>
          <w:bCs/>
          <w:color w:val="auto"/>
          <w:sz w:val="28"/>
          <w:szCs w:val="28"/>
          <w:highlight w:val="none"/>
        </w:rPr>
      </w:pPr>
      <w:r>
        <w:rPr>
          <w:rFonts w:hint="eastAsia" w:ascii="宋体" w:hAnsi="宋体" w:eastAsia="宋体" w:cs="Times New Roman"/>
          <w:b/>
          <w:bCs/>
          <w:color w:val="auto"/>
          <w:kern w:val="0"/>
          <w:sz w:val="28"/>
          <w:szCs w:val="28"/>
          <w:highlight w:val="none"/>
        </w:rPr>
        <w:br w:type="page"/>
      </w:r>
      <w:r>
        <w:rPr>
          <w:rFonts w:hint="eastAsia" w:ascii="宋体" w:hAnsi="宋体" w:eastAsia="宋体" w:cs="Times New Roman"/>
          <w:b/>
          <w:bCs/>
          <w:color w:val="auto"/>
          <w:kern w:val="0"/>
          <w:sz w:val="28"/>
          <w:szCs w:val="28"/>
          <w:highlight w:val="none"/>
        </w:rPr>
        <w:t>附件8  遴选响应明细报价表</w:t>
      </w:r>
    </w:p>
    <w:p>
      <w:pPr>
        <w:spacing w:line="360" w:lineRule="auto"/>
        <w:ind w:right="48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项目名称： </w:t>
      </w:r>
    </w:p>
    <w:p>
      <w:pPr>
        <w:spacing w:line="360" w:lineRule="auto"/>
        <w:ind w:right="48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项目编号：</w:t>
      </w:r>
    </w:p>
    <w:p>
      <w:pPr>
        <w:spacing w:line="360" w:lineRule="auto"/>
        <w:ind w:left="753" w:hanging="753" w:hangingChars="357"/>
        <w:jc w:val="left"/>
        <w:rPr>
          <w:rFonts w:hint="eastAsia" w:ascii="宋体" w:hAnsi="宋体" w:eastAsia="宋体" w:cs="Times New Roman"/>
          <w:b/>
          <w:color w:val="auto"/>
          <w:szCs w:val="21"/>
          <w:highlight w:val="none"/>
        </w:rPr>
      </w:pPr>
    </w:p>
    <w:p>
      <w:pPr>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格式自拟</w:t>
      </w:r>
    </w:p>
    <w:p>
      <w:pPr>
        <w:autoSpaceDE w:val="0"/>
        <w:autoSpaceDN w:val="0"/>
        <w:adjustRightInd w:val="0"/>
        <w:jc w:val="left"/>
        <w:rPr>
          <w:rFonts w:hint="eastAsia" w:ascii="宋体" w:hAnsi="宋体" w:eastAsia="宋体" w:cs="宋体"/>
          <w:b/>
          <w:color w:val="auto"/>
          <w:kern w:val="0"/>
          <w:sz w:val="24"/>
          <w:szCs w:val="21"/>
          <w:highlight w:val="none"/>
        </w:rPr>
      </w:pPr>
    </w:p>
    <w:p>
      <w:pPr>
        <w:autoSpaceDE w:val="0"/>
        <w:autoSpaceDN w:val="0"/>
        <w:adjustRightInd w:val="0"/>
        <w:jc w:val="left"/>
        <w:rPr>
          <w:rFonts w:hint="eastAsia" w:ascii="宋体" w:hAnsi="宋体" w:eastAsia="宋体" w:cs="宋体"/>
          <w:b/>
          <w:color w:val="auto"/>
          <w:kern w:val="0"/>
          <w:sz w:val="24"/>
          <w:szCs w:val="21"/>
          <w:highlight w:val="none"/>
        </w:rPr>
      </w:pPr>
    </w:p>
    <w:p>
      <w:pPr>
        <w:autoSpaceDE w:val="0"/>
        <w:autoSpaceDN w:val="0"/>
        <w:adjustRightInd w:val="0"/>
        <w:jc w:val="left"/>
        <w:rPr>
          <w:rFonts w:hint="eastAsia" w:ascii="宋体" w:hAnsi="宋体" w:eastAsia="宋体" w:cs="宋体"/>
          <w:b/>
          <w:color w:val="auto"/>
          <w:kern w:val="0"/>
          <w:sz w:val="24"/>
          <w:szCs w:val="21"/>
          <w:highlight w:val="none"/>
        </w:rPr>
      </w:pPr>
    </w:p>
    <w:p>
      <w:pPr>
        <w:autoSpaceDE w:val="0"/>
        <w:autoSpaceDN w:val="0"/>
        <w:adjustRightInd w:val="0"/>
        <w:jc w:val="left"/>
        <w:rPr>
          <w:rFonts w:hint="eastAsia" w:ascii="宋体" w:hAnsi="宋体" w:eastAsia="宋体" w:cs="宋体"/>
          <w:b/>
          <w:color w:val="auto"/>
          <w:kern w:val="0"/>
          <w:sz w:val="24"/>
          <w:szCs w:val="21"/>
          <w:highlight w:val="none"/>
        </w:rPr>
      </w:pPr>
    </w:p>
    <w:p>
      <w:pPr>
        <w:autoSpaceDE w:val="0"/>
        <w:autoSpaceDN w:val="0"/>
        <w:adjustRightInd w:val="0"/>
        <w:jc w:val="left"/>
        <w:rPr>
          <w:rFonts w:hint="eastAsia" w:ascii="宋体" w:hAnsi="宋体" w:eastAsia="宋体" w:cs="宋体"/>
          <w:b/>
          <w:color w:val="auto"/>
          <w:kern w:val="0"/>
          <w:sz w:val="24"/>
          <w:szCs w:val="21"/>
          <w:highlight w:val="none"/>
        </w:rPr>
      </w:pPr>
    </w:p>
    <w:p>
      <w:pPr>
        <w:autoSpaceDE w:val="0"/>
        <w:autoSpaceDN w:val="0"/>
        <w:adjustRightInd w:val="0"/>
        <w:jc w:val="left"/>
        <w:rPr>
          <w:rFonts w:hint="eastAsia" w:ascii="宋体" w:hAnsi="宋体" w:eastAsia="宋体" w:cs="宋体"/>
          <w:b/>
          <w:color w:val="auto"/>
          <w:kern w:val="0"/>
          <w:sz w:val="24"/>
          <w:szCs w:val="21"/>
          <w:highlight w:val="none"/>
        </w:rPr>
      </w:pPr>
    </w:p>
    <w:p>
      <w:pPr>
        <w:spacing w:line="360" w:lineRule="auto"/>
        <w:ind w:left="753" w:hanging="753" w:hangingChars="357"/>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注：1. 此表为《报价一览表》的报价明细表。</w:t>
      </w:r>
    </w:p>
    <w:p>
      <w:pPr>
        <w:spacing w:line="360" w:lineRule="auto"/>
        <w:ind w:left="751" w:leftChars="200" w:hanging="331" w:hangingChars="157"/>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审，但在任何情况下并不限制采购人以任何条款签订合同的权利。</w:t>
      </w:r>
    </w:p>
    <w:p>
      <w:pPr>
        <w:spacing w:line="360" w:lineRule="auto"/>
        <w:ind w:left="540" w:leftChars="200" w:hanging="120" w:hangingChars="57"/>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 该表格式仅作参考，供应商的详细报价表格式可自定。</w:t>
      </w:r>
    </w:p>
    <w:p>
      <w:pPr>
        <w:spacing w:line="360" w:lineRule="auto"/>
        <w:rPr>
          <w:rFonts w:hint="eastAsia" w:ascii="宋体" w:hAnsi="宋体" w:eastAsia="宋体" w:cs="Times New Roman"/>
          <w:b/>
          <w:bCs/>
          <w:color w:val="auto"/>
          <w:kern w:val="0"/>
          <w:sz w:val="28"/>
          <w:szCs w:val="28"/>
          <w:highlight w:val="none"/>
        </w:rPr>
      </w:pPr>
    </w:p>
    <w:p>
      <w:pPr>
        <w:spacing w:after="120"/>
        <w:rPr>
          <w:rFonts w:hint="eastAsia" w:ascii="宋体" w:hAnsi="宋体" w:eastAsia="宋体" w:cs="Times New Roman"/>
          <w:b/>
          <w:bCs/>
          <w:color w:val="auto"/>
          <w:kern w:val="0"/>
          <w:sz w:val="28"/>
          <w:szCs w:val="28"/>
          <w:highlight w:val="none"/>
        </w:rPr>
      </w:pPr>
    </w:p>
    <w:p>
      <w:pPr>
        <w:spacing w:after="120"/>
        <w:rPr>
          <w:rFonts w:hint="eastAsia" w:ascii="宋体" w:hAnsi="宋体" w:eastAsia="宋体" w:cs="Times New Roman"/>
          <w:b/>
          <w:bCs/>
          <w:color w:val="auto"/>
          <w:kern w:val="0"/>
          <w:sz w:val="28"/>
          <w:szCs w:val="28"/>
          <w:highlight w:val="none"/>
        </w:rPr>
      </w:pPr>
    </w:p>
    <w:p>
      <w:pPr>
        <w:spacing w:line="360" w:lineRule="auto"/>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供应商全称（加盖公章）:</w:t>
      </w:r>
    </w:p>
    <w:p>
      <w:pPr>
        <w:spacing w:line="360" w:lineRule="auto"/>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法定代表或其授权代表(</w:t>
      </w:r>
      <w:r>
        <w:rPr>
          <w:rFonts w:hint="eastAsia" w:ascii="宋体" w:hAnsi="宋体" w:eastAsia="宋体" w:cs="Times New Roman"/>
          <w:color w:val="auto"/>
          <w:szCs w:val="21"/>
          <w:highlight w:val="none"/>
        </w:rPr>
        <w:t>签字或签章</w:t>
      </w:r>
      <w:r>
        <w:rPr>
          <w:rFonts w:hint="eastAsia" w:ascii="宋体" w:hAnsi="宋体" w:eastAsia="宋体" w:cs="Times New Roman"/>
          <w:bCs/>
          <w:color w:val="auto"/>
          <w:szCs w:val="21"/>
          <w:highlight w:val="none"/>
        </w:rPr>
        <w:t>)：</w:t>
      </w:r>
    </w:p>
    <w:p>
      <w:pPr>
        <w:spacing w:line="360" w:lineRule="auto"/>
        <w:jc w:val="left"/>
        <w:rPr>
          <w:rFonts w:hint="eastAsia" w:ascii="宋体" w:hAnsi="宋体" w:eastAsia="宋体" w:cs="Times New Roman"/>
          <w:bCs/>
          <w:color w:val="auto"/>
          <w:szCs w:val="21"/>
          <w:highlight w:val="none"/>
        </w:rPr>
        <w:sectPr>
          <w:headerReference r:id="rId16" w:type="default"/>
          <w:pgSz w:w="11906" w:h="16838"/>
          <w:pgMar w:top="567" w:right="1304" w:bottom="567" w:left="1304" w:header="567" w:footer="737" w:gutter="0"/>
          <w:cols w:space="720" w:num="1"/>
          <w:docGrid w:linePitch="312" w:charSpace="0"/>
        </w:sectPr>
      </w:pPr>
      <w:r>
        <w:rPr>
          <w:rFonts w:hint="eastAsia" w:ascii="宋体" w:hAnsi="宋体" w:eastAsia="宋体" w:cs="Times New Roman"/>
          <w:bCs/>
          <w:color w:val="auto"/>
          <w:szCs w:val="21"/>
          <w:highlight w:val="none"/>
        </w:rPr>
        <w:t>日    期： 2021年  月  日</w:t>
      </w: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t>附件9  产品适用政府采购政策情况表</w:t>
      </w:r>
    </w:p>
    <w:p>
      <w:pPr>
        <w:spacing w:line="360" w:lineRule="auto"/>
        <w:rPr>
          <w:rFonts w:ascii="宋体" w:hAnsi="宋体" w:eastAsia="宋体" w:cs="Times New Roman"/>
          <w:b/>
          <w:bCs/>
          <w:color w:val="auto"/>
          <w:kern w:val="0"/>
          <w:sz w:val="24"/>
          <w:szCs w:val="24"/>
          <w:highlight w:val="none"/>
        </w:rPr>
      </w:pPr>
    </w:p>
    <w:p>
      <w:pPr>
        <w:spacing w:line="360" w:lineRule="auto"/>
        <w:jc w:val="center"/>
        <w:rPr>
          <w:rFonts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rPr>
        <w:t>产品适用政府采购政策情况表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eastAsia="宋体" w:cs="Times New Roman"/>
                <w:color w:val="auto"/>
                <w:szCs w:val="21"/>
                <w:highlight w:val="none"/>
                <w:lang w:val="en-GB"/>
              </w:rPr>
            </w:pPr>
            <w:r>
              <w:rPr>
                <w:rFonts w:hint="eastAsia" w:ascii="宋体" w:hAnsi="宋体" w:eastAsia="宋体" w:cs="Times New Roman"/>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r>
              <w:rPr>
                <w:rFonts w:hint="eastAsia" w:ascii="宋体" w:hAnsi="宋体" w:eastAsia="宋体" w:cs="Times New Roman"/>
                <w:color w:val="auto"/>
                <w:szCs w:val="21"/>
                <w:highlight w:val="none"/>
                <w:lang w:val="en-GB"/>
              </w:rPr>
              <w:t>如属所列情形的，请在括号内打“√”：</w:t>
            </w:r>
          </w:p>
          <w:p>
            <w:pPr>
              <w:tabs>
                <w:tab w:val="left" w:pos="1260"/>
              </w:tabs>
              <w:spacing w:before="40" w:after="40"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r>
              <w:rPr>
                <w:rFonts w:hint="eastAsia" w:ascii="宋体" w:hAnsi="宋体" w:eastAsia="宋体" w:cs="Times New Roman"/>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r>
              <w:rPr>
                <w:rFonts w:hint="eastAsia" w:ascii="宋体" w:hAnsi="宋体" w:eastAsia="宋体" w:cs="Times New Roman"/>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r>
              <w:rPr>
                <w:rFonts w:hint="eastAsia" w:ascii="宋体" w:hAnsi="宋体" w:eastAsia="宋体" w:cs="Times New Roman"/>
                <w:color w:val="auto"/>
                <w:szCs w:val="21"/>
                <w:highlight w:val="none"/>
                <w:lang w:val="en-GB"/>
              </w:rPr>
              <w:t>制造商</w:t>
            </w:r>
          </w:p>
          <w:p>
            <w:pPr>
              <w:tabs>
                <w:tab w:val="left" w:pos="1260"/>
              </w:tabs>
              <w:spacing w:before="40" w:after="40" w:line="360" w:lineRule="auto"/>
              <w:jc w:val="left"/>
              <w:rPr>
                <w:rFonts w:ascii="宋体" w:hAnsi="宋体" w:eastAsia="宋体" w:cs="Times New Roman"/>
                <w:color w:val="auto"/>
                <w:szCs w:val="21"/>
                <w:highlight w:val="none"/>
                <w:lang w:val="en-GB"/>
              </w:rPr>
            </w:pPr>
            <w:r>
              <w:rPr>
                <w:rFonts w:hint="eastAsia" w:ascii="宋体" w:hAnsi="宋体" w:eastAsia="宋体" w:cs="Times New Roman"/>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r>
              <w:rPr>
                <w:rFonts w:hint="eastAsia" w:ascii="宋体" w:hAnsi="宋体" w:eastAsia="宋体" w:cs="Times New Roman"/>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r>
              <w:rPr>
                <w:rFonts w:hint="eastAsia" w:ascii="宋体" w:hAnsi="宋体" w:eastAsia="宋体" w:cs="Times New Roman"/>
                <w:color w:val="auto"/>
                <w:szCs w:val="21"/>
                <w:highlight w:val="none"/>
              </w:rPr>
              <w:t>小型、微型企业产品</w:t>
            </w:r>
            <w:r>
              <w:rPr>
                <w:rFonts w:hint="eastAsia" w:ascii="宋体" w:hAnsi="宋体" w:eastAsia="宋体" w:cs="Times New Roman"/>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使用价值量占总金额比重</w:t>
            </w:r>
          </w:p>
          <w:p>
            <w:pPr>
              <w:spacing w:line="360" w:lineRule="auto"/>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eastAsia="宋体" w:cs="Times New Roman"/>
                <w:color w:val="auto"/>
                <w:szCs w:val="21"/>
                <w:highlight w:val="none"/>
                <w:lang w:val="en-GB"/>
              </w:rPr>
            </w:pPr>
          </w:p>
        </w:tc>
      </w:tr>
    </w:tbl>
    <w:p>
      <w:pPr>
        <w:adjustRightInd w:val="0"/>
        <w:snapToGrid w:val="0"/>
        <w:spacing w:line="360" w:lineRule="auto"/>
        <w:jc w:val="left"/>
        <w:rPr>
          <w:rFonts w:ascii="宋体" w:hAnsi="宋体" w:eastAsia="宋体" w:cs="Times New Roman"/>
          <w:bCs/>
          <w:color w:val="auto"/>
          <w:szCs w:val="21"/>
          <w:highlight w:val="none"/>
        </w:rPr>
      </w:pPr>
    </w:p>
    <w:p>
      <w:pPr>
        <w:spacing w:line="360" w:lineRule="auto"/>
        <w:jc w:val="left"/>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rPr>
        <w:t>供应商</w:t>
      </w:r>
      <w:r>
        <w:rPr>
          <w:rFonts w:hint="eastAsia" w:ascii="宋体" w:hAnsi="宋体" w:eastAsia="宋体" w:cs="Times New Roman"/>
          <w:bCs/>
          <w:color w:val="auto"/>
          <w:szCs w:val="21"/>
          <w:highlight w:val="none"/>
        </w:rPr>
        <w:t>全称（加盖公章）:</w:t>
      </w:r>
    </w:p>
    <w:p>
      <w:pPr>
        <w:spacing w:line="360" w:lineRule="auto"/>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法定代表或其授权代表(</w:t>
      </w:r>
      <w:r>
        <w:rPr>
          <w:rFonts w:hint="eastAsia" w:ascii="宋体" w:hAnsi="宋体" w:eastAsia="宋体" w:cs="Times New Roman"/>
          <w:color w:val="auto"/>
          <w:szCs w:val="21"/>
          <w:highlight w:val="none"/>
        </w:rPr>
        <w:t>签字或签章</w:t>
      </w:r>
      <w:r>
        <w:rPr>
          <w:rFonts w:hint="eastAsia" w:ascii="宋体" w:hAnsi="宋体" w:eastAsia="宋体" w:cs="Times New Roman"/>
          <w:bCs/>
          <w:color w:val="auto"/>
          <w:szCs w:val="21"/>
          <w:highlight w:val="none"/>
        </w:rPr>
        <w:t>)：</w:t>
      </w:r>
    </w:p>
    <w:p>
      <w:pPr>
        <w:spacing w:line="360" w:lineRule="auto"/>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日    期： 2021年  月  日</w:t>
      </w:r>
    </w:p>
    <w:p>
      <w:pPr>
        <w:spacing w:line="360" w:lineRule="auto"/>
        <w:jc w:val="left"/>
        <w:rPr>
          <w:rFonts w:ascii="宋体" w:hAnsi="宋体" w:eastAsia="宋体" w:cs="Times New Roman"/>
          <w:bCs/>
          <w:color w:val="auto"/>
          <w:szCs w:val="21"/>
          <w:highlight w:val="none"/>
        </w:rPr>
      </w:pPr>
    </w:p>
    <w:p>
      <w:pPr>
        <w:spacing w:line="360" w:lineRule="auto"/>
        <w:jc w:val="left"/>
        <w:rPr>
          <w:rFonts w:ascii="宋体" w:hAnsi="宋体" w:eastAsia="宋体" w:cs="Times New Roman"/>
          <w:bCs/>
          <w:color w:val="auto"/>
          <w:szCs w:val="21"/>
          <w:highlight w:val="none"/>
        </w:rPr>
      </w:pPr>
    </w:p>
    <w:p>
      <w:pPr>
        <w:spacing w:line="360" w:lineRule="auto"/>
        <w:ind w:left="721" w:hanging="721" w:hangingChars="342"/>
        <w:jc w:val="left"/>
        <w:rPr>
          <w:rFonts w:ascii="宋体" w:hAnsi="宋体" w:eastAsia="宋体" w:cs="Times New Roman"/>
          <w:b/>
          <w:color w:val="auto"/>
          <w:szCs w:val="21"/>
          <w:highlight w:val="none"/>
          <w:lang w:val="en-GB"/>
        </w:rPr>
      </w:pPr>
      <w:r>
        <w:rPr>
          <w:rFonts w:hint="eastAsia" w:ascii="宋体" w:hAnsi="宋体" w:eastAsia="宋体" w:cs="Times New Roman"/>
          <w:b/>
          <w:color w:val="auto"/>
          <w:szCs w:val="21"/>
          <w:highlight w:val="none"/>
          <w:lang w:val="en-GB"/>
        </w:rPr>
        <w:t>填报要求：</w:t>
      </w:r>
    </w:p>
    <w:p>
      <w:pPr>
        <w:widowControl/>
        <w:tabs>
          <w:tab w:val="left" w:pos="0"/>
        </w:tabs>
        <w:spacing w:line="360" w:lineRule="auto"/>
        <w:ind w:right="84" w:rightChars="40"/>
        <w:jc w:val="left"/>
        <w:rPr>
          <w:rFonts w:ascii="宋体" w:hAnsi="宋体" w:eastAsia="宋体" w:cs="Times New Roman"/>
          <w:color w:val="auto"/>
          <w:szCs w:val="21"/>
          <w:highlight w:val="none"/>
          <w:lang w:val="en-GB"/>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eastAsia="宋体" w:cs="Times New Roman"/>
          <w:color w:val="auto"/>
          <w:szCs w:val="21"/>
          <w:highlight w:val="none"/>
          <w:lang w:val="en-GB"/>
        </w:rPr>
      </w:pPr>
      <w:r>
        <w:rPr>
          <w:rFonts w:hint="eastAsia" w:ascii="宋体" w:hAnsi="宋体" w:eastAsia="宋体" w:cs="Times New Roman"/>
          <w:color w:val="auto"/>
          <w:szCs w:val="21"/>
          <w:highlight w:val="none"/>
          <w:lang w:val="en-GB"/>
        </w:rPr>
        <w:t>制造商为小型或微型企业时才需要填“制造商企业类型”栏，填写内容为“小型”或“微型”。</w:t>
      </w:r>
    </w:p>
    <w:p>
      <w:pPr>
        <w:tabs>
          <w:tab w:val="left" w:pos="1080"/>
          <w:tab w:val="left" w:pos="1680"/>
        </w:tabs>
        <w:spacing w:line="360" w:lineRule="auto"/>
        <w:ind w:left="315" w:hanging="315" w:hangingChars="15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eastAsia="宋体" w:cs="宋体"/>
          <w:color w:val="auto"/>
          <w:kern w:val="0"/>
          <w:szCs w:val="21"/>
          <w:highlight w:val="none"/>
        </w:rPr>
        <w:t>供应商</w:t>
      </w:r>
      <w:r>
        <w:rPr>
          <w:rFonts w:hint="eastAsia" w:ascii="宋体" w:hAnsi="宋体" w:eastAsia="宋体" w:cs="Times New Roman"/>
          <w:color w:val="auto"/>
          <w:szCs w:val="21"/>
          <w:highlight w:val="none"/>
        </w:rPr>
        <w:t>公章，节能清单在中国政府采购网（http：//www.ccgp.gov .cn/）、国家发展改革委网站（</w:t>
      </w:r>
      <w:r>
        <w:rPr>
          <w:rFonts w:ascii="Arial" w:hAnsi="Arial" w:eastAsia="宋体" w:cs="Times New Roman"/>
          <w:color w:val="auto"/>
          <w:szCs w:val="24"/>
          <w:highlight w:val="none"/>
        </w:rPr>
        <w:fldChar w:fldCharType="begin"/>
      </w:r>
      <w:r>
        <w:rPr>
          <w:rFonts w:ascii="Arial" w:hAnsi="Arial" w:eastAsia="宋体" w:cs="Times New Roman"/>
          <w:color w:val="auto"/>
          <w:szCs w:val="24"/>
          <w:highlight w:val="none"/>
        </w:rPr>
        <w:instrText xml:space="preserve">HYPERLINK "http://hzs.nd/"</w:instrText>
      </w:r>
      <w:r>
        <w:rPr>
          <w:rFonts w:ascii="Arial" w:hAnsi="Arial" w:eastAsia="宋体" w:cs="Times New Roman"/>
          <w:color w:val="auto"/>
          <w:szCs w:val="24"/>
          <w:highlight w:val="none"/>
        </w:rPr>
        <w:fldChar w:fldCharType="separate"/>
      </w:r>
      <w:r>
        <w:rPr>
          <w:rFonts w:hint="eastAsia" w:ascii="宋体" w:hAnsi="宋体" w:eastAsia="宋体" w:cs="Times New Roman"/>
          <w:color w:val="auto"/>
          <w:szCs w:val="21"/>
          <w:highlight w:val="none"/>
          <w:u w:val="single"/>
        </w:rPr>
        <w:t>http://hzs.nd</w:t>
      </w:r>
      <w:r>
        <w:rPr>
          <w:rFonts w:ascii="Arial" w:hAnsi="Arial" w:eastAsia="宋体" w:cs="Times New Roman"/>
          <w:color w:val="auto"/>
          <w:szCs w:val="24"/>
          <w:highlight w:val="none"/>
        </w:rPr>
        <w:fldChar w:fldCharType="end"/>
      </w:r>
      <w:r>
        <w:rPr>
          <w:rFonts w:hint="eastAsia" w:ascii="宋体" w:hAnsi="宋体" w:eastAsia="宋体" w:cs="Times New Roman"/>
          <w:color w:val="auto"/>
          <w:szCs w:val="21"/>
          <w:highlight w:val="none"/>
        </w:rPr>
        <w:t xml:space="preserve"> rc.gv.cn/）和中国质量认证中心网站（http://www.cqc.com.cn/）上发布。</w:t>
      </w:r>
    </w:p>
    <w:p>
      <w:pPr>
        <w:tabs>
          <w:tab w:val="left" w:pos="1080"/>
          <w:tab w:val="left" w:pos="1680"/>
        </w:tabs>
        <w:spacing w:line="360" w:lineRule="auto"/>
        <w:ind w:left="210" w:hanging="210" w:hangingChars="1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eastAsia="宋体" w:cs="宋体"/>
          <w:color w:val="auto"/>
          <w:kern w:val="0"/>
          <w:szCs w:val="21"/>
          <w:highlight w:val="none"/>
        </w:rPr>
        <w:t>供应商</w:t>
      </w:r>
      <w:r>
        <w:rPr>
          <w:rFonts w:hint="eastAsia" w:ascii="宋体" w:hAnsi="宋体" w:eastAsia="宋体" w:cs="Times New Roman"/>
          <w:color w:val="auto"/>
          <w:szCs w:val="21"/>
          <w:highlight w:val="none"/>
        </w:rPr>
        <w:t>公章，清单在中国政府采购网（http://www.ccgp.gov.cn/）、国家环境保护总局网（http://www.sepa.gov.cn/）、中国绿色采购网（http://www.cgpn. cn/）上发布。</w:t>
      </w:r>
    </w:p>
    <w:p>
      <w:pPr>
        <w:widowControl/>
        <w:spacing w:line="360" w:lineRule="auto"/>
        <w:ind w:left="315" w:right="84" w:rightChars="40" w:hanging="315" w:hangingChars="150"/>
        <w:jc w:val="left"/>
        <w:rPr>
          <w:rFonts w:ascii="宋体" w:hAnsi="宋体" w:eastAsia="宋体" w:cs="Times New Roman"/>
          <w:color w:val="auto"/>
          <w:szCs w:val="21"/>
          <w:highlight w:val="none"/>
          <w:lang w:val="en-GB"/>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val="en-GB"/>
        </w:rPr>
        <w:t xml:space="preserve"> 请</w:t>
      </w:r>
      <w:r>
        <w:rPr>
          <w:rFonts w:hint="eastAsia" w:ascii="宋体" w:hAnsi="宋体" w:eastAsia="宋体" w:cs="宋体"/>
          <w:color w:val="auto"/>
          <w:kern w:val="0"/>
          <w:szCs w:val="21"/>
          <w:highlight w:val="none"/>
        </w:rPr>
        <w:t>供应商</w:t>
      </w:r>
      <w:r>
        <w:rPr>
          <w:rFonts w:hint="eastAsia" w:ascii="宋体" w:hAnsi="宋体" w:eastAsia="宋体" w:cs="Times New Roman"/>
          <w:color w:val="auto"/>
          <w:szCs w:val="21"/>
          <w:highlight w:val="none"/>
          <w:lang w:val="en-GB"/>
        </w:rPr>
        <w:t>正确填写本表，所填内容将作为评分的依据。其内容或数据应与对应的证明资料相符，如果不一致，可能导致该项的得分为0分。</w:t>
      </w:r>
    </w:p>
    <w:p>
      <w:pPr>
        <w:spacing w:line="360" w:lineRule="auto"/>
        <w:jc w:val="left"/>
        <w:rPr>
          <w:rFonts w:ascii="宋体" w:hAnsi="宋体" w:eastAsia="宋体" w:cs="Times New Roman"/>
          <w:b/>
          <w:bCs/>
          <w:color w:val="auto"/>
          <w:kern w:val="0"/>
          <w:sz w:val="28"/>
          <w:szCs w:val="28"/>
          <w:highlight w:val="none"/>
        </w:rPr>
      </w:pPr>
      <w:r>
        <w:rPr>
          <w:rFonts w:hint="eastAsia" w:ascii="宋体" w:hAnsi="宋体" w:eastAsia="宋体" w:cs="Times New Roman"/>
          <w:color w:val="auto"/>
          <w:szCs w:val="21"/>
          <w:highlight w:val="none"/>
          <w:lang w:val="en-GB"/>
        </w:rPr>
        <w:t>5.</w:t>
      </w:r>
      <w:r>
        <w:rPr>
          <w:rFonts w:hint="eastAsia" w:ascii="宋体" w:hAnsi="宋体" w:eastAsia="宋体" w:cs="Times New Roman"/>
          <w:bCs/>
          <w:color w:val="auto"/>
          <w:szCs w:val="21"/>
          <w:highlight w:val="none"/>
        </w:rPr>
        <w:t>上述文件均加盖</w:t>
      </w:r>
      <w:r>
        <w:rPr>
          <w:rFonts w:hint="eastAsia" w:ascii="宋体" w:hAnsi="宋体" w:eastAsia="宋体" w:cs="宋体"/>
          <w:color w:val="auto"/>
          <w:kern w:val="0"/>
          <w:szCs w:val="21"/>
          <w:highlight w:val="none"/>
        </w:rPr>
        <w:t>供应商</w:t>
      </w:r>
      <w:r>
        <w:rPr>
          <w:rFonts w:hint="eastAsia" w:ascii="宋体" w:hAnsi="宋体" w:eastAsia="宋体" w:cs="Times New Roman"/>
          <w:bCs/>
          <w:color w:val="auto"/>
          <w:szCs w:val="21"/>
          <w:highlight w:val="none"/>
        </w:rPr>
        <w:t>公章。</w:t>
      </w: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hint="eastAsia"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t>附件10  中小企业声明函</w:t>
      </w:r>
    </w:p>
    <w:p>
      <w:pPr>
        <w:spacing w:line="360" w:lineRule="auto"/>
        <w:ind w:firstLine="3360" w:firstLineChars="1600"/>
        <w:rPr>
          <w:rFonts w:ascii="宋体" w:hAnsi="宋体" w:eastAsia="宋体" w:cs="Times New Roman"/>
          <w:color w:val="auto"/>
          <w:szCs w:val="24"/>
          <w:highlight w:val="none"/>
        </w:rPr>
      </w:pPr>
    </w:p>
    <w:p>
      <w:pPr>
        <w:spacing w:line="480" w:lineRule="auto"/>
        <w:jc w:val="center"/>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t>中小企业声明函（货物）</w:t>
      </w:r>
    </w:p>
    <w:p>
      <w:pPr>
        <w:spacing w:line="48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本公司（联合体）郑重声明，根据《政府采购促进中小企业发展管理办法》 (财库（2020)46号）的规定，本公司（联合体）参加</w:t>
      </w:r>
      <w:r>
        <w:rPr>
          <w:rFonts w:hint="eastAsia" w:ascii="宋体" w:hAnsi="宋体" w:eastAsia="宋体" w:cs="宋体"/>
          <w:color w:val="auto"/>
          <w:spacing w:val="6"/>
          <w:szCs w:val="21"/>
          <w:highlight w:val="none"/>
          <w:u w:val="single"/>
        </w:rPr>
        <w:t>（单位名称）</w:t>
      </w:r>
      <w:r>
        <w:rPr>
          <w:rFonts w:hint="eastAsia" w:ascii="宋体" w:hAnsi="宋体" w:eastAsia="宋体" w:cs="宋体"/>
          <w:color w:val="auto"/>
          <w:spacing w:val="6"/>
          <w:szCs w:val="21"/>
          <w:highlight w:val="none"/>
        </w:rPr>
        <w:t>的</w:t>
      </w:r>
      <w:r>
        <w:rPr>
          <w:rFonts w:hint="eastAsia" w:ascii="宋体" w:hAnsi="宋体" w:eastAsia="宋体" w:cs="宋体"/>
          <w:color w:val="auto"/>
          <w:spacing w:val="6"/>
          <w:szCs w:val="21"/>
          <w:highlight w:val="none"/>
          <w:u w:val="single"/>
        </w:rPr>
        <w:t>（项目名称）</w:t>
      </w:r>
      <w:r>
        <w:rPr>
          <w:rFonts w:hint="eastAsia" w:ascii="宋体" w:hAnsi="宋体" w:eastAsia="宋体" w:cs="宋体"/>
          <w:color w:val="auto"/>
          <w:spacing w:val="6"/>
          <w:szCs w:val="21"/>
          <w:highlight w:val="none"/>
        </w:rPr>
        <w:t>采购活动，提供的货物全部由符合政策要求的中小企业制造。相关企业（含联合体中的中小企业、签订分包意向协议的中小企业）的具体情况如下：</w:t>
      </w:r>
    </w:p>
    <w:p>
      <w:pPr>
        <w:spacing w:line="48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r>
        <w:rPr>
          <w:rFonts w:hint="eastAsia" w:ascii="宋体" w:hAnsi="宋体" w:eastAsia="宋体" w:cs="宋体"/>
          <w:color w:val="auto"/>
          <w:spacing w:val="6"/>
          <w:szCs w:val="21"/>
          <w:highlight w:val="none"/>
          <w:u w:val="single"/>
        </w:rPr>
        <w:t xml:space="preserve"> (标的名称）</w:t>
      </w:r>
      <w:r>
        <w:rPr>
          <w:rFonts w:hint="eastAsia" w:ascii="宋体" w:hAnsi="宋体" w:eastAsia="宋体" w:cs="宋体"/>
          <w:color w:val="auto"/>
          <w:spacing w:val="6"/>
          <w:szCs w:val="21"/>
          <w:highlight w:val="none"/>
        </w:rPr>
        <w:t>，属于</w:t>
      </w:r>
      <w:r>
        <w:rPr>
          <w:rFonts w:hint="eastAsia" w:ascii="宋体" w:hAnsi="宋体" w:eastAsia="宋体" w:cs="宋体"/>
          <w:color w:val="auto"/>
          <w:spacing w:val="6"/>
          <w:szCs w:val="21"/>
          <w:highlight w:val="none"/>
          <w:u w:val="single"/>
        </w:rPr>
        <w:t>（公开遴选文件中明确的所属行业）行业</w:t>
      </w:r>
      <w:r>
        <w:rPr>
          <w:rFonts w:hint="eastAsia" w:ascii="宋体" w:hAnsi="宋体" w:eastAsia="宋体" w:cs="宋体"/>
          <w:color w:val="auto"/>
          <w:spacing w:val="6"/>
          <w:szCs w:val="21"/>
          <w:highlight w:val="none"/>
        </w:rPr>
        <w:t>；制造商为</w:t>
      </w:r>
      <w:r>
        <w:rPr>
          <w:rFonts w:hint="eastAsia" w:ascii="宋体" w:hAnsi="宋体" w:eastAsia="宋体" w:cs="宋体"/>
          <w:color w:val="auto"/>
          <w:spacing w:val="6"/>
          <w:szCs w:val="21"/>
          <w:highlight w:val="none"/>
          <w:u w:val="single"/>
        </w:rPr>
        <w:t>（企业名称）</w:t>
      </w:r>
      <w:r>
        <w:rPr>
          <w:rFonts w:hint="eastAsia" w:ascii="宋体" w:hAnsi="宋体" w:eastAsia="宋体" w:cs="宋体"/>
          <w:color w:val="auto"/>
          <w:spacing w:val="6"/>
          <w:szCs w:val="21"/>
          <w:highlight w:val="none"/>
        </w:rPr>
        <w:t>， 从业人员</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人，营业收入为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万元，资产总额为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万元</w:t>
      </w:r>
      <w:r>
        <w:rPr>
          <w:rFonts w:hint="eastAsia" w:ascii="宋体" w:hAnsi="宋体" w:eastAsia="宋体" w:cs="宋体"/>
          <w:color w:val="auto"/>
          <w:spacing w:val="6"/>
          <w:szCs w:val="21"/>
          <w:highlight w:val="none"/>
          <w:vertAlign w:val="superscript"/>
        </w:rPr>
        <w:t>1</w:t>
      </w:r>
      <w:r>
        <w:rPr>
          <w:rFonts w:hint="eastAsia" w:ascii="宋体" w:hAnsi="宋体" w:eastAsia="宋体" w:cs="宋体"/>
          <w:color w:val="auto"/>
          <w:spacing w:val="6"/>
          <w:szCs w:val="21"/>
          <w:highlight w:val="none"/>
        </w:rPr>
        <w:t>， 属于</w:t>
      </w:r>
      <w:r>
        <w:rPr>
          <w:rFonts w:hint="eastAsia" w:ascii="宋体" w:hAnsi="宋体" w:eastAsia="宋体" w:cs="宋体"/>
          <w:color w:val="auto"/>
          <w:spacing w:val="6"/>
          <w:szCs w:val="21"/>
          <w:highlight w:val="none"/>
          <w:u w:val="single"/>
        </w:rPr>
        <w:t>（中型企业，小型企业、微型企业）</w:t>
      </w:r>
      <w:r>
        <w:rPr>
          <w:rFonts w:hint="eastAsia" w:ascii="宋体" w:hAnsi="宋体" w:eastAsia="宋体" w:cs="宋体"/>
          <w:color w:val="auto"/>
          <w:spacing w:val="6"/>
          <w:szCs w:val="21"/>
          <w:highlight w:val="none"/>
        </w:rPr>
        <w:t xml:space="preserve">； </w:t>
      </w:r>
    </w:p>
    <w:p>
      <w:pPr>
        <w:spacing w:line="48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2. </w:t>
      </w:r>
      <w:r>
        <w:rPr>
          <w:rFonts w:hint="eastAsia" w:ascii="宋体" w:hAnsi="宋体" w:eastAsia="宋体" w:cs="宋体"/>
          <w:color w:val="auto"/>
          <w:spacing w:val="6"/>
          <w:szCs w:val="21"/>
          <w:highlight w:val="none"/>
          <w:u w:val="single"/>
        </w:rPr>
        <w:t>(标的名称）</w:t>
      </w:r>
      <w:r>
        <w:rPr>
          <w:rFonts w:hint="eastAsia" w:ascii="宋体" w:hAnsi="宋体" w:eastAsia="宋体" w:cs="宋体"/>
          <w:color w:val="auto"/>
          <w:spacing w:val="6"/>
          <w:szCs w:val="21"/>
          <w:highlight w:val="none"/>
        </w:rPr>
        <w:t>，属于</w:t>
      </w:r>
      <w:r>
        <w:rPr>
          <w:rFonts w:hint="eastAsia" w:ascii="宋体" w:hAnsi="宋体" w:eastAsia="宋体" w:cs="宋体"/>
          <w:color w:val="auto"/>
          <w:spacing w:val="6"/>
          <w:szCs w:val="21"/>
          <w:highlight w:val="none"/>
          <w:u w:val="single"/>
        </w:rPr>
        <w:t>（公开遴选文件中明确的所属行业）</w:t>
      </w:r>
      <w:r>
        <w:rPr>
          <w:rFonts w:hint="eastAsia" w:ascii="宋体" w:hAnsi="宋体" w:eastAsia="宋体" w:cs="宋体"/>
          <w:color w:val="auto"/>
          <w:spacing w:val="6"/>
          <w:szCs w:val="21"/>
          <w:highlight w:val="none"/>
        </w:rPr>
        <w:t>行业；制造商为</w:t>
      </w:r>
      <w:r>
        <w:rPr>
          <w:rFonts w:hint="eastAsia" w:ascii="宋体" w:hAnsi="宋体" w:eastAsia="宋体" w:cs="宋体"/>
          <w:color w:val="auto"/>
          <w:spacing w:val="6"/>
          <w:szCs w:val="21"/>
          <w:highlight w:val="none"/>
          <w:u w:val="single"/>
        </w:rPr>
        <w:t>（企业名称）</w:t>
      </w:r>
      <w:r>
        <w:rPr>
          <w:rFonts w:hint="eastAsia" w:ascii="宋体" w:hAnsi="宋体" w:eastAsia="宋体" w:cs="宋体"/>
          <w:color w:val="auto"/>
          <w:spacing w:val="6"/>
          <w:szCs w:val="21"/>
          <w:highlight w:val="none"/>
        </w:rPr>
        <w:t>， 从业人员</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人，营业收入为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万元，资产总额为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万元， 属于</w:t>
      </w:r>
      <w:r>
        <w:rPr>
          <w:rFonts w:hint="eastAsia" w:ascii="宋体" w:hAnsi="宋体" w:eastAsia="宋体" w:cs="宋体"/>
          <w:color w:val="auto"/>
          <w:spacing w:val="6"/>
          <w:szCs w:val="21"/>
          <w:highlight w:val="none"/>
          <w:u w:val="single"/>
        </w:rPr>
        <w:t>（中型企业，小型企业、微型企业）</w:t>
      </w:r>
      <w:r>
        <w:rPr>
          <w:rFonts w:hint="eastAsia" w:ascii="宋体" w:hAnsi="宋体" w:eastAsia="宋体" w:cs="宋体"/>
          <w:color w:val="auto"/>
          <w:spacing w:val="6"/>
          <w:szCs w:val="21"/>
          <w:highlight w:val="none"/>
        </w:rPr>
        <w:t>；</w:t>
      </w:r>
    </w:p>
    <w:p>
      <w:pPr>
        <w:spacing w:line="48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p>
    <w:p>
      <w:pPr>
        <w:spacing w:line="48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以上企业，不属于大企业的分支机构，不存在控股股东为大企业的情形，也不存在与大企业的负责人为同一人的情形。</w:t>
      </w:r>
    </w:p>
    <w:p>
      <w:pPr>
        <w:spacing w:line="48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本企业对上述声明内容的真实性负责。如有虚假，将依法承担相应责任。</w:t>
      </w:r>
    </w:p>
    <w:p>
      <w:pPr>
        <w:spacing w:line="480" w:lineRule="auto"/>
        <w:ind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w:t>
      </w:r>
    </w:p>
    <w:p>
      <w:pPr>
        <w:spacing w:line="480" w:lineRule="auto"/>
        <w:ind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w:t>
      </w:r>
    </w:p>
    <w:p>
      <w:pPr>
        <w:spacing w:line="480" w:lineRule="auto"/>
        <w:ind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企业名称（盖章）：</w:t>
      </w:r>
    </w:p>
    <w:p>
      <w:pPr>
        <w:spacing w:line="480" w:lineRule="auto"/>
        <w:ind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日期：</w:t>
      </w:r>
    </w:p>
    <w:p>
      <w:pPr>
        <w:spacing w:line="480" w:lineRule="auto"/>
        <w:ind w:firstLine="444" w:firstLineChars="200"/>
        <w:rPr>
          <w:rFonts w:hint="eastAsia" w:ascii="宋体" w:hAnsi="宋体" w:eastAsia="宋体" w:cs="宋体"/>
          <w:color w:val="auto"/>
          <w:spacing w:val="6"/>
          <w:szCs w:val="21"/>
          <w:highlight w:val="none"/>
        </w:rPr>
      </w:pPr>
    </w:p>
    <w:p>
      <w:pPr>
        <w:tabs>
          <w:tab w:val="left" w:pos="360"/>
        </w:tabs>
        <w:autoSpaceDE w:val="0"/>
        <w:autoSpaceDN w:val="0"/>
        <w:adjustRightInd w:val="0"/>
        <w:spacing w:line="360" w:lineRule="auto"/>
        <w:ind w:left="360" w:hanging="360"/>
        <w:rPr>
          <w:rFonts w:ascii="Times New Roman" w:hAnsi="Times New Roman" w:eastAsia="宋体" w:cs="Times New Roman"/>
          <w:color w:val="auto"/>
          <w:szCs w:val="21"/>
          <w:highlight w:val="none"/>
        </w:rPr>
      </w:pPr>
      <w:r>
        <w:rPr>
          <w:rFonts w:hint="eastAsia" w:ascii="宋体" w:hAnsi="宋体" w:eastAsia="宋体" w:cs="宋体"/>
          <w:color w:val="auto"/>
          <w:spacing w:val="6"/>
          <w:szCs w:val="21"/>
          <w:highlight w:val="none"/>
        </w:rPr>
        <w:t>1从业人员、营业收入、资产总额填报上一年度数据，无上一年度数据的新成立企业可不填报。</w:t>
      </w:r>
    </w:p>
    <w:p>
      <w:pPr>
        <w:spacing w:line="360" w:lineRule="auto"/>
        <w:ind w:left="718" w:hanging="718" w:hangingChars="342"/>
        <w:rPr>
          <w:rFonts w:ascii="宋体" w:hAnsi="宋体" w:eastAsia="宋体" w:cs="Times New Roman"/>
          <w:color w:val="auto"/>
          <w:szCs w:val="21"/>
          <w:highlight w:val="none"/>
          <w:lang w:val="en-GB"/>
        </w:rPr>
      </w:pPr>
    </w:p>
    <w:p>
      <w:pPr>
        <w:keepNext/>
        <w:keepLines/>
        <w:adjustRightInd w:val="0"/>
        <w:spacing w:before="40" w:after="40" w:line="360" w:lineRule="auto"/>
        <w:textAlignment w:val="baseline"/>
        <w:outlineLvl w:val="2"/>
        <w:rPr>
          <w:rFonts w:hint="eastAsia" w:ascii="宋体" w:hAnsi="宋体" w:eastAsia="宋体" w:cs="Times New Roman"/>
          <w:b/>
          <w:bCs/>
          <w:color w:val="auto"/>
          <w:kern w:val="0"/>
          <w:sz w:val="28"/>
          <w:szCs w:val="28"/>
          <w:highlight w:val="none"/>
        </w:rPr>
      </w:pPr>
      <w:r>
        <w:rPr>
          <w:rFonts w:ascii="宋体" w:hAnsi="宋体" w:eastAsia="宋体" w:cs="Times New Roman"/>
          <w:bCs/>
          <w:color w:val="auto"/>
          <w:kern w:val="0"/>
          <w:sz w:val="28"/>
          <w:szCs w:val="28"/>
          <w:highlight w:val="none"/>
        </w:rPr>
        <w:br w:type="page"/>
      </w:r>
      <w:r>
        <w:rPr>
          <w:rFonts w:hint="eastAsia" w:ascii="宋体" w:hAnsi="宋体" w:eastAsia="宋体" w:cs="Times New Roman"/>
          <w:b/>
          <w:bCs/>
          <w:color w:val="auto"/>
          <w:kern w:val="0"/>
          <w:sz w:val="28"/>
          <w:szCs w:val="28"/>
          <w:highlight w:val="none"/>
        </w:rPr>
        <w:t>附件11 监狱企业的证明文件（如适用）</w:t>
      </w:r>
    </w:p>
    <w:p>
      <w:pPr>
        <w:spacing w:line="360" w:lineRule="auto"/>
        <w:rPr>
          <w:rFonts w:hint="eastAsia" w:ascii="宋体" w:hAnsi="宋体" w:eastAsia="宋体" w:cs="Times New Roman"/>
          <w:color w:val="auto"/>
          <w:sz w:val="24"/>
          <w:szCs w:val="24"/>
          <w:highlight w:val="none"/>
        </w:rPr>
      </w:pP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说明：监狱企业参加政府采购活动时，应当提供由省级以上监狱管理局、戒毒管理局（含新疆生产建设兵团）出具的属于监狱企业的证明文件。</w:t>
      </w:r>
    </w:p>
    <w:p>
      <w:pPr>
        <w:keepNext/>
        <w:keepLines/>
        <w:adjustRightInd w:val="0"/>
        <w:spacing w:before="40" w:after="40" w:line="360" w:lineRule="auto"/>
        <w:ind w:firstLine="482" w:firstLineChars="200"/>
        <w:textAlignment w:val="baseline"/>
        <w:outlineLvl w:val="2"/>
        <w:rPr>
          <w:rFonts w:hint="eastAsia" w:ascii="宋体" w:hAnsi="宋体" w:eastAsia="宋体" w:cs="Times New Roman"/>
          <w:b/>
          <w:color w:val="auto"/>
          <w:kern w:val="0"/>
          <w:sz w:val="24"/>
          <w:szCs w:val="24"/>
          <w:highlight w:val="none"/>
        </w:rPr>
      </w:pPr>
      <w:bookmarkStart w:id="339" w:name="OLE_LINK14"/>
      <w:bookmarkStart w:id="340" w:name="OLE_LINK13"/>
    </w:p>
    <w:p>
      <w:pPr>
        <w:keepNext/>
        <w:keepLines/>
        <w:adjustRightInd w:val="0"/>
        <w:spacing w:before="40" w:after="40" w:line="360" w:lineRule="auto"/>
        <w:textAlignment w:val="baseline"/>
        <w:outlineLvl w:val="2"/>
        <w:rPr>
          <w:rFonts w:hint="eastAsia" w:ascii="宋体" w:hAnsi="宋体" w:eastAsia="宋体" w:cs="Times New Roman"/>
          <w:b/>
          <w:color w:val="auto"/>
          <w:kern w:val="0"/>
          <w:sz w:val="24"/>
          <w:szCs w:val="24"/>
          <w:highlight w:val="none"/>
        </w:rPr>
      </w:pPr>
    </w:p>
    <w:p>
      <w:pPr>
        <w:keepNext/>
        <w:keepLines/>
        <w:adjustRightInd w:val="0"/>
        <w:spacing w:before="40" w:after="40" w:line="360" w:lineRule="auto"/>
        <w:textAlignment w:val="baseline"/>
        <w:outlineLvl w:val="2"/>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报价人全称（加盖公章）:</w:t>
      </w:r>
      <w:r>
        <w:rPr>
          <w:rFonts w:hint="eastAsia" w:ascii="宋体" w:hAnsi="宋体" w:eastAsia="宋体" w:cs="Times New Roman"/>
          <w:bCs/>
          <w:color w:val="auto"/>
          <w:kern w:val="0"/>
          <w:szCs w:val="21"/>
          <w:highlight w:val="none"/>
          <w:u w:val="single"/>
        </w:rPr>
        <w:t xml:space="preserve">                         </w:t>
      </w:r>
    </w:p>
    <w:p>
      <w:pPr>
        <w:keepNext/>
        <w:keepLines/>
        <w:adjustRightInd w:val="0"/>
        <w:spacing w:before="40" w:after="40" w:line="360" w:lineRule="auto"/>
        <w:textAlignment w:val="baseline"/>
        <w:outlineLvl w:val="2"/>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法定代表或其授权代表(签字或签章)：</w:t>
      </w:r>
      <w:r>
        <w:rPr>
          <w:rFonts w:hint="eastAsia" w:ascii="宋体" w:hAnsi="宋体" w:eastAsia="宋体" w:cs="Times New Roman"/>
          <w:bCs/>
          <w:color w:val="auto"/>
          <w:kern w:val="0"/>
          <w:szCs w:val="21"/>
          <w:highlight w:val="none"/>
          <w:u w:val="single"/>
        </w:rPr>
        <w:t xml:space="preserve">                        </w:t>
      </w:r>
    </w:p>
    <w:p>
      <w:pPr>
        <w:keepNext/>
        <w:keepLines/>
        <w:adjustRightInd w:val="0"/>
        <w:spacing w:before="40" w:after="40" w:line="360" w:lineRule="auto"/>
        <w:textAlignment w:val="baseline"/>
        <w:outlineLvl w:val="2"/>
        <w:rPr>
          <w:rFonts w:hint="eastAsia" w:ascii="宋体" w:hAnsi="宋体" w:eastAsia="宋体" w:cs="Times New Roman"/>
          <w:b/>
          <w:color w:val="auto"/>
          <w:kern w:val="0"/>
          <w:sz w:val="24"/>
          <w:szCs w:val="24"/>
          <w:highlight w:val="none"/>
        </w:rPr>
      </w:pPr>
      <w:r>
        <w:rPr>
          <w:rFonts w:hint="eastAsia" w:ascii="宋体" w:hAnsi="宋体" w:eastAsia="宋体" w:cs="Times New Roman"/>
          <w:bCs/>
          <w:color w:val="auto"/>
          <w:kern w:val="0"/>
          <w:szCs w:val="21"/>
          <w:highlight w:val="none"/>
        </w:rPr>
        <w:t>日    期： 2021年  月  日</w:t>
      </w:r>
      <w:r>
        <w:rPr>
          <w:rFonts w:hint="eastAsia" w:ascii="宋体" w:hAnsi="宋体" w:eastAsia="宋体" w:cs="Times New Roman"/>
          <w:b/>
          <w:color w:val="auto"/>
          <w:kern w:val="0"/>
          <w:sz w:val="24"/>
          <w:szCs w:val="24"/>
          <w:highlight w:val="none"/>
        </w:rPr>
        <w:br w:type="page"/>
      </w:r>
      <w:bookmarkStart w:id="341" w:name="_Toc512331248"/>
    </w:p>
    <w:p>
      <w:pPr>
        <w:keepNext/>
        <w:keepLines/>
        <w:adjustRightInd w:val="0"/>
        <w:spacing w:before="40" w:after="40" w:line="360" w:lineRule="auto"/>
        <w:textAlignment w:val="baseline"/>
        <w:outlineLvl w:val="2"/>
        <w:rPr>
          <w:rFonts w:hint="eastAsia"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t>附件12 残疾人福利性单位声明函（如适用）</w:t>
      </w:r>
      <w:bookmarkEnd w:id="341"/>
    </w:p>
    <w:p>
      <w:pPr>
        <w:rPr>
          <w:rFonts w:hint="eastAsia" w:ascii="Times New Roman" w:hAnsi="Times New Roman" w:eastAsia="宋体" w:cs="Times New Roman"/>
          <w:color w:val="auto"/>
          <w:szCs w:val="24"/>
          <w:highlight w:val="none"/>
        </w:rPr>
      </w:pPr>
    </w:p>
    <w:bookmarkEnd w:id="339"/>
    <w:bookmarkEnd w:id="340"/>
    <w:p>
      <w:pPr>
        <w:spacing w:line="360" w:lineRule="auto"/>
        <w:ind w:firstLine="504"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Times New Roman"/>
          <w:color w:val="auto"/>
          <w:sz w:val="24"/>
          <w:szCs w:val="24"/>
          <w:highlight w:val="none"/>
        </w:rPr>
        <w:t>〔2017〕 141</w:t>
      </w:r>
      <w:r>
        <w:rPr>
          <w:rFonts w:hint="eastAsia" w:ascii="宋体" w:hAnsi="宋体" w:eastAsia="宋体" w:cs="Times New Roman"/>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本单位对上述声明的真实性负责。如有虚假，将依法承担相应责任。</w:t>
      </w:r>
    </w:p>
    <w:p>
      <w:pPr>
        <w:spacing w:line="360" w:lineRule="auto"/>
        <w:ind w:firstLine="504" w:firstLineChars="200"/>
        <w:rPr>
          <w:rFonts w:ascii="宋体" w:hAnsi="宋体" w:eastAsia="宋体" w:cs="Times New Roman"/>
          <w:color w:val="auto"/>
          <w:spacing w:val="6"/>
          <w:sz w:val="24"/>
          <w:szCs w:val="24"/>
          <w:highlight w:val="none"/>
        </w:rPr>
      </w:pPr>
    </w:p>
    <w:p>
      <w:pPr>
        <w:spacing w:line="360" w:lineRule="auto"/>
        <w:ind w:firstLine="504" w:firstLineChars="200"/>
        <w:rPr>
          <w:rFonts w:ascii="宋体" w:hAnsi="宋体" w:eastAsia="宋体" w:cs="Times New Roman"/>
          <w:color w:val="auto"/>
          <w:spacing w:val="6"/>
          <w:sz w:val="24"/>
          <w:szCs w:val="24"/>
          <w:highlight w:val="none"/>
        </w:rPr>
      </w:pPr>
    </w:p>
    <w:p>
      <w:pPr>
        <w:tabs>
          <w:tab w:val="left" w:pos="4860"/>
        </w:tabs>
        <w:spacing w:line="360" w:lineRule="auto"/>
        <w:ind w:firstLine="4536" w:firstLineChars="1800"/>
        <w:jc w:val="left"/>
        <w:rPr>
          <w:rFonts w:hint="eastAsia"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单位名称（盖章）：</w:t>
      </w:r>
      <w:r>
        <w:rPr>
          <w:rFonts w:hint="eastAsia" w:ascii="宋体" w:hAnsi="宋体" w:eastAsia="宋体" w:cs="Times New Roman"/>
          <w:color w:val="auto"/>
          <w:spacing w:val="6"/>
          <w:sz w:val="24"/>
          <w:szCs w:val="24"/>
          <w:highlight w:val="none"/>
          <w:u w:val="single"/>
        </w:rPr>
        <w:t xml:space="preserve">                     </w:t>
      </w:r>
    </w:p>
    <w:p>
      <w:pPr>
        <w:tabs>
          <w:tab w:val="left" w:pos="4860"/>
        </w:tabs>
        <w:ind w:firstLine="4536" w:firstLineChars="1800"/>
        <w:jc w:val="left"/>
        <w:rPr>
          <w:rFonts w:hint="eastAsia"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日  期：</w:t>
      </w:r>
    </w:p>
    <w:p>
      <w:pPr>
        <w:spacing w:line="360" w:lineRule="auto"/>
        <w:rPr>
          <w:rFonts w:ascii="宋体" w:hAnsi="宋体" w:eastAsia="宋体" w:cs="Times New Roman"/>
          <w:bCs/>
          <w:color w:val="auto"/>
          <w:sz w:val="28"/>
          <w:szCs w:val="28"/>
          <w:highlight w:val="none"/>
        </w:rPr>
      </w:pPr>
      <w:r>
        <w:rPr>
          <w:rFonts w:hint="eastAsia" w:ascii="宋体" w:hAnsi="宋体" w:eastAsia="宋体" w:cs="Times New Roman"/>
          <w:b/>
          <w:bCs/>
          <w:color w:val="auto"/>
          <w:kern w:val="0"/>
          <w:sz w:val="28"/>
          <w:szCs w:val="28"/>
          <w:highlight w:val="none"/>
        </w:rPr>
        <w:br w:type="page"/>
      </w:r>
      <w:r>
        <w:rPr>
          <w:rFonts w:hint="eastAsia" w:ascii="宋体" w:hAnsi="宋体" w:eastAsia="宋体" w:cs="Times New Roman"/>
          <w:b/>
          <w:bCs/>
          <w:color w:val="auto"/>
          <w:kern w:val="0"/>
          <w:sz w:val="28"/>
          <w:szCs w:val="28"/>
          <w:highlight w:val="none"/>
        </w:rPr>
        <w:t>附件13 供应商基本情况表</w:t>
      </w: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1、公司名称：                     电话号码：</w:t>
      </w:r>
    </w:p>
    <w:p>
      <w:pPr>
        <w:spacing w:line="360"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2、地    址：                     传    真：</w:t>
      </w:r>
    </w:p>
    <w:p>
      <w:pPr>
        <w:spacing w:line="360"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3、经济性质：</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4、公司开户银行名称及帐户：                 </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名称：</w:t>
      </w:r>
    </w:p>
    <w:p>
      <w:pPr>
        <w:spacing w:line="360" w:lineRule="auto"/>
        <w:ind w:firstLine="315" w:firstLineChars="15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帐户：</w:t>
      </w:r>
    </w:p>
    <w:p>
      <w:pPr>
        <w:autoSpaceDE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宋体"/>
          <w:color w:val="auto"/>
          <w:szCs w:val="21"/>
          <w:highlight w:val="none"/>
        </w:rPr>
        <w:t>公司基本情况</w:t>
      </w:r>
      <w:r>
        <w:rPr>
          <w:rFonts w:hint="eastAsia" w:ascii="宋体" w:hAnsi="宋体" w:eastAsia="宋体" w:cs="Times New Roman"/>
          <w:color w:val="auto"/>
          <w:szCs w:val="21"/>
          <w:highlight w:val="none"/>
        </w:rPr>
        <w:t xml:space="preserve">： </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w:t>
      </w:r>
      <w:r>
        <w:rPr>
          <w:rFonts w:hint="eastAsia" w:ascii="宋体" w:hAnsi="宋体" w:eastAsia="宋体" w:cs="宋体"/>
          <w:color w:val="auto"/>
          <w:kern w:val="0"/>
          <w:szCs w:val="21"/>
          <w:highlight w:val="none"/>
        </w:rPr>
        <w:t>供应商</w:t>
      </w:r>
      <w:r>
        <w:rPr>
          <w:rFonts w:hint="eastAsia" w:ascii="宋体" w:hAnsi="宋体" w:eastAsia="宋体" w:cs="Times New Roman"/>
          <w:color w:val="auto"/>
          <w:szCs w:val="21"/>
          <w:highlight w:val="none"/>
        </w:rPr>
        <w:t>获得资质和荣誉证书复印件一览表（后附相关证书复印件加盖公章）</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color w:val="auto"/>
                <w:szCs w:val="21"/>
                <w:highlight w:val="none"/>
              </w:rPr>
            </w:pPr>
          </w:p>
        </w:tc>
      </w:tr>
    </w:tbl>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我/我们声明以上所述准确无误，您有权进行您认为有必要的所有调查。</w:t>
      </w: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rPr>
        <w:t>供应商</w:t>
      </w:r>
      <w:r>
        <w:rPr>
          <w:rFonts w:hint="eastAsia" w:ascii="宋体" w:hAnsi="宋体" w:eastAsia="宋体" w:cs="Times New Roman"/>
          <w:bCs/>
          <w:color w:val="auto"/>
          <w:szCs w:val="21"/>
          <w:highlight w:val="none"/>
        </w:rPr>
        <w:t>全称（加盖公章）:</w:t>
      </w:r>
    </w:p>
    <w:p>
      <w:pPr>
        <w:spacing w:line="360" w:lineRule="auto"/>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法定代表或其授权代表(</w:t>
      </w:r>
      <w:r>
        <w:rPr>
          <w:rFonts w:hint="eastAsia" w:ascii="宋体" w:hAnsi="宋体" w:eastAsia="宋体" w:cs="Times New Roman"/>
          <w:color w:val="auto"/>
          <w:szCs w:val="21"/>
          <w:highlight w:val="none"/>
        </w:rPr>
        <w:t>签字或签章</w:t>
      </w:r>
      <w:r>
        <w:rPr>
          <w:rFonts w:hint="eastAsia" w:ascii="宋体" w:hAnsi="宋体" w:eastAsia="宋体" w:cs="Times New Roman"/>
          <w:bCs/>
          <w:color w:val="auto"/>
          <w:szCs w:val="21"/>
          <w:highlight w:val="none"/>
        </w:rPr>
        <w:t>)：</w:t>
      </w:r>
    </w:p>
    <w:p>
      <w:pPr>
        <w:spacing w:line="360" w:lineRule="auto"/>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日    期： 2021年  月  日</w:t>
      </w:r>
    </w:p>
    <w:p>
      <w:pPr>
        <w:spacing w:line="360" w:lineRule="auto"/>
        <w:rPr>
          <w:rFonts w:ascii="宋体" w:hAnsi="宋体" w:eastAsia="宋体" w:cs="Times New Roman"/>
          <w:bCs/>
          <w:color w:val="auto"/>
          <w:szCs w:val="21"/>
          <w:highlight w:val="none"/>
        </w:rPr>
      </w:pP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bookmarkStart w:id="342" w:name="_Toc109467914"/>
      <w:bookmarkStart w:id="343" w:name="_Toc81142098"/>
    </w:p>
    <w:p>
      <w:pPr>
        <w:spacing w:line="360" w:lineRule="auto"/>
        <w:rPr>
          <w:rFonts w:ascii="宋体" w:hAnsi="宋体" w:eastAsia="宋体" w:cs="Times New Roman"/>
          <w:color w:val="auto"/>
          <w:szCs w:val="21"/>
          <w:highlight w:val="none"/>
        </w:rPr>
      </w:pPr>
      <w:r>
        <w:rPr>
          <w:rFonts w:hint="eastAsia" w:ascii="宋体" w:hAnsi="宋体" w:eastAsia="宋体" w:cs="Times New Roman"/>
          <w:b/>
          <w:bCs/>
          <w:color w:val="auto"/>
          <w:kern w:val="0"/>
          <w:sz w:val="28"/>
          <w:szCs w:val="28"/>
          <w:highlight w:val="none"/>
        </w:rPr>
        <w:t>附件14  采购需求响应表</w:t>
      </w:r>
    </w:p>
    <w:p>
      <w:pPr>
        <w:spacing w:line="360" w:lineRule="auto"/>
        <w:ind w:right="482"/>
        <w:rPr>
          <w:rFonts w:ascii="宋体" w:hAnsi="宋体" w:eastAsia="宋体" w:cs="Times New Roman"/>
          <w:color w:val="auto"/>
          <w:szCs w:val="21"/>
          <w:highlight w:val="none"/>
        </w:rPr>
      </w:pPr>
    </w:p>
    <w:p>
      <w:pPr>
        <w:spacing w:line="360" w:lineRule="auto"/>
        <w:ind w:right="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项目名称： </w:t>
      </w:r>
    </w:p>
    <w:p>
      <w:pPr>
        <w:spacing w:line="360" w:lineRule="auto"/>
        <w:ind w:right="482"/>
        <w:rPr>
          <w:rFonts w:ascii="宋体" w:hAnsi="宋体" w:eastAsia="宋体" w:cs="宋体"/>
          <w:color w:val="auto"/>
          <w:szCs w:val="21"/>
          <w:highlight w:val="none"/>
        </w:rPr>
      </w:pPr>
      <w:r>
        <w:rPr>
          <w:rFonts w:hint="eastAsia" w:ascii="宋体" w:hAnsi="宋体" w:eastAsia="宋体" w:cs="宋体"/>
          <w:color w:val="auto"/>
          <w:szCs w:val="21"/>
          <w:highlight w:val="none"/>
        </w:rPr>
        <w:t>项目编号：</w:t>
      </w:r>
    </w:p>
    <w:p>
      <w:pPr>
        <w:spacing w:line="360" w:lineRule="auto"/>
        <w:rPr>
          <w:rFonts w:ascii="宋体" w:hAnsi="宋体" w:eastAsia="宋体" w:cs="Times New Roman"/>
          <w:color w:val="auto"/>
          <w:szCs w:val="21"/>
          <w:highlight w:val="none"/>
        </w:rPr>
      </w:pPr>
    </w:p>
    <w:tbl>
      <w:tblPr>
        <w:tblStyle w:val="89"/>
        <w:tblW w:w="0" w:type="auto"/>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内容</w:t>
            </w:r>
            <w:r>
              <w:rPr>
                <w:rFonts w:hint="eastAsia" w:ascii="宋体" w:hAnsi="宋体" w:eastAsia="宋体" w:cs="Times New Roman"/>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eastAsia="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ascii="Times New Roman" w:hAnsi="Times New Roman" w:eastAsia="宋体" w:cs="Times New Roman"/>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eastAsia="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ascii="Times New Roman" w:hAnsi="Times New Roman" w:eastAsia="宋体" w:cs="Times New Roman"/>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eastAsia="宋体" w:cs="Times New Roman"/>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ascii="Times New Roman" w:hAnsi="Times New Roman" w:eastAsia="宋体" w:cs="Times New Roman"/>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eastAsia="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ascii="Times New Roman" w:hAnsi="Times New Roman" w:eastAsia="宋体" w:cs="Times New Roman"/>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eastAsia="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ascii="Times New Roman" w:hAnsi="Times New Roman" w:eastAsia="宋体" w:cs="Times New Roman"/>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eastAsia="宋体" w:cs="Arial"/>
                <w:color w:val="auto"/>
                <w:szCs w:val="21"/>
                <w:highlight w:val="none"/>
              </w:rPr>
            </w:pPr>
            <w:r>
              <w:rPr>
                <w:rFonts w:ascii="宋体" w:hAnsi="宋体" w:eastAsia="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eastAsia="宋体" w:cs="Times New Roman"/>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ascii="Times New Roman" w:hAnsi="Times New Roman" w:eastAsia="宋体" w:cs="Times New Roman"/>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r>
    </w:tbl>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供应商全称（盖公章）：</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法定代表人或授权代表（签字或签章）：</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日    期： 2021年  月  日</w:t>
      </w:r>
    </w:p>
    <w:p>
      <w:pPr>
        <w:spacing w:line="360" w:lineRule="auto"/>
        <w:rPr>
          <w:rFonts w:ascii="宋体" w:hAnsi="宋体" w:eastAsia="宋体" w:cs="Times New Roman"/>
          <w:color w:val="auto"/>
          <w:szCs w:val="21"/>
          <w:highlight w:val="none"/>
        </w:rPr>
      </w:pPr>
    </w:p>
    <w:p>
      <w:pPr>
        <w:spacing w:line="360" w:lineRule="auto"/>
        <w:rPr>
          <w:rFonts w:ascii="宋体" w:hAnsi="宋体" w:eastAsia="宋体" w:cs="Arial"/>
          <w:b/>
          <w:color w:val="auto"/>
          <w:szCs w:val="21"/>
          <w:highlight w:val="none"/>
        </w:rPr>
      </w:pPr>
      <w:r>
        <w:rPr>
          <w:rFonts w:hint="eastAsia" w:ascii="宋体" w:hAnsi="宋体" w:eastAsia="宋体" w:cs="Times New Roman"/>
          <w:b/>
          <w:color w:val="auto"/>
          <w:szCs w:val="21"/>
          <w:highlight w:val="none"/>
        </w:rPr>
        <w:t>注：1.</w:t>
      </w:r>
      <w:r>
        <w:rPr>
          <w:rFonts w:hint="eastAsia" w:ascii="宋体" w:hAnsi="宋体" w:eastAsia="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eastAsia="宋体" w:cs="Arial"/>
          <w:b/>
          <w:color w:val="auto"/>
          <w:szCs w:val="21"/>
          <w:highlight w:val="none"/>
        </w:rPr>
      </w:pPr>
      <w:r>
        <w:rPr>
          <w:rFonts w:hint="eastAsia" w:ascii="宋体" w:hAnsi="宋体" w:eastAsia="宋体" w:cs="Arial"/>
          <w:b/>
          <w:color w:val="auto"/>
          <w:szCs w:val="21"/>
          <w:highlight w:val="none"/>
        </w:rPr>
        <w:t>2.采购人需求书中的服务要求仅为最低要求。供应商在遴选响应文件中必须列出具体报价响应内容。如果供应商只注明“符合”或“满足”，将被视为“不符合”，从而可能导致严重影响评审结果。</w:t>
      </w:r>
    </w:p>
    <w:p>
      <w:pPr>
        <w:spacing w:line="360" w:lineRule="auto"/>
        <w:ind w:firstLine="413" w:firstLineChars="196"/>
        <w:rPr>
          <w:rFonts w:ascii="宋体" w:hAnsi="宋体" w:eastAsia="宋体" w:cs="Arial"/>
          <w:b/>
          <w:color w:val="auto"/>
          <w:szCs w:val="21"/>
          <w:highlight w:val="none"/>
        </w:rPr>
        <w:sectPr>
          <w:pgSz w:w="11906" w:h="16838"/>
          <w:pgMar w:top="567" w:right="1304" w:bottom="567" w:left="1361" w:header="567" w:footer="737" w:gutter="0"/>
          <w:cols w:space="720" w:num="1"/>
          <w:docGrid w:linePitch="312" w:charSpace="0"/>
        </w:sectPr>
      </w:pPr>
      <w:r>
        <w:rPr>
          <w:rFonts w:hint="eastAsia" w:ascii="宋体" w:hAnsi="宋体" w:eastAsia="宋体" w:cs="Arial"/>
          <w:b/>
          <w:color w:val="auto"/>
          <w:szCs w:val="21"/>
          <w:highlight w:val="none"/>
        </w:rPr>
        <w:t>3.供应商没有在遴选响应文件中注明偏离（文字说明或在服务、商务偏离表注明）的参数、配置、条款视为供应商完全接受。</w:t>
      </w:r>
    </w:p>
    <w:p>
      <w:pPr>
        <w:spacing w:line="360" w:lineRule="auto"/>
        <w:rPr>
          <w:rFonts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t>附件15  合同条款响应一览表</w:t>
      </w:r>
    </w:p>
    <w:p>
      <w:pPr>
        <w:spacing w:line="360" w:lineRule="auto"/>
        <w:rPr>
          <w:rFonts w:ascii="宋体" w:hAnsi="宋体" w:eastAsia="宋体" w:cs="Times New Roman"/>
          <w:color w:val="auto"/>
          <w:sz w:val="24"/>
          <w:szCs w:val="24"/>
          <w:highlight w:val="none"/>
        </w:rPr>
      </w:pPr>
    </w:p>
    <w:p>
      <w:pPr>
        <w:spacing w:line="360" w:lineRule="auto"/>
        <w:ind w:left="945" w:hanging="945" w:hangingChars="4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说明：1、</w:t>
      </w:r>
      <w:r>
        <w:rPr>
          <w:rFonts w:hint="eastAsia" w:ascii="宋体" w:hAnsi="宋体" w:eastAsia="宋体" w:cs="宋体"/>
          <w:color w:val="auto"/>
          <w:kern w:val="0"/>
          <w:szCs w:val="21"/>
          <w:highlight w:val="none"/>
        </w:rPr>
        <w:t>供应商</w:t>
      </w:r>
      <w:r>
        <w:rPr>
          <w:rFonts w:hint="eastAsia" w:ascii="宋体" w:hAnsi="宋体" w:eastAsia="宋体" w:cs="Times New Roman"/>
          <w:color w:val="auto"/>
          <w:szCs w:val="21"/>
          <w:highlight w:val="none"/>
        </w:rPr>
        <w:t>必须对应公开遴选文件的第四章政府采购合同条款逐条应答并按要求填写下表。</w:t>
      </w:r>
    </w:p>
    <w:p>
      <w:pPr>
        <w:spacing w:line="360" w:lineRule="auto"/>
        <w:ind w:left="533" w:leftChars="254"/>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2、对完全响应的条目在下表相应列中标注“○”。对有偏离的条目在下表相应列中标注“×”，并简述偏离内容。</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完全</w:t>
            </w:r>
          </w:p>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宋体" w:hAnsi="宋体" w:eastAsia="宋体" w:cs="Times New Roman"/>
                <w:snapToGrid w:val="0"/>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r>
    </w:tbl>
    <w:p>
      <w:pPr>
        <w:spacing w:line="360" w:lineRule="auto"/>
        <w:rPr>
          <w:rFonts w:ascii="宋体" w:hAnsi="宋体" w:eastAsia="宋体" w:cs="Times New Roman"/>
          <w:color w:val="auto"/>
          <w:sz w:val="24"/>
          <w:szCs w:val="24"/>
          <w:highlight w:val="none"/>
        </w:rPr>
      </w:pPr>
    </w:p>
    <w:p>
      <w:pPr>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注：供应商对公开遴选文件的合同（样本）不允许实质性偏离，否则将视为不响应。</w:t>
      </w:r>
    </w:p>
    <w:p>
      <w:pPr>
        <w:spacing w:line="360" w:lineRule="auto"/>
        <w:rPr>
          <w:rFonts w:ascii="宋体" w:hAnsi="宋体" w:eastAsia="宋体" w:cs="Times New Roman"/>
          <w:b/>
          <w:color w:val="auto"/>
          <w:sz w:val="24"/>
          <w:szCs w:val="24"/>
          <w:highlight w:val="none"/>
        </w:rPr>
      </w:pPr>
    </w:p>
    <w:p>
      <w:pPr>
        <w:spacing w:line="360" w:lineRule="auto"/>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供应商</w:t>
      </w:r>
      <w:r>
        <w:rPr>
          <w:rFonts w:hint="eastAsia" w:ascii="宋体" w:hAnsi="宋体" w:eastAsia="宋体" w:cs="Times New Roman"/>
          <w:color w:val="auto"/>
          <w:szCs w:val="21"/>
          <w:highlight w:val="none"/>
        </w:rPr>
        <w:t>全称（盖公章）：</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法定代表人或授权代表（签字或签章）：</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日    期： 2021年  月  日</w:t>
      </w:r>
    </w:p>
    <w:p>
      <w:pPr>
        <w:spacing w:line="360" w:lineRule="auto"/>
        <w:ind w:firstLine="413" w:firstLineChars="196"/>
        <w:rPr>
          <w:rFonts w:ascii="宋体" w:hAnsi="宋体" w:eastAsia="宋体" w:cs="Arial"/>
          <w:b/>
          <w:color w:val="auto"/>
          <w:szCs w:val="21"/>
          <w:highlight w:val="none"/>
        </w:rPr>
        <w:sectPr>
          <w:pgSz w:w="11906" w:h="16838"/>
          <w:pgMar w:top="567" w:right="1304" w:bottom="567" w:left="1361" w:header="567" w:footer="737" w:gutter="0"/>
          <w:cols w:space="720" w:num="1"/>
          <w:docGrid w:linePitch="312" w:charSpace="0"/>
        </w:sectPr>
      </w:pPr>
    </w:p>
    <w:p>
      <w:pPr>
        <w:spacing w:line="360" w:lineRule="auto"/>
        <w:ind w:firstLine="413" w:firstLineChars="196"/>
        <w:rPr>
          <w:rFonts w:ascii="宋体" w:hAnsi="宋体" w:eastAsia="宋体" w:cs="Times New Roman"/>
          <w:b/>
          <w:bCs/>
          <w:color w:val="auto"/>
          <w:kern w:val="0"/>
          <w:szCs w:val="21"/>
          <w:highlight w:val="none"/>
        </w:rPr>
      </w:pPr>
    </w:p>
    <w:bookmarkEnd w:id="342"/>
    <w:bookmarkEnd w:id="343"/>
    <w:p>
      <w:pPr>
        <w:spacing w:line="360" w:lineRule="auto"/>
        <w:rPr>
          <w:rFonts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t xml:space="preserve">附件16  </w:t>
      </w:r>
      <w:r>
        <w:rPr>
          <w:rFonts w:ascii="宋体" w:hAnsi="宋体" w:eastAsia="宋体" w:cs="Times New Roman"/>
          <w:b/>
          <w:bCs/>
          <w:color w:val="auto"/>
          <w:kern w:val="0"/>
          <w:sz w:val="28"/>
          <w:szCs w:val="28"/>
          <w:highlight w:val="none"/>
        </w:rPr>
        <w:t>同类</w:t>
      </w:r>
      <w:r>
        <w:rPr>
          <w:rFonts w:hint="eastAsia" w:ascii="宋体" w:hAnsi="宋体" w:eastAsia="宋体" w:cs="Times New Roman"/>
          <w:b/>
          <w:bCs/>
          <w:color w:val="auto"/>
          <w:kern w:val="0"/>
          <w:sz w:val="28"/>
          <w:szCs w:val="28"/>
          <w:highlight w:val="none"/>
        </w:rPr>
        <w:t>项目业绩一览表</w:t>
      </w:r>
    </w:p>
    <w:p>
      <w:pPr>
        <w:spacing w:line="360" w:lineRule="auto"/>
        <w:ind w:right="482"/>
        <w:rPr>
          <w:rFonts w:ascii="宋体" w:hAnsi="宋体" w:eastAsia="宋体" w:cs="Times New Roman"/>
          <w:color w:val="auto"/>
          <w:szCs w:val="21"/>
          <w:highlight w:val="none"/>
        </w:rPr>
      </w:pPr>
    </w:p>
    <w:p>
      <w:pPr>
        <w:spacing w:line="360" w:lineRule="auto"/>
        <w:ind w:right="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项目名称： </w:t>
      </w:r>
    </w:p>
    <w:p>
      <w:pPr>
        <w:spacing w:line="360" w:lineRule="auto"/>
        <w:rPr>
          <w:rFonts w:ascii="宋体" w:hAnsi="宋体" w:eastAsia="宋体" w:cs="Tahoma"/>
          <w:color w:val="auto"/>
          <w:szCs w:val="21"/>
          <w:highlight w:val="none"/>
        </w:rPr>
      </w:pPr>
      <w:r>
        <w:rPr>
          <w:rFonts w:hint="eastAsia" w:ascii="Times New Roman" w:hAnsi="宋体" w:eastAsia="宋体" w:cs="宋体"/>
          <w:color w:val="auto"/>
          <w:szCs w:val="21"/>
          <w:highlight w:val="none"/>
        </w:rPr>
        <w:t>项目编</w:t>
      </w:r>
      <w:r>
        <w:rPr>
          <w:rFonts w:hint="eastAsia" w:ascii="宋体" w:hAnsi="宋体" w:eastAsia="宋体" w:cs="宋体"/>
          <w:color w:val="auto"/>
          <w:szCs w:val="21"/>
          <w:highlight w:val="none"/>
        </w:rPr>
        <w:t xml:space="preserve">号：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合同总价</w:t>
            </w:r>
          </w:p>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r>
    </w:tbl>
    <w:p>
      <w:pPr>
        <w:spacing w:line="360" w:lineRule="auto"/>
        <w:rPr>
          <w:rFonts w:ascii="宋体" w:hAnsi="宋体" w:eastAsia="宋体" w:cs="Times New Roman"/>
          <w:b/>
          <w:color w:val="auto"/>
          <w:szCs w:val="21"/>
          <w:highlight w:val="none"/>
        </w:rPr>
      </w:pPr>
    </w:p>
    <w:p>
      <w:pPr>
        <w:spacing w:line="360"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注：请附上采购合同关键页复印件作为同类业绩证明资料。</w:t>
      </w:r>
    </w:p>
    <w:p>
      <w:pPr>
        <w:spacing w:line="360" w:lineRule="auto"/>
        <w:ind w:left="632" w:hanging="632" w:hangingChars="300"/>
        <w:rPr>
          <w:rFonts w:ascii="宋体" w:hAnsi="宋体" w:eastAsia="宋体" w:cs="Times New Roman"/>
          <w:b/>
          <w:color w:val="auto"/>
          <w:szCs w:val="21"/>
          <w:highlight w:val="none"/>
        </w:rPr>
      </w:pPr>
    </w:p>
    <w:p>
      <w:pPr>
        <w:spacing w:line="360" w:lineRule="auto"/>
        <w:rPr>
          <w:rFonts w:ascii="宋体" w:hAnsi="宋体" w:eastAsia="宋体" w:cs="Times New Roman"/>
          <w:bCs/>
          <w:color w:val="auto"/>
          <w:szCs w:val="21"/>
          <w:highlight w:val="none"/>
        </w:rPr>
      </w:pPr>
    </w:p>
    <w:p>
      <w:pPr>
        <w:adjustRightInd w:val="0"/>
        <w:snapToGrid w:val="0"/>
        <w:spacing w:line="360" w:lineRule="auto"/>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供应商</w:t>
      </w:r>
      <w:r>
        <w:rPr>
          <w:rFonts w:hint="eastAsia" w:ascii="宋体" w:hAnsi="宋体" w:eastAsia="宋体" w:cs="Times New Roman"/>
          <w:color w:val="auto"/>
          <w:szCs w:val="21"/>
          <w:highlight w:val="none"/>
        </w:rPr>
        <w:t>全称（盖公章）：</w:t>
      </w:r>
    </w:p>
    <w:p>
      <w:pPr>
        <w:adjustRightInd w:val="0"/>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法定代表人或授权代表（签字或签章）：</w:t>
      </w:r>
    </w:p>
    <w:p>
      <w:pPr>
        <w:adjustRightInd w:val="0"/>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日    期： 2021年  月  日</w:t>
      </w:r>
    </w:p>
    <w:p>
      <w:pPr>
        <w:spacing w:line="360" w:lineRule="auto"/>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br w:type="page"/>
      </w:r>
    </w:p>
    <w:p>
      <w:pPr>
        <w:spacing w:line="360" w:lineRule="auto"/>
        <w:rPr>
          <w:rFonts w:ascii="黑体" w:hAnsi="宋体" w:eastAsia="黑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t xml:space="preserve">附件17  </w:t>
      </w:r>
      <w:r>
        <w:rPr>
          <w:rFonts w:hint="eastAsia" w:ascii="黑体" w:hAnsi="宋体" w:eastAsia="黑体" w:cs="Times New Roman"/>
          <w:b/>
          <w:bCs/>
          <w:color w:val="auto"/>
          <w:kern w:val="0"/>
          <w:sz w:val="28"/>
          <w:szCs w:val="28"/>
          <w:highlight w:val="none"/>
        </w:rPr>
        <w:t>技术服务方案</w:t>
      </w:r>
    </w:p>
    <w:p>
      <w:pPr>
        <w:spacing w:line="360" w:lineRule="auto"/>
        <w:ind w:right="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w:t>
      </w:r>
    </w:p>
    <w:p>
      <w:pPr>
        <w:spacing w:line="360" w:lineRule="auto"/>
        <w:ind w:right="482"/>
        <w:rPr>
          <w:rFonts w:ascii="宋体" w:hAnsi="宋体" w:eastAsia="宋体" w:cs="宋体"/>
          <w:color w:val="auto"/>
          <w:szCs w:val="21"/>
          <w:highlight w:val="none"/>
        </w:rPr>
      </w:pPr>
      <w:r>
        <w:rPr>
          <w:rFonts w:hint="eastAsia" w:ascii="宋体" w:hAnsi="宋体" w:eastAsia="宋体" w:cs="宋体"/>
          <w:color w:val="auto"/>
          <w:szCs w:val="21"/>
          <w:highlight w:val="none"/>
        </w:rPr>
        <w:t>项目编号：</w:t>
      </w:r>
    </w:p>
    <w:p>
      <w:pPr>
        <w:spacing w:line="360" w:lineRule="auto"/>
        <w:rPr>
          <w:rFonts w:ascii="黑体" w:hAnsi="宋体" w:eastAsia="黑体" w:cs="Times New Roman"/>
          <w:b/>
          <w:bCs/>
          <w:color w:val="auto"/>
          <w:kern w:val="0"/>
          <w:sz w:val="28"/>
          <w:szCs w:val="28"/>
          <w:highlight w:val="none"/>
        </w:rPr>
      </w:pPr>
    </w:p>
    <w:p>
      <w:pPr>
        <w:spacing w:line="360" w:lineRule="auto"/>
        <w:ind w:left="618" w:hanging="618"/>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[说明]供应商应按照公开遴选文件的要求，根据采购人需求要求内容做出全面响应并编制服务方案。其内容应包括但不限于：</w:t>
      </w:r>
    </w:p>
    <w:p>
      <w:pPr>
        <w:spacing w:line="360" w:lineRule="auto"/>
        <w:ind w:left="618" w:hanging="618"/>
        <w:rPr>
          <w:rFonts w:ascii="宋体" w:hAnsi="宋体" w:eastAsia="宋体" w:cs="Times New Roman"/>
          <w:bCs/>
          <w:color w:val="auto"/>
          <w:szCs w:val="21"/>
          <w:highlight w:val="none"/>
        </w:rPr>
      </w:pPr>
    </w:p>
    <w:p>
      <w:pPr>
        <w:numPr>
          <w:ilvl w:val="0"/>
          <w:numId w:val="12"/>
        </w:numPr>
        <w:spacing w:line="360" w:lineRule="auto"/>
        <w:ind w:left="420" w:leftChars="200" w:firstLine="105" w:firstLineChars="5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经验</w:t>
      </w:r>
    </w:p>
    <w:p>
      <w:pPr>
        <w:numPr>
          <w:ilvl w:val="0"/>
          <w:numId w:val="12"/>
        </w:numPr>
        <w:spacing w:line="360" w:lineRule="auto"/>
        <w:ind w:left="420" w:leftChars="200" w:firstLine="105" w:firstLineChars="5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服务方案</w:t>
      </w:r>
    </w:p>
    <w:p>
      <w:pPr>
        <w:numPr>
          <w:ilvl w:val="0"/>
          <w:numId w:val="12"/>
        </w:numPr>
        <w:spacing w:line="360" w:lineRule="auto"/>
        <w:ind w:left="420" w:leftChars="200" w:firstLine="105" w:firstLineChars="5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服务质量评估方案</w:t>
      </w:r>
    </w:p>
    <w:p>
      <w:pPr>
        <w:numPr>
          <w:ilvl w:val="0"/>
          <w:numId w:val="12"/>
        </w:numPr>
        <w:spacing w:line="360" w:lineRule="auto"/>
        <w:ind w:left="420" w:leftChars="200" w:firstLine="105" w:firstLineChars="5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项目实施计划</w:t>
      </w:r>
    </w:p>
    <w:p>
      <w:pPr>
        <w:numPr>
          <w:ilvl w:val="0"/>
          <w:numId w:val="12"/>
        </w:numPr>
        <w:spacing w:line="360" w:lineRule="auto"/>
        <w:ind w:left="420" w:leftChars="200" w:firstLine="105" w:firstLineChars="5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评估团队</w:t>
      </w:r>
    </w:p>
    <w:p>
      <w:pPr>
        <w:numPr>
          <w:ilvl w:val="0"/>
          <w:numId w:val="12"/>
        </w:numPr>
        <w:spacing w:line="360" w:lineRule="auto"/>
        <w:ind w:left="420" w:leftChars="200" w:firstLine="105" w:firstLineChars="5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督导团队</w:t>
      </w:r>
    </w:p>
    <w:p>
      <w:pPr>
        <w:numPr>
          <w:ilvl w:val="0"/>
          <w:numId w:val="12"/>
        </w:numPr>
        <w:spacing w:line="360" w:lineRule="auto"/>
        <w:ind w:left="420" w:leftChars="200" w:firstLine="105" w:firstLineChars="5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供应商认为对遴选有利的其他资料。</w:t>
      </w:r>
    </w:p>
    <w:p>
      <w:pPr>
        <w:spacing w:after="120"/>
        <w:rPr>
          <w:rFonts w:ascii="Times New Roman" w:hAnsi="Times New Roman" w:eastAsia="宋体" w:cs="Times New Roman"/>
          <w:color w:val="auto"/>
          <w:szCs w:val="24"/>
          <w:highlight w:val="none"/>
        </w:rPr>
      </w:pPr>
      <w:r>
        <w:rPr>
          <w:rFonts w:hint="eastAsia" w:ascii="宋体" w:hAnsi="宋体" w:eastAsia="宋体" w:cs="Times New Roman"/>
          <w:bCs/>
          <w:color w:val="auto"/>
          <w:szCs w:val="21"/>
          <w:highlight w:val="none"/>
        </w:rPr>
        <w:t xml:space="preserve">   </w:t>
      </w:r>
    </w:p>
    <w:p>
      <w:pPr>
        <w:spacing w:line="360" w:lineRule="auto"/>
        <w:ind w:firstLine="480"/>
        <w:rPr>
          <w:rFonts w:ascii="宋体" w:hAnsi="宋体" w:eastAsia="宋体" w:cs="Times New Roman"/>
          <w:b/>
          <w:color w:val="auto"/>
          <w:sz w:val="24"/>
          <w:szCs w:val="24"/>
          <w:highlight w:val="none"/>
        </w:rPr>
      </w:pPr>
    </w:p>
    <w:p>
      <w:pPr>
        <w:spacing w:line="360" w:lineRule="auto"/>
        <w:ind w:firstLine="4956" w:firstLineChars="2360"/>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供应商</w:t>
      </w:r>
      <w:r>
        <w:rPr>
          <w:rFonts w:hint="eastAsia" w:ascii="宋体" w:hAnsi="宋体" w:eastAsia="宋体" w:cs="Times New Roman"/>
          <w:color w:val="auto"/>
          <w:szCs w:val="21"/>
          <w:highlight w:val="none"/>
        </w:rPr>
        <w:t>全称（盖公章）：</w:t>
      </w:r>
    </w:p>
    <w:p>
      <w:pPr>
        <w:spacing w:line="360" w:lineRule="auto"/>
        <w:ind w:right="420" w:firstLine="4935" w:firstLineChars="23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法定代表人或授权代表（签字或签章）：</w:t>
      </w:r>
    </w:p>
    <w:p>
      <w:pPr>
        <w:spacing w:line="360" w:lineRule="auto"/>
        <w:jc w:val="center"/>
        <w:rPr>
          <w:rFonts w:ascii="宋体" w:hAnsi="宋体" w:eastAsia="宋体" w:cs="Times New Roman"/>
          <w:b/>
          <w:bCs/>
          <w:color w:val="auto"/>
          <w:kern w:val="0"/>
          <w:sz w:val="28"/>
          <w:szCs w:val="28"/>
          <w:highlight w:val="none"/>
        </w:rPr>
      </w:pPr>
      <w:r>
        <w:rPr>
          <w:rFonts w:hint="eastAsia" w:ascii="宋体" w:hAnsi="宋体" w:eastAsia="宋体" w:cs="Times New Roman"/>
          <w:color w:val="auto"/>
          <w:szCs w:val="21"/>
          <w:highlight w:val="none"/>
        </w:rPr>
        <w:t xml:space="preserve">                               日    期： 2021年  月  日</w:t>
      </w: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spacing w:line="360" w:lineRule="auto"/>
        <w:rPr>
          <w:rFonts w:ascii="宋体" w:hAnsi="宋体" w:eastAsia="宋体" w:cs="Times New Roman"/>
          <w:b/>
          <w:bCs/>
          <w:color w:val="auto"/>
          <w:kern w:val="0"/>
          <w:sz w:val="28"/>
          <w:szCs w:val="28"/>
          <w:highlight w:val="none"/>
        </w:rPr>
      </w:pPr>
    </w:p>
    <w:p>
      <w:pPr>
        <w:widowControl/>
        <w:jc w:val="left"/>
        <w:rPr>
          <w:rFonts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t>附件18 拟派本项目负责人及主要人员情况表</w:t>
      </w:r>
    </w:p>
    <w:p>
      <w:pPr>
        <w:spacing w:line="360" w:lineRule="auto"/>
        <w:rPr>
          <w:rFonts w:hint="eastAsia" w:ascii="宋体" w:hAnsi="宋体" w:eastAsia="宋体" w:cs="Tahoma"/>
          <w:color w:val="auto"/>
          <w:kern w:val="28"/>
          <w:szCs w:val="21"/>
          <w:highlight w:val="none"/>
        </w:rPr>
      </w:pPr>
      <w:r>
        <w:rPr>
          <w:rFonts w:hint="eastAsia" w:ascii="宋体" w:hAnsi="宋体" w:eastAsia="宋体" w:cs="Tahoma"/>
          <w:color w:val="auto"/>
          <w:szCs w:val="21"/>
          <w:highlight w:val="none"/>
        </w:rPr>
        <w:t>项目名称</w:t>
      </w:r>
      <w:r>
        <w:rPr>
          <w:rFonts w:hint="eastAsia" w:ascii="宋体" w:hAnsi="宋体" w:eastAsia="宋体" w:cs="Tahoma"/>
          <w:color w:val="auto"/>
          <w:kern w:val="28"/>
          <w:szCs w:val="21"/>
          <w:highlight w:val="none"/>
        </w:rPr>
        <w:t xml:space="preserve">：                                                 </w:t>
      </w:r>
    </w:p>
    <w:p>
      <w:pPr>
        <w:spacing w:line="360" w:lineRule="auto"/>
        <w:rPr>
          <w:rFonts w:ascii="Times New Roman" w:hAnsi="Times New Roman" w:eastAsia="宋体" w:cs="Times New Roman"/>
          <w:bCs/>
          <w:color w:val="auto"/>
          <w:szCs w:val="21"/>
          <w:highlight w:val="none"/>
        </w:rPr>
      </w:pPr>
      <w:r>
        <w:rPr>
          <w:rFonts w:hint="eastAsia" w:ascii="Times New Roman" w:hAnsi="Times New Roman" w:eastAsia="宋体" w:cs="Tahoma"/>
          <w:color w:val="auto"/>
          <w:szCs w:val="21"/>
          <w:highlight w:val="none"/>
        </w:rPr>
        <w:t>项目编号：</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从事</w:t>
            </w:r>
            <w:r>
              <w:rPr>
                <w:rFonts w:ascii="宋体" w:hAnsi="宋体" w:eastAsia="宋体" w:cs="Times New Roman"/>
                <w:color w:val="auto"/>
                <w:kern w:val="0"/>
                <w:szCs w:val="21"/>
                <w:highlight w:val="none"/>
              </w:rPr>
              <w:t>同类</w:t>
            </w:r>
            <w:r>
              <w:rPr>
                <w:rFonts w:ascii="Times New Roman" w:hAnsi="Times New Roman" w:eastAsia="宋体" w:cs="Times New Roman"/>
                <w:color w:val="auto"/>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已完成的部分</w:t>
            </w:r>
            <w:r>
              <w:rPr>
                <w:rFonts w:hint="eastAsia" w:ascii="宋体" w:hAnsi="宋体" w:eastAsia="宋体" w:cs="Times New Roman"/>
                <w:color w:val="auto"/>
                <w:szCs w:val="21"/>
                <w:highlight w:val="none"/>
              </w:rPr>
              <w:t>同类项目</w:t>
            </w:r>
            <w:r>
              <w:rPr>
                <w:rFonts w:hint="eastAsia" w:ascii="Times New Roman" w:hAnsi="Times New Roman" w:eastAsia="宋体" w:cs="Times New Roman"/>
                <w:color w:val="auto"/>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项目</w:t>
            </w:r>
          </w:p>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成果质量</w:t>
            </w:r>
          </w:p>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拟参与民办残疾人社会服务机构资助项目第三方服务评估和质量监察服务主要技术人员情况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r>
              <w:rPr>
                <w:rFonts w:hint="eastAsia" w:ascii="宋体" w:hAnsi="宋体" w:eastAsia="宋体" w:cs="Times New Roman"/>
                <w:color w:val="auto"/>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Times New Roman" w:hAnsi="Times New Roman" w:eastAsia="宋体" w:cs="Times New Roman"/>
                <w:color w:val="auto"/>
                <w:szCs w:val="21"/>
                <w:highlight w:val="none"/>
              </w:rPr>
              <w:t>拟参与社区精神康复综合服务中心第三方业务督导和服务质量评估服务主要技术人员情况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Times New Roman" w:hAnsi="Times New Roman" w:eastAsia="宋体" w:cs="Times New Roman"/>
                <w:color w:val="auto"/>
                <w:szCs w:val="21"/>
                <w:highlight w:val="none"/>
              </w:rPr>
              <w:t>拟参与残疾人家庭无障碍改造专项提升工作第三方抽检验收服务主要技术人员情况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bl>
    <w:p>
      <w:pPr>
        <w:spacing w:line="360" w:lineRule="auto"/>
        <w:rPr>
          <w:rFonts w:ascii="宋体" w:hAnsi="Courier New" w:eastAsia="宋体" w:cs="Times New Roman"/>
          <w:bCs/>
          <w:color w:val="auto"/>
          <w:szCs w:val="21"/>
          <w:highlight w:val="none"/>
        </w:rPr>
      </w:pPr>
    </w:p>
    <w:p>
      <w:pPr>
        <w:spacing w:before="120" w:line="360" w:lineRule="auto"/>
        <w:ind w:left="620" w:hanging="620" w:hangingChars="294"/>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注：1.在合同执行期间，成交供应商须设立项目负责人和专业专职的主要技术及服务人员，并在上表中列明；</w:t>
      </w:r>
    </w:p>
    <w:p>
      <w:pPr>
        <w:spacing w:before="120" w:line="360" w:lineRule="auto"/>
        <w:ind w:left="618" w:leftChars="200" w:hanging="198" w:hangingChars="9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2.需附上上表所列人员的证明材料文件。</w:t>
      </w:r>
    </w:p>
    <w:p>
      <w:pPr>
        <w:spacing w:line="360" w:lineRule="auto"/>
        <w:rPr>
          <w:rFonts w:hint="eastAsia" w:ascii="宋体" w:hAnsi="宋体" w:eastAsia="宋体" w:cs="宋体"/>
          <w:color w:val="auto"/>
          <w:kern w:val="0"/>
          <w:szCs w:val="21"/>
          <w:highlight w:val="none"/>
        </w:rPr>
      </w:pPr>
    </w:p>
    <w:p>
      <w:pPr>
        <w:spacing w:line="360" w:lineRule="auto"/>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rPr>
        <w:t>供应商</w:t>
      </w:r>
      <w:r>
        <w:rPr>
          <w:rFonts w:hint="eastAsia" w:ascii="宋体" w:hAnsi="宋体" w:eastAsia="宋体" w:cs="Times New Roman"/>
          <w:bCs/>
          <w:color w:val="auto"/>
          <w:szCs w:val="21"/>
          <w:highlight w:val="none"/>
        </w:rPr>
        <w:t>全称（加盖公章）:</w:t>
      </w:r>
    </w:p>
    <w:p>
      <w:pPr>
        <w:spacing w:line="360" w:lineRule="auto"/>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法定代表或其授权代表(</w:t>
      </w:r>
      <w:r>
        <w:rPr>
          <w:rFonts w:hint="eastAsia" w:ascii="宋体" w:hAnsi="宋体" w:eastAsia="宋体" w:cs="Times New Roman"/>
          <w:color w:val="auto"/>
          <w:szCs w:val="21"/>
          <w:highlight w:val="none"/>
        </w:rPr>
        <w:t>签字或签章</w:t>
      </w:r>
      <w:r>
        <w:rPr>
          <w:rFonts w:hint="eastAsia" w:ascii="宋体" w:hAnsi="宋体" w:eastAsia="宋体" w:cs="Times New Roman"/>
          <w:bCs/>
          <w:color w:val="auto"/>
          <w:szCs w:val="21"/>
          <w:highlight w:val="none"/>
        </w:rPr>
        <w:t>)：</w:t>
      </w:r>
    </w:p>
    <w:p>
      <w:pPr>
        <w:spacing w:line="360" w:lineRule="auto"/>
        <w:rPr>
          <w:rFonts w:ascii="宋体" w:hAnsi="宋体" w:eastAsia="宋体" w:cs="Times New Roman"/>
          <w:b/>
          <w:bCs/>
          <w:color w:val="auto"/>
          <w:kern w:val="0"/>
          <w:sz w:val="28"/>
          <w:szCs w:val="28"/>
          <w:highlight w:val="none"/>
        </w:rPr>
        <w:sectPr>
          <w:pgSz w:w="11906" w:h="16838"/>
          <w:pgMar w:top="567" w:right="1304" w:bottom="567" w:left="1361" w:header="567" w:footer="737" w:gutter="0"/>
          <w:cols w:space="720" w:num="1"/>
          <w:docGrid w:linePitch="312" w:charSpace="0"/>
        </w:sectPr>
      </w:pPr>
      <w:r>
        <w:rPr>
          <w:rFonts w:hint="eastAsia" w:ascii="宋体" w:hAnsi="宋体" w:eastAsia="宋体" w:cs="Times New Roman"/>
          <w:bCs/>
          <w:color w:val="auto"/>
          <w:szCs w:val="21"/>
          <w:highlight w:val="none"/>
        </w:rPr>
        <w:t>日    期： 2021年  月  日</w:t>
      </w:r>
    </w:p>
    <w:p>
      <w:pPr>
        <w:spacing w:line="360" w:lineRule="auto"/>
        <w:rPr>
          <w:rFonts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t>附件19 实质性条款响应一览表</w:t>
      </w:r>
    </w:p>
    <w:p>
      <w:pPr>
        <w:spacing w:line="360" w:lineRule="auto"/>
        <w:rPr>
          <w:rFonts w:ascii="宋体" w:hAnsi="宋体" w:eastAsia="宋体" w:cs="Arial Unicode MS"/>
          <w:bCs/>
          <w:color w:val="auto"/>
          <w:szCs w:val="21"/>
          <w:highlight w:val="none"/>
        </w:rPr>
      </w:pPr>
      <w:r>
        <w:rPr>
          <w:rFonts w:hint="eastAsia" w:ascii="宋体" w:hAnsi="宋体" w:eastAsia="宋体" w:cs="Tahoma"/>
          <w:color w:val="auto"/>
          <w:szCs w:val="21"/>
          <w:highlight w:val="none"/>
        </w:rPr>
        <w:t>项目名称</w:t>
      </w:r>
      <w:r>
        <w:rPr>
          <w:rFonts w:hint="eastAsia" w:ascii="宋体" w:hAnsi="宋体" w:eastAsia="宋体" w:cs="Tahoma"/>
          <w:color w:val="auto"/>
          <w:kern w:val="28"/>
          <w:szCs w:val="21"/>
          <w:highlight w:val="none"/>
        </w:rPr>
        <w:t xml:space="preserve">：                                                </w:t>
      </w:r>
      <w:r>
        <w:rPr>
          <w:rFonts w:ascii="宋体" w:hAnsi="宋体" w:eastAsia="宋体" w:cs="Tahoma"/>
          <w:color w:val="auto"/>
          <w:szCs w:val="21"/>
          <w:highlight w:val="none"/>
        </w:rPr>
        <w:t>项目编号：</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368"/>
        <w:gridCol w:w="637"/>
        <w:gridCol w:w="700"/>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9" w:type="dxa"/>
            <w:vAlign w:val="center"/>
          </w:tcPr>
          <w:p>
            <w:pPr>
              <w:spacing w:before="240" w:line="360" w:lineRule="auto"/>
              <w:ind w:left="902" w:hanging="902"/>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序号</w:t>
            </w:r>
          </w:p>
        </w:tc>
        <w:tc>
          <w:tcPr>
            <w:tcW w:w="6368" w:type="dxa"/>
            <w:tcBorders>
              <w:left w:val="single" w:color="000000" w:sz="4" w:space="0"/>
            </w:tcBorders>
            <w:vAlign w:val="center"/>
          </w:tcPr>
          <w:p>
            <w:pPr>
              <w:spacing w:before="240" w:line="360" w:lineRule="auto"/>
              <w:ind w:left="902" w:hanging="902"/>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带“★”号响应内容</w:t>
            </w:r>
          </w:p>
        </w:tc>
        <w:tc>
          <w:tcPr>
            <w:tcW w:w="637" w:type="dxa"/>
            <w:vAlign w:val="center"/>
          </w:tcPr>
          <w:p>
            <w:pPr>
              <w:spacing w:line="360" w:lineRule="auto"/>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是否</w:t>
            </w:r>
          </w:p>
          <w:p>
            <w:pPr>
              <w:spacing w:line="360" w:lineRule="auto"/>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响应</w:t>
            </w:r>
          </w:p>
        </w:tc>
        <w:tc>
          <w:tcPr>
            <w:tcW w:w="700" w:type="dxa"/>
            <w:vAlign w:val="center"/>
          </w:tcPr>
          <w:p>
            <w:pPr>
              <w:spacing w:line="360" w:lineRule="auto"/>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偏离</w:t>
            </w:r>
          </w:p>
          <w:p>
            <w:pPr>
              <w:spacing w:line="360" w:lineRule="auto"/>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说明</w:t>
            </w:r>
          </w:p>
        </w:tc>
        <w:tc>
          <w:tcPr>
            <w:tcW w:w="658" w:type="dxa"/>
            <w:vAlign w:val="center"/>
          </w:tcPr>
          <w:p>
            <w:pPr>
              <w:spacing w:line="360" w:lineRule="auto"/>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响应</w:t>
            </w:r>
          </w:p>
          <w:p>
            <w:pPr>
              <w:spacing w:line="360" w:lineRule="auto"/>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9" w:type="dxa"/>
            <w:vAlign w:val="center"/>
          </w:tcPr>
          <w:p>
            <w:pPr>
              <w:spacing w:before="240" w:line="360" w:lineRule="auto"/>
              <w:ind w:left="902" w:hanging="902"/>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6368" w:type="dxa"/>
            <w:tcBorders>
              <w:left w:val="single" w:color="000000" w:sz="4" w:space="0"/>
            </w:tcBorders>
            <w:vAlign w:val="center"/>
          </w:tcPr>
          <w:p>
            <w:pPr>
              <w:widowControl/>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kern w:val="0"/>
                <w:szCs w:val="21"/>
                <w:highlight w:val="none"/>
              </w:rPr>
              <w:t>公开遴选函 （附件1)</w:t>
            </w:r>
          </w:p>
        </w:tc>
        <w:tc>
          <w:tcPr>
            <w:tcW w:w="637"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700"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658" w:type="dxa"/>
            <w:vAlign w:val="center"/>
          </w:tcPr>
          <w:p>
            <w:pPr>
              <w:spacing w:before="240" w:line="360" w:lineRule="auto"/>
              <w:ind w:left="902" w:hanging="90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6368" w:type="dxa"/>
            <w:tcBorders>
              <w:left w:val="single" w:color="000000" w:sz="4" w:space="0"/>
            </w:tcBorders>
            <w:vAlign w:val="center"/>
          </w:tcPr>
          <w:p>
            <w:pPr>
              <w:widowControl/>
              <w:snapToGrid w:val="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★具有独立承担民事责任的能力【提供法人或者其他组织的营业执照、组织机构代码证和税务登记证（或三证合一证明）等证明文件】</w:t>
            </w:r>
          </w:p>
        </w:tc>
        <w:tc>
          <w:tcPr>
            <w:tcW w:w="637"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700"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658" w:type="dxa"/>
            <w:vAlign w:val="center"/>
          </w:tcPr>
          <w:p>
            <w:pPr>
              <w:spacing w:before="240" w:line="360" w:lineRule="auto"/>
              <w:ind w:left="902" w:hanging="90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09" w:type="dxa"/>
            <w:vAlign w:val="center"/>
          </w:tcPr>
          <w:p>
            <w:pPr>
              <w:spacing w:before="240" w:line="360" w:lineRule="auto"/>
              <w:ind w:left="902" w:hanging="902"/>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6368" w:type="dxa"/>
            <w:tcBorders>
              <w:left w:val="single" w:color="000000" w:sz="4" w:space="0"/>
            </w:tcBorders>
            <w:vAlign w:val="center"/>
          </w:tcPr>
          <w:p>
            <w:pPr>
              <w:widowControl/>
              <w:snapToGrid w:val="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★具有良好的商业信誉和健全的财务会计制度【提供书面承诺声明】</w:t>
            </w:r>
          </w:p>
        </w:tc>
        <w:tc>
          <w:tcPr>
            <w:tcW w:w="637"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700"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658" w:type="dxa"/>
            <w:vAlign w:val="center"/>
          </w:tcPr>
          <w:p>
            <w:pPr>
              <w:spacing w:before="240" w:line="360" w:lineRule="auto"/>
              <w:ind w:left="902" w:hanging="90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6368" w:type="dxa"/>
            <w:tcBorders>
              <w:left w:val="single" w:color="000000" w:sz="4" w:space="0"/>
            </w:tcBorders>
            <w:vAlign w:val="center"/>
          </w:tcPr>
          <w:p>
            <w:pPr>
              <w:widowControl/>
              <w:snapToGrid w:val="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★具有履行合同所必需的设备和专业技术能力【提供履行合同所必需的设备清单以及技术人员的名单材料】</w:t>
            </w:r>
          </w:p>
        </w:tc>
        <w:tc>
          <w:tcPr>
            <w:tcW w:w="637"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700"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658" w:type="dxa"/>
            <w:vAlign w:val="center"/>
          </w:tcPr>
          <w:p>
            <w:pPr>
              <w:spacing w:before="240" w:line="360" w:lineRule="auto"/>
              <w:ind w:left="902" w:hanging="90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9" w:type="dxa"/>
            <w:vAlign w:val="center"/>
          </w:tcPr>
          <w:p>
            <w:pPr>
              <w:spacing w:before="240" w:line="360" w:lineRule="auto"/>
              <w:ind w:left="902" w:hanging="902"/>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w:t>
            </w:r>
          </w:p>
        </w:tc>
        <w:tc>
          <w:tcPr>
            <w:tcW w:w="6368" w:type="dxa"/>
            <w:tcBorders>
              <w:left w:val="single" w:color="000000" w:sz="4" w:space="0"/>
            </w:tcBorders>
            <w:vAlign w:val="center"/>
          </w:tcPr>
          <w:p>
            <w:pPr>
              <w:widowControl/>
              <w:snapToGrid w:val="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★有依法缴纳税收和社会保障资金的良好记录【提供书面承诺声明】</w:t>
            </w:r>
          </w:p>
        </w:tc>
        <w:tc>
          <w:tcPr>
            <w:tcW w:w="637"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700"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658" w:type="dxa"/>
            <w:vAlign w:val="center"/>
          </w:tcPr>
          <w:p>
            <w:pPr>
              <w:spacing w:before="240" w:line="360" w:lineRule="auto"/>
              <w:ind w:left="902" w:hanging="90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w:t>
            </w:r>
          </w:p>
        </w:tc>
        <w:tc>
          <w:tcPr>
            <w:tcW w:w="6368" w:type="dxa"/>
            <w:tcBorders>
              <w:left w:val="single" w:color="000000" w:sz="4" w:space="0"/>
            </w:tcBorders>
            <w:vAlign w:val="center"/>
          </w:tcPr>
          <w:p>
            <w:pPr>
              <w:widowControl/>
              <w:snapToGrid w:val="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★参加政府采购活动前三年内，在经营活动中没有重大违法记录【提供书面声明】</w:t>
            </w:r>
          </w:p>
        </w:tc>
        <w:tc>
          <w:tcPr>
            <w:tcW w:w="637"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700"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658" w:type="dxa"/>
            <w:vAlign w:val="center"/>
          </w:tcPr>
          <w:p>
            <w:pPr>
              <w:spacing w:before="240" w:line="360" w:lineRule="auto"/>
              <w:ind w:left="902" w:hanging="90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09" w:type="dxa"/>
            <w:vAlign w:val="center"/>
          </w:tcPr>
          <w:p>
            <w:pPr>
              <w:spacing w:before="240" w:line="360" w:lineRule="auto"/>
              <w:ind w:left="902" w:hanging="902"/>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w:t>
            </w:r>
          </w:p>
        </w:tc>
        <w:tc>
          <w:tcPr>
            <w:tcW w:w="6368" w:type="dxa"/>
            <w:tcBorders>
              <w:left w:val="single" w:color="000000" w:sz="4" w:space="0"/>
            </w:tcBorders>
            <w:vAlign w:val="center"/>
          </w:tcPr>
          <w:p>
            <w:pPr>
              <w:widowControl/>
              <w:snapToGrid w:val="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kern w:val="0"/>
                <w:szCs w:val="21"/>
                <w:highlight w:val="none"/>
              </w:rPr>
              <w:t>供应商《公平竞争承诺书》原件</w:t>
            </w:r>
          </w:p>
        </w:tc>
        <w:tc>
          <w:tcPr>
            <w:tcW w:w="637"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700"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658" w:type="dxa"/>
            <w:vAlign w:val="center"/>
          </w:tcPr>
          <w:p>
            <w:pPr>
              <w:spacing w:before="240" w:line="360" w:lineRule="auto"/>
              <w:ind w:left="902" w:hanging="90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w:t>
            </w:r>
          </w:p>
        </w:tc>
        <w:tc>
          <w:tcPr>
            <w:tcW w:w="6368" w:type="dxa"/>
            <w:tcBorders>
              <w:left w:val="single" w:color="000000" w:sz="4" w:space="0"/>
            </w:tcBorders>
            <w:vAlign w:val="center"/>
          </w:tcPr>
          <w:p>
            <w:pPr>
              <w:widowControl/>
              <w:snapToGrid w:val="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宋体" w:cs="宋体"/>
                <w:color w:val="auto"/>
                <w:szCs w:val="20"/>
                <w:highlight w:val="none"/>
              </w:rPr>
              <w:t>【提供书面承诺证明材料】</w:t>
            </w:r>
          </w:p>
        </w:tc>
        <w:tc>
          <w:tcPr>
            <w:tcW w:w="637"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700"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658" w:type="dxa"/>
            <w:vAlign w:val="center"/>
          </w:tcPr>
          <w:p>
            <w:pPr>
              <w:spacing w:before="240" w:line="360" w:lineRule="auto"/>
              <w:ind w:left="902" w:hanging="90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w:t>
            </w:r>
          </w:p>
        </w:tc>
        <w:tc>
          <w:tcPr>
            <w:tcW w:w="6368" w:type="dxa"/>
            <w:tcBorders>
              <w:left w:val="single" w:color="000000" w:sz="4" w:space="0"/>
            </w:tcBorders>
            <w:vAlign w:val="center"/>
          </w:tcPr>
          <w:p>
            <w:pPr>
              <w:widowControl/>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供应商必须是国内民政部门登记的合法社会组织，持有有效期内的《民办非企业单位（法人）登记证书》。</w:t>
            </w:r>
          </w:p>
        </w:tc>
        <w:tc>
          <w:tcPr>
            <w:tcW w:w="637"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700"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658" w:type="dxa"/>
            <w:vAlign w:val="center"/>
          </w:tcPr>
          <w:p>
            <w:pPr>
              <w:spacing w:before="240" w:line="360" w:lineRule="auto"/>
              <w:ind w:left="902" w:hanging="90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w:t>
            </w:r>
          </w:p>
        </w:tc>
        <w:tc>
          <w:tcPr>
            <w:tcW w:w="6368" w:type="dxa"/>
            <w:tcBorders>
              <w:left w:val="single" w:color="000000" w:sz="4" w:space="0"/>
            </w:tcBorders>
            <w:vAlign w:val="center"/>
          </w:tcPr>
          <w:p>
            <w:pPr>
              <w:widowControl/>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供应商必须是未承接本市社区精神康复综合服务中心服务的第三方社会服务机构，与项目被评估方、被抽检方不存在利害关系。</w:t>
            </w:r>
            <w:r>
              <w:rPr>
                <w:rFonts w:hint="eastAsia" w:ascii="宋体" w:hAnsi="宋体" w:eastAsia="宋体" w:cs="宋体"/>
                <w:color w:val="auto"/>
                <w:kern w:val="0"/>
                <w:szCs w:val="21"/>
                <w:highlight w:val="none"/>
              </w:rPr>
              <w:t>【提供书面声明】</w:t>
            </w:r>
          </w:p>
        </w:tc>
        <w:tc>
          <w:tcPr>
            <w:tcW w:w="637"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700"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658" w:type="dxa"/>
            <w:vAlign w:val="center"/>
          </w:tcPr>
          <w:p>
            <w:pPr>
              <w:spacing w:before="240" w:line="360" w:lineRule="auto"/>
              <w:ind w:left="902" w:hanging="90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9" w:type="dxa"/>
            <w:vAlign w:val="center"/>
          </w:tcPr>
          <w:p>
            <w:pPr>
              <w:spacing w:before="240" w:line="360" w:lineRule="auto"/>
              <w:ind w:left="902" w:hanging="902"/>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w:t>
            </w:r>
          </w:p>
        </w:tc>
        <w:tc>
          <w:tcPr>
            <w:tcW w:w="6368" w:type="dxa"/>
            <w:tcBorders>
              <w:left w:val="single" w:color="000000" w:sz="4" w:space="0"/>
            </w:tcBorders>
            <w:vAlign w:val="center"/>
          </w:tcPr>
          <w:p>
            <w:pPr>
              <w:widowControl/>
              <w:snapToGrid w:val="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本项目不接受联合体投标。</w:t>
            </w:r>
            <w:r>
              <w:rPr>
                <w:rFonts w:hint="eastAsia" w:ascii="宋体" w:hAnsi="宋体" w:eastAsia="宋体" w:cs="宋体"/>
                <w:color w:val="auto"/>
                <w:szCs w:val="20"/>
                <w:highlight w:val="none"/>
              </w:rPr>
              <w:t>【提供书面承诺证明材料】</w:t>
            </w:r>
          </w:p>
        </w:tc>
        <w:tc>
          <w:tcPr>
            <w:tcW w:w="637"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700" w:type="dxa"/>
            <w:vAlign w:val="center"/>
          </w:tcPr>
          <w:p>
            <w:pPr>
              <w:spacing w:before="240" w:line="360" w:lineRule="auto"/>
              <w:ind w:left="902" w:hanging="902"/>
              <w:jc w:val="center"/>
              <w:rPr>
                <w:rFonts w:ascii="宋体" w:hAnsi="宋体" w:eastAsia="宋体" w:cs="Times New Roman"/>
                <w:color w:val="auto"/>
                <w:szCs w:val="21"/>
                <w:highlight w:val="none"/>
              </w:rPr>
            </w:pPr>
          </w:p>
        </w:tc>
        <w:tc>
          <w:tcPr>
            <w:tcW w:w="658" w:type="dxa"/>
            <w:vAlign w:val="center"/>
          </w:tcPr>
          <w:p>
            <w:pPr>
              <w:spacing w:before="240" w:line="360" w:lineRule="auto"/>
              <w:ind w:left="902" w:hanging="902"/>
              <w:jc w:val="center"/>
              <w:rPr>
                <w:rFonts w:ascii="宋体" w:hAnsi="宋体" w:eastAsia="宋体" w:cs="Times New Roman"/>
                <w:color w:val="auto"/>
                <w:szCs w:val="21"/>
                <w:highlight w:val="none"/>
              </w:rPr>
            </w:pPr>
          </w:p>
        </w:tc>
      </w:tr>
    </w:tbl>
    <w:p>
      <w:pPr>
        <w:spacing w:line="360"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说明：1、供应商必须对应公开遴选文件的 “★”号条款逐条应答并按要求填写下表。</w:t>
      </w:r>
    </w:p>
    <w:p>
      <w:pPr>
        <w:spacing w:line="360" w:lineRule="auto"/>
        <w:rPr>
          <w:rFonts w:ascii="宋体" w:hAnsi="宋体" w:eastAsia="宋体" w:cs="Times New Roman"/>
          <w:bCs/>
          <w:color w:val="auto"/>
          <w:szCs w:val="21"/>
          <w:highlight w:val="none"/>
        </w:rPr>
      </w:pPr>
      <w:r>
        <w:rPr>
          <w:rFonts w:hint="eastAsia" w:ascii="宋体" w:hAnsi="宋体" w:eastAsia="宋体" w:cs="Times New Roman"/>
          <w:b/>
          <w:bCs/>
          <w:color w:val="auto"/>
          <w:szCs w:val="21"/>
          <w:highlight w:val="none"/>
        </w:rPr>
        <w:t>2、对完全响应的条目在下表相应列中标注“○”。对有偏离的条目在下表相应列中标注“×”，并简述偏离内容。</w:t>
      </w:r>
    </w:p>
    <w:p>
      <w:pPr>
        <w:spacing w:line="360" w:lineRule="auto"/>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供应商全称（加盖公章）:</w:t>
      </w:r>
    </w:p>
    <w:p>
      <w:pPr>
        <w:spacing w:line="360" w:lineRule="auto"/>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法定代表人或其授权代表(</w:t>
      </w:r>
      <w:r>
        <w:rPr>
          <w:rFonts w:hint="eastAsia" w:ascii="宋体" w:hAnsi="宋体" w:eastAsia="宋体" w:cs="Times New Roman"/>
          <w:color w:val="auto"/>
          <w:szCs w:val="21"/>
          <w:highlight w:val="none"/>
        </w:rPr>
        <w:t>签字或签章</w:t>
      </w:r>
      <w:r>
        <w:rPr>
          <w:rFonts w:hint="eastAsia" w:ascii="宋体" w:hAnsi="宋体" w:eastAsia="宋体" w:cs="Times New Roman"/>
          <w:bCs/>
          <w:color w:val="auto"/>
          <w:szCs w:val="21"/>
          <w:highlight w:val="none"/>
        </w:rPr>
        <w:t>)：</w:t>
      </w:r>
    </w:p>
    <w:p>
      <w:pPr>
        <w:spacing w:line="360" w:lineRule="auto"/>
        <w:rPr>
          <w:rFonts w:ascii="Times New Roman" w:hAnsi="宋体" w:eastAsia="宋体" w:cs="Times New Roman"/>
          <w:bCs/>
          <w:color w:val="auto"/>
          <w:szCs w:val="21"/>
          <w:highlight w:val="none"/>
        </w:rPr>
      </w:pPr>
      <w:r>
        <w:rPr>
          <w:rFonts w:hint="eastAsia" w:ascii="Times New Roman" w:hAnsi="宋体" w:eastAsia="宋体" w:cs="Times New Roman"/>
          <w:bCs/>
          <w:color w:val="auto"/>
          <w:szCs w:val="21"/>
          <w:highlight w:val="none"/>
        </w:rPr>
        <w:t>日    期：     年   月   日</w:t>
      </w:r>
      <w:bookmarkEnd w:id="260"/>
      <w:bookmarkEnd w:id="319"/>
      <w:bookmarkEnd w:id="320"/>
      <w:bookmarkEnd w:id="321"/>
      <w:bookmarkEnd w:id="322"/>
      <w:bookmarkEnd w:id="323"/>
      <w:bookmarkEnd w:id="325"/>
      <w:bookmarkEnd w:id="326"/>
      <w:bookmarkEnd w:id="327"/>
      <w:bookmarkEnd w:id="328"/>
      <w:bookmarkEnd w:id="329"/>
      <w:bookmarkEnd w:id="330"/>
      <w:bookmarkEnd w:id="331"/>
      <w:bookmarkEnd w:id="332"/>
      <w:bookmarkEnd w:id="333"/>
    </w:p>
    <w:p>
      <w:pPr>
        <w:spacing w:line="360" w:lineRule="auto"/>
        <w:rPr>
          <w:rFonts w:ascii="Times New Roman" w:hAnsi="宋体" w:eastAsia="宋体" w:cs="Times New Roman"/>
          <w:bCs/>
          <w:color w:val="auto"/>
          <w:szCs w:val="21"/>
          <w:highlight w:val="none"/>
        </w:rPr>
      </w:pPr>
    </w:p>
    <w:p>
      <w:pPr>
        <w:spacing w:line="360" w:lineRule="auto"/>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4"/>
          <w:szCs w:val="24"/>
          <w:highlight w:val="none"/>
        </w:rPr>
        <w:br w:type="page"/>
      </w:r>
      <w:r>
        <w:rPr>
          <w:rFonts w:hint="eastAsia" w:ascii="宋体" w:hAnsi="宋体" w:eastAsia="宋体" w:cs="Times New Roman"/>
          <w:b/>
          <w:bCs/>
          <w:color w:val="auto"/>
          <w:kern w:val="0"/>
          <w:sz w:val="28"/>
          <w:szCs w:val="28"/>
          <w:highlight w:val="none"/>
        </w:rPr>
        <w:t>附件20  采购人配合的条件及伴随服务</w:t>
      </w:r>
    </w:p>
    <w:p>
      <w:pPr>
        <w:spacing w:line="360" w:lineRule="auto"/>
        <w:rPr>
          <w:rFonts w:ascii="黑体" w:hAnsi="宋体" w:eastAsia="黑体" w:cs="Times New Roman"/>
          <w:b/>
          <w:bCs/>
          <w:color w:val="auto"/>
          <w:kern w:val="0"/>
          <w:szCs w:val="21"/>
          <w:highlight w:val="none"/>
        </w:rPr>
      </w:pPr>
    </w:p>
    <w:p>
      <w:pPr>
        <w:spacing w:line="360" w:lineRule="auto"/>
        <w:ind w:firstLine="403"/>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为配合本服务计划进度时间表所进行的各阶段工作，</w:t>
      </w:r>
      <w:r>
        <w:rPr>
          <w:rFonts w:hint="eastAsia" w:ascii="宋体" w:hAnsi="宋体" w:eastAsia="宋体" w:cs="宋体"/>
          <w:color w:val="auto"/>
          <w:kern w:val="0"/>
          <w:szCs w:val="21"/>
          <w:highlight w:val="none"/>
        </w:rPr>
        <w:t>供应商</w:t>
      </w:r>
      <w:r>
        <w:rPr>
          <w:rFonts w:hint="eastAsia" w:ascii="Times New Roman" w:hAnsi="Times New Roman" w:eastAsia="宋体" w:cs="Times New Roman"/>
          <w:color w:val="auto"/>
          <w:szCs w:val="21"/>
          <w:highlight w:val="none"/>
        </w:rPr>
        <w:t>必须列明需要采购人配合的工作内容和具体要求。</w:t>
      </w:r>
    </w:p>
    <w:p>
      <w:pPr>
        <w:spacing w:line="360" w:lineRule="auto"/>
        <w:rPr>
          <w:rFonts w:ascii="黑体" w:hAnsi="宋体" w:eastAsia="黑体" w:cs="Times New Roman"/>
          <w:b/>
          <w:bCs/>
          <w:color w:val="auto"/>
          <w:kern w:val="0"/>
          <w:szCs w:val="21"/>
          <w:highlight w:val="none"/>
        </w:rPr>
      </w:pPr>
    </w:p>
    <w:p>
      <w:pPr>
        <w:spacing w:line="360" w:lineRule="auto"/>
        <w:rPr>
          <w:rFonts w:ascii="黑体" w:hAnsi="宋体" w:eastAsia="黑体" w:cs="Times New Roman"/>
          <w:b/>
          <w:bCs/>
          <w:color w:val="auto"/>
          <w:kern w:val="0"/>
          <w:szCs w:val="21"/>
          <w:highlight w:val="none"/>
        </w:rPr>
      </w:pPr>
    </w:p>
    <w:p>
      <w:pPr>
        <w:spacing w:line="360" w:lineRule="auto"/>
        <w:rPr>
          <w:rFonts w:ascii="黑体" w:hAnsi="宋体" w:eastAsia="黑体" w:cs="Times New Roman"/>
          <w:b/>
          <w:bCs/>
          <w:color w:val="auto"/>
          <w:kern w:val="0"/>
          <w:szCs w:val="21"/>
          <w:highlight w:val="none"/>
        </w:rPr>
      </w:pPr>
    </w:p>
    <w:p>
      <w:pPr>
        <w:spacing w:line="360" w:lineRule="auto"/>
        <w:rPr>
          <w:rFonts w:ascii="黑体" w:hAnsi="宋体" w:eastAsia="黑体" w:cs="Times New Roman"/>
          <w:b/>
          <w:bCs/>
          <w:color w:val="auto"/>
          <w:kern w:val="0"/>
          <w:szCs w:val="21"/>
          <w:highlight w:val="none"/>
        </w:rPr>
      </w:pPr>
    </w:p>
    <w:p>
      <w:pPr>
        <w:spacing w:line="360" w:lineRule="auto"/>
        <w:rPr>
          <w:rFonts w:ascii="黑体" w:hAnsi="宋体" w:eastAsia="黑体" w:cs="Times New Roman"/>
          <w:b/>
          <w:bCs/>
          <w:color w:val="auto"/>
          <w:kern w:val="0"/>
          <w:szCs w:val="21"/>
          <w:highlight w:val="none"/>
        </w:rPr>
      </w:pPr>
    </w:p>
    <w:p>
      <w:pPr>
        <w:spacing w:line="360" w:lineRule="auto"/>
        <w:rPr>
          <w:rFonts w:ascii="黑体" w:hAnsi="宋体" w:eastAsia="黑体" w:cs="Times New Roman"/>
          <w:b/>
          <w:bCs/>
          <w:color w:val="auto"/>
          <w:kern w:val="0"/>
          <w:szCs w:val="21"/>
          <w:highlight w:val="none"/>
        </w:rPr>
      </w:pPr>
    </w:p>
    <w:p>
      <w:pPr>
        <w:spacing w:line="360" w:lineRule="auto"/>
        <w:rPr>
          <w:rFonts w:ascii="黑体" w:hAnsi="宋体" w:eastAsia="黑体" w:cs="Times New Roman"/>
          <w:b/>
          <w:bCs/>
          <w:color w:val="auto"/>
          <w:kern w:val="0"/>
          <w:szCs w:val="21"/>
          <w:highlight w:val="none"/>
        </w:rPr>
      </w:pPr>
    </w:p>
    <w:p>
      <w:pPr>
        <w:spacing w:line="360" w:lineRule="auto"/>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rPr>
        <w:t>供应商</w:t>
      </w:r>
      <w:r>
        <w:rPr>
          <w:rFonts w:hint="eastAsia" w:ascii="宋体" w:hAnsi="宋体" w:eastAsia="宋体" w:cs="Times New Roman"/>
          <w:bCs/>
          <w:color w:val="auto"/>
          <w:szCs w:val="21"/>
          <w:highlight w:val="none"/>
        </w:rPr>
        <w:t>全称（加盖公章）:</w:t>
      </w:r>
    </w:p>
    <w:p>
      <w:pPr>
        <w:spacing w:line="360" w:lineRule="auto"/>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法定代表或其授权代表(</w:t>
      </w:r>
      <w:r>
        <w:rPr>
          <w:rFonts w:hint="eastAsia" w:ascii="宋体" w:hAnsi="宋体" w:eastAsia="宋体" w:cs="Times New Roman"/>
          <w:color w:val="auto"/>
          <w:szCs w:val="21"/>
          <w:highlight w:val="none"/>
        </w:rPr>
        <w:t>签字或签章</w:t>
      </w:r>
      <w:r>
        <w:rPr>
          <w:rFonts w:hint="eastAsia" w:ascii="宋体" w:hAnsi="宋体" w:eastAsia="宋体" w:cs="Times New Roman"/>
          <w:bCs/>
          <w:color w:val="auto"/>
          <w:szCs w:val="21"/>
          <w:highlight w:val="none"/>
        </w:rPr>
        <w:t>)：</w:t>
      </w:r>
    </w:p>
    <w:p>
      <w:pPr>
        <w:spacing w:line="360" w:lineRule="auto"/>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日    期： 2021年  月  日</w:t>
      </w:r>
    </w:p>
    <w:p>
      <w:pPr>
        <w:spacing w:line="360" w:lineRule="auto"/>
        <w:rPr>
          <w:rFonts w:ascii="Times New Roman" w:hAnsi="宋体" w:eastAsia="宋体" w:cs="Times New Roman"/>
          <w:bCs/>
          <w:color w:val="auto"/>
          <w:szCs w:val="21"/>
          <w:highlight w:val="none"/>
        </w:rPr>
      </w:pPr>
    </w:p>
    <w:p>
      <w:pPr>
        <w:spacing w:line="360" w:lineRule="auto"/>
        <w:rPr>
          <w:rFonts w:ascii="Times New Roman" w:hAnsi="宋体" w:eastAsia="宋体" w:cs="Times New Roman"/>
          <w:bCs/>
          <w:color w:val="auto"/>
          <w:szCs w:val="21"/>
          <w:highlight w:val="none"/>
        </w:rPr>
      </w:pPr>
    </w:p>
    <w:p>
      <w:pPr>
        <w:spacing w:line="360" w:lineRule="auto"/>
        <w:rPr>
          <w:rFonts w:ascii="Times New Roman" w:hAnsi="宋体" w:eastAsia="宋体" w:cs="Times New Roman"/>
          <w:bCs/>
          <w:color w:val="auto"/>
          <w:szCs w:val="21"/>
          <w:highlight w:val="none"/>
        </w:rPr>
      </w:pPr>
    </w:p>
    <w:p>
      <w:pPr>
        <w:spacing w:line="360" w:lineRule="auto"/>
        <w:rPr>
          <w:rFonts w:ascii="Times New Roman" w:hAnsi="宋体" w:eastAsia="宋体" w:cs="Times New Roman"/>
          <w:bCs/>
          <w:color w:val="auto"/>
          <w:szCs w:val="21"/>
          <w:highlight w:val="none"/>
        </w:rPr>
      </w:pPr>
    </w:p>
    <w:p>
      <w:pPr>
        <w:spacing w:line="360" w:lineRule="auto"/>
        <w:rPr>
          <w:rFonts w:ascii="Times New Roman" w:hAnsi="宋体" w:eastAsia="宋体" w:cs="Times New Roman"/>
          <w:bCs/>
          <w:color w:val="auto"/>
          <w:szCs w:val="21"/>
          <w:highlight w:val="none"/>
        </w:rPr>
      </w:pPr>
    </w:p>
    <w:p>
      <w:pPr>
        <w:spacing w:line="360" w:lineRule="auto"/>
        <w:rPr>
          <w:rFonts w:ascii="Times New Roman" w:hAnsi="宋体" w:eastAsia="宋体" w:cs="Times New Roman"/>
          <w:bCs/>
          <w:color w:val="auto"/>
          <w:szCs w:val="21"/>
          <w:highlight w:val="none"/>
        </w:rPr>
      </w:pPr>
    </w:p>
    <w:p>
      <w:pPr>
        <w:spacing w:line="360" w:lineRule="auto"/>
        <w:rPr>
          <w:rFonts w:ascii="Times New Roman" w:hAnsi="宋体" w:eastAsia="宋体" w:cs="Times New Roman"/>
          <w:bCs/>
          <w:color w:val="auto"/>
          <w:szCs w:val="21"/>
          <w:highlight w:val="none"/>
        </w:rPr>
      </w:pPr>
    </w:p>
    <w:p>
      <w:pPr>
        <w:spacing w:line="360" w:lineRule="auto"/>
        <w:rPr>
          <w:rFonts w:ascii="Times New Roman" w:hAnsi="宋体" w:eastAsia="宋体" w:cs="Times New Roman"/>
          <w:bCs/>
          <w:color w:val="auto"/>
          <w:szCs w:val="21"/>
          <w:highlight w:val="none"/>
        </w:rPr>
      </w:pPr>
    </w:p>
    <w:p>
      <w:pPr>
        <w:spacing w:line="360" w:lineRule="auto"/>
        <w:rPr>
          <w:rFonts w:ascii="Times New Roman" w:hAnsi="宋体" w:eastAsia="宋体" w:cs="Times New Roman"/>
          <w:bCs/>
          <w:color w:val="auto"/>
          <w:szCs w:val="21"/>
          <w:highlight w:val="none"/>
        </w:rPr>
      </w:pPr>
    </w:p>
    <w:p>
      <w:pPr>
        <w:spacing w:line="360" w:lineRule="auto"/>
        <w:rPr>
          <w:rFonts w:ascii="Times New Roman" w:hAnsi="宋体" w:eastAsia="宋体" w:cs="Times New Roman"/>
          <w:bCs/>
          <w:color w:val="auto"/>
          <w:szCs w:val="21"/>
          <w:highlight w:val="none"/>
        </w:rPr>
      </w:pPr>
    </w:p>
    <w:p>
      <w:pPr>
        <w:spacing w:line="360" w:lineRule="auto"/>
        <w:rPr>
          <w:rFonts w:ascii="Times New Roman" w:hAnsi="宋体" w:eastAsia="宋体" w:cs="Times New Roman"/>
          <w:bCs/>
          <w:color w:val="auto"/>
          <w:szCs w:val="21"/>
          <w:highlight w:val="none"/>
        </w:rPr>
      </w:pPr>
    </w:p>
    <w:p>
      <w:pPr>
        <w:spacing w:line="360" w:lineRule="auto"/>
        <w:rPr>
          <w:rFonts w:ascii="Times New Roman" w:hAnsi="宋体" w:eastAsia="宋体" w:cs="Times New Roman"/>
          <w:bCs/>
          <w:color w:val="auto"/>
          <w:szCs w:val="21"/>
          <w:highlight w:val="none"/>
        </w:rPr>
      </w:pPr>
    </w:p>
    <w:p>
      <w:pPr>
        <w:spacing w:line="360" w:lineRule="auto"/>
        <w:rPr>
          <w:rFonts w:ascii="Times New Roman" w:hAnsi="宋体" w:eastAsia="宋体" w:cs="Times New Roman"/>
          <w:bCs/>
          <w:color w:val="auto"/>
          <w:szCs w:val="21"/>
          <w:highlight w:val="none"/>
        </w:rPr>
      </w:pPr>
    </w:p>
    <w:p>
      <w:pPr>
        <w:spacing w:line="360" w:lineRule="auto"/>
        <w:rPr>
          <w:rFonts w:ascii="Times New Roman" w:hAnsi="宋体" w:eastAsia="宋体" w:cs="Times New Roman"/>
          <w:bCs/>
          <w:color w:val="auto"/>
          <w:szCs w:val="21"/>
          <w:highlight w:val="none"/>
        </w:rPr>
      </w:pPr>
    </w:p>
    <w:p>
      <w:pPr>
        <w:spacing w:line="360" w:lineRule="auto"/>
        <w:rPr>
          <w:rFonts w:ascii="Times New Roman" w:hAnsi="宋体" w:eastAsia="宋体" w:cs="Times New Roman"/>
          <w:bCs/>
          <w:color w:val="auto"/>
          <w:szCs w:val="21"/>
          <w:highlight w:val="none"/>
        </w:rPr>
      </w:pPr>
    </w:p>
    <w:p>
      <w:pPr>
        <w:spacing w:line="360" w:lineRule="auto"/>
        <w:rPr>
          <w:rFonts w:ascii="Times New Roman" w:hAnsi="宋体" w:eastAsia="宋体" w:cs="Times New Roman"/>
          <w:bCs/>
          <w:color w:val="auto"/>
          <w:szCs w:val="21"/>
          <w:highlight w:val="none"/>
        </w:rPr>
      </w:pPr>
    </w:p>
    <w:p>
      <w:pPr>
        <w:widowControl/>
        <w:jc w:val="left"/>
        <w:rPr>
          <w:rFonts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br w:type="page"/>
      </w:r>
      <w:r>
        <w:rPr>
          <w:rFonts w:hint="eastAsia" w:ascii="宋体" w:hAnsi="宋体" w:eastAsia="宋体" w:cs="Times New Roman"/>
          <w:b/>
          <w:bCs/>
          <w:color w:val="auto"/>
          <w:kern w:val="0"/>
          <w:sz w:val="28"/>
          <w:szCs w:val="28"/>
          <w:highlight w:val="none"/>
        </w:rPr>
        <w:t>附件21  供应商认为有必要说明的其他文件</w:t>
      </w:r>
    </w:p>
    <w:p>
      <w:pPr>
        <w:widowControl/>
        <w:snapToGrid w:val="0"/>
        <w:spacing w:line="360" w:lineRule="auto"/>
        <w:rPr>
          <w:rFonts w:ascii="宋体" w:hAnsi="Times New Roman" w:eastAsia="宋体" w:cs="Times New Roman"/>
          <w:color w:val="auto"/>
          <w:szCs w:val="21"/>
          <w:highlight w:val="none"/>
        </w:rPr>
      </w:pPr>
    </w:p>
    <w:p>
      <w:pPr>
        <w:spacing w:line="360" w:lineRule="auto"/>
        <w:rPr>
          <w:rFonts w:ascii="Times New Roman" w:hAnsi="宋体" w:eastAsia="宋体" w:cs="Times New Roman"/>
          <w:bCs/>
          <w:color w:val="auto"/>
          <w:szCs w:val="21"/>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文鼎CS书宋二">
    <w:altName w:val="宋体"/>
    <w:panose1 w:val="00000000000000000000"/>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方正隶二简体">
    <w:altName w:val="黑体"/>
    <w:panose1 w:val="00000000000000000000"/>
    <w:charset w:val="86"/>
    <w:family w:val="script"/>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6"/>
                          </w:pPr>
                          <w:r>
                            <w:fldChar w:fldCharType="begin"/>
                          </w:r>
                          <w:r>
                            <w:instrText xml:space="preserve"> PAGE  \* MERGEFORMAT </w:instrText>
                          </w:r>
                          <w:r>
                            <w:fldChar w:fldCharType="separate"/>
                          </w:r>
                          <w:r>
                            <w:t>35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nUbwUCAAAGBAAADgAAAGRycy9lMm9Eb2MueG1srVPNjtMwEL4j8Q6W&#10;7zRpkVAVNV0tWxUhLT/SwgM4jtNYxB5r7DYpDwBvwIkLd56rz8HYabrLctkDF2s8Hn/zfZ/Hq6vB&#10;dOyg0GuwJZ/Pcs6UlVBruyv550/bF0vOfBC2Fh1YVfKj8vxq/fzZqneFWkALXa2QEYj1Re9K3obg&#10;iizzslVG+Bk4ZemwATQi0BZ3WY2iJ3TTZYs8f5X1gLVDkMp7ym7GQ35GxKcAQtNoqTYg90bZMKKi&#10;6kQgSb7VzvN1Yts0SoYPTeNVYF3JSWlIKzWhuIprtl6JYofCtVqeKYinUHikyQhtqekFaiOCYHvU&#10;/0AZLRE8NGEmwWSjkOQIqZjnj7y5a4VTSQtZ7d3FdP//YOX7w0dkuqZJeMmZFYZe/PTj++nn79Ov&#10;b4xyZFDvfEF1d44qw/AaBipOYr27BfnFMws3rbA7dY0IfatETQTn8Wb24OqI4yNI1b+DmhqJfYAE&#10;NDRoonvkByN0epzj5XHUEJiMLZeL5TKnI0ln0yb2EMV03aEPbxQYFoOSI71+gheHWx/G0qkkdrOw&#10;1V1HeVF09q8EYcZMoh8Zj9zDUA1UHTVVUB9JCMI4UPSdKGgBv3LW0zCV3NLf4ax7a8mKOHdTgFNQ&#10;TYGwki6WPHA2hjdhnM+9Q71rCXcy+5rs2uok5J7DmSWNR7LiPMpx/h7uU9X99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E+dRvBQIAAAYEAAAOAAAAAAAAAAEAIAAAAB4BAABkcnMvZTJv&#10;RG9jLnhtbFBLBQYAAAAABgAGAFkBAACVBQ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right" w:y="1"/>
      <w:rPr>
        <w:rStyle w:val="93"/>
      </w:rPr>
    </w:pPr>
    <w:r>
      <w:fldChar w:fldCharType="begin"/>
    </w:r>
    <w:r>
      <w:rPr>
        <w:rStyle w:val="93"/>
      </w:rPr>
      <w:instrText xml:space="preserve">PAGE  </w:instrText>
    </w:r>
    <w:r>
      <w:fldChar w:fldCharType="end"/>
    </w:r>
  </w:p>
  <w:p>
    <w:pPr>
      <w:pStyle w:val="5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360" w:firstLine="270" w:firstLineChars="15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14935" cy="15240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wps:spPr>
                    <wps:txbx>
                      <w:txbxContent>
                        <w:p>
                          <w:pPr>
                            <w:pStyle w:val="56"/>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9.05pt;mso-position-horizontal:right;mso-position-horizontal-relative:margin;mso-wrap-style:none;z-index:251661312;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NJbih8LAgAABAQAAA4AAABkcnMvZTJvRG9jLnhtbK1TS27bMBDdF+gd&#10;CO5r2W5SNILlII3hokD6AdIegKYoi6jIIYa0JfcA7Q26yqb7nsvnyJCS3DTdZNENMSSHb957M1xc&#10;dqZhe4Vegy34bDLlTFkJpbbbgn/5vH7xmjMfhC1FA1YV/KA8v1w+f7ZoXa7mUENTKmQEYn3euoLX&#10;Ibg8y7yslRF+Ak5ZuqwAjQi0xW1WomgJ3TTZfDp9lbWApUOQyns6XfWXfEDEpwBCVWmpViB3RtnQ&#10;o6JqRCBJvtbO82ViW1VKho9V5VVgTcFJaUgrFaF4E9dsuRD5FoWrtRwoiKdQeKTJCG2p6AlqJYJg&#10;O9T/QBktETxUYSLBZL2Q5AipmE0feXNbC6eSFrLau5Pp/v/Byg/7T8h0SZMw58wKQx0//vxxvPt9&#10;/PWd0RkZ1DqfU96to8zQvYGOkpNY725AfvXMwnUt7FZdIUJbK1ESwVl8mT142uP4CLJp30NJhcQu&#10;QALqKjTRPfKDETo153BqjuoCk7Hk7Ozi5Tlnkq5m5/OzaWpeJvLxsUMf3iowLAYFR+p9Ahf7Gx8i&#10;GZGPKbGWhbVumtT/xv51QInxJJGPfHvmodt0gxkbKA8kA6EfJ/pMFNSA3zhraZQKbunncNa8s2RE&#10;nLoxwDHYjIGwkh4WPHDWh9ehn86dQ72tCXe0+orMWuskJLracxhY0nAkfcMgx+l7uE9Zfz7v8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ha1N0AAAAAMBAAAPAAAAAAAAAAEAIAAAACIAAABkcnMv&#10;ZG93bnJldi54bWxQSwECFAAUAAAACACHTuJA0luKHwsCAAAEBAAADgAAAAAAAAABACAAAAAfAQAA&#10;ZHJzL2Uyb0RvYy54bWxQSwUGAAAAAAYABgBZAQAAnAUAAAAA&#10;">
              <v:fill on="f" focussize="0,0"/>
              <v:stroke on="f"/>
              <v:imagedata o:title=""/>
              <o:lock v:ext="edit" aspectratio="f"/>
              <v:textbox inset="0mm,0mm,0mm,0mm" style="mso-fit-shape-to-text:t;">
                <w:txbxContent>
                  <w:p>
                    <w:pPr>
                      <w:pStyle w:val="5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14935" cy="152400"/>
              <wp:effectExtent l="0" t="0" r="127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wps:spPr>
                    <wps:txbx>
                      <w:txbxContent>
                        <w:p>
                          <w:pPr>
                            <w:pStyle w:val="56"/>
                            <w:rPr>
                              <w:rStyle w:val="93"/>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9.05pt;mso-position-horizontal:right;mso-position-horizontal-relative:margin;mso-wrap-style:none;z-index:251662336;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OzwyKcKAgAABAQAAA4AAABkcnMvZTJvRG9jLnhtbK1TS27bMBDdF+gd&#10;CO5r2W5SNILlII3hokD6AdIegKYoi6jIIYa0JfcA7Q26yqb7nsvnyJCS3DTdZNENMSSHb957M1xc&#10;dqZhe4Vegy34bDLlTFkJpbbbgn/5vH7xmjMfhC1FA1YV/KA8v1w+f7ZoXa7mUENTKmQEYn3euoLX&#10;Ibg8y7yslRF+Ak5ZuqwAjQi0xW1WomgJ3TTZfDp9lbWApUOQyns6XfWXfEDEpwBCVWmpViB3RtnQ&#10;o6JqRCBJvtbO82ViW1VKho9V5VVgTcFJaUgrFaF4E9dsuRD5FoWrtRwoiKdQeKTJCG2p6AlqJYJg&#10;O9T/QBktETxUYSLBZL2Q5AipmE0feXNbC6eSFrLau5Pp/v/Byg/7T8h0SZMw48wKQx0//vxxvPt9&#10;/PWd0RkZ1DqfU96to8zQvYGOkpNY725AfvXMwnUt7FZdIUJbK1ESwfQye/C0x/ERZNO+h5IKiV2A&#10;BNRVaKJ75AcjdGrO4dQc1QUmY8nZ2cXLc84kXc3O52fT1LxM5ONjhz68VWBYDAqO1PsELvY3PpAM&#10;Sh1TYi0La900qf+N/euAEuNJIh/59sxDt+kGMzZQHkgGQj9O9JkoqAG/cdbSKBXc0s/hrHlnyYg4&#10;dWOAY7AZA2ElPSx44KwPr0M/nTuHelsT7mj1FZm11klIdLXnMLCk4Uj6hkGO0/dwn7L+fN7l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GFrU3QAAAAAwEAAA8AAAAAAAAAAQAgAAAAIgAAAGRycy9k&#10;b3ducmV2LnhtbFBLAQIUABQAAAAIAIdO4kDs8MinCgIAAAQEAAAOAAAAAAAAAAEAIAAAAB8BAABk&#10;cnMvZTJvRG9jLnhtbFBLBQYAAAAABgAGAFkBAACbBQAAAAA=&#10;">
              <v:fill on="f" focussize="0,0"/>
              <v:stroke on="f"/>
              <v:imagedata o:title=""/>
              <o:lock v:ext="edit" aspectratio="f"/>
              <v:textbox inset="0mm,0mm,0mm,0mm" style="mso-fit-shape-to-text:t;">
                <w:txbxContent>
                  <w:p>
                    <w:pPr>
                      <w:pStyle w:val="56"/>
                      <w:rPr>
                        <w:rStyle w:val="93"/>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6"/>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yAVbwQCAAAGBAAADgAAAGRycy9lMm9Eb2MueG1srVNLbtswEN0X6B0I&#10;7mvJXhSGYDlIY7gokH6AtAegKMoiKnKIIW3JPUB7g6666b7n8jkypCwnTTdZdEMMh8M37z0OV1eD&#10;6dhBoddgSz6f5ZwpK6HWdlfyL5+3r5ac+SBsLTqwquRH5fnV+uWLVe8KtYAWulohIxDri96VvA3B&#10;FVnmZauM8DNwytJhA2hEoC3ushpFT+imyxZ5/jrrAWuHIJX3lN2Mh/yMiM8BhKbRUm1A7o2yYURF&#10;1YlAknyrnefrxLZplAwfm8arwLqSk9KQVmpCcRXXbL0SxQ6Fa7U8UxDPofBEkxHaUtML1EYEwfao&#10;/4EyWiJ4aMJMgslGIckRUjHPn3hz1wqnkhay2ruL6f7/wcoPh0/IdE2TQJZYYejFTz9/nH79Of3+&#10;zihHBvXOF1R356gyDG9goOIk1rtbkF89s3DTCrtT14jQt0rURHAeb2aPro44PoJU/XuoqZHYB0hA&#10;Q4Mmukd+MEInJsfL46ghMBlbLhfLZU5Hks6mTewhium6Qx/eKjAsBiVHev0ELw63PoylU0nsZmGr&#10;u47youjsXwnCjJlEPzIeuYehGqg6aqqgPpIQhHGg6DtR0AJ+46ynYSq5pb/DWffOkhXEOUwBTkE1&#10;BcJKuljywNkY3oRxPvcO9a4l3Mnsa7Jrq5OQBw5nljQeyYrzKMf5e7xPVQ/fd30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BsgFW8EAgAABgQAAA4AAAAAAAAAAQAgAAAAHgEAAGRycy9lMm9E&#10;b2MueG1sUEsFBgAAAAAGAAYAWQEAAJQFA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rPr>
      <w:t>广州市司法局广州地铁普法宣传公益广告发布项目</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1" w:firstLine="90" w:firstLineChars="50"/>
      <w:jc w:val="center"/>
      <w:rPr>
        <w:szCs w:val="18"/>
      </w:rPr>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14935" cy="152400"/>
              <wp:effectExtent l="0" t="0" r="127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wps:spPr>
                    <wps:txbx>
                      <w:txbxContent>
                        <w:p>
                          <w:pPr>
                            <w:pStyle w:val="56"/>
                            <w:rPr>
                              <w:rStyle w:val="93"/>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9.05pt;mso-position-horizontal:right;mso-position-horizontal-relative:margin;mso-wrap-style:none;z-index:251666432;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PxUENkKAgAAAgQAAA4AAABkcnMvZTJvRG9jLnhtbK1TzY7TMBC+I/EO&#10;lu80adlFNGq6WrYqQlp+pIUHcB2nsYg91thtUh4A3oATF+48V5+DsdOUZbnsgYs1tsfffN8348VV&#10;b1q2V+g12JJPJzlnykqotN2W/NPH9bOXnPkgbCVasKrkB+X51fLpk0XnCjWDBtpKISMQ64vOlbwJ&#10;wRVZ5mWjjPATcMrSZQ1oRKAtbrMKRUfops1mef4i6wArhyCV93S6Gi75CREfAwh1raVagdwZZcOA&#10;iqoVgST5RjvPl4ltXSsZ3te1V4G1JSelIa1UhOJNXLPlQhRbFK7R8kRBPIbCA01GaEtFz1ArEQTb&#10;of4HymiJ4KEOEwkmG4QkR0jFNH/gzV0jnEpayGrvzqb7/wcr3+0/INNVyeecWWGo4cfv344/fh1/&#10;fmXzaE/nfEFZd47yQv8KehqaJNW7W5CfPbNw0wi7VdeI0DVKVERvGl9m954OOD6CbLq3UFEdsQuQ&#10;gPoaTfSO3GCETq05nFuj+sBkLDm9mD+/5EzS1fRydpGn1mWiGB879OG1AsNiUHKkzidwsb/1IZIR&#10;xZgSa1lY67ZN3W/tXweUGE8S+ch3YB76TX8yYwPVgWQgDMNEX4mCBvALZx0NUskt/RvO2jeWjIgz&#10;NwY4BpsxEFbSw5IHzobwJgyzuXOotw3hjlZfk1lrnYREVwcOJ5Y0Gknfa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GFrU3QAAAAAwEAAA8AAAAAAAAAAQAgAAAAIgAAAGRycy9k&#10;b3ducmV2LnhtbFBLAQIUABQAAAAIAIdO4kD8VBDZCgIAAAIEAAAOAAAAAAAAAAEAIAAAAB8BAABk&#10;cnMvZTJvRG9jLnhtbFBLBQYAAAAABgAGAFkBAACbBQAAAAA=&#10;">
              <v:fill on="f" focussize="0,0"/>
              <v:stroke on="f"/>
              <v:imagedata o:title=""/>
              <o:lock v:ext="edit" aspectratio="f"/>
              <v:textbox inset="0mm,0mm,0mm,0mm" style="mso-fit-shape-to-text:t;">
                <w:txbxContent>
                  <w:p>
                    <w:pPr>
                      <w:pStyle w:val="56"/>
                      <w:rPr>
                        <w:rStyle w:val="93"/>
                      </w:rPr>
                    </w:pPr>
                  </w:p>
                </w:txbxContent>
              </v:textbox>
            </v:shape>
          </w:pict>
        </mc:Fallback>
      </mc:AlternateContent>
    </w:r>
    <w:r>
      <w:fldChar w:fldCharType="begin"/>
    </w:r>
    <w:r>
      <w:rPr>
        <w:rStyle w:val="93"/>
      </w:rPr>
      <w:instrText xml:space="preserve"> PAGE </w:instrText>
    </w:r>
    <w:r>
      <w:fldChar w:fldCharType="separate"/>
    </w:r>
    <w:r>
      <w:rPr>
        <w:rStyle w:val="93"/>
        <w:lang w:val="en-US" w:eastAsia="zh-CN"/>
      </w:rPr>
      <w:t>34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4384" behindDoc="0" locked="0" layoutInCell="1" allowOverlap="1">
              <wp:simplePos x="0" y="0"/>
              <wp:positionH relativeFrom="margin">
                <wp:posOffset>2709545</wp:posOffset>
              </wp:positionH>
              <wp:positionV relativeFrom="paragraph">
                <wp:posOffset>-9525</wp:posOffset>
              </wp:positionV>
              <wp:extent cx="57785" cy="152400"/>
              <wp:effectExtent l="4445" t="0" r="4445"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wps:spPr>
                    <wps:txbx>
                      <w:txbxContent>
                        <w:p>
                          <w:pPr>
                            <w:pStyle w:val="56"/>
                            <w:jc w:val="center"/>
                          </w:pPr>
                          <w:r>
                            <w:fldChar w:fldCharType="begin"/>
                          </w:r>
                          <w:r>
                            <w:instrText xml:space="preserve"> PAGE  \* MERGEFORMAT </w:instrText>
                          </w:r>
                          <w:r>
                            <w:fldChar w:fldCharType="separate"/>
                          </w:r>
                          <w:r>
                            <w:rPr>
                              <w:lang w:val="en-US" w:eastAsia="zh-CN"/>
                            </w:rP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13.35pt;margin-top:-0.75pt;height:12pt;width:4.55pt;mso-position-horizontal-relative:margin;mso-wrap-style:none;z-index:251664384;mso-width-relative:page;mso-height-relative:page;" filled="f" stroked="f" coordsize="21600,21600" o:gfxdata="UEsDBAoAAAAAAIdO4kAAAAAAAAAAAAAAAAAEAAAAZHJzL1BLAwQUAAAACACHTuJA2yraUNcAAAAJ&#10;AQAADwAAAGRycy9kb3ducmV2LnhtbE2Py07DMBBF90j8gzVI7FonoWmrkEkXldiwoyAkdm48TSL8&#10;iGw3Tf6eYQXL0Rzde259mK0RE4U4eIeQrzMQ5FqvB9chfLy/rPYgYlJOK+MdISwU4dDc39Wq0v7m&#10;3mg6pU5wiIuVQuhTGispY9uTVXHtR3L8u/hgVeIzdFIHdeNwa2SRZVtp1eC4oVcjHXtqv09Xi7Cb&#10;Pz2NkY70dZna0A/L3rwuiI8PefYMItGc/mD41Wd1aNjp7K9OR2EQNsV2xyjCKi9BMLB5KnnLGaEo&#10;SpBNLf8vaH4AUEsDBBQAAAAIAIdO4kBCiGbmCgIAAAEEAAAOAAAAZHJzL2Uyb0RvYy54bWytU0tu&#10;2zAQ3RfoHQjua9lG3RiC5SCN4aJA+gHSHICmKIuoyCGGtCX3AO0Nuuom+57L5+iQspw03WTRDTEk&#10;h2/eezNcXHamYXuFXoMt+GQ05kxZCaW224LffVm/mnPmg7ClaMCqgh+U55fLly8WrcvVFGpoSoWM&#10;QKzPW1fwOgSXZ5mXtTLCj8ApS5cVoBGBtrjNShQtoZsmm47Hb7IWsHQIUnlPp6v+kp8Q8TmAUFVa&#10;qhXInVE29KioGhFIkq+183yZ2FaVkuFTVXkVWFNwUhrSSkUo3sQ1Wy5EvkXhai1PFMRzKDzRZIS2&#10;VPQMtRJBsB3qf6CMlggeqjCSYLJeSHKEVEzGT7y5rYVTSQtZ7d3ZdP//YOXH/Wdkuiw4td0KQw0/&#10;/vxx/PX7eP+dzaM9rfM5Zd06ygvdW+hoaJJU725AfvXMwnUt7FZdIUJbK1ESvUl8mT162uP4CLJp&#10;P0BJdcQuQALqKjTRO3KDETq15nBujeoCk3Q4u7iYzziTdDOZTV+PU+cykQ9vHfrwToFhMSg4UuMT&#10;ttjf+BC5iHxIiaUsrHXTpOY39q8DSowniXuk2xMP3aY7ebGB8kAqEPpZop9EQQ34jbOW5qjglr4N&#10;Z817Sz7EkRsCHILNEAgr6WHBA2d9eB360dw51NuacAenr8irtU5Coqk9hxNLmoyk7zTFcfQe71PW&#10;w89d/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bKtpQ1wAAAAkBAAAPAAAAAAAAAAEAIAAAACIA&#10;AABkcnMvZG93bnJldi54bWxQSwECFAAUAAAACACHTuJAQohm5goCAAABBAAADgAAAAAAAAABACAA&#10;AAAmAQAAZHJzL2Uyb0RvYy54bWxQSwUGAAAAAAYABgBZAQAAogUAAAAA&#10;">
              <v:fill on="f" focussize="0,0"/>
              <v:stroke on="f"/>
              <v:imagedata o:title=""/>
              <o:lock v:ext="edit" aspectratio="f"/>
              <v:textbox inset="0mm,0mm,0mm,0mm" style="mso-fit-shape-to-text:t;">
                <w:txbxContent>
                  <w:p>
                    <w:pPr>
                      <w:pStyle w:val="56"/>
                      <w:jc w:val="center"/>
                    </w:pPr>
                    <w:r>
                      <w:fldChar w:fldCharType="begin"/>
                    </w:r>
                    <w:r>
                      <w:instrText xml:space="preserve"> PAGE  \* MERGEFORMAT </w:instrText>
                    </w:r>
                    <w:r>
                      <w:fldChar w:fldCharType="separate"/>
                    </w:r>
                    <w:r>
                      <w:rPr>
                        <w:lang w:val="en-US" w:eastAsia="zh-CN"/>
                      </w:rPr>
                      <w:t>1</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left"/>
    </w:pPr>
    <w:r>
      <w:rPr>
        <w:rFonts w:hint="eastAsia"/>
      </w:rPr>
      <w:drawing>
        <wp:inline distT="0" distB="0" distL="0" distR="0">
          <wp:extent cx="927100" cy="2603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7100" cy="2603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7100" cy="2603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7100" cy="2603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hint="eastAsia" w:ascii="宋体" w:hAnsi="宋体"/>
        <w:szCs w:val="21"/>
      </w:rPr>
    </w:pPr>
    <w:r>
      <w:rPr>
        <w:rFonts w:hint="eastAsia"/>
      </w:rPr>
      <w:drawing>
        <wp:inline distT="0" distB="0" distL="0" distR="0">
          <wp:extent cx="927100" cy="26035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7100" cy="2603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firstLine="932" w:firstLineChars="442"/>
      <w:rPr>
        <w:rFonts w:hint="eastAsia" w:ascii="方正隶二简体" w:hAnsi="宋体" w:eastAsia="方正隶二简体"/>
        <w:b/>
        <w:color w:val="FF0000"/>
      </w:rPr>
    </w:pPr>
    <w:r>
      <w:rPr>
        <w:rFonts w:hint="eastAsia" w:ascii="方正隶二简体" w:hAnsi="宋体" w:eastAsia="方正隶二简体"/>
        <w:b/>
        <w:color w:val="FF0000"/>
      </w:rPr>
      <w:drawing>
        <wp:anchor distT="0" distB="0" distL="114300" distR="114300" simplePos="0" relativeHeight="251665408" behindDoc="0" locked="0" layoutInCell="1" allowOverlap="1">
          <wp:simplePos x="0" y="0"/>
          <wp:positionH relativeFrom="column">
            <wp:posOffset>86995</wp:posOffset>
          </wp:positionH>
          <wp:positionV relativeFrom="paragraph">
            <wp:posOffset>-198120</wp:posOffset>
          </wp:positionV>
          <wp:extent cx="513715" cy="792480"/>
          <wp:effectExtent l="0" t="0" r="635" b="7620"/>
          <wp:wrapNone/>
          <wp:docPr id="7" name="图片 7" descr="公司新的logo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司新的logo标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13715" cy="792480"/>
                  </a:xfrm>
                  <a:prstGeom prst="rect">
                    <a:avLst/>
                  </a:prstGeom>
                  <a:noFill/>
                  <a:ln>
                    <a:noFill/>
                  </a:ln>
                </pic:spPr>
              </pic:pic>
            </a:graphicData>
          </a:graphic>
        </wp:anchor>
      </w:drawing>
    </w:r>
    <w:r>
      <w:rPr>
        <w:rFonts w:hint="eastAsia" w:ascii="方正隶二简体" w:hAnsi="宋体" w:eastAsia="方正隶二简体"/>
        <w:b/>
        <w:color w:val="FF0000"/>
      </w:rPr>
      <w:t xml:space="preserve">广州市信怡招标代理有限公司                    </w:t>
    </w:r>
    <w:r>
      <w:rPr>
        <w:rFonts w:hint="eastAsia" w:ascii="方正隶二简体" w:hAnsi="宋体" w:eastAsia="方正隶二简体"/>
        <w:b/>
        <w:color w:val="FF0000"/>
        <w:szCs w:val="21"/>
      </w:rPr>
      <w:t xml:space="preserve">                    </w:t>
    </w:r>
  </w:p>
  <w:p>
    <w:pPr>
      <w:pStyle w:val="58"/>
    </w:pPr>
    <w:r>
      <mc:AlternateContent>
        <mc:Choice Requires="wps">
          <w:drawing>
            <wp:anchor distT="0" distB="0" distL="114300" distR="114300" simplePos="0" relativeHeight="251659264" behindDoc="1" locked="0" layoutInCell="1" allowOverlap="1">
              <wp:simplePos x="0" y="0"/>
              <wp:positionH relativeFrom="column">
                <wp:posOffset>614680</wp:posOffset>
              </wp:positionH>
              <wp:positionV relativeFrom="paragraph">
                <wp:posOffset>25400</wp:posOffset>
              </wp:positionV>
              <wp:extent cx="1600200" cy="99060"/>
              <wp:effectExtent l="5080" t="53975" r="13970" b="18415"/>
              <wp:wrapNone/>
              <wp:docPr id="6" name="文本框 6"/>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00200" cy="99060"/>
                      </a:xfrm>
                      <a:prstGeom prst="rect">
                        <a:avLst/>
                      </a:prstGeom>
                    </wps:spPr>
                    <wps:txbx>
                      <w:txbxContent>
                        <w:p>
                          <w:pPr>
                            <w:jc w:val="center"/>
                            <w:rPr>
                              <w:rFonts w:ascii="黑体" w:hAnsi="黑体" w:eastAsia="黑体"/>
                              <w:color w:val="0000FF"/>
                              <w:kern w:val="0"/>
                              <w:sz w:val="16"/>
                              <w:szCs w:val="16"/>
                              <w14:textOutline w14:w="9525" w14:cap="flat" w14:cmpd="sng" w14:algn="ctr">
                                <w14:solidFill>
                                  <w14:srgbClr w14:val="0000FF"/>
                                </w14:solidFill>
                                <w14:prstDash w14:val="solid"/>
                                <w14:round/>
                              </w14:textOutline>
                            </w:rPr>
                          </w:pPr>
                          <w:r>
                            <w:rPr>
                              <w:rFonts w:hint="eastAsia" w:ascii="黑体" w:hAnsi="黑体" w:eastAsia="黑体"/>
                              <w:color w:val="0000FF"/>
                              <w:sz w:val="16"/>
                              <w:szCs w:val="16"/>
                              <w14:textOutline w14:w="9525" w14:cap="flat" w14:cmpd="sng" w14:algn="ctr">
                                <w14:solidFill>
                                  <w14:srgbClr w14:val="0000FF"/>
                                </w14:solidFill>
                                <w14:prstDash w14:val="solid"/>
                                <w14:round/>
                              </w14:textOutline>
                            </w:rPr>
                            <w:t>GUANGZHOU GAOXIN PROJECT MANAGEMENT CO.，LTD.</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48.4pt;margin-top:2pt;height:7.8pt;width:126pt;z-index:-251657216;mso-width-relative:page;mso-height-relative:page;" filled="f" stroked="f" coordsize="21600,21600" o:gfxdata="UEsDBAoAAAAAAIdO4kAAAAAAAAAAAAAAAAAEAAAAZHJzL1BLAwQUAAAACACHTuJA6p30XNYAAAAH&#10;AQAADwAAAGRycy9kb3ducmV2LnhtbE2PT0vDQBTE74LfYXmCl9JuqjU0MZsiBS+CYKvU62v2mYRm&#10;34bd7R+/vc+THocZZn5TrS5uUCcKsfdsYD7LQBE33vbcGvh4f54uQcWEbHHwTAa+KcKqvr6qsLT+&#10;zBs6bVOrpIRjiQa6lMZS69h05DDO/Egs3pcPDpPI0Gob8CzlbtB3WZZrhz3LQocjrTtqDtujM/A0&#10;hh0e3Juj4tNO1pONfn140cbc3syzR1CJLukvDL/4gg61MO39kW1Ug4EiF/JkYCGPxL5fLEXvJVfk&#10;oOtK/+evfwBQSwMEFAAAAAgAh07iQJNOqxMYAgAAGQQAAA4AAABkcnMvZTJvRG9jLnhtbK2TwY7T&#10;MBRF90j8g+U9TToSFRM1HZWphs0AI03RrF8dpwnEfsZ2m/QH4A9YsWHPd/U7eHbcMho2s6CLKIlf&#10;ju+9vp1fDapje2ldi7rk00nOmdQCq1ZvS/5pffPqDWfOg66gQy1LfpCOXy1evpj3ppAX2GBXScsI&#10;ol3Rm5I33psiy5xopAI3QSM1LdZoFXh6tNusstATXXXZRZ7Psh5tZSwK6Ry9XY2LPBHtc4BY162Q&#10;KxQ7JbUfqVZ24MmSa1rj+CKqrWsp/Me6dtKzruTk1McrbUL3m3DNFnMothZM04okAZ4j4YknBa2m&#10;Tc+oFXhgO9v+g1KtsOiw9hOBKhuNxETIxTR/ks19A0ZGLxS1M+fQ3f/Dig/7O8vaquQzzjQoOvDj&#10;j+/Hn7+Pv76xWYinN66gqXtDc354iwOVJlp15hbFF8c0Xjegt3JpLfaNhIrkTQmWXkcT64Mh8jTw&#10;skfAke4CetO/x4pmYOcx4ofaqpAoZcRoTzqww/nA5OCZCEJmeU6d4kzQ2uVlPosHmkFx+thY599J&#10;VCzclNxSHyIc9rfOBzFQnEaSsiBmlOWHzZD8b7A6kMaeelJy93UHVpLBnbpGqhV5rS2qB6r10tIm&#10;YzoBux4ewJq0tyfRd92pJ1FALEyVYofqM4FUR/XbQ8de5/SLeUGRhpPYkRq+dWZJad200UmIddSZ&#10;nFBjosHU7lDJx89x6u8/ev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p30XNYAAAAHAQAADwAA&#10;AAAAAAABACAAAAAiAAAAZHJzL2Rvd25yZXYueG1sUEsBAhQAFAAAAAgAh07iQJNOqxMYAgAAGQQA&#10;AA4AAAAAAAAAAQAgAAAAJQEAAGRycy9lMm9Eb2MueG1sUEsFBgAAAAAGAAYAWQEAAK8FAAAAAA==&#10;" adj="10800">
              <v:fill on="f" focussize="0,0"/>
              <v:stroke on="f"/>
              <v:imagedata o:title=""/>
              <o:lock v:ext="edit" aspectratio="f"/>
              <v:textbox style="mso-fit-shape-to-text:t;">
                <w:txbxContent>
                  <w:p>
                    <w:pPr>
                      <w:jc w:val="center"/>
                      <w:rPr>
                        <w:rFonts w:ascii="黑体" w:hAnsi="黑体" w:eastAsia="黑体"/>
                        <w:color w:val="0000FF"/>
                        <w:kern w:val="0"/>
                        <w:sz w:val="16"/>
                        <w:szCs w:val="16"/>
                        <w14:textOutline w14:w="9525" w14:cap="flat" w14:cmpd="sng" w14:algn="ctr">
                          <w14:solidFill>
                            <w14:srgbClr w14:val="0000FF"/>
                          </w14:solidFill>
                          <w14:prstDash w14:val="solid"/>
                          <w14:round/>
                        </w14:textOutline>
                      </w:rPr>
                    </w:pPr>
                    <w:r>
                      <w:rPr>
                        <w:rFonts w:hint="eastAsia" w:ascii="黑体" w:hAnsi="黑体" w:eastAsia="黑体"/>
                        <w:color w:val="0000FF"/>
                        <w:sz w:val="16"/>
                        <w:szCs w:val="16"/>
                        <w14:textOutline w14:w="9525" w14:cap="flat" w14:cmpd="sng" w14:algn="ctr">
                          <w14:solidFill>
                            <w14:srgbClr w14:val="0000FF"/>
                          </w14:solidFill>
                          <w14:prstDash w14:val="solid"/>
                          <w14:round/>
                        </w14:textOutline>
                      </w:rPr>
                      <w:t>GUANGZHOU GAOXIN PROJECT MANAGEMENT CO.，LTD.</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hint="eastAsia" w:ascii="宋体" w:hAnsi="宋体"/>
        <w:szCs w:val="18"/>
      </w:rPr>
    </w:pPr>
    <w:r>
      <w:rPr>
        <w:rFonts w:hint="eastAsia"/>
      </w:rPr>
      <w:drawing>
        <wp:inline distT="0" distB="0" distL="0" distR="0">
          <wp:extent cx="927100" cy="2603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7100" cy="260350"/>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hint="eastAsia" w:ascii="宋体" w:hAnsi="宋体"/>
        <w:szCs w:val="18"/>
      </w:rPr>
    </w:pPr>
    <w:r>
      <w:rPr>
        <w:rFonts w:hint="eastAsia"/>
      </w:rPr>
      <w:drawing>
        <wp:inline distT="0" distB="0" distL="0" distR="0">
          <wp:extent cx="927100" cy="2603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7100" cy="260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10F89"/>
    <w:multiLevelType w:val="singleLevel"/>
    <w:tmpl w:val="8C410F89"/>
    <w:lvl w:ilvl="0" w:tentative="0">
      <w:start w:val="1"/>
      <w:numFmt w:val="decimal"/>
      <w:suff w:val="space"/>
      <w:lvlText w:val="(%1)"/>
      <w:lvlJc w:val="left"/>
    </w:lvl>
  </w:abstractNum>
  <w:abstractNum w:abstractNumId="1">
    <w:nsid w:val="F4CCBF8B"/>
    <w:multiLevelType w:val="singleLevel"/>
    <w:tmpl w:val="F4CCBF8B"/>
    <w:lvl w:ilvl="0" w:tentative="0">
      <w:start w:val="1"/>
      <w:numFmt w:val="decimal"/>
      <w:lvlText w:val="%1."/>
      <w:lvlJc w:val="left"/>
      <w:pPr>
        <w:ind w:left="425" w:hanging="425"/>
      </w:pPr>
      <w:rPr>
        <w:rFonts w:hint="default"/>
      </w:rPr>
    </w:lvl>
  </w:abstractNum>
  <w:abstractNum w:abstractNumId="2">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4">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93EFDE8"/>
    <w:multiLevelType w:val="singleLevel"/>
    <w:tmpl w:val="393EFDE8"/>
    <w:lvl w:ilvl="0" w:tentative="0">
      <w:start w:val="1"/>
      <w:numFmt w:val="decimal"/>
      <w:lvlText w:val="%1."/>
      <w:lvlJc w:val="left"/>
      <w:pPr>
        <w:tabs>
          <w:tab w:val="left" w:pos="312"/>
        </w:tabs>
      </w:pPr>
    </w:lvl>
  </w:abstractNum>
  <w:abstractNum w:abstractNumId="7">
    <w:nsid w:val="3945AF0D"/>
    <w:multiLevelType w:val="singleLevel"/>
    <w:tmpl w:val="3945AF0D"/>
    <w:lvl w:ilvl="0" w:tentative="0">
      <w:start w:val="3"/>
      <w:numFmt w:val="chineseCounting"/>
      <w:suff w:val="nothing"/>
      <w:lvlText w:val="（%1）"/>
      <w:lvlJc w:val="left"/>
      <w:rPr>
        <w:rFonts w:hint="eastAsia"/>
      </w:rPr>
    </w:lvl>
  </w:abstractNum>
  <w:abstractNum w:abstractNumId="8">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lvlOverride w:ilvl="0">
      <w:startOverride w:val="1"/>
    </w:lvlOverride>
  </w:num>
  <w:num w:numId="2">
    <w:abstractNumId w:val="3"/>
  </w:num>
  <w:num w:numId="3">
    <w:abstractNumId w:val="10"/>
  </w:num>
  <w:num w:numId="4">
    <w:abstractNumId w:val="9"/>
  </w:num>
  <w:num w:numId="5">
    <w:abstractNumId w:val="8"/>
  </w:num>
  <w:num w:numId="6">
    <w:abstractNumId w:val="7"/>
  </w:num>
  <w:num w:numId="7">
    <w:abstractNumId w:val="11"/>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BB"/>
    <w:rsid w:val="00181176"/>
    <w:rsid w:val="009261BB"/>
    <w:rsid w:val="2CC8159F"/>
    <w:rsid w:val="31BF01C3"/>
    <w:rsid w:val="46A36C1A"/>
    <w:rsid w:val="5F9350B7"/>
    <w:rsid w:val="7936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6"/>
    <w:qFormat/>
    <w:uiPriority w:val="0"/>
    <w:pPr>
      <w:keepNext/>
      <w:spacing w:line="360" w:lineRule="auto"/>
      <w:ind w:right="-441" w:rightChars="-210"/>
      <w:jc w:val="center"/>
      <w:outlineLvl w:val="0"/>
    </w:pPr>
    <w:rPr>
      <w:rFonts w:ascii="宋体" w:hAnsi="宋体" w:eastAsia="宋体" w:cs="Times New Roman"/>
      <w:b/>
      <w:bCs/>
      <w:sz w:val="48"/>
      <w:szCs w:val="24"/>
    </w:rPr>
  </w:style>
  <w:style w:type="paragraph" w:styleId="4">
    <w:name w:val="heading 2"/>
    <w:basedOn w:val="1"/>
    <w:next w:val="1"/>
    <w:link w:val="97"/>
    <w:qFormat/>
    <w:uiPriority w:val="0"/>
    <w:pPr>
      <w:keepNext/>
      <w:keepLines/>
      <w:adjustRightInd w:val="0"/>
      <w:spacing w:beforeLines="20" w:afterLines="20" w:line="360" w:lineRule="auto"/>
      <w:textAlignment w:val="baseline"/>
      <w:outlineLvl w:val="1"/>
    </w:pPr>
    <w:rPr>
      <w:rFonts w:ascii="宋体" w:hAnsi="宋体" w:eastAsia="宋体" w:cs="Times New Roman"/>
      <w:b/>
      <w:kern w:val="0"/>
      <w:sz w:val="30"/>
      <w:szCs w:val="20"/>
    </w:rPr>
  </w:style>
  <w:style w:type="paragraph" w:styleId="5">
    <w:name w:val="heading 3"/>
    <w:basedOn w:val="1"/>
    <w:next w:val="1"/>
    <w:link w:val="98"/>
    <w:qFormat/>
    <w:uiPriority w:val="0"/>
    <w:pPr>
      <w:keepNext/>
      <w:keepLines/>
      <w:adjustRightInd w:val="0"/>
      <w:spacing w:before="40" w:after="40" w:line="360" w:lineRule="auto"/>
      <w:textAlignment w:val="baseline"/>
      <w:outlineLvl w:val="2"/>
    </w:pPr>
    <w:rPr>
      <w:rFonts w:ascii="宋体" w:hAnsi="宋体" w:eastAsia="宋体" w:cs="Times New Roman"/>
      <w:b/>
      <w:kern w:val="0"/>
      <w:sz w:val="28"/>
      <w:szCs w:val="20"/>
    </w:rPr>
  </w:style>
  <w:style w:type="paragraph" w:styleId="6">
    <w:name w:val="heading 4"/>
    <w:basedOn w:val="1"/>
    <w:next w:val="1"/>
    <w:link w:val="99"/>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100"/>
    <w:qFormat/>
    <w:uiPriority w:val="0"/>
    <w:pPr>
      <w:widowControl/>
      <w:tabs>
        <w:tab w:val="left" w:pos="709"/>
        <w:tab w:val="left" w:pos="1008"/>
      </w:tabs>
      <w:spacing w:before="240" w:afterLines="50"/>
      <w:ind w:left="1008" w:hanging="1008"/>
      <w:outlineLvl w:val="4"/>
    </w:pPr>
    <w:rPr>
      <w:rFonts w:ascii="Arial" w:hAnsi="Arial" w:eastAsia="宋体" w:cs="Times New Roman"/>
      <w:kern w:val="0"/>
      <w:sz w:val="22"/>
      <w:szCs w:val="20"/>
    </w:rPr>
  </w:style>
  <w:style w:type="paragraph" w:styleId="8">
    <w:name w:val="heading 6"/>
    <w:basedOn w:val="1"/>
    <w:next w:val="1"/>
    <w:link w:val="101"/>
    <w:qFormat/>
    <w:uiPriority w:val="0"/>
    <w:pPr>
      <w:widowControl/>
      <w:tabs>
        <w:tab w:val="left" w:pos="709"/>
        <w:tab w:val="left" w:pos="1152"/>
      </w:tabs>
      <w:spacing w:before="240" w:afterLines="50"/>
      <w:ind w:left="1152" w:hanging="1152"/>
      <w:outlineLvl w:val="5"/>
    </w:pPr>
    <w:rPr>
      <w:rFonts w:ascii="Times New Roman" w:hAnsi="Arial" w:eastAsia="宋体" w:cs="Times New Roman"/>
      <w:i/>
      <w:kern w:val="0"/>
      <w:sz w:val="22"/>
      <w:szCs w:val="20"/>
    </w:rPr>
  </w:style>
  <w:style w:type="paragraph" w:styleId="9">
    <w:name w:val="heading 7"/>
    <w:basedOn w:val="1"/>
    <w:next w:val="1"/>
    <w:link w:val="102"/>
    <w:qFormat/>
    <w:uiPriority w:val="0"/>
    <w:pPr>
      <w:widowControl/>
      <w:tabs>
        <w:tab w:val="left" w:pos="709"/>
        <w:tab w:val="left" w:pos="1296"/>
      </w:tabs>
      <w:spacing w:before="240" w:afterLines="50"/>
      <w:ind w:left="1296" w:hanging="1296"/>
      <w:outlineLvl w:val="6"/>
    </w:pPr>
    <w:rPr>
      <w:rFonts w:ascii="Arial" w:hAnsi="Arial" w:eastAsia="宋体" w:cs="Times New Roman"/>
      <w:kern w:val="0"/>
      <w:sz w:val="20"/>
      <w:szCs w:val="20"/>
    </w:rPr>
  </w:style>
  <w:style w:type="paragraph" w:styleId="10">
    <w:name w:val="heading 8"/>
    <w:basedOn w:val="1"/>
    <w:next w:val="1"/>
    <w:link w:val="103"/>
    <w:qFormat/>
    <w:uiPriority w:val="0"/>
    <w:pPr>
      <w:widowControl/>
      <w:tabs>
        <w:tab w:val="left" w:pos="709"/>
        <w:tab w:val="left" w:pos="1440"/>
      </w:tabs>
      <w:spacing w:before="240" w:afterLines="50"/>
      <w:ind w:left="1440" w:hanging="1440"/>
      <w:outlineLvl w:val="7"/>
    </w:pPr>
    <w:rPr>
      <w:rFonts w:ascii="Arial" w:hAnsi="Arial" w:eastAsia="宋体" w:cs="Times New Roman"/>
      <w:i/>
      <w:kern w:val="0"/>
      <w:sz w:val="20"/>
      <w:szCs w:val="20"/>
    </w:rPr>
  </w:style>
  <w:style w:type="paragraph" w:styleId="11">
    <w:name w:val="heading 9"/>
    <w:basedOn w:val="1"/>
    <w:next w:val="1"/>
    <w:link w:val="104"/>
    <w:qFormat/>
    <w:uiPriority w:val="0"/>
    <w:pPr>
      <w:widowControl/>
      <w:tabs>
        <w:tab w:val="left" w:pos="709"/>
        <w:tab w:val="left" w:pos="1584"/>
      </w:tabs>
      <w:spacing w:before="240" w:afterLines="50"/>
      <w:ind w:left="1584" w:hanging="1584"/>
      <w:outlineLvl w:val="8"/>
    </w:pPr>
    <w:rPr>
      <w:rFonts w:ascii="Arial" w:hAnsi="Arial" w:eastAsia="宋体" w:cs="Times New Roman"/>
      <w:b/>
      <w:i/>
      <w:kern w:val="0"/>
      <w:sz w:val="18"/>
      <w:szCs w:val="20"/>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4"/>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eastAsia="宋体" w:cs="Times New Roman"/>
      <w:szCs w:val="24"/>
    </w:rPr>
  </w:style>
  <w:style w:type="paragraph" w:styleId="13">
    <w:name w:val="toc 7"/>
    <w:basedOn w:val="1"/>
    <w:next w:val="1"/>
    <w:qFormat/>
    <w:uiPriority w:val="0"/>
    <w:pPr>
      <w:ind w:left="1260"/>
      <w:jc w:val="left"/>
    </w:pPr>
    <w:rPr>
      <w:rFonts w:ascii="Times New Roman" w:hAnsi="Times New Roman" w:eastAsia="宋体" w:cs="Times New Roman"/>
      <w:sz w:val="18"/>
      <w:szCs w:val="18"/>
    </w:rPr>
  </w:style>
  <w:style w:type="paragraph" w:styleId="14">
    <w:name w:val="List Number 2"/>
    <w:basedOn w:val="1"/>
    <w:qFormat/>
    <w:uiPriority w:val="0"/>
    <w:pPr>
      <w:tabs>
        <w:tab w:val="left" w:pos="780"/>
      </w:tabs>
      <w:ind w:left="780" w:hanging="360"/>
    </w:pPr>
    <w:rPr>
      <w:rFonts w:ascii="Times New Roman" w:hAnsi="Times New Roman" w:eastAsia="宋体" w:cs="Times New Roman"/>
      <w:szCs w:val="24"/>
    </w:rPr>
  </w:style>
  <w:style w:type="paragraph" w:styleId="15">
    <w:name w:val="table of authorities"/>
    <w:basedOn w:val="1"/>
    <w:next w:val="1"/>
    <w:semiHidden/>
    <w:qFormat/>
    <w:uiPriority w:val="0"/>
    <w:pPr>
      <w:ind w:left="420" w:leftChars="200"/>
    </w:pPr>
    <w:rPr>
      <w:rFonts w:ascii="Times New Roman" w:hAnsi="Times New Roman" w:eastAsia="宋体" w:cs="Times New Roman"/>
      <w:szCs w:val="24"/>
    </w:rPr>
  </w:style>
  <w:style w:type="paragraph" w:styleId="16">
    <w:name w:val="Note Heading"/>
    <w:basedOn w:val="1"/>
    <w:next w:val="1"/>
    <w:link w:val="188"/>
    <w:qFormat/>
    <w:uiPriority w:val="0"/>
    <w:pPr>
      <w:jc w:val="center"/>
    </w:pPr>
    <w:rPr>
      <w:rFonts w:ascii="Times New Roman" w:hAnsi="Times New Roman" w:eastAsia="宋体" w:cs="Times New Roman"/>
      <w:szCs w:val="24"/>
    </w:rPr>
  </w:style>
  <w:style w:type="paragraph" w:styleId="17">
    <w:name w:val="List Bullet 4"/>
    <w:basedOn w:val="1"/>
    <w:qFormat/>
    <w:uiPriority w:val="0"/>
    <w:pPr>
      <w:tabs>
        <w:tab w:val="left" w:pos="1620"/>
      </w:tabs>
      <w:ind w:left="1620" w:hanging="360"/>
    </w:pPr>
    <w:rPr>
      <w:rFonts w:ascii="Times New Roman" w:hAnsi="Times New Roman" w:eastAsia="宋体" w:cs="Times New Roman"/>
      <w:szCs w:val="24"/>
    </w:rPr>
  </w:style>
  <w:style w:type="paragraph" w:styleId="18">
    <w:name w:val="index 8"/>
    <w:basedOn w:val="1"/>
    <w:next w:val="1"/>
    <w:semiHidden/>
    <w:qFormat/>
    <w:uiPriority w:val="0"/>
    <w:pPr>
      <w:ind w:left="1400" w:leftChars="1400"/>
    </w:pPr>
    <w:rPr>
      <w:rFonts w:ascii="Times New Roman" w:hAnsi="Times New Roman" w:eastAsia="宋体" w:cs="Times New Roman"/>
      <w:szCs w:val="24"/>
    </w:rPr>
  </w:style>
  <w:style w:type="paragraph" w:styleId="19">
    <w:name w:val="E-mail Signature"/>
    <w:basedOn w:val="1"/>
    <w:link w:val="194"/>
    <w:qFormat/>
    <w:uiPriority w:val="0"/>
    <w:rPr>
      <w:rFonts w:ascii="Times New Roman" w:hAnsi="Times New Roman" w:eastAsia="宋体" w:cs="Times New Roman"/>
      <w:szCs w:val="24"/>
    </w:rPr>
  </w:style>
  <w:style w:type="paragraph" w:styleId="20">
    <w:name w:val="List Number"/>
    <w:basedOn w:val="1"/>
    <w:qFormat/>
    <w:uiPriority w:val="0"/>
    <w:pPr>
      <w:tabs>
        <w:tab w:val="left" w:pos="360"/>
      </w:tabs>
      <w:ind w:left="360" w:hanging="360"/>
    </w:pPr>
    <w:rPr>
      <w:rFonts w:ascii="Times New Roman" w:hAnsi="Times New Roman" w:eastAsia="宋体" w:cs="Times New Roman"/>
      <w:szCs w:val="24"/>
    </w:rPr>
  </w:style>
  <w:style w:type="paragraph" w:styleId="21">
    <w:name w:val="Normal Indent"/>
    <w:basedOn w:val="1"/>
    <w:link w:val="124"/>
    <w:qFormat/>
    <w:uiPriority w:val="0"/>
    <w:pPr>
      <w:widowControl/>
      <w:ind w:firstLine="420"/>
      <w:jc w:val="left"/>
    </w:p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semiHidden/>
    <w:qFormat/>
    <w:uiPriority w:val="0"/>
    <w:pPr>
      <w:ind w:left="800" w:leftChars="800"/>
    </w:pPr>
    <w:rPr>
      <w:rFonts w:ascii="Times New Roman" w:hAnsi="Times New Roman" w:eastAsia="宋体" w:cs="Times New Roman"/>
      <w:szCs w:val="24"/>
    </w:rPr>
  </w:style>
  <w:style w:type="paragraph" w:styleId="24">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eastAsia="宋体" w:cs="Times New Roman"/>
      <w:snapToGrid w:val="0"/>
      <w:color w:val="000000"/>
      <w:kern w:val="24"/>
      <w:sz w:val="24"/>
      <w:szCs w:val="20"/>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6">
    <w:name w:val="Document Map"/>
    <w:basedOn w:val="1"/>
    <w:link w:val="110"/>
    <w:qFormat/>
    <w:uiPriority w:val="0"/>
    <w:pPr>
      <w:shd w:val="clear" w:color="auto" w:fill="000080"/>
    </w:pPr>
    <w:rPr>
      <w:szCs w:val="24"/>
      <w:shd w:val="clear" w:color="auto" w:fill="000080"/>
    </w:rPr>
  </w:style>
  <w:style w:type="paragraph" w:styleId="27">
    <w:name w:val="toa heading"/>
    <w:basedOn w:val="1"/>
    <w:next w:val="1"/>
    <w:semiHidden/>
    <w:qFormat/>
    <w:uiPriority w:val="0"/>
    <w:pPr>
      <w:spacing w:before="120"/>
    </w:pPr>
    <w:rPr>
      <w:rFonts w:ascii="Arial" w:hAnsi="Arial" w:eastAsia="宋体" w:cs="Arial"/>
      <w:sz w:val="24"/>
      <w:szCs w:val="24"/>
    </w:rPr>
  </w:style>
  <w:style w:type="paragraph" w:styleId="28">
    <w:name w:val="annotation text"/>
    <w:basedOn w:val="1"/>
    <w:link w:val="107"/>
    <w:semiHidden/>
    <w:qFormat/>
    <w:uiPriority w:val="0"/>
    <w:pPr>
      <w:jc w:val="left"/>
    </w:pPr>
    <w:rPr>
      <w:rFonts w:eastAsia="宋体"/>
      <w:szCs w:val="24"/>
    </w:rPr>
  </w:style>
  <w:style w:type="paragraph" w:styleId="29">
    <w:name w:val="index 6"/>
    <w:basedOn w:val="1"/>
    <w:next w:val="1"/>
    <w:semiHidden/>
    <w:qFormat/>
    <w:uiPriority w:val="0"/>
    <w:pPr>
      <w:ind w:left="1000" w:leftChars="1000"/>
    </w:pPr>
    <w:rPr>
      <w:rFonts w:ascii="Times New Roman" w:hAnsi="Times New Roman" w:eastAsia="宋体" w:cs="Times New Roman"/>
      <w:szCs w:val="24"/>
    </w:rPr>
  </w:style>
  <w:style w:type="paragraph" w:styleId="30">
    <w:name w:val="Salutation"/>
    <w:basedOn w:val="1"/>
    <w:next w:val="1"/>
    <w:link w:val="198"/>
    <w:qFormat/>
    <w:uiPriority w:val="0"/>
    <w:rPr>
      <w:rFonts w:ascii="Times New Roman" w:hAnsi="Times New Roman" w:eastAsia="宋体" w:cs="Times New Roman"/>
      <w:szCs w:val="24"/>
    </w:rPr>
  </w:style>
  <w:style w:type="paragraph" w:styleId="31">
    <w:name w:val="Body Text 3"/>
    <w:basedOn w:val="1"/>
    <w:link w:val="118"/>
    <w:qFormat/>
    <w:uiPriority w:val="0"/>
    <w:pPr>
      <w:widowControl/>
      <w:jc w:val="left"/>
    </w:pPr>
    <w:rPr>
      <w:sz w:val="24"/>
    </w:rPr>
  </w:style>
  <w:style w:type="paragraph" w:styleId="32">
    <w:name w:val="Closing"/>
    <w:basedOn w:val="1"/>
    <w:link w:val="195"/>
    <w:qFormat/>
    <w:uiPriority w:val="0"/>
    <w:pPr>
      <w:ind w:left="100" w:leftChars="2100"/>
    </w:pPr>
    <w:rPr>
      <w:rFonts w:ascii="Times New Roman" w:hAnsi="Times New Roman" w:eastAsia="宋体" w:cs="Times New Roman"/>
      <w:szCs w:val="24"/>
    </w:rPr>
  </w:style>
  <w:style w:type="paragraph" w:styleId="33">
    <w:name w:val="List Bullet 3"/>
    <w:basedOn w:val="1"/>
    <w:qFormat/>
    <w:uiPriority w:val="0"/>
    <w:pPr>
      <w:tabs>
        <w:tab w:val="left" w:pos="905"/>
      </w:tabs>
      <w:ind w:left="905" w:hanging="425"/>
    </w:pPr>
    <w:rPr>
      <w:rFonts w:ascii="Times New Roman" w:hAnsi="Times New Roman" w:eastAsia="宋体" w:cs="Times New Roman"/>
      <w:sz w:val="24"/>
      <w:szCs w:val="20"/>
    </w:rPr>
  </w:style>
  <w:style w:type="paragraph" w:styleId="34">
    <w:name w:val="Body Text"/>
    <w:basedOn w:val="1"/>
    <w:link w:val="123"/>
    <w:uiPriority w:val="0"/>
    <w:pPr>
      <w:spacing w:after="120"/>
    </w:pPr>
    <w:rPr>
      <w:rFonts w:eastAsia="宋体"/>
      <w:szCs w:val="24"/>
    </w:rPr>
  </w:style>
  <w:style w:type="paragraph" w:styleId="35">
    <w:name w:val="Body Text Indent"/>
    <w:basedOn w:val="1"/>
    <w:link w:val="105"/>
    <w:qFormat/>
    <w:uiPriority w:val="0"/>
    <w:pPr>
      <w:ind w:firstLine="360"/>
    </w:pPr>
    <w:rPr>
      <w:rFonts w:ascii="Arial" w:hAnsi="Arial" w:eastAsia="宋体"/>
      <w:szCs w:val="24"/>
    </w:rPr>
  </w:style>
  <w:style w:type="paragraph" w:styleId="36">
    <w:name w:val="List Number 3"/>
    <w:basedOn w:val="1"/>
    <w:qFormat/>
    <w:uiPriority w:val="0"/>
    <w:pPr>
      <w:tabs>
        <w:tab w:val="left" w:pos="1200"/>
      </w:tabs>
      <w:ind w:left="1200" w:hanging="360"/>
    </w:pPr>
    <w:rPr>
      <w:rFonts w:ascii="Times New Roman" w:hAnsi="Times New Roman" w:eastAsia="宋体" w:cs="Times New Roman"/>
      <w:szCs w:val="24"/>
    </w:rPr>
  </w:style>
  <w:style w:type="paragraph" w:styleId="37">
    <w:name w:val="List 2"/>
    <w:basedOn w:val="1"/>
    <w:qFormat/>
    <w:uiPriority w:val="0"/>
    <w:pPr>
      <w:ind w:left="100" w:leftChars="200" w:hanging="200" w:hangingChars="200"/>
    </w:pPr>
    <w:rPr>
      <w:rFonts w:ascii="Times New Roman" w:hAnsi="Times New Roman" w:eastAsia="宋体" w:cs="Times New Roman"/>
      <w:szCs w:val="24"/>
    </w:rPr>
  </w:style>
  <w:style w:type="paragraph" w:styleId="38">
    <w:name w:val="List Continue"/>
    <w:basedOn w:val="1"/>
    <w:qFormat/>
    <w:uiPriority w:val="0"/>
    <w:pPr>
      <w:spacing w:after="120"/>
      <w:ind w:left="420" w:leftChars="200"/>
    </w:pPr>
    <w:rPr>
      <w:rFonts w:ascii="Times New Roman" w:hAnsi="Times New Roman" w:eastAsia="宋体" w:cs="Times New Roman"/>
      <w:szCs w:val="24"/>
    </w:rPr>
  </w:style>
  <w:style w:type="paragraph" w:styleId="39">
    <w:name w:val="Block Text"/>
    <w:basedOn w:val="1"/>
    <w:qFormat/>
    <w:uiPriority w:val="0"/>
    <w:pPr>
      <w:spacing w:after="120"/>
      <w:ind w:left="1440" w:leftChars="700" w:right="1440" w:rightChars="700"/>
    </w:pPr>
    <w:rPr>
      <w:rFonts w:ascii="Times New Roman" w:hAnsi="Times New Roman" w:eastAsia="宋体" w:cs="Times New Roman"/>
      <w:szCs w:val="24"/>
    </w:rPr>
  </w:style>
  <w:style w:type="paragraph" w:styleId="40">
    <w:name w:val="List Bullet 2"/>
    <w:basedOn w:val="1"/>
    <w:qFormat/>
    <w:uiPriority w:val="0"/>
    <w:pPr>
      <w:tabs>
        <w:tab w:val="left" w:pos="780"/>
      </w:tabs>
      <w:ind w:left="780" w:hanging="360"/>
    </w:pPr>
    <w:rPr>
      <w:rFonts w:ascii="Times New Roman" w:hAnsi="Times New Roman" w:eastAsia="宋体" w:cs="Times New Roman"/>
      <w:szCs w:val="24"/>
    </w:rPr>
  </w:style>
  <w:style w:type="paragraph" w:styleId="41">
    <w:name w:val="HTML Address"/>
    <w:basedOn w:val="1"/>
    <w:link w:val="141"/>
    <w:qFormat/>
    <w:uiPriority w:val="0"/>
    <w:rPr>
      <w:rFonts w:ascii="Times New Roman" w:hAnsi="Times New Roman" w:eastAsia="宋体" w:cs="Times New Roman"/>
      <w:i/>
      <w:iCs/>
      <w:szCs w:val="24"/>
    </w:rPr>
  </w:style>
  <w:style w:type="paragraph" w:styleId="42">
    <w:name w:val="index 4"/>
    <w:basedOn w:val="1"/>
    <w:next w:val="1"/>
    <w:semiHidden/>
    <w:qFormat/>
    <w:uiPriority w:val="0"/>
    <w:pPr>
      <w:ind w:left="600" w:leftChars="600"/>
    </w:pPr>
    <w:rPr>
      <w:rFonts w:ascii="Times New Roman" w:hAnsi="Times New Roman" w:eastAsia="宋体" w:cs="Times New Roman"/>
      <w:szCs w:val="24"/>
    </w:rPr>
  </w:style>
  <w:style w:type="paragraph" w:styleId="43">
    <w:name w:val="toc 5"/>
    <w:basedOn w:val="1"/>
    <w:next w:val="1"/>
    <w:qFormat/>
    <w:uiPriority w:val="0"/>
    <w:pPr>
      <w:ind w:left="840"/>
      <w:jc w:val="left"/>
    </w:pPr>
    <w:rPr>
      <w:rFonts w:ascii="Times New Roman" w:hAnsi="Times New Roman" w:eastAsia="宋体" w:cs="Times New Roman"/>
      <w:sz w:val="18"/>
      <w:szCs w:val="18"/>
    </w:rPr>
  </w:style>
  <w:style w:type="paragraph" w:styleId="44">
    <w:name w:val="toc 3"/>
    <w:basedOn w:val="1"/>
    <w:next w:val="1"/>
    <w:qFormat/>
    <w:uiPriority w:val="0"/>
    <w:pPr>
      <w:ind w:left="420"/>
      <w:jc w:val="left"/>
    </w:pPr>
    <w:rPr>
      <w:rFonts w:ascii="Times New Roman" w:hAnsi="Times New Roman" w:eastAsia="宋体" w:cs="Times New Roman"/>
      <w:i/>
      <w:iCs/>
      <w:sz w:val="20"/>
      <w:szCs w:val="20"/>
    </w:rPr>
  </w:style>
  <w:style w:type="paragraph" w:styleId="45">
    <w:name w:val="Plain Text"/>
    <w:basedOn w:val="1"/>
    <w:next w:val="46"/>
    <w:link w:val="106"/>
    <w:qFormat/>
    <w:uiPriority w:val="0"/>
    <w:rPr>
      <w:rFonts w:ascii="宋体" w:hAnsi="Courier New" w:eastAsia="宋体"/>
    </w:rPr>
  </w:style>
  <w:style w:type="paragraph" w:customStyle="1" w:styleId="46">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47">
    <w:name w:val="List Bullet 5"/>
    <w:basedOn w:val="1"/>
    <w:qFormat/>
    <w:uiPriority w:val="0"/>
    <w:pPr>
      <w:tabs>
        <w:tab w:val="left" w:pos="2040"/>
      </w:tabs>
      <w:ind w:left="2040" w:hanging="360"/>
    </w:pPr>
    <w:rPr>
      <w:rFonts w:ascii="Times New Roman" w:hAnsi="Times New Roman" w:eastAsia="宋体" w:cs="Times New Roman"/>
      <w:szCs w:val="24"/>
    </w:rPr>
  </w:style>
  <w:style w:type="paragraph" w:styleId="48">
    <w:name w:val="List Number 4"/>
    <w:basedOn w:val="1"/>
    <w:qFormat/>
    <w:uiPriority w:val="0"/>
    <w:pPr>
      <w:tabs>
        <w:tab w:val="left" w:pos="1620"/>
      </w:tabs>
      <w:ind w:left="1620" w:hanging="360"/>
    </w:pPr>
    <w:rPr>
      <w:rFonts w:ascii="Times New Roman" w:hAnsi="Times New Roman" w:eastAsia="宋体" w:cs="Times New Roman"/>
      <w:szCs w:val="24"/>
    </w:rPr>
  </w:style>
  <w:style w:type="paragraph" w:styleId="49">
    <w:name w:val="toc 8"/>
    <w:basedOn w:val="1"/>
    <w:next w:val="1"/>
    <w:qFormat/>
    <w:uiPriority w:val="0"/>
    <w:pPr>
      <w:ind w:left="1470"/>
      <w:jc w:val="left"/>
    </w:pPr>
    <w:rPr>
      <w:rFonts w:ascii="Times New Roman" w:hAnsi="Times New Roman" w:eastAsia="宋体" w:cs="Times New Roman"/>
      <w:sz w:val="18"/>
      <w:szCs w:val="18"/>
    </w:rPr>
  </w:style>
  <w:style w:type="paragraph" w:styleId="50">
    <w:name w:val="index 3"/>
    <w:basedOn w:val="1"/>
    <w:next w:val="1"/>
    <w:semiHidden/>
    <w:qFormat/>
    <w:uiPriority w:val="0"/>
    <w:pPr>
      <w:ind w:left="400" w:leftChars="400"/>
    </w:pPr>
    <w:rPr>
      <w:rFonts w:ascii="Times New Roman" w:hAnsi="Times New Roman" w:eastAsia="宋体" w:cs="Times New Roman"/>
      <w:szCs w:val="24"/>
    </w:rPr>
  </w:style>
  <w:style w:type="paragraph" w:styleId="51">
    <w:name w:val="Date"/>
    <w:basedOn w:val="1"/>
    <w:next w:val="1"/>
    <w:link w:val="177"/>
    <w:qFormat/>
    <w:uiPriority w:val="0"/>
    <w:pPr>
      <w:autoSpaceDE w:val="0"/>
      <w:autoSpaceDN w:val="0"/>
      <w:adjustRightInd w:val="0"/>
      <w:spacing w:line="312" w:lineRule="atLeast"/>
      <w:textAlignment w:val="baseline"/>
    </w:pPr>
    <w:rPr>
      <w:rFonts w:ascii="Times New Roman" w:hAnsi="Times New Roman" w:eastAsia="宋体" w:cs="Times New Roman"/>
      <w:kern w:val="0"/>
      <w:sz w:val="32"/>
      <w:szCs w:val="20"/>
    </w:rPr>
  </w:style>
  <w:style w:type="paragraph" w:styleId="52">
    <w:name w:val="Body Text Indent 2"/>
    <w:basedOn w:val="1"/>
    <w:link w:val="137"/>
    <w:qFormat/>
    <w:uiPriority w:val="0"/>
    <w:pPr>
      <w:spacing w:line="360" w:lineRule="auto"/>
      <w:ind w:left="718" w:leftChars="342"/>
    </w:pPr>
    <w:rPr>
      <w:rFonts w:ascii="宋体" w:hAnsi="宋体" w:eastAsia="宋体" w:cs="Times New Roman"/>
      <w:sz w:val="24"/>
      <w:szCs w:val="24"/>
    </w:rPr>
  </w:style>
  <w:style w:type="paragraph" w:styleId="53">
    <w:name w:val="endnote text"/>
    <w:basedOn w:val="1"/>
    <w:link w:val="169"/>
    <w:semiHidden/>
    <w:qFormat/>
    <w:uiPriority w:val="0"/>
    <w:pPr>
      <w:snapToGrid w:val="0"/>
      <w:jc w:val="left"/>
    </w:pPr>
    <w:rPr>
      <w:rFonts w:ascii="Times New Roman" w:hAnsi="Times New Roman" w:eastAsia="宋体" w:cs="Times New Roman"/>
      <w:szCs w:val="24"/>
    </w:rPr>
  </w:style>
  <w:style w:type="paragraph" w:styleId="54">
    <w:name w:val="List Continue 5"/>
    <w:basedOn w:val="1"/>
    <w:qFormat/>
    <w:uiPriority w:val="0"/>
    <w:pPr>
      <w:spacing w:after="120"/>
      <w:ind w:left="2100" w:leftChars="1000"/>
    </w:pPr>
    <w:rPr>
      <w:rFonts w:ascii="Times New Roman" w:hAnsi="Times New Roman" w:eastAsia="宋体" w:cs="Times New Roman"/>
      <w:szCs w:val="24"/>
    </w:rPr>
  </w:style>
  <w:style w:type="paragraph" w:styleId="55">
    <w:name w:val="Balloon Text"/>
    <w:basedOn w:val="1"/>
    <w:link w:val="116"/>
    <w:qFormat/>
    <w:uiPriority w:val="0"/>
    <w:rPr>
      <w:sz w:val="18"/>
      <w:szCs w:val="18"/>
    </w:rPr>
  </w:style>
  <w:style w:type="paragraph" w:styleId="56">
    <w:name w:val="footer"/>
    <w:basedOn w:val="1"/>
    <w:link w:val="113"/>
    <w:qFormat/>
    <w:uiPriority w:val="0"/>
    <w:pPr>
      <w:tabs>
        <w:tab w:val="center" w:pos="4153"/>
        <w:tab w:val="right" w:pos="8306"/>
      </w:tabs>
      <w:adjustRightInd w:val="0"/>
      <w:spacing w:line="240" w:lineRule="atLeast"/>
      <w:jc w:val="left"/>
      <w:textAlignment w:val="baseline"/>
    </w:pPr>
    <w:rPr>
      <w:sz w:val="18"/>
    </w:rPr>
  </w:style>
  <w:style w:type="paragraph" w:styleId="57">
    <w:name w:val="envelope return"/>
    <w:basedOn w:val="1"/>
    <w:qFormat/>
    <w:uiPriority w:val="0"/>
    <w:pPr>
      <w:snapToGrid w:val="0"/>
    </w:pPr>
    <w:rPr>
      <w:rFonts w:ascii="Arial" w:hAnsi="Arial" w:eastAsia="宋体" w:cs="Arial"/>
      <w:szCs w:val="24"/>
    </w:rPr>
  </w:style>
  <w:style w:type="paragraph" w:styleId="58">
    <w:name w:val="header"/>
    <w:basedOn w:val="1"/>
    <w:link w:val="109"/>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28"/>
    <w:qFormat/>
    <w:uiPriority w:val="0"/>
    <w:pPr>
      <w:ind w:left="100" w:leftChars="2100"/>
    </w:pPr>
    <w:rPr>
      <w:rFonts w:ascii="Times New Roman" w:hAnsi="Times New Roman" w:eastAsia="宋体" w:cs="Times New Roman"/>
      <w:szCs w:val="24"/>
    </w:rPr>
  </w:style>
  <w:style w:type="paragraph" w:styleId="60">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61">
    <w:name w:val="List Continue 4"/>
    <w:basedOn w:val="1"/>
    <w:qFormat/>
    <w:uiPriority w:val="0"/>
    <w:pPr>
      <w:spacing w:after="120"/>
      <w:ind w:left="1680" w:leftChars="800"/>
    </w:pPr>
    <w:rPr>
      <w:rFonts w:ascii="Times New Roman" w:hAnsi="Times New Roman" w:eastAsia="宋体" w:cs="Times New Roman"/>
      <w:szCs w:val="24"/>
    </w:rPr>
  </w:style>
  <w:style w:type="paragraph" w:styleId="62">
    <w:name w:val="toc 4"/>
    <w:basedOn w:val="1"/>
    <w:next w:val="1"/>
    <w:qFormat/>
    <w:uiPriority w:val="0"/>
    <w:pPr>
      <w:ind w:left="630"/>
      <w:jc w:val="left"/>
    </w:pPr>
    <w:rPr>
      <w:rFonts w:ascii="Times New Roman" w:hAnsi="Times New Roman" w:eastAsia="宋体" w:cs="Times New Roman"/>
      <w:sz w:val="18"/>
      <w:szCs w:val="18"/>
    </w:rPr>
  </w:style>
  <w:style w:type="paragraph" w:styleId="63">
    <w:name w:val="index heading"/>
    <w:basedOn w:val="1"/>
    <w:next w:val="64"/>
    <w:semiHidden/>
    <w:qFormat/>
    <w:uiPriority w:val="0"/>
    <w:rPr>
      <w:rFonts w:ascii="Arial" w:hAnsi="Arial" w:eastAsia="宋体" w:cs="Arial"/>
      <w:b/>
      <w:bCs/>
      <w:szCs w:val="24"/>
    </w:rPr>
  </w:style>
  <w:style w:type="paragraph" w:styleId="64">
    <w:name w:val="index 1"/>
    <w:basedOn w:val="1"/>
    <w:next w:val="1"/>
    <w:semiHidden/>
    <w:qFormat/>
    <w:uiPriority w:val="0"/>
    <w:rPr>
      <w:rFonts w:ascii="Times New Roman" w:hAnsi="Times New Roman" w:eastAsia="宋体" w:cs="Times New Roman"/>
      <w:szCs w:val="24"/>
    </w:rPr>
  </w:style>
  <w:style w:type="paragraph" w:styleId="65">
    <w:name w:val="Subtitle"/>
    <w:basedOn w:val="1"/>
    <w:link w:val="127"/>
    <w:qFormat/>
    <w:uiPriority w:val="0"/>
    <w:pPr>
      <w:spacing w:before="240" w:after="60" w:line="312" w:lineRule="auto"/>
      <w:jc w:val="center"/>
      <w:outlineLvl w:val="1"/>
    </w:pPr>
    <w:rPr>
      <w:rFonts w:ascii="Arial" w:hAnsi="Arial" w:eastAsia="宋体" w:cs="Arial"/>
      <w:b/>
      <w:bCs/>
      <w:kern w:val="28"/>
      <w:sz w:val="32"/>
      <w:szCs w:val="32"/>
    </w:rPr>
  </w:style>
  <w:style w:type="paragraph" w:styleId="66">
    <w:name w:val="List Number 5"/>
    <w:basedOn w:val="1"/>
    <w:qFormat/>
    <w:uiPriority w:val="0"/>
    <w:pPr>
      <w:tabs>
        <w:tab w:val="left" w:pos="2040"/>
      </w:tabs>
      <w:ind w:left="2040" w:hanging="360"/>
    </w:pPr>
    <w:rPr>
      <w:rFonts w:ascii="Times New Roman" w:hAnsi="Times New Roman" w:eastAsia="宋体" w:cs="Times New Roman"/>
      <w:szCs w:val="24"/>
    </w:rPr>
  </w:style>
  <w:style w:type="paragraph" w:styleId="67">
    <w:name w:val="List"/>
    <w:basedOn w:val="1"/>
    <w:qFormat/>
    <w:uiPriority w:val="0"/>
    <w:pPr>
      <w:tabs>
        <w:tab w:val="left" w:pos="360"/>
        <w:tab w:val="left" w:pos="709"/>
      </w:tabs>
      <w:spacing w:line="300" w:lineRule="auto"/>
      <w:ind w:left="363" w:hanging="170"/>
    </w:pPr>
    <w:rPr>
      <w:rFonts w:ascii="Times New Roman" w:hAnsi="Times New Roman" w:eastAsia="宋体" w:cs="Times New Roman"/>
      <w:spacing w:val="20"/>
      <w:szCs w:val="20"/>
    </w:rPr>
  </w:style>
  <w:style w:type="paragraph" w:styleId="68">
    <w:name w:val="footnote text"/>
    <w:basedOn w:val="1"/>
    <w:link w:val="202"/>
    <w:semiHidden/>
    <w:qFormat/>
    <w:uiPriority w:val="0"/>
    <w:pPr>
      <w:snapToGrid w:val="0"/>
      <w:jc w:val="left"/>
    </w:pPr>
    <w:rPr>
      <w:rFonts w:ascii="Times New Roman" w:hAnsi="Times New Roman" w:eastAsia="宋体" w:cs="Times New Roman"/>
      <w:sz w:val="18"/>
      <w:szCs w:val="18"/>
    </w:rPr>
  </w:style>
  <w:style w:type="paragraph" w:styleId="69">
    <w:name w:val="toc 6"/>
    <w:basedOn w:val="1"/>
    <w:next w:val="1"/>
    <w:qFormat/>
    <w:uiPriority w:val="0"/>
    <w:pPr>
      <w:ind w:left="1050"/>
      <w:jc w:val="left"/>
    </w:pPr>
    <w:rPr>
      <w:rFonts w:ascii="Times New Roman" w:hAnsi="Times New Roman" w:eastAsia="宋体" w:cs="Times New Roman"/>
      <w:sz w:val="18"/>
      <w:szCs w:val="18"/>
    </w:rPr>
  </w:style>
  <w:style w:type="paragraph" w:styleId="70">
    <w:name w:val="List 5"/>
    <w:basedOn w:val="1"/>
    <w:qFormat/>
    <w:uiPriority w:val="0"/>
    <w:pPr>
      <w:ind w:left="100" w:leftChars="800" w:hanging="200" w:hangingChars="200"/>
    </w:pPr>
    <w:rPr>
      <w:rFonts w:ascii="Times New Roman" w:hAnsi="Times New Roman" w:eastAsia="宋体" w:cs="Times New Roman"/>
      <w:szCs w:val="24"/>
    </w:rPr>
  </w:style>
  <w:style w:type="paragraph" w:styleId="71">
    <w:name w:val="Body Text Indent 3"/>
    <w:basedOn w:val="1"/>
    <w:link w:val="207"/>
    <w:qFormat/>
    <w:uiPriority w:val="0"/>
    <w:pPr>
      <w:spacing w:line="360" w:lineRule="auto"/>
      <w:ind w:firstLine="480" w:firstLineChars="200"/>
    </w:pPr>
    <w:rPr>
      <w:rFonts w:ascii="宋体" w:hAnsi="宋体" w:eastAsia="宋体" w:cs="Times New Roman"/>
      <w:sz w:val="24"/>
      <w:szCs w:val="24"/>
    </w:rPr>
  </w:style>
  <w:style w:type="paragraph" w:styleId="72">
    <w:name w:val="index 7"/>
    <w:basedOn w:val="1"/>
    <w:next w:val="1"/>
    <w:semiHidden/>
    <w:qFormat/>
    <w:uiPriority w:val="0"/>
    <w:pPr>
      <w:ind w:left="1200" w:leftChars="1200"/>
    </w:pPr>
    <w:rPr>
      <w:rFonts w:ascii="Times New Roman" w:hAnsi="Times New Roman" w:eastAsia="宋体" w:cs="Times New Roman"/>
      <w:szCs w:val="24"/>
    </w:rPr>
  </w:style>
  <w:style w:type="paragraph" w:styleId="73">
    <w:name w:val="index 9"/>
    <w:basedOn w:val="1"/>
    <w:next w:val="1"/>
    <w:semiHidden/>
    <w:qFormat/>
    <w:uiPriority w:val="0"/>
    <w:pPr>
      <w:ind w:left="1600" w:leftChars="1600"/>
    </w:pPr>
    <w:rPr>
      <w:rFonts w:ascii="Times New Roman" w:hAnsi="Times New Roman" w:eastAsia="宋体" w:cs="Times New Roman"/>
      <w:szCs w:val="24"/>
    </w:rPr>
  </w:style>
  <w:style w:type="paragraph" w:styleId="74">
    <w:name w:val="table of figures"/>
    <w:basedOn w:val="1"/>
    <w:next w:val="1"/>
    <w:semiHidden/>
    <w:qFormat/>
    <w:uiPriority w:val="0"/>
    <w:pPr>
      <w:ind w:left="200" w:leftChars="200" w:hanging="200" w:hangingChars="200"/>
    </w:pPr>
    <w:rPr>
      <w:rFonts w:ascii="Times New Roman" w:hAnsi="Times New Roman" w:eastAsia="宋体" w:cs="Times New Roman"/>
      <w:szCs w:val="24"/>
    </w:rPr>
  </w:style>
  <w:style w:type="paragraph" w:styleId="75">
    <w:name w:val="toc 2"/>
    <w:basedOn w:val="1"/>
    <w:next w:val="1"/>
    <w:qFormat/>
    <w:uiPriority w:val="0"/>
    <w:pPr>
      <w:ind w:left="210"/>
      <w:jc w:val="left"/>
    </w:pPr>
    <w:rPr>
      <w:rFonts w:ascii="Times New Roman" w:hAnsi="Times New Roman" w:eastAsia="宋体" w:cs="Times New Roman"/>
      <w:smallCaps/>
      <w:sz w:val="20"/>
      <w:szCs w:val="20"/>
    </w:rPr>
  </w:style>
  <w:style w:type="paragraph" w:styleId="76">
    <w:name w:val="toc 9"/>
    <w:basedOn w:val="1"/>
    <w:next w:val="1"/>
    <w:qFormat/>
    <w:uiPriority w:val="0"/>
    <w:pPr>
      <w:ind w:left="1680"/>
      <w:jc w:val="left"/>
    </w:pPr>
    <w:rPr>
      <w:rFonts w:ascii="Times New Roman" w:hAnsi="Times New Roman" w:eastAsia="宋体" w:cs="Times New Roman"/>
      <w:sz w:val="18"/>
      <w:szCs w:val="18"/>
    </w:rPr>
  </w:style>
  <w:style w:type="paragraph" w:styleId="77">
    <w:name w:val="Body Text 2"/>
    <w:basedOn w:val="1"/>
    <w:link w:val="115"/>
    <w:qFormat/>
    <w:uiPriority w:val="0"/>
    <w:rPr>
      <w:sz w:val="18"/>
      <w:szCs w:val="24"/>
    </w:rPr>
  </w:style>
  <w:style w:type="paragraph" w:styleId="78">
    <w:name w:val="List 4"/>
    <w:basedOn w:val="1"/>
    <w:qFormat/>
    <w:uiPriority w:val="0"/>
    <w:pPr>
      <w:ind w:left="100" w:leftChars="600" w:hanging="200" w:hangingChars="200"/>
    </w:pPr>
    <w:rPr>
      <w:rFonts w:ascii="Times New Roman" w:hAnsi="Times New Roman" w:eastAsia="宋体" w:cs="Times New Roman"/>
      <w:szCs w:val="24"/>
    </w:rPr>
  </w:style>
  <w:style w:type="paragraph" w:styleId="79">
    <w:name w:val="List Continue 2"/>
    <w:basedOn w:val="1"/>
    <w:qFormat/>
    <w:uiPriority w:val="0"/>
    <w:pPr>
      <w:spacing w:after="120"/>
      <w:ind w:left="840" w:leftChars="400"/>
    </w:pPr>
    <w:rPr>
      <w:rFonts w:ascii="Times New Roman" w:hAnsi="Times New Roman" w:eastAsia="宋体" w:cs="Times New Roman"/>
      <w:szCs w:val="24"/>
    </w:rPr>
  </w:style>
  <w:style w:type="paragraph" w:styleId="80">
    <w:name w:val="Message Header"/>
    <w:basedOn w:val="1"/>
    <w:link w:val="15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81">
    <w:name w:val="HTML Preformatted"/>
    <w:basedOn w:val="1"/>
    <w:link w:val="1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2">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83">
    <w:name w:val="List Continue 3"/>
    <w:basedOn w:val="1"/>
    <w:qFormat/>
    <w:uiPriority w:val="0"/>
    <w:pPr>
      <w:spacing w:after="120"/>
      <w:ind w:left="1260" w:leftChars="600"/>
    </w:pPr>
    <w:rPr>
      <w:rFonts w:ascii="Times New Roman" w:hAnsi="Times New Roman" w:eastAsia="宋体" w:cs="Times New Roman"/>
      <w:szCs w:val="24"/>
    </w:rPr>
  </w:style>
  <w:style w:type="paragraph" w:styleId="84">
    <w:name w:val="index 2"/>
    <w:basedOn w:val="1"/>
    <w:next w:val="1"/>
    <w:semiHidden/>
    <w:qFormat/>
    <w:uiPriority w:val="0"/>
    <w:pPr>
      <w:ind w:left="200" w:leftChars="200"/>
    </w:pPr>
    <w:rPr>
      <w:rFonts w:ascii="Times New Roman" w:hAnsi="Times New Roman" w:eastAsia="宋体" w:cs="Times New Roman"/>
      <w:szCs w:val="24"/>
    </w:rPr>
  </w:style>
  <w:style w:type="paragraph" w:styleId="85">
    <w:name w:val="Title"/>
    <w:basedOn w:val="1"/>
    <w:link w:val="119"/>
    <w:qFormat/>
    <w:uiPriority w:val="0"/>
    <w:pPr>
      <w:spacing w:before="240" w:after="60"/>
      <w:jc w:val="center"/>
      <w:outlineLvl w:val="0"/>
    </w:pPr>
    <w:rPr>
      <w:rFonts w:ascii="Arial" w:hAnsi="Arial"/>
      <w:b/>
      <w:bCs/>
      <w:sz w:val="32"/>
      <w:szCs w:val="32"/>
    </w:rPr>
  </w:style>
  <w:style w:type="paragraph" w:styleId="86">
    <w:name w:val="annotation subject"/>
    <w:basedOn w:val="28"/>
    <w:next w:val="28"/>
    <w:link w:val="108"/>
    <w:qFormat/>
    <w:uiPriority w:val="0"/>
    <w:rPr>
      <w:rFonts w:eastAsiaTheme="minorEastAsia"/>
      <w:b/>
      <w:bCs/>
    </w:rPr>
  </w:style>
  <w:style w:type="paragraph" w:styleId="87">
    <w:name w:val="Body Text First Indent"/>
    <w:basedOn w:val="34"/>
    <w:link w:val="117"/>
    <w:qFormat/>
    <w:uiPriority w:val="0"/>
    <w:pPr>
      <w:widowControl/>
      <w:ind w:firstLine="420" w:firstLineChars="100"/>
      <w:jc w:val="left"/>
    </w:pPr>
    <w:rPr>
      <w:rFonts w:ascii="楷体_GB2312" w:eastAsia="楷体_GB2312"/>
      <w:b/>
      <w:sz w:val="30"/>
    </w:rPr>
  </w:style>
  <w:style w:type="paragraph" w:styleId="88">
    <w:name w:val="Body Text First Indent 2"/>
    <w:basedOn w:val="35"/>
    <w:link w:val="168"/>
    <w:qFormat/>
    <w:uiPriority w:val="0"/>
    <w:pPr>
      <w:spacing w:after="120"/>
      <w:ind w:left="420" w:leftChars="200" w:firstLine="420" w:firstLineChars="200"/>
    </w:pPr>
    <w:rPr>
      <w:rFonts w:ascii="Times New Roman" w:hAnsi="Times New Roman"/>
    </w:rPr>
  </w:style>
  <w:style w:type="table" w:styleId="90">
    <w:name w:val="Table Grid"/>
    <w:basedOn w:val="8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qFormat/>
    <w:uiPriority w:val="0"/>
    <w:rPr>
      <w:rFonts w:eastAsia="黑体"/>
      <w:b/>
      <w:bCs/>
      <w:sz w:val="44"/>
    </w:rPr>
  </w:style>
  <w:style w:type="character" w:styleId="93">
    <w:name w:val="page number"/>
    <w:basedOn w:val="91"/>
    <w:qFormat/>
    <w:uiPriority w:val="0"/>
  </w:style>
  <w:style w:type="character" w:styleId="94">
    <w:name w:val="Hyperlink"/>
    <w:basedOn w:val="91"/>
    <w:qFormat/>
    <w:uiPriority w:val="99"/>
    <w:rPr>
      <w:color w:val="0000FF"/>
      <w:u w:val="single"/>
    </w:rPr>
  </w:style>
  <w:style w:type="character" w:styleId="95">
    <w:name w:val="annotation reference"/>
    <w:qFormat/>
    <w:uiPriority w:val="0"/>
    <w:rPr>
      <w:sz w:val="21"/>
      <w:szCs w:val="21"/>
    </w:rPr>
  </w:style>
  <w:style w:type="character" w:customStyle="1" w:styleId="96">
    <w:name w:val="标题 1 字符"/>
    <w:basedOn w:val="91"/>
    <w:link w:val="3"/>
    <w:qFormat/>
    <w:uiPriority w:val="0"/>
    <w:rPr>
      <w:rFonts w:ascii="宋体" w:hAnsi="宋体" w:eastAsia="宋体" w:cs="Times New Roman"/>
      <w:b/>
      <w:bCs/>
      <w:sz w:val="48"/>
      <w:szCs w:val="24"/>
    </w:rPr>
  </w:style>
  <w:style w:type="character" w:customStyle="1" w:styleId="97">
    <w:name w:val="标题 2 字符"/>
    <w:basedOn w:val="91"/>
    <w:link w:val="4"/>
    <w:qFormat/>
    <w:uiPriority w:val="0"/>
    <w:rPr>
      <w:rFonts w:ascii="宋体" w:hAnsi="宋体" w:eastAsia="宋体" w:cs="Times New Roman"/>
      <w:b/>
      <w:kern w:val="0"/>
      <w:sz w:val="30"/>
      <w:szCs w:val="20"/>
    </w:rPr>
  </w:style>
  <w:style w:type="character" w:customStyle="1" w:styleId="98">
    <w:name w:val="标题 3 字符"/>
    <w:basedOn w:val="91"/>
    <w:link w:val="5"/>
    <w:qFormat/>
    <w:uiPriority w:val="0"/>
    <w:rPr>
      <w:rFonts w:ascii="宋体" w:hAnsi="宋体" w:eastAsia="宋体" w:cs="Times New Roman"/>
      <w:b/>
      <w:kern w:val="0"/>
      <w:sz w:val="28"/>
      <w:szCs w:val="20"/>
    </w:rPr>
  </w:style>
  <w:style w:type="character" w:customStyle="1" w:styleId="99">
    <w:name w:val="标题 4 字符"/>
    <w:basedOn w:val="91"/>
    <w:link w:val="6"/>
    <w:qFormat/>
    <w:uiPriority w:val="0"/>
    <w:rPr>
      <w:rFonts w:ascii="Arial" w:hAnsi="Arial" w:eastAsia="黑体" w:cs="Times New Roman"/>
      <w:b/>
      <w:bCs/>
      <w:sz w:val="28"/>
      <w:szCs w:val="28"/>
    </w:rPr>
  </w:style>
  <w:style w:type="character" w:customStyle="1" w:styleId="100">
    <w:name w:val="标题 5 字符"/>
    <w:basedOn w:val="91"/>
    <w:link w:val="7"/>
    <w:qFormat/>
    <w:uiPriority w:val="0"/>
    <w:rPr>
      <w:rFonts w:ascii="Arial" w:hAnsi="Arial" w:eastAsia="宋体" w:cs="Times New Roman"/>
      <w:kern w:val="0"/>
      <w:sz w:val="22"/>
      <w:szCs w:val="20"/>
    </w:rPr>
  </w:style>
  <w:style w:type="character" w:customStyle="1" w:styleId="101">
    <w:name w:val="标题 6 字符"/>
    <w:basedOn w:val="91"/>
    <w:link w:val="8"/>
    <w:uiPriority w:val="0"/>
    <w:rPr>
      <w:rFonts w:ascii="Times New Roman" w:hAnsi="Arial" w:eastAsia="宋体" w:cs="Times New Roman"/>
      <w:i/>
      <w:kern w:val="0"/>
      <w:sz w:val="22"/>
      <w:szCs w:val="20"/>
    </w:rPr>
  </w:style>
  <w:style w:type="character" w:customStyle="1" w:styleId="102">
    <w:name w:val="标题 7 字符"/>
    <w:basedOn w:val="91"/>
    <w:link w:val="9"/>
    <w:uiPriority w:val="0"/>
    <w:rPr>
      <w:rFonts w:ascii="Arial" w:hAnsi="Arial" w:eastAsia="宋体" w:cs="Times New Roman"/>
      <w:kern w:val="0"/>
      <w:sz w:val="20"/>
      <w:szCs w:val="20"/>
    </w:rPr>
  </w:style>
  <w:style w:type="character" w:customStyle="1" w:styleId="103">
    <w:name w:val="标题 8 字符"/>
    <w:basedOn w:val="91"/>
    <w:link w:val="10"/>
    <w:qFormat/>
    <w:uiPriority w:val="0"/>
    <w:rPr>
      <w:rFonts w:ascii="Arial" w:hAnsi="Arial" w:eastAsia="宋体" w:cs="Times New Roman"/>
      <w:i/>
      <w:kern w:val="0"/>
      <w:sz w:val="20"/>
      <w:szCs w:val="20"/>
    </w:rPr>
  </w:style>
  <w:style w:type="character" w:customStyle="1" w:styleId="104">
    <w:name w:val="标题 9 字符"/>
    <w:basedOn w:val="91"/>
    <w:link w:val="11"/>
    <w:qFormat/>
    <w:uiPriority w:val="0"/>
    <w:rPr>
      <w:rFonts w:ascii="Arial" w:hAnsi="Arial" w:eastAsia="宋体" w:cs="Times New Roman"/>
      <w:b/>
      <w:i/>
      <w:kern w:val="0"/>
      <w:sz w:val="18"/>
      <w:szCs w:val="20"/>
    </w:rPr>
  </w:style>
  <w:style w:type="character" w:customStyle="1" w:styleId="105">
    <w:name w:val="正文文本缩进 字符"/>
    <w:link w:val="35"/>
    <w:qFormat/>
    <w:uiPriority w:val="0"/>
    <w:rPr>
      <w:rFonts w:ascii="Arial" w:hAnsi="Arial" w:eastAsia="宋体"/>
      <w:szCs w:val="24"/>
    </w:rPr>
  </w:style>
  <w:style w:type="character" w:customStyle="1" w:styleId="106">
    <w:name w:val="纯文本 字符"/>
    <w:link w:val="45"/>
    <w:locked/>
    <w:uiPriority w:val="0"/>
    <w:rPr>
      <w:rFonts w:ascii="宋体" w:hAnsi="Courier New" w:eastAsia="宋体"/>
    </w:rPr>
  </w:style>
  <w:style w:type="character" w:customStyle="1" w:styleId="107">
    <w:name w:val="批注文字 字符"/>
    <w:link w:val="28"/>
    <w:semiHidden/>
    <w:qFormat/>
    <w:uiPriority w:val="0"/>
    <w:rPr>
      <w:rFonts w:eastAsia="宋体"/>
      <w:szCs w:val="24"/>
    </w:rPr>
  </w:style>
  <w:style w:type="character" w:customStyle="1" w:styleId="108">
    <w:name w:val="批注主题 字符"/>
    <w:link w:val="86"/>
    <w:uiPriority w:val="0"/>
    <w:rPr>
      <w:b/>
      <w:bCs/>
      <w:szCs w:val="24"/>
    </w:rPr>
  </w:style>
  <w:style w:type="character" w:customStyle="1" w:styleId="109">
    <w:name w:val="页眉 字符"/>
    <w:link w:val="58"/>
    <w:uiPriority w:val="0"/>
    <w:rPr>
      <w:sz w:val="18"/>
      <w:szCs w:val="18"/>
    </w:rPr>
  </w:style>
  <w:style w:type="character" w:customStyle="1" w:styleId="110">
    <w:name w:val="文档结构图 字符"/>
    <w:link w:val="26"/>
    <w:qFormat/>
    <w:uiPriority w:val="0"/>
    <w:rPr>
      <w:szCs w:val="24"/>
      <w:shd w:val="clear" w:color="auto" w:fill="000080"/>
    </w:rPr>
  </w:style>
  <w:style w:type="character" w:customStyle="1" w:styleId="111">
    <w:name w:val="页脚2 Char"/>
    <w:link w:val="112"/>
    <w:qFormat/>
    <w:uiPriority w:val="0"/>
    <w:rPr>
      <w:rFonts w:ascii="宋体" w:hAnsi="宋体" w:eastAsia="宋体"/>
      <w:sz w:val="18"/>
      <w:szCs w:val="18"/>
    </w:rPr>
  </w:style>
  <w:style w:type="paragraph" w:customStyle="1" w:styleId="112">
    <w:name w:val="页脚2"/>
    <w:basedOn w:val="1"/>
    <w:link w:val="111"/>
    <w:qFormat/>
    <w:uiPriority w:val="0"/>
    <w:pPr>
      <w:widowControl/>
      <w:pBdr>
        <w:top w:val="single" w:color="auto" w:sz="6" w:space="0"/>
      </w:pBdr>
      <w:jc w:val="right"/>
      <w:textAlignment w:val="center"/>
    </w:pPr>
    <w:rPr>
      <w:rFonts w:ascii="宋体" w:hAnsi="宋体" w:eastAsia="宋体"/>
      <w:sz w:val="18"/>
      <w:szCs w:val="18"/>
    </w:rPr>
  </w:style>
  <w:style w:type="character" w:customStyle="1" w:styleId="113">
    <w:name w:val="页脚 字符"/>
    <w:link w:val="56"/>
    <w:uiPriority w:val="0"/>
    <w:rPr>
      <w:sz w:val="18"/>
    </w:rPr>
  </w:style>
  <w:style w:type="character" w:customStyle="1" w:styleId="114">
    <w:name w:val="p141_0"/>
    <w:qFormat/>
    <w:uiPriority w:val="0"/>
    <w:rPr>
      <w:sz w:val="21"/>
      <w:szCs w:val="21"/>
    </w:rPr>
  </w:style>
  <w:style w:type="character" w:customStyle="1" w:styleId="115">
    <w:name w:val="正文文本 2 字符"/>
    <w:link w:val="77"/>
    <w:qFormat/>
    <w:uiPriority w:val="0"/>
    <w:rPr>
      <w:sz w:val="18"/>
      <w:szCs w:val="24"/>
    </w:rPr>
  </w:style>
  <w:style w:type="character" w:customStyle="1" w:styleId="116">
    <w:name w:val="批注框文本 字符"/>
    <w:link w:val="55"/>
    <w:qFormat/>
    <w:uiPriority w:val="0"/>
    <w:rPr>
      <w:sz w:val="18"/>
      <w:szCs w:val="18"/>
    </w:rPr>
  </w:style>
  <w:style w:type="character" w:customStyle="1" w:styleId="117">
    <w:name w:val="正文文本首行缩进 字符"/>
    <w:link w:val="87"/>
    <w:qFormat/>
    <w:uiPriority w:val="0"/>
    <w:rPr>
      <w:rFonts w:ascii="楷体_GB2312" w:eastAsia="楷体_GB2312"/>
      <w:b/>
      <w:sz w:val="30"/>
      <w:szCs w:val="24"/>
    </w:rPr>
  </w:style>
  <w:style w:type="character" w:customStyle="1" w:styleId="118">
    <w:name w:val="正文文本 3 字符"/>
    <w:link w:val="31"/>
    <w:qFormat/>
    <w:uiPriority w:val="0"/>
    <w:rPr>
      <w:sz w:val="24"/>
    </w:rPr>
  </w:style>
  <w:style w:type="character" w:customStyle="1" w:styleId="119">
    <w:name w:val="标题 字符"/>
    <w:link w:val="85"/>
    <w:uiPriority w:val="0"/>
    <w:rPr>
      <w:rFonts w:ascii="Arial" w:hAnsi="Arial"/>
      <w:b/>
      <w:bCs/>
      <w:sz w:val="32"/>
      <w:szCs w:val="32"/>
    </w:rPr>
  </w:style>
  <w:style w:type="character" w:customStyle="1" w:styleId="120">
    <w:name w:val="font31"/>
    <w:basedOn w:val="91"/>
    <w:qFormat/>
    <w:uiPriority w:val="0"/>
    <w:rPr>
      <w:rFonts w:hint="eastAsia" w:ascii="宋体" w:hAnsi="宋体" w:eastAsia="宋体" w:cs="宋体"/>
      <w:color w:val="000000"/>
      <w:sz w:val="24"/>
      <w:szCs w:val="24"/>
      <w:u w:val="none"/>
    </w:rPr>
  </w:style>
  <w:style w:type="character" w:customStyle="1" w:styleId="121">
    <w:name w:val="列表段落 字符"/>
    <w:link w:val="122"/>
    <w:uiPriority w:val="0"/>
    <w:rPr>
      <w:rFonts w:ascii="Calibri" w:hAnsi="Calibri"/>
    </w:rPr>
  </w:style>
  <w:style w:type="paragraph" w:styleId="122">
    <w:name w:val="List Paragraph"/>
    <w:basedOn w:val="1"/>
    <w:link w:val="121"/>
    <w:qFormat/>
    <w:uiPriority w:val="0"/>
    <w:pPr>
      <w:ind w:firstLine="420" w:firstLineChars="200"/>
    </w:pPr>
    <w:rPr>
      <w:rFonts w:ascii="Calibri" w:hAnsi="Calibri"/>
    </w:rPr>
  </w:style>
  <w:style w:type="character" w:customStyle="1" w:styleId="123">
    <w:name w:val="正文文本 字符"/>
    <w:link w:val="34"/>
    <w:qFormat/>
    <w:uiPriority w:val="0"/>
    <w:rPr>
      <w:rFonts w:eastAsia="宋体"/>
      <w:szCs w:val="24"/>
    </w:rPr>
  </w:style>
  <w:style w:type="character" w:customStyle="1" w:styleId="124">
    <w:name w:val="正文缩进 字符"/>
    <w:link w:val="21"/>
    <w:uiPriority w:val="0"/>
  </w:style>
  <w:style w:type="paragraph" w:customStyle="1" w:styleId="125">
    <w:name w:val="Char Char Char Char 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26">
    <w:name w:val="样式4"/>
    <w:basedOn w:val="1"/>
    <w:qFormat/>
    <w:uiPriority w:val="0"/>
    <w:pPr>
      <w:tabs>
        <w:tab w:val="left" w:pos="2328"/>
      </w:tabs>
      <w:ind w:left="2328" w:hanging="708"/>
    </w:pPr>
    <w:rPr>
      <w:rFonts w:ascii="Times New Roman" w:hAnsi="Times New Roman" w:eastAsia="宋体" w:cs="Times New Roman"/>
      <w:szCs w:val="24"/>
    </w:rPr>
  </w:style>
  <w:style w:type="character" w:customStyle="1" w:styleId="127">
    <w:name w:val="副标题 字符"/>
    <w:basedOn w:val="91"/>
    <w:link w:val="65"/>
    <w:qFormat/>
    <w:uiPriority w:val="0"/>
    <w:rPr>
      <w:rFonts w:ascii="Arial" w:hAnsi="Arial" w:eastAsia="宋体" w:cs="Arial"/>
      <w:b/>
      <w:bCs/>
      <w:kern w:val="28"/>
      <w:sz w:val="32"/>
      <w:szCs w:val="32"/>
    </w:rPr>
  </w:style>
  <w:style w:type="character" w:customStyle="1" w:styleId="128">
    <w:name w:val="签名 字符"/>
    <w:basedOn w:val="91"/>
    <w:link w:val="59"/>
    <w:qFormat/>
    <w:uiPriority w:val="0"/>
    <w:rPr>
      <w:rFonts w:ascii="Times New Roman" w:hAnsi="Times New Roman" w:eastAsia="宋体" w:cs="Times New Roman"/>
      <w:szCs w:val="24"/>
    </w:rPr>
  </w:style>
  <w:style w:type="paragraph" w:customStyle="1" w:styleId="129">
    <w:name w:val="Table Paragraph"/>
    <w:basedOn w:val="1"/>
    <w:qFormat/>
    <w:uiPriority w:val="0"/>
    <w:pPr>
      <w:jc w:val="left"/>
    </w:pPr>
    <w:rPr>
      <w:rFonts w:ascii="Calibri" w:hAnsi="Calibri" w:eastAsia="宋体" w:cs="Times New Roman"/>
      <w:kern w:val="0"/>
      <w:sz w:val="22"/>
      <w:lang w:eastAsia="en-US"/>
    </w:rPr>
  </w:style>
  <w:style w:type="paragraph" w:customStyle="1" w:styleId="130">
    <w:name w:val="样式"/>
    <w:basedOn w:val="1"/>
    <w:next w:val="35"/>
    <w:qFormat/>
    <w:uiPriority w:val="0"/>
    <w:pPr>
      <w:jc w:val="center"/>
    </w:pPr>
    <w:rPr>
      <w:rFonts w:ascii="宋体" w:hAnsi="宋体" w:eastAsia="宋体" w:cs="Times New Roman"/>
      <w:color w:val="FF0000"/>
      <w:sz w:val="24"/>
      <w:szCs w:val="24"/>
    </w:rPr>
  </w:style>
  <w:style w:type="character" w:customStyle="1" w:styleId="131">
    <w:name w:val="正文文本 3 字符1"/>
    <w:basedOn w:val="91"/>
    <w:semiHidden/>
    <w:uiPriority w:val="99"/>
    <w:rPr>
      <w:sz w:val="16"/>
      <w:szCs w:val="16"/>
    </w:rPr>
  </w:style>
  <w:style w:type="paragraph" w:customStyle="1" w:styleId="132">
    <w:name w:val="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33">
    <w:name w:val="Char1 Char Char Char"/>
    <w:basedOn w:val="1"/>
    <w:qFormat/>
    <w:uiPriority w:val="0"/>
    <w:rPr>
      <w:rFonts w:ascii="Times New Roman" w:hAnsi="Times New Roman" w:eastAsia="宋体" w:cs="Times New Roman"/>
      <w:szCs w:val="20"/>
    </w:rPr>
  </w:style>
  <w:style w:type="character" w:customStyle="1" w:styleId="134">
    <w:name w:val="页眉 字符1"/>
    <w:basedOn w:val="91"/>
    <w:semiHidden/>
    <w:uiPriority w:val="99"/>
    <w:rPr>
      <w:sz w:val="18"/>
      <w:szCs w:val="18"/>
    </w:rPr>
  </w:style>
  <w:style w:type="paragraph" w:customStyle="1" w:styleId="135">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37">
    <w:name w:val="正文文本缩进 2 字符"/>
    <w:basedOn w:val="91"/>
    <w:link w:val="52"/>
    <w:qFormat/>
    <w:uiPriority w:val="0"/>
    <w:rPr>
      <w:rFonts w:ascii="宋体" w:hAnsi="宋体" w:eastAsia="宋体" w:cs="Times New Roman"/>
      <w:sz w:val="24"/>
      <w:szCs w:val="24"/>
    </w:rPr>
  </w:style>
  <w:style w:type="paragraph" w:customStyle="1" w:styleId="13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139">
    <w:name w:val="Char Char Char Char Char Char1 Char1"/>
    <w:basedOn w:val="1"/>
    <w:qFormat/>
    <w:uiPriority w:val="0"/>
    <w:pPr>
      <w:widowControl/>
      <w:spacing w:after="160" w:line="240" w:lineRule="exact"/>
      <w:jc w:val="left"/>
    </w:pPr>
    <w:rPr>
      <w:rFonts w:ascii="Arial" w:hAnsi="Arial" w:eastAsia="楷体_GB2312" w:cs="Verdana"/>
      <w:b/>
      <w:kern w:val="0"/>
      <w:sz w:val="24"/>
      <w:szCs w:val="24"/>
      <w:lang w:eastAsia="en-US"/>
    </w:rPr>
  </w:style>
  <w:style w:type="paragraph" w:customStyle="1" w:styleId="14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1">
    <w:name w:val="HTML 地址 字符"/>
    <w:basedOn w:val="91"/>
    <w:link w:val="41"/>
    <w:qFormat/>
    <w:uiPriority w:val="0"/>
    <w:rPr>
      <w:rFonts w:ascii="Times New Roman" w:hAnsi="Times New Roman" w:eastAsia="宋体" w:cs="Times New Roman"/>
      <w:i/>
      <w:iCs/>
      <w:szCs w:val="24"/>
    </w:rPr>
  </w:style>
  <w:style w:type="paragraph" w:customStyle="1" w:styleId="142">
    <w:name w:val="xl29"/>
    <w:basedOn w:val="1"/>
    <w:qFormat/>
    <w:uiPriority w:val="0"/>
    <w:pPr>
      <w:widowControl/>
      <w:spacing w:before="100" w:beforeAutospacing="1" w:after="100" w:afterAutospacing="1"/>
      <w:jc w:val="center"/>
    </w:pPr>
    <w:rPr>
      <w:rFonts w:ascii="宋体" w:hAnsi="宋体" w:eastAsia="宋体" w:cs="Times New Roman"/>
      <w:kern w:val="0"/>
      <w:sz w:val="28"/>
      <w:szCs w:val="28"/>
    </w:rPr>
  </w:style>
  <w:style w:type="character" w:customStyle="1" w:styleId="143">
    <w:name w:val="正文文本 字符1"/>
    <w:basedOn w:val="91"/>
    <w:semiHidden/>
    <w:qFormat/>
    <w:uiPriority w:val="99"/>
  </w:style>
  <w:style w:type="character" w:customStyle="1" w:styleId="144">
    <w:name w:val="宏文本 字符"/>
    <w:basedOn w:val="91"/>
    <w:link w:val="2"/>
    <w:semiHidden/>
    <w:qFormat/>
    <w:uiPriority w:val="0"/>
    <w:rPr>
      <w:rFonts w:ascii="Courier New" w:hAnsi="Courier New" w:eastAsia="宋体" w:cs="Courier New"/>
      <w:sz w:val="24"/>
      <w:szCs w:val="24"/>
    </w:rPr>
  </w:style>
  <w:style w:type="paragraph" w:customStyle="1" w:styleId="14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47">
    <w:name w:val="Char Char Char1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148">
    <w:name w:val=" Char1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49">
    <w:name w:val="Char Char Char"/>
    <w:basedOn w:val="1"/>
    <w:uiPriority w:val="0"/>
    <w:rPr>
      <w:rFonts w:ascii="宋体" w:hAnsi="宋体" w:eastAsia="宋体" w:cs="Times New Roman"/>
      <w:b/>
      <w:sz w:val="28"/>
      <w:szCs w:val="28"/>
    </w:rPr>
  </w:style>
  <w:style w:type="paragraph" w:customStyle="1" w:styleId="150">
    <w:name w:val="表格和图形名称"/>
    <w:basedOn w:val="1"/>
    <w:next w:val="1"/>
    <w:qFormat/>
    <w:uiPriority w:val="0"/>
    <w:pPr>
      <w:widowControl/>
      <w:spacing w:afterLines="50" w:line="360" w:lineRule="auto"/>
      <w:jc w:val="center"/>
    </w:pPr>
    <w:rPr>
      <w:rFonts w:ascii="Times New Roman" w:hAnsi="Times New Roman" w:eastAsia="宋体" w:cs="Times New Roman"/>
      <w:kern w:val="0"/>
      <w:szCs w:val="20"/>
    </w:rPr>
  </w:style>
  <w:style w:type="paragraph" w:customStyle="1" w:styleId="151">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53">
    <w:name w:val="表"/>
    <w:basedOn w:val="1"/>
    <w:qFormat/>
    <w:uiPriority w:val="0"/>
    <w:pPr>
      <w:spacing w:line="460" w:lineRule="exact"/>
    </w:pPr>
    <w:rPr>
      <w:rFonts w:ascii="宋体" w:hAnsi="宋体" w:eastAsia="宋体" w:cs="Times New Roman"/>
      <w:b/>
      <w:bCs/>
      <w:szCs w:val="20"/>
    </w:rPr>
  </w:style>
  <w:style w:type="character" w:customStyle="1" w:styleId="154">
    <w:name w:val="正文文本首行缩进 字符1"/>
    <w:basedOn w:val="143"/>
    <w:semiHidden/>
    <w:qFormat/>
    <w:uiPriority w:val="99"/>
  </w:style>
  <w:style w:type="character" w:customStyle="1" w:styleId="155">
    <w:name w:val="正文文本缩进 字符1"/>
    <w:basedOn w:val="91"/>
    <w:semiHidden/>
    <w:qFormat/>
    <w:uiPriority w:val="99"/>
  </w:style>
  <w:style w:type="paragraph" w:customStyle="1" w:styleId="156">
    <w:name w:val="正文_0_0"/>
    <w:qFormat/>
    <w:uiPriority w:val="0"/>
    <w:rPr>
      <w:rFonts w:ascii="Times New Roman" w:hAnsi="Times New Roman" w:eastAsia="宋体" w:cs="Times New Roman"/>
      <w:kern w:val="0"/>
      <w:sz w:val="21"/>
      <w:szCs w:val="20"/>
      <w:lang w:val="en-US" w:eastAsia="zh-CN" w:bidi="ar-SA"/>
    </w:rPr>
  </w:style>
  <w:style w:type="paragraph" w:customStyle="1" w:styleId="157">
    <w:name w:val="Char2"/>
    <w:basedOn w:val="1"/>
    <w:qFormat/>
    <w:uiPriority w:val="0"/>
    <w:rPr>
      <w:rFonts w:ascii="Tahoma" w:hAnsi="Tahoma" w:eastAsia="宋体" w:cs="Times New Roman"/>
      <w:sz w:val="24"/>
      <w:szCs w:val="20"/>
    </w:rPr>
  </w:style>
  <w:style w:type="character" w:customStyle="1" w:styleId="158">
    <w:name w:val="信息标题 字符"/>
    <w:basedOn w:val="91"/>
    <w:link w:val="80"/>
    <w:qFormat/>
    <w:uiPriority w:val="0"/>
    <w:rPr>
      <w:rFonts w:ascii="Arial" w:hAnsi="Arial" w:eastAsia="宋体" w:cs="Arial"/>
      <w:sz w:val="24"/>
      <w:szCs w:val="24"/>
      <w:shd w:val="pct20" w:color="auto" w:fill="auto"/>
    </w:rPr>
  </w:style>
  <w:style w:type="paragraph" w:customStyle="1" w:styleId="159">
    <w:name w:val="Char Char2 Char"/>
    <w:basedOn w:val="1"/>
    <w:uiPriority w:val="0"/>
    <w:rPr>
      <w:rFonts w:ascii="Times New Roman" w:hAnsi="Times New Roman" w:eastAsia="宋体" w:cs="Times New Roman"/>
      <w:szCs w:val="24"/>
    </w:rPr>
  </w:style>
  <w:style w:type="paragraph" w:customStyle="1" w:styleId="160">
    <w:name w:val="列出段落1"/>
    <w:basedOn w:val="1"/>
    <w:qFormat/>
    <w:uiPriority w:val="0"/>
    <w:pPr>
      <w:ind w:firstLine="420" w:firstLineChars="200"/>
    </w:pPr>
    <w:rPr>
      <w:rFonts w:ascii="Times New Roman" w:hAnsi="Times New Roman" w:eastAsia="宋体" w:cs="Times New Roman"/>
      <w:szCs w:val="24"/>
    </w:rPr>
  </w:style>
  <w:style w:type="character" w:customStyle="1" w:styleId="161">
    <w:name w:val="批注框文本 字符1"/>
    <w:basedOn w:val="91"/>
    <w:semiHidden/>
    <w:qFormat/>
    <w:uiPriority w:val="99"/>
    <w:rPr>
      <w:sz w:val="18"/>
      <w:szCs w:val="18"/>
    </w:rPr>
  </w:style>
  <w:style w:type="paragraph" w:customStyle="1" w:styleId="162">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63">
    <w:name w:val="Char Char Char Char Char Char Char Char Char Char1"/>
    <w:basedOn w:val="1"/>
    <w:qFormat/>
    <w:uiPriority w:val="0"/>
    <w:rPr>
      <w:rFonts w:ascii="Tahoma" w:hAnsi="Tahoma" w:eastAsia="宋体" w:cs="Times New Roman"/>
      <w:sz w:val="24"/>
      <w:szCs w:val="20"/>
    </w:rPr>
  </w:style>
  <w:style w:type="paragraph" w:customStyle="1" w:styleId="164">
    <w:name w:val="Char1 Char Char Char1"/>
    <w:basedOn w:val="1"/>
    <w:qFormat/>
    <w:uiPriority w:val="0"/>
    <w:pPr>
      <w:ind w:left="420" w:hanging="420"/>
    </w:pPr>
    <w:rPr>
      <w:rFonts w:ascii="Times New Roman" w:hAnsi="Times New Roman" w:eastAsia="宋体" w:cs="Times New Roman"/>
      <w:sz w:val="24"/>
      <w:szCs w:val="24"/>
    </w:rPr>
  </w:style>
  <w:style w:type="paragraph" w:customStyle="1" w:styleId="165">
    <w:name w:val="样式 宋体 小四 行距: 1.5 倍行距"/>
    <w:basedOn w:val="1"/>
    <w:qFormat/>
    <w:uiPriority w:val="0"/>
    <w:rPr>
      <w:rFonts w:ascii="宋体" w:hAnsi="宋体" w:eastAsia="宋体" w:cs="宋体"/>
      <w:sz w:val="28"/>
      <w:szCs w:val="24"/>
    </w:rPr>
  </w:style>
  <w:style w:type="paragraph" w:customStyle="1" w:styleId="166">
    <w:name w:val="Style Body Text + 12 pt"/>
    <w:basedOn w:val="34"/>
    <w:qFormat/>
    <w:uiPriority w:val="0"/>
    <w:pPr>
      <w:widowControl/>
      <w:tabs>
        <w:tab w:val="left" w:pos="2487"/>
      </w:tabs>
      <w:spacing w:before="120"/>
      <w:ind w:left="2487" w:hanging="360"/>
    </w:pPr>
    <w:rPr>
      <w:kern w:val="0"/>
      <w:sz w:val="24"/>
      <w:szCs w:val="20"/>
      <w:lang w:val="zh-CN"/>
    </w:rPr>
  </w:style>
  <w:style w:type="paragraph" w:customStyle="1" w:styleId="167">
    <w:name w:val="正文_1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正文文本首行缩进 2 字符"/>
    <w:basedOn w:val="155"/>
    <w:link w:val="88"/>
    <w:uiPriority w:val="0"/>
    <w:rPr>
      <w:rFonts w:ascii="Times New Roman" w:hAnsi="Times New Roman" w:eastAsia="宋体"/>
      <w:szCs w:val="24"/>
    </w:rPr>
  </w:style>
  <w:style w:type="character" w:customStyle="1" w:styleId="169">
    <w:name w:val="尾注文本 字符"/>
    <w:basedOn w:val="91"/>
    <w:link w:val="53"/>
    <w:semiHidden/>
    <w:qFormat/>
    <w:uiPriority w:val="0"/>
    <w:rPr>
      <w:rFonts w:ascii="Times New Roman" w:hAnsi="Times New Roman" w:eastAsia="宋体" w:cs="Times New Roman"/>
      <w:szCs w:val="24"/>
    </w:rPr>
  </w:style>
  <w:style w:type="paragraph" w:customStyle="1" w:styleId="170">
    <w:name w:val="List Paragraph1"/>
    <w:basedOn w:val="1"/>
    <w:uiPriority w:val="0"/>
    <w:pPr>
      <w:ind w:firstLine="420" w:firstLineChars="200"/>
    </w:pPr>
    <w:rPr>
      <w:rFonts w:ascii="Times New Roman" w:hAnsi="Times New Roman" w:eastAsia="宋体" w:cs="Times New Roman"/>
      <w:szCs w:val="24"/>
    </w:rPr>
  </w:style>
  <w:style w:type="paragraph" w:customStyle="1" w:styleId="171">
    <w:name w:val="标准"/>
    <w:basedOn w:val="1"/>
    <w:qFormat/>
    <w:uiPriority w:val="0"/>
    <w:pPr>
      <w:overflowPunct w:val="0"/>
      <w:autoSpaceDE w:val="0"/>
      <w:autoSpaceDN w:val="0"/>
      <w:adjustRightInd w:val="0"/>
      <w:spacing w:line="240" w:lineRule="atLeast"/>
      <w:textAlignment w:val="baseline"/>
    </w:pPr>
    <w:rPr>
      <w:rFonts w:ascii="Times New Roman" w:hAnsi="Times New Roman" w:eastAsia="楷体_GB2312" w:cs="Times New Roman"/>
      <w:kern w:val="0"/>
      <w:sz w:val="24"/>
      <w:szCs w:val="20"/>
    </w:rPr>
  </w:style>
  <w:style w:type="paragraph" w:customStyle="1" w:styleId="172">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cs="Times New Roman"/>
      <w:kern w:val="0"/>
      <w:sz w:val="20"/>
      <w:szCs w:val="20"/>
    </w:rPr>
  </w:style>
  <w:style w:type="character" w:customStyle="1" w:styleId="173">
    <w:name w:val="HTML 预设格式 字符"/>
    <w:basedOn w:val="91"/>
    <w:link w:val="81"/>
    <w:qFormat/>
    <w:uiPriority w:val="0"/>
    <w:rPr>
      <w:rFonts w:ascii="黑体" w:hAnsi="Courier New" w:eastAsia="黑体" w:cs="Courier New"/>
      <w:kern w:val="0"/>
      <w:sz w:val="20"/>
      <w:szCs w:val="20"/>
    </w:rPr>
  </w:style>
  <w:style w:type="paragraph" w:customStyle="1" w:styleId="174">
    <w:name w:val="Char Char Char Char Char Char Char Char Char Char"/>
    <w:basedOn w:val="1"/>
    <w:qFormat/>
    <w:uiPriority w:val="0"/>
    <w:rPr>
      <w:rFonts w:ascii="Tahoma" w:hAnsi="Tahoma" w:eastAsia="宋体" w:cs="Times New Roman"/>
      <w:sz w:val="24"/>
      <w:szCs w:val="20"/>
    </w:rPr>
  </w:style>
  <w:style w:type="paragraph" w:customStyle="1" w:styleId="175">
    <w:name w:val="样式1"/>
    <w:basedOn w:val="1"/>
    <w:qFormat/>
    <w:uiPriority w:val="0"/>
    <w:pPr>
      <w:spacing w:line="440" w:lineRule="atLeast"/>
      <w:outlineLvl w:val="0"/>
    </w:pPr>
    <w:rPr>
      <w:rFonts w:ascii="宋体" w:hAnsi="宋体" w:eastAsia="宋体" w:cs="Times New Roman"/>
      <w:sz w:val="24"/>
      <w:szCs w:val="24"/>
    </w:rPr>
  </w:style>
  <w:style w:type="paragraph" w:customStyle="1" w:styleId="176">
    <w:name w:val="标题 4_0"/>
    <w:basedOn w:val="140"/>
    <w:next w:val="140"/>
    <w:qFormat/>
    <w:uiPriority w:val="9"/>
    <w:pPr>
      <w:keepNext/>
      <w:keepLines/>
      <w:spacing w:before="280" w:after="290" w:line="376" w:lineRule="auto"/>
      <w:outlineLvl w:val="3"/>
    </w:pPr>
    <w:rPr>
      <w:rFonts w:ascii="Cambria" w:hAnsi="Cambria"/>
      <w:b/>
      <w:bCs/>
      <w:sz w:val="28"/>
      <w:szCs w:val="28"/>
    </w:rPr>
  </w:style>
  <w:style w:type="character" w:customStyle="1" w:styleId="177">
    <w:name w:val="日期 字符"/>
    <w:basedOn w:val="91"/>
    <w:link w:val="51"/>
    <w:qFormat/>
    <w:uiPriority w:val="0"/>
    <w:rPr>
      <w:rFonts w:ascii="Times New Roman" w:hAnsi="Times New Roman" w:eastAsia="宋体" w:cs="Times New Roman"/>
      <w:kern w:val="0"/>
      <w:sz w:val="32"/>
      <w:szCs w:val="20"/>
    </w:rPr>
  </w:style>
  <w:style w:type="paragraph" w:customStyle="1" w:styleId="178">
    <w:name w:val="Char 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79">
    <w:name w:val="纯文本 字符1"/>
    <w:basedOn w:val="91"/>
    <w:semiHidden/>
    <w:uiPriority w:val="99"/>
    <w:rPr>
      <w:rFonts w:hAnsi="Courier New" w:cs="Courier New" w:asciiTheme="minorEastAsia"/>
    </w:rPr>
  </w:style>
  <w:style w:type="paragraph" w:customStyle="1" w:styleId="180">
    <w:name w:val="130"/>
    <w:basedOn w:val="1"/>
    <w:qFormat/>
    <w:uiPriority w:val="0"/>
    <w:pPr>
      <w:widowControl/>
      <w:spacing w:before="100" w:beforeAutospacing="1" w:after="100" w:afterAutospacing="1" w:line="324" w:lineRule="auto"/>
      <w:jc w:val="left"/>
    </w:pPr>
    <w:rPr>
      <w:rFonts w:ascii="宋体" w:hAnsi="宋体" w:eastAsia="宋体" w:cs="Times New Roman"/>
      <w:color w:val="000000"/>
      <w:kern w:val="0"/>
      <w:sz w:val="24"/>
      <w:szCs w:val="24"/>
    </w:rPr>
  </w:style>
  <w:style w:type="paragraph" w:customStyle="1" w:styleId="181">
    <w:name w:val="qw"/>
    <w:qFormat/>
    <w:uiPriority w:val="0"/>
    <w:pPr>
      <w:widowControl w:val="0"/>
      <w:adjustRightInd w:val="0"/>
      <w:spacing w:line="312" w:lineRule="atLeast"/>
      <w:jc w:val="both"/>
      <w:textAlignment w:val="baseline"/>
    </w:pPr>
    <w:rPr>
      <w:rFonts w:ascii="宋体" w:hAnsi="Times New Roman" w:eastAsia="宋体" w:cs="Times New Roman"/>
      <w:kern w:val="0"/>
      <w:sz w:val="24"/>
      <w:szCs w:val="20"/>
      <w:lang w:val="en-US" w:eastAsia="zh-CN" w:bidi="ar-SA"/>
    </w:rPr>
  </w:style>
  <w:style w:type="paragraph" w:customStyle="1" w:styleId="182">
    <w:name w:val="列出段落11"/>
    <w:basedOn w:val="1"/>
    <w:qFormat/>
    <w:uiPriority w:val="0"/>
    <w:pPr>
      <w:ind w:firstLine="420" w:firstLineChars="200"/>
    </w:pPr>
    <w:rPr>
      <w:rFonts w:ascii="Calibri" w:hAnsi="Calibri" w:eastAsia="宋体" w:cs="Times New Roman"/>
    </w:rPr>
  </w:style>
  <w:style w:type="paragraph" w:customStyle="1" w:styleId="183">
    <w:name w:val="正文1"/>
    <w:basedOn w:val="1"/>
    <w:qFormat/>
    <w:uiPriority w:val="0"/>
    <w:pPr>
      <w:adjustRightInd w:val="0"/>
      <w:spacing w:line="312" w:lineRule="atLeast"/>
    </w:pPr>
    <w:rPr>
      <w:rFonts w:ascii="Times New Roman" w:hAnsi="Times New Roman" w:eastAsia="宋体" w:cs="Times New Roman"/>
      <w:kern w:val="0"/>
      <w:sz w:val="28"/>
      <w:szCs w:val="20"/>
    </w:rPr>
  </w:style>
  <w:style w:type="paragraph" w:customStyle="1" w:styleId="184">
    <w:name w:val="Char Char Char1"/>
    <w:basedOn w:val="1"/>
    <w:qFormat/>
    <w:uiPriority w:val="0"/>
    <w:rPr>
      <w:rFonts w:ascii="宋体" w:hAnsi="宋体" w:eastAsia="宋体" w:cs="Times New Roman"/>
      <w:b/>
      <w:sz w:val="28"/>
      <w:szCs w:val="28"/>
    </w:rPr>
  </w:style>
  <w:style w:type="character" w:customStyle="1" w:styleId="185">
    <w:name w:val="文档结构图 字符1"/>
    <w:basedOn w:val="91"/>
    <w:semiHidden/>
    <w:qFormat/>
    <w:uiPriority w:val="99"/>
    <w:rPr>
      <w:rFonts w:ascii="Microsoft YaHei UI" w:eastAsia="Microsoft YaHei UI"/>
      <w:sz w:val="18"/>
      <w:szCs w:val="18"/>
    </w:rPr>
  </w:style>
  <w:style w:type="character" w:customStyle="1" w:styleId="186">
    <w:name w:val="批注文字 字符1"/>
    <w:basedOn w:val="91"/>
    <w:semiHidden/>
    <w:uiPriority w:val="99"/>
  </w:style>
  <w:style w:type="character" w:customStyle="1" w:styleId="187">
    <w:name w:val="标题 字符1"/>
    <w:basedOn w:val="91"/>
    <w:qFormat/>
    <w:uiPriority w:val="10"/>
    <w:rPr>
      <w:rFonts w:asciiTheme="majorHAnsi" w:hAnsiTheme="majorHAnsi" w:eastAsiaTheme="majorEastAsia" w:cstheme="majorBidi"/>
      <w:b/>
      <w:bCs/>
      <w:sz w:val="32"/>
      <w:szCs w:val="32"/>
    </w:rPr>
  </w:style>
  <w:style w:type="character" w:customStyle="1" w:styleId="188">
    <w:name w:val="注释标题 字符"/>
    <w:basedOn w:val="91"/>
    <w:link w:val="16"/>
    <w:qFormat/>
    <w:uiPriority w:val="0"/>
    <w:rPr>
      <w:rFonts w:ascii="Times New Roman" w:hAnsi="Times New Roman" w:eastAsia="宋体" w:cs="Times New Roman"/>
      <w:szCs w:val="24"/>
    </w:rPr>
  </w:style>
  <w:style w:type="paragraph" w:customStyle="1" w:styleId="189">
    <w:name w:val="Char Char1 Char Char Char Char1"/>
    <w:basedOn w:val="1"/>
    <w:qFormat/>
    <w:uiPriority w:val="0"/>
    <w:pPr>
      <w:widowControl/>
      <w:spacing w:after="160" w:line="240" w:lineRule="exact"/>
      <w:jc w:val="left"/>
    </w:pPr>
    <w:rPr>
      <w:rFonts w:ascii="Arial" w:hAnsi="Arial" w:eastAsia="Times New Roman" w:cs="Times New Roman"/>
      <w:kern w:val="0"/>
      <w:sz w:val="20"/>
      <w:szCs w:val="20"/>
      <w:lang w:eastAsia="en-US"/>
    </w:rPr>
  </w:style>
  <w:style w:type="character" w:customStyle="1" w:styleId="190">
    <w:name w:val="页脚 字符1"/>
    <w:basedOn w:val="91"/>
    <w:semiHidden/>
    <w:qFormat/>
    <w:uiPriority w:val="99"/>
    <w:rPr>
      <w:sz w:val="18"/>
      <w:szCs w:val="18"/>
    </w:rPr>
  </w:style>
  <w:style w:type="paragraph" w:customStyle="1" w:styleId="191">
    <w:name w:val="排列"/>
    <w:basedOn w:val="67"/>
    <w:next w:val="67"/>
    <w:qFormat/>
    <w:uiPriority w:val="0"/>
    <w:pPr>
      <w:tabs>
        <w:tab w:val="left" w:pos="1261"/>
        <w:tab w:val="clear" w:pos="360"/>
      </w:tabs>
      <w:ind w:left="1261" w:hanging="420"/>
    </w:pPr>
  </w:style>
  <w:style w:type="paragraph" w:customStyle="1" w:styleId="192">
    <w:name w:val="样式 样式 正文首行缩进 + (符号) 宋体 + 左侧:  2 字符 首行缩进:  2 字符"/>
    <w:basedOn w:val="1"/>
    <w:qFormat/>
    <w:uiPriority w:val="0"/>
    <w:pPr>
      <w:spacing w:line="360" w:lineRule="auto"/>
      <w:ind w:firstLine="200" w:firstLineChars="200"/>
      <w:jc w:val="left"/>
    </w:pPr>
    <w:rPr>
      <w:rFonts w:ascii="Times New Roman" w:hAnsi="宋体" w:eastAsia="宋体" w:cs="Times New Roman"/>
      <w:kern w:val="0"/>
      <w:szCs w:val="20"/>
      <w:lang w:eastAsia="en-US"/>
    </w:rPr>
  </w:style>
  <w:style w:type="paragraph" w:customStyle="1" w:styleId="193">
    <w:name w:val="正文_0_0_0"/>
    <w:qFormat/>
    <w:uiPriority w:val="0"/>
    <w:pPr>
      <w:widowControl w:val="0"/>
      <w:ind w:firstLine="200" w:firstLineChars="200"/>
      <w:jc w:val="both"/>
    </w:pPr>
    <w:rPr>
      <w:rFonts w:ascii="Times New Roman" w:hAnsi="Times New Roman" w:eastAsia="仿宋_GB2312" w:cs="Times New Roman"/>
      <w:kern w:val="2"/>
      <w:sz w:val="28"/>
      <w:szCs w:val="22"/>
      <w:lang w:val="en-US" w:eastAsia="zh-CN" w:bidi="ar-SA"/>
    </w:rPr>
  </w:style>
  <w:style w:type="character" w:customStyle="1" w:styleId="194">
    <w:name w:val="电子邮件签名 字符"/>
    <w:basedOn w:val="91"/>
    <w:link w:val="19"/>
    <w:uiPriority w:val="0"/>
    <w:rPr>
      <w:rFonts w:ascii="Times New Roman" w:hAnsi="Times New Roman" w:eastAsia="宋体" w:cs="Times New Roman"/>
      <w:szCs w:val="24"/>
    </w:rPr>
  </w:style>
  <w:style w:type="character" w:customStyle="1" w:styleId="195">
    <w:name w:val="结束语 字符"/>
    <w:basedOn w:val="91"/>
    <w:link w:val="32"/>
    <w:qFormat/>
    <w:uiPriority w:val="0"/>
    <w:rPr>
      <w:rFonts w:ascii="Times New Roman" w:hAnsi="Times New Roman" w:eastAsia="宋体" w:cs="Times New Roman"/>
      <w:szCs w:val="24"/>
    </w:rPr>
  </w:style>
  <w:style w:type="paragraph" w:customStyle="1" w:styleId="196">
    <w:name w:val="修订1"/>
    <w:semiHidden/>
    <w:qFormat/>
    <w:uiPriority w:val="0"/>
    <w:rPr>
      <w:rFonts w:ascii="Times New Roman" w:hAnsi="Times New Roman" w:eastAsia="宋体" w:cs="Times New Roman"/>
      <w:kern w:val="2"/>
      <w:sz w:val="21"/>
      <w:szCs w:val="24"/>
      <w:lang w:val="en-US" w:eastAsia="zh-CN" w:bidi="ar-SA"/>
    </w:rPr>
  </w:style>
  <w:style w:type="character" w:customStyle="1" w:styleId="197">
    <w:name w:val="正文文本 2 字符1"/>
    <w:basedOn w:val="91"/>
    <w:semiHidden/>
    <w:uiPriority w:val="99"/>
  </w:style>
  <w:style w:type="character" w:customStyle="1" w:styleId="198">
    <w:name w:val="称呼 字符"/>
    <w:basedOn w:val="91"/>
    <w:link w:val="30"/>
    <w:uiPriority w:val="0"/>
    <w:rPr>
      <w:rFonts w:ascii="Times New Roman" w:hAnsi="Times New Roman" w:eastAsia="宋体" w:cs="Times New Roman"/>
      <w:szCs w:val="24"/>
    </w:rPr>
  </w:style>
  <w:style w:type="paragraph" w:customStyle="1" w:styleId="199">
    <w:name w:val="Char Char2 Char1"/>
    <w:basedOn w:val="1"/>
    <w:qFormat/>
    <w:uiPriority w:val="0"/>
    <w:rPr>
      <w:rFonts w:ascii="Times New Roman" w:hAnsi="Times New Roman" w:eastAsia="宋体" w:cs="Times New Roman"/>
      <w:szCs w:val="24"/>
    </w:rPr>
  </w:style>
  <w:style w:type="paragraph" w:customStyle="1" w:styleId="20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201">
    <w:name w:val="样式 小四 段前: 5 磅 段后: 5 磅 首行缩进:  2 字符"/>
    <w:basedOn w:val="1"/>
    <w:qFormat/>
    <w:uiPriority w:val="0"/>
    <w:pPr>
      <w:spacing w:line="360" w:lineRule="auto"/>
    </w:pPr>
    <w:rPr>
      <w:rFonts w:ascii="宋体" w:hAnsi="宋体" w:eastAsia="宋体" w:cs="Times New Roman"/>
      <w:color w:val="000000"/>
      <w:sz w:val="24"/>
      <w:szCs w:val="24"/>
    </w:rPr>
  </w:style>
  <w:style w:type="character" w:customStyle="1" w:styleId="202">
    <w:name w:val="脚注文本 字符"/>
    <w:basedOn w:val="91"/>
    <w:link w:val="68"/>
    <w:semiHidden/>
    <w:qFormat/>
    <w:uiPriority w:val="0"/>
    <w:rPr>
      <w:rFonts w:ascii="Times New Roman" w:hAnsi="Times New Roman" w:eastAsia="宋体" w:cs="Times New Roman"/>
      <w:sz w:val="18"/>
      <w:szCs w:val="18"/>
    </w:rPr>
  </w:style>
  <w:style w:type="paragraph" w:customStyle="1" w:styleId="203">
    <w:name w:val="默认段落字体 Para Char Char Char Char Char Char Char"/>
    <w:basedOn w:val="1"/>
    <w:qFormat/>
    <w:uiPriority w:val="0"/>
    <w:rPr>
      <w:rFonts w:ascii="Tahoma" w:hAnsi="Tahoma" w:eastAsia="宋体" w:cs="Times New Roman"/>
      <w:sz w:val="24"/>
      <w:szCs w:val="20"/>
    </w:rPr>
  </w:style>
  <w:style w:type="paragraph" w:customStyle="1" w:styleId="204">
    <w:name w:val="Char Char1 Char Char Char Char"/>
    <w:basedOn w:val="1"/>
    <w:qFormat/>
    <w:uiPriority w:val="0"/>
    <w:pPr>
      <w:widowControl/>
      <w:spacing w:after="160" w:line="240" w:lineRule="exact"/>
      <w:jc w:val="left"/>
    </w:pPr>
    <w:rPr>
      <w:rFonts w:ascii="Arial" w:hAnsi="Arial" w:eastAsia="Times New Roman" w:cs="Times New Roman"/>
      <w:kern w:val="0"/>
      <w:sz w:val="20"/>
      <w:szCs w:val="20"/>
      <w:lang w:eastAsia="en-US"/>
    </w:rPr>
  </w:style>
  <w:style w:type="paragraph" w:customStyle="1" w:styleId="205">
    <w:name w:val="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06">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character" w:customStyle="1" w:styleId="207">
    <w:name w:val="正文文本缩进 3 字符"/>
    <w:basedOn w:val="91"/>
    <w:link w:val="71"/>
    <w:uiPriority w:val="0"/>
    <w:rPr>
      <w:rFonts w:ascii="宋体" w:hAnsi="宋体" w:eastAsia="宋体" w:cs="Times New Roman"/>
      <w:sz w:val="24"/>
      <w:szCs w:val="24"/>
    </w:rPr>
  </w:style>
  <w:style w:type="paragraph" w:customStyle="1" w:styleId="208">
    <w:name w:val="p1215"/>
    <w:basedOn w:val="1"/>
    <w:qFormat/>
    <w:uiPriority w:val="0"/>
    <w:pPr>
      <w:widowControl/>
      <w:spacing w:before="100" w:beforeAutospacing="1" w:after="100" w:afterAutospacing="1"/>
      <w:jc w:val="left"/>
    </w:pPr>
    <w:rPr>
      <w:rFonts w:ascii="宋体" w:hAnsi="宋体" w:eastAsia="宋体" w:cs="Times New Roman"/>
      <w:color w:val="003399"/>
      <w:kern w:val="0"/>
      <w:sz w:val="24"/>
      <w:szCs w:val="24"/>
    </w:rPr>
  </w:style>
  <w:style w:type="character" w:customStyle="1" w:styleId="209">
    <w:name w:val="批注主题 字符1"/>
    <w:basedOn w:val="186"/>
    <w:semiHidden/>
    <w:qFormat/>
    <w:uiPriority w:val="99"/>
    <w:rPr>
      <w:b/>
      <w:bCs/>
    </w:rPr>
  </w:style>
  <w:style w:type="paragraph" w:customStyle="1" w:styleId="210">
    <w:name w:val="封面2"/>
    <w:basedOn w:val="1"/>
    <w:qFormat/>
    <w:uiPriority w:val="0"/>
    <w:pPr>
      <w:spacing w:line="360" w:lineRule="auto"/>
      <w:jc w:val="center"/>
    </w:pPr>
    <w:rPr>
      <w:rFonts w:ascii="黑体" w:hAnsi="宋体" w:eastAsia="黑体" w:cs="Times New Roman"/>
      <w:b/>
      <w:spacing w:val="-30"/>
      <w:sz w:val="96"/>
      <w:szCs w:val="24"/>
    </w:rPr>
  </w:style>
  <w:style w:type="paragraph" w:customStyle="1" w:styleId="211">
    <w:name w:val="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213">
    <w:name w:val="Char Char Char Char Char Char Char Char Char Char Char Char Char1"/>
    <w:basedOn w:val="26"/>
    <w:qFormat/>
    <w:uiPriority w:val="0"/>
    <w:rPr>
      <w:szCs w:val="20"/>
    </w:rPr>
  </w:style>
  <w:style w:type="paragraph" w:customStyle="1" w:styleId="214">
    <w:name w:val="Char Char Char Char Char Char Char Char Char Char Char Char Char"/>
    <w:basedOn w:val="26"/>
    <w:qFormat/>
    <w:uiPriority w:val="0"/>
    <w:rPr>
      <w:szCs w:val="20"/>
    </w:rPr>
  </w:style>
  <w:style w:type="paragraph" w:customStyle="1" w:styleId="215">
    <w:name w:val="内正文"/>
    <w:basedOn w:val="1"/>
    <w:qFormat/>
    <w:uiPriority w:val="0"/>
    <w:pPr>
      <w:ind w:firstLine="420"/>
    </w:pPr>
    <w:rPr>
      <w:rFonts w:ascii="Times New Roman" w:hAnsi="Times New Roman" w:eastAsia="文鼎CS书宋二" w:cs="Times New Roman"/>
      <w:szCs w:val="20"/>
    </w:rPr>
  </w:style>
  <w:style w:type="paragraph" w:customStyle="1" w:styleId="216">
    <w:name w:val="5"/>
    <w:basedOn w:val="1"/>
    <w:qFormat/>
    <w:uiPriority w:val="0"/>
    <w:rPr>
      <w:rFonts w:ascii="Tahoma" w:hAnsi="Tahoma" w:eastAsia="宋体" w:cs="Times New Roman"/>
      <w:sz w:val="24"/>
      <w:szCs w:val="20"/>
    </w:rPr>
  </w:style>
  <w:style w:type="paragraph" w:customStyle="1" w:styleId="21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36"/>
      <w:szCs w:val="36"/>
    </w:rPr>
  </w:style>
  <w:style w:type="table" w:customStyle="1" w:styleId="218">
    <w:name w:val="网格型1"/>
    <w:basedOn w:val="89"/>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网格型2"/>
    <w:basedOn w:val="89"/>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6868</Words>
  <Characters>39152</Characters>
  <Lines>326</Lines>
  <Paragraphs>91</Paragraphs>
  <TotalTime>39</TotalTime>
  <ScaleCrop>false</ScaleCrop>
  <LinksUpToDate>false</LinksUpToDate>
  <CharactersWithSpaces>45929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2021-06-16T02:38:00Z</dcterms:created>
  <dc:creator>prhlawyer@126.com</dc:creator>
  <cp:lastModifiedBy>小笼包</cp:lastModifiedBy>
  <dcterms:modified xsi:type="dcterms:W3CDTF">2021-06-16T10:09:02Z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29267F9A2864433EBF8DCFCD71FD1381</vt:lpwstr>
  </property>
</Properties>
</file>