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bookmarkStart w:id="366" w:name="_GoBack"/>
      <w:bookmarkEnd w:id="366"/>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广东省农产品加工重点实验室通风设备</w:t>
      </w: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202010-184098-0058</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广东省农业科学院蚕业与农产品加工研究所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5"/>
          <w:rFonts w:hint="eastAsia" w:ascii="宋体" w:hAnsi="宋体"/>
          <w:b/>
          <w:color w:val="auto"/>
          <w:sz w:val="30"/>
          <w:szCs w:val="30"/>
          <w:highlight w:val="none"/>
          <w:u w:val="none"/>
        </w:rPr>
        <w:t xml:space="preserve"> </w:t>
      </w:r>
      <w:r>
        <w:rPr>
          <w:rStyle w:val="95"/>
          <w:rFonts w:hint="eastAsia" w:ascii="宋体" w:hAnsi="宋体"/>
          <w:b/>
          <w:color w:val="auto"/>
          <w:sz w:val="30"/>
          <w:szCs w:val="30"/>
          <w:highlight w:val="none"/>
          <w:u w:val="none"/>
        </w:rPr>
        <w:t>二○二</w:t>
      </w:r>
      <w:r>
        <w:rPr>
          <w:rStyle w:val="95"/>
          <w:rFonts w:hint="eastAsia" w:ascii="宋体" w:hAnsi="宋体"/>
          <w:b/>
          <w:color w:val="auto"/>
          <w:sz w:val="30"/>
          <w:szCs w:val="30"/>
          <w:highlight w:val="none"/>
          <w:u w:val="none"/>
          <w:lang w:eastAsia="zh-CN"/>
        </w:rPr>
        <w:t>一</w:t>
      </w:r>
      <w:r>
        <w:rPr>
          <w:rStyle w:val="95"/>
          <w:rFonts w:hint="eastAsia" w:ascii="宋体" w:hAnsi="宋体"/>
          <w:b/>
          <w:color w:val="auto"/>
          <w:sz w:val="30"/>
          <w:szCs w:val="30"/>
          <w:highlight w:val="none"/>
          <w:u w:val="none"/>
        </w:rPr>
        <w:t>年</w:t>
      </w:r>
      <w:r>
        <w:rPr>
          <w:rStyle w:val="95"/>
          <w:rFonts w:hint="eastAsia" w:ascii="宋体" w:hAnsi="宋体"/>
          <w:b/>
          <w:color w:val="auto"/>
          <w:sz w:val="30"/>
          <w:szCs w:val="30"/>
          <w:highlight w:val="none"/>
          <w:u w:val="none"/>
          <w:lang w:eastAsia="zh-CN"/>
        </w:rPr>
        <w:t>一</w:t>
      </w:r>
      <w:r>
        <w:rPr>
          <w:rStyle w:val="95"/>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报价报价人以非独立法人注册的分公司名义代表总公司盖章和签署文件的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投标/报价报价人为中型、小型、微型企业的，请提交《中小企业声明函》。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报价人，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8</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6"/>
      <w:bookmarkStart w:id="6" w:name="_Hlt510014037"/>
      <w:r>
        <w:rPr>
          <w:rStyle w:val="95"/>
          <w:rFonts w:hint="eastAsia"/>
          <w:color w:val="auto"/>
          <w:sz w:val="28"/>
          <w:szCs w:val="28"/>
          <w:highlight w:val="none"/>
        </w:rPr>
        <w:t>书</w:t>
      </w:r>
      <w:bookmarkEnd w:id="5"/>
      <w:bookmarkEnd w:id="6"/>
      <w:bookmarkStart w:id="7" w:name="_Hlt509994710"/>
      <w:bookmarkStart w:id="8" w:name="_Hlt509991847"/>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54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09932461"/>
      <w:bookmarkStart w:id="14" w:name="_Hlt510014093"/>
      <w:bookmarkStart w:id="15" w:name="_Hlt509932460"/>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09992254"/>
      <w:bookmarkStart w:id="18" w:name="_Hlt510014176"/>
      <w:r>
        <w:rPr>
          <w:rStyle w:val="95"/>
          <w:rFonts w:hint="eastAsia"/>
          <w:color w:val="auto"/>
          <w:sz w:val="28"/>
          <w:szCs w:val="28"/>
          <w:highlight w:val="none"/>
        </w:rPr>
        <w:t>准</w:t>
      </w:r>
      <w:bookmarkEnd w:id="17"/>
      <w:bookmarkEnd w:id="18"/>
      <w:bookmarkStart w:id="19" w:name="_Hlt509991721"/>
      <w:bookmarkStart w:id="20" w:name="_Hlt509991722"/>
      <w:bookmarkStart w:id="21" w:name="_Hlt509991939"/>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59</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67</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rPr>
        <w:t>公告</w:t>
      </w:r>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竞争性磋商公告</w:t>
      </w:r>
    </w:p>
    <w:p>
      <w:pPr>
        <w:widowControl/>
        <w:adjustRightInd w:val="0"/>
        <w:snapToGrid w:val="0"/>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广东省农产品加工重点实验室通风设备</w:t>
      </w:r>
      <w:r>
        <w:rPr>
          <w:rFonts w:hint="eastAsia" w:ascii="宋体" w:hAnsi="宋体" w:cs="宋体"/>
          <w:color w:val="auto"/>
          <w:szCs w:val="21"/>
          <w:highlight w:val="none"/>
        </w:rPr>
        <w:t xml:space="preserve"> </w:t>
      </w:r>
      <w:r>
        <w:rPr>
          <w:rFonts w:hint="eastAsia" w:ascii="宋体" w:hAnsi="宋体" w:cs="宋体"/>
          <w:color w:val="auto"/>
          <w:szCs w:val="21"/>
          <w:highlight w:val="none"/>
        </w:rPr>
        <w:t>采购项目的潜在投标人应在</w:t>
      </w:r>
      <w:r>
        <w:rPr>
          <w:rFonts w:hint="eastAsia" w:ascii="宋体" w:hAnsi="宋体" w:cs="宋体"/>
          <w:color w:val="auto"/>
          <w:kern w:val="0"/>
          <w:szCs w:val="21"/>
          <w:highlight w:val="none"/>
        </w:rPr>
        <w:t>广州市海珠区红卫新村西路29号UP智谷D栋503房</w:t>
      </w:r>
      <w:r>
        <w:rPr>
          <w:rFonts w:hint="eastAsia" w:ascii="宋体" w:hAnsi="宋体" w:cs="宋体"/>
          <w:color w:val="auto"/>
          <w:szCs w:val="21"/>
          <w:highlight w:val="none"/>
        </w:rPr>
        <w:t>获取采购文件，并于</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w:t>
      </w:r>
      <w:r>
        <w:rPr>
          <w:rFonts w:hint="eastAsia" w:ascii="宋体" w:hAnsi="宋体" w:cs="宋体"/>
          <w:color w:val="auto"/>
          <w:szCs w:val="21"/>
          <w:highlight w:val="none"/>
        </w:rPr>
        <w:t>（北京时间）前提交响应文件。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default"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val="en-US" w:eastAsia="zh-CN"/>
        </w:rPr>
        <w:t>202010-184098-0058</w:t>
      </w:r>
    </w:p>
    <w:p>
      <w:pPr>
        <w:tabs>
          <w:tab w:val="left" w:pos="840"/>
          <w:tab w:val="left" w:pos="945"/>
        </w:tabs>
        <w:snapToGrid w:val="0"/>
        <w:spacing w:line="360" w:lineRule="auto"/>
        <w:ind w:left="525"/>
        <w:rPr>
          <w:rFonts w:hint="default" w:ascii="宋体" w:hAnsi="宋体" w:eastAsia="宋体" w:cs="宋体"/>
          <w:bCs/>
          <w:color w:val="auto"/>
          <w:szCs w:val="20"/>
          <w:highlight w:val="none"/>
          <w:lang w:val="en-US"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广东省农产品加工重点实验室通风设备</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600000.00</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合同包1(</w:t>
      </w:r>
      <w:r>
        <w:rPr>
          <w:rFonts w:hint="eastAsia" w:ascii="宋体" w:hAnsi="宋体" w:cs="宋体"/>
          <w:bCs/>
          <w:color w:val="auto"/>
          <w:szCs w:val="20"/>
          <w:highlight w:val="none"/>
          <w:lang w:eastAsia="zh-CN"/>
        </w:rPr>
        <w:t>广东省农产品加工重点实验室通风设备</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合同包预算金额：</w:t>
      </w:r>
      <w:r>
        <w:rPr>
          <w:rFonts w:hint="eastAsia" w:ascii="宋体" w:hAnsi="宋体" w:cs="宋体"/>
          <w:bCs/>
          <w:color w:val="auto"/>
          <w:szCs w:val="20"/>
          <w:highlight w:val="none"/>
          <w:lang w:eastAsia="zh-CN"/>
        </w:rPr>
        <w:t>600000.00</w:t>
      </w:r>
      <w:r>
        <w:rPr>
          <w:rFonts w:hint="eastAsia" w:ascii="宋体" w:hAnsi="宋体" w:cs="宋体"/>
          <w:bCs/>
          <w:color w:val="auto"/>
          <w:szCs w:val="20"/>
          <w:highlight w:val="none"/>
        </w:rPr>
        <w:t>元</w:t>
      </w:r>
    </w:p>
    <w:tbl>
      <w:tblPr>
        <w:tblStyle w:val="90"/>
        <w:tblW w:w="85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73"/>
        <w:gridCol w:w="1300"/>
        <w:gridCol w:w="1536"/>
        <w:gridCol w:w="1650"/>
        <w:gridCol w:w="1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2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采购标的</w:t>
            </w:r>
          </w:p>
        </w:tc>
        <w:tc>
          <w:tcPr>
            <w:tcW w:w="13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数量（单位）</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技术规格、参数及要求</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品目预算(元)</w:t>
            </w:r>
          </w:p>
        </w:tc>
        <w:tc>
          <w:tcPr>
            <w:tcW w:w="18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cs="宋体"/>
                <w:bCs/>
                <w:color w:val="auto"/>
                <w:szCs w:val="20"/>
                <w:highlight w:val="none"/>
                <w:lang w:eastAsia="zh-CN"/>
              </w:rPr>
              <w:t>广东省农产品加工重点实验室通风设备</w:t>
            </w:r>
          </w:p>
        </w:tc>
        <w:tc>
          <w:tcPr>
            <w:tcW w:w="13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1(项)</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详见采购文件</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eastAsia="zh-CN"/>
              </w:rPr>
              <w:t>600000.00</w:t>
            </w:r>
          </w:p>
        </w:tc>
        <w:tc>
          <w:tcPr>
            <w:tcW w:w="18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eastAsia="zh-CN"/>
              </w:rPr>
              <w:t>600000.00</w:t>
            </w:r>
          </w:p>
        </w:tc>
      </w:tr>
    </w:tbl>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本合同包不接受联合体投标</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合同签订后40天内完成供货和安装调试</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二、申请人的资格要求</w:t>
      </w:r>
      <w:r>
        <w:rPr>
          <w:rFonts w:hint="eastAsia" w:ascii="宋体" w:hAnsi="宋体" w:cs="宋体"/>
          <w:b/>
          <w:bCs/>
          <w:color w:val="auto"/>
          <w:szCs w:val="20"/>
          <w:highlight w:val="none"/>
          <w:lang w:eastAsia="zh-CN"/>
        </w:rPr>
        <w:t>：</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3.</w:t>
      </w:r>
      <w:r>
        <w:rPr>
          <w:rFonts w:hint="eastAsia" w:ascii="仿宋_GB2312" w:eastAsia="仿宋_GB2312"/>
          <w:color w:val="auto"/>
          <w:sz w:val="28"/>
          <w:szCs w:val="28"/>
          <w:highlight w:val="none"/>
        </w:rPr>
        <w:t xml:space="preserve"> </w:t>
      </w:r>
      <w:r>
        <w:rPr>
          <w:rFonts w:hint="eastAsia" w:ascii="宋体" w:hAnsi="宋体" w:cs="宋体"/>
          <w:bCs/>
          <w:color w:val="auto"/>
          <w:szCs w:val="20"/>
          <w:highlight w:val="none"/>
        </w:rPr>
        <w:t>本项目的特定资格要求：</w:t>
      </w:r>
    </w:p>
    <w:p>
      <w:pPr>
        <w:numPr>
          <w:ilvl w:val="0"/>
          <w:numId w:val="0"/>
        </w:numPr>
        <w:tabs>
          <w:tab w:val="left" w:pos="840"/>
          <w:tab w:val="left" w:pos="945"/>
        </w:tabs>
        <w:snapToGrid w:val="0"/>
        <w:spacing w:line="360" w:lineRule="auto"/>
        <w:ind w:left="525" w:leftChars="0"/>
        <w:rPr>
          <w:rFonts w:hint="default" w:ascii="宋体" w:hAnsi="宋体" w:eastAsia="宋体" w:cs="宋体"/>
          <w:bCs/>
          <w:color w:val="auto"/>
          <w:szCs w:val="20"/>
          <w:highlight w:val="none"/>
        </w:rPr>
      </w:pPr>
      <w:r>
        <w:rPr>
          <w:rFonts w:hint="eastAsia" w:ascii="宋体" w:hAnsi="宋体" w:eastAsia="宋体" w:cs="宋体"/>
          <w:bCs/>
          <w:color w:val="auto"/>
          <w:szCs w:val="20"/>
          <w:highlight w:val="none"/>
        </w:rPr>
        <w:t>合同包1(</w:t>
      </w:r>
      <w:r>
        <w:rPr>
          <w:rFonts w:hint="eastAsia" w:ascii="宋体" w:hAnsi="宋体" w:cs="宋体"/>
          <w:bCs/>
          <w:color w:val="auto"/>
          <w:szCs w:val="20"/>
          <w:highlight w:val="none"/>
          <w:lang w:eastAsia="zh-CN"/>
        </w:rPr>
        <w:t>广东省农产品加工重点实验室通风设备</w:t>
      </w:r>
      <w:r>
        <w:rPr>
          <w:rFonts w:hint="eastAsia" w:ascii="宋体" w:hAnsi="宋体" w:eastAsia="宋体" w:cs="宋体"/>
          <w:bCs/>
          <w:color w:val="auto"/>
          <w:szCs w:val="20"/>
          <w:highlight w:val="none"/>
        </w:rPr>
        <w:t>)特定资格要求如下:</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420" w:firstLineChars="200"/>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eastAsia="zh-CN"/>
        </w:rPr>
        <w:t>（</w:t>
      </w:r>
      <w:r>
        <w:rPr>
          <w:rFonts w:hint="eastAsia" w:ascii="宋体" w:hAnsi="宋体" w:eastAsia="宋体" w:cs="宋体"/>
          <w:bCs/>
          <w:color w:val="auto"/>
          <w:szCs w:val="20"/>
          <w:highlight w:val="none"/>
        </w:rPr>
        <w:t>1）满足《中华人民共和国政府采购法》第二十二条规定；</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525" w:firstLineChars="250"/>
        <w:textAlignment w:val="auto"/>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rPr>
        <w:t>1）具有独立承担民事责任的能力；（提供法人或者其他组织的营业执照、组织机构代码证和税务登记证（或三证合一证明）等证明文件）</w:t>
      </w:r>
      <w:r>
        <w:rPr>
          <w:rFonts w:hint="eastAsia" w:ascii="宋体" w:hAnsi="宋体" w:eastAsia="宋体" w:cs="宋体"/>
          <w:bCs/>
          <w:color w:val="auto"/>
          <w:szCs w:val="20"/>
          <w:highlight w:val="none"/>
          <w:lang w:eastAsia="zh-CN"/>
        </w:rPr>
        <w:t>。</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525" w:firstLineChars="250"/>
        <w:textAlignment w:val="auto"/>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val="en-US" w:eastAsia="zh-CN"/>
        </w:rPr>
        <w:t>2</w:t>
      </w:r>
      <w:r>
        <w:rPr>
          <w:rFonts w:hint="eastAsia" w:ascii="宋体" w:hAnsi="宋体" w:eastAsia="宋体" w:cs="宋体"/>
          <w:bCs/>
          <w:color w:val="auto"/>
          <w:szCs w:val="20"/>
          <w:highlight w:val="none"/>
        </w:rPr>
        <w:t>）具有良好的商业信誉和健全的财务会计制度；（提供20</w:t>
      </w:r>
      <w:r>
        <w:rPr>
          <w:rFonts w:hint="eastAsia" w:ascii="宋体" w:hAnsi="宋体" w:eastAsia="宋体" w:cs="宋体"/>
          <w:bCs/>
          <w:color w:val="auto"/>
          <w:szCs w:val="20"/>
          <w:highlight w:val="none"/>
          <w:lang w:val="en-US" w:eastAsia="zh-CN"/>
        </w:rPr>
        <w:t>19</w:t>
      </w:r>
      <w:r>
        <w:rPr>
          <w:rFonts w:hint="eastAsia" w:ascii="宋体" w:hAnsi="宋体" w:eastAsia="宋体" w:cs="宋体"/>
          <w:bCs/>
          <w:color w:val="auto"/>
          <w:szCs w:val="20"/>
          <w:highlight w:val="none"/>
        </w:rPr>
        <w:t>年或20</w:t>
      </w:r>
      <w:r>
        <w:rPr>
          <w:rFonts w:hint="eastAsia" w:ascii="宋体" w:hAnsi="宋体" w:eastAsia="宋体" w:cs="宋体"/>
          <w:bCs/>
          <w:color w:val="auto"/>
          <w:szCs w:val="20"/>
          <w:highlight w:val="none"/>
          <w:lang w:val="en-US" w:eastAsia="zh-CN"/>
        </w:rPr>
        <w:t>20</w:t>
      </w:r>
      <w:r>
        <w:rPr>
          <w:rFonts w:hint="eastAsia" w:ascii="宋体" w:hAnsi="宋体" w:eastAsia="宋体" w:cs="宋体"/>
          <w:bCs/>
          <w:color w:val="auto"/>
          <w:szCs w:val="20"/>
          <w:highlight w:val="none"/>
        </w:rPr>
        <w:t>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lang w:eastAsia="zh-CN"/>
        </w:rPr>
        <w:t>。</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525" w:firstLineChars="250"/>
        <w:textAlignment w:val="auto"/>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val="en-US" w:eastAsia="zh-CN"/>
        </w:rPr>
        <w:t>3</w:t>
      </w:r>
      <w:r>
        <w:rPr>
          <w:rFonts w:hint="eastAsia" w:ascii="宋体" w:hAnsi="宋体" w:eastAsia="宋体" w:cs="宋体"/>
          <w:bCs/>
          <w:color w:val="auto"/>
          <w:szCs w:val="20"/>
          <w:highlight w:val="none"/>
        </w:rPr>
        <w:t>）具有履行合同所必需的设备和专业技术能力；（提供履行合同所必需的设备清单以及技术人员的名单材料）</w:t>
      </w:r>
      <w:r>
        <w:rPr>
          <w:rFonts w:hint="eastAsia" w:ascii="宋体" w:hAnsi="宋体" w:eastAsia="宋体" w:cs="宋体"/>
          <w:bCs/>
          <w:color w:val="auto"/>
          <w:szCs w:val="20"/>
          <w:highlight w:val="none"/>
          <w:lang w:eastAsia="zh-CN"/>
        </w:rPr>
        <w:t>。</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525" w:firstLineChars="250"/>
        <w:textAlignment w:val="auto"/>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val="en-US" w:eastAsia="zh-CN"/>
        </w:rPr>
        <w:t>4</w:t>
      </w:r>
      <w:r>
        <w:rPr>
          <w:rFonts w:hint="eastAsia" w:ascii="宋体" w:hAnsi="宋体" w:eastAsia="宋体" w:cs="宋体"/>
          <w:bCs/>
          <w:color w:val="auto"/>
          <w:szCs w:val="20"/>
          <w:highlight w:val="none"/>
        </w:rPr>
        <w:t>）有依法缴纳税收和社会保障资金的良好记录；（提供缴纳税收和社会保险的凭证。如依法免税或不需要缴纳社会保障资金的，应提供相应文件证明）</w:t>
      </w:r>
      <w:r>
        <w:rPr>
          <w:rFonts w:hint="eastAsia" w:ascii="宋体" w:hAnsi="宋体" w:eastAsia="宋体" w:cs="宋体"/>
          <w:bCs/>
          <w:color w:val="auto"/>
          <w:szCs w:val="20"/>
          <w:highlight w:val="none"/>
          <w:lang w:eastAsia="zh-CN"/>
        </w:rPr>
        <w:t>。</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525" w:firstLineChars="250"/>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5</w:t>
      </w:r>
      <w:r>
        <w:rPr>
          <w:rFonts w:hint="eastAsia" w:ascii="宋体" w:hAnsi="宋体" w:eastAsia="宋体" w:cs="宋体"/>
          <w:bCs/>
          <w:color w:val="auto"/>
          <w:szCs w:val="20"/>
          <w:highlight w:val="none"/>
        </w:rPr>
        <w:t>）参加政府采购活动前三年内，在经营活动中没有重大违法记录；（提供书面声明）</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525" w:firstLineChars="250"/>
        <w:textAlignment w:val="auto"/>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val="en-US" w:eastAsia="zh-CN"/>
        </w:rPr>
        <w:t>6</w:t>
      </w:r>
      <w:r>
        <w:rPr>
          <w:rFonts w:hint="eastAsia" w:ascii="宋体" w:hAnsi="宋体" w:eastAsia="宋体" w:cs="宋体"/>
          <w:bCs/>
          <w:color w:val="auto"/>
          <w:szCs w:val="20"/>
          <w:highlight w:val="none"/>
        </w:rPr>
        <w:t>）法律、行政法规规定的其他条件</w:t>
      </w:r>
      <w:r>
        <w:rPr>
          <w:rFonts w:hint="eastAsia" w:ascii="宋体" w:hAnsi="宋体" w:eastAsia="宋体" w:cs="宋体"/>
          <w:bCs/>
          <w:color w:val="auto"/>
          <w:szCs w:val="20"/>
          <w:highlight w:val="none"/>
          <w:lang w:eastAsia="zh-CN"/>
        </w:rPr>
        <w:t>。</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420" w:firstLineChars="200"/>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eastAsia="zh-CN"/>
        </w:rPr>
        <w:t>（</w:t>
      </w:r>
      <w:r>
        <w:rPr>
          <w:rFonts w:hint="eastAsia" w:ascii="宋体" w:hAnsi="宋体" w:eastAsia="宋体" w:cs="宋体"/>
          <w:bCs/>
          <w:color w:val="auto"/>
          <w:szCs w:val="20"/>
          <w:highlight w:val="none"/>
          <w:lang w:val="en-US" w:eastAsia="zh-CN"/>
        </w:rPr>
        <w:t>2</w:t>
      </w:r>
      <w:r>
        <w:rPr>
          <w:rFonts w:hint="eastAsia" w:ascii="宋体" w:hAnsi="宋体" w:eastAsia="宋体" w:cs="宋体"/>
          <w:bCs/>
          <w:color w:val="auto"/>
          <w:szCs w:val="20"/>
          <w:highlight w:val="none"/>
        </w:rPr>
        <w:t>）供应商《公平竞争承诺书》原件。</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420" w:firstLineChars="200"/>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（3</w:t>
      </w:r>
      <w:r>
        <w:rPr>
          <w:rFonts w:hint="eastAsia" w:ascii="宋体" w:hAnsi="宋体" w:eastAsia="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eastAsia="宋体" w:cs="宋体"/>
          <w:bCs/>
          <w:color w:val="auto"/>
          <w:szCs w:val="20"/>
          <w:highlight w:val="none"/>
          <w:lang w:val="en-US" w:eastAsia="zh-CN"/>
        </w:rPr>
        <w:t>（4</w:t>
      </w:r>
      <w:r>
        <w:rPr>
          <w:rFonts w:hint="eastAsia" w:ascii="宋体" w:hAnsi="宋体" w:eastAsia="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三、获取</w:t>
      </w:r>
      <w:r>
        <w:rPr>
          <w:rFonts w:hint="eastAsia" w:ascii="宋体" w:hAnsi="宋体" w:cs="宋体"/>
          <w:b/>
          <w:bCs/>
          <w:color w:val="auto"/>
          <w:szCs w:val="20"/>
          <w:highlight w:val="none"/>
          <w:lang w:eastAsia="zh-CN"/>
        </w:rPr>
        <w:t>采购文件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ascii="宋体" w:hAnsi="宋体" w:cs="宋体"/>
          <w:bCs/>
          <w:color w:val="auto"/>
          <w:szCs w:val="20"/>
          <w:highlight w:val="none"/>
        </w:rPr>
        <w:t>日至</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02</w:t>
      </w:r>
      <w:r>
        <w:rPr>
          <w:rFonts w:ascii="宋体" w:hAnsi="宋体" w:cs="宋体"/>
          <w:bCs/>
          <w:color w:val="auto"/>
          <w:szCs w:val="20"/>
          <w:highlight w:val="none"/>
        </w:rPr>
        <w:t>日</w:t>
      </w:r>
      <w:r>
        <w:rPr>
          <w:rFonts w:ascii="宋体" w:hAnsi="宋体" w:cs="宋体"/>
          <w:bCs/>
          <w:color w:val="auto"/>
          <w:szCs w:val="20"/>
          <w:highlight w:val="none"/>
        </w:rPr>
        <w:t>，每天上午</w:t>
      </w:r>
      <w:r>
        <w:rPr>
          <w:rFonts w:hint="eastAsia" w:ascii="宋体" w:hAnsi="宋体" w:cs="宋体"/>
          <w:bCs/>
          <w:color w:val="auto"/>
          <w:szCs w:val="20"/>
          <w:highlight w:val="none"/>
        </w:rPr>
        <w:t>0</w:t>
      </w:r>
      <w:r>
        <w:rPr>
          <w:rFonts w:hint="eastAsia" w:ascii="宋体" w:hAnsi="宋体" w:cs="宋体"/>
          <w:bCs/>
          <w:color w:val="auto"/>
          <w:szCs w:val="20"/>
          <w:highlight w:val="none"/>
          <w:lang w:val="en-US" w:eastAsia="zh-CN"/>
        </w:rPr>
        <w:t>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lang w:eastAsia="zh-CN"/>
        </w:rPr>
        <w:t>获取</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hint="eastAsia" w:ascii="宋体" w:hAnsi="宋体" w:eastAsia="仿宋"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点30分（北京时间）</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五、开启</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bCs/>
          <w:color w:val="auto"/>
          <w:szCs w:val="20"/>
          <w:highlight w:val="none"/>
          <w:lang w:eastAsia="zh-CN"/>
        </w:rPr>
        <w:t>2021</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1.只接受登记及领购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的供应商投标。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2.已成功登记及领购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的供应商参加投标的，不代表通过资格性、符合性审查。投标资格最终根据投标人投标文件中的资格审查资料作出的结论为准。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3.若已登记及领购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而决定不参加本项目投标的供应商，应在开标前三日以书面形式（书面材料、信函或传真加盖供应商公章）通知采购代理机构。</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4.</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的公示，根据《广东省实施〈中华人民共和国政府采购法〉办法》第三十五条的规定，供应商认为政府</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广东省农业科学院蚕业与农产品加工研究所</w:t>
      </w:r>
    </w:p>
    <w:p>
      <w:pPr>
        <w:tabs>
          <w:tab w:val="left" w:pos="840"/>
          <w:tab w:val="left" w:pos="945"/>
        </w:tabs>
        <w:snapToGrid w:val="0"/>
        <w:spacing w:line="360" w:lineRule="auto"/>
        <w:ind w:left="525"/>
        <w:rPr>
          <w:rFonts w:hint="eastAsia" w:ascii="宋体" w:hAnsi="宋体" w:cs="宋体"/>
          <w:bCs/>
          <w:color w:val="auto"/>
          <w:szCs w:val="20"/>
          <w:highlight w:val="none"/>
          <w:lang w:eastAsia="zh-CN"/>
        </w:rPr>
      </w:pPr>
      <w:r>
        <w:rPr>
          <w:rFonts w:ascii="宋体" w:hAnsi="宋体" w:cs="宋体"/>
          <w:bCs/>
          <w:color w:val="auto"/>
          <w:szCs w:val="20"/>
          <w:highlight w:val="none"/>
        </w:rPr>
        <w:t>   </w:t>
      </w:r>
      <w:r>
        <w:rPr>
          <w:rFonts w:hint="eastAsia" w:ascii="宋体" w:hAnsi="宋体" w:cs="宋体"/>
          <w:bCs/>
          <w:color w:val="auto"/>
          <w:szCs w:val="20"/>
          <w:highlight w:val="none"/>
          <w:lang w:eastAsia="zh-CN"/>
        </w:rPr>
        <w:t>地址：广州市天河区东莞庄一横路133号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lang w:eastAsia="zh-CN"/>
        </w:rPr>
        <w:t>   联系方式：</w:t>
      </w:r>
      <w:r>
        <w:rPr>
          <w:rFonts w:hint="eastAsia" w:ascii="宋体" w:hAnsi="宋体" w:cs="宋体"/>
          <w:bCs/>
          <w:color w:val="auto"/>
          <w:szCs w:val="20"/>
          <w:highlight w:val="none"/>
          <w:lang w:val="en-US" w:eastAsia="zh-CN"/>
        </w:rPr>
        <w:t>020-87266342</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 </w:t>
      </w: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tabs>
          <w:tab w:val="left" w:pos="840"/>
          <w:tab w:val="left" w:pos="945"/>
        </w:tabs>
        <w:snapToGrid w:val="0"/>
        <w:spacing w:line="360" w:lineRule="auto"/>
        <w:ind w:left="525"/>
        <w:jc w:val="right"/>
        <w:rPr>
          <w:rFonts w:hint="eastAsia" w:ascii="宋体" w:hAnsi="宋体" w:cs="宋体"/>
          <w:b/>
          <w:bCs/>
          <w:color w:val="auto"/>
          <w:szCs w:val="21"/>
          <w:highlight w:val="none"/>
        </w:rPr>
      </w:pPr>
      <w:r>
        <w:rPr>
          <w:rFonts w:ascii="宋体" w:hAnsi="宋体" w:cs="宋体"/>
          <w:bCs/>
          <w:color w:val="auto"/>
          <w:szCs w:val="20"/>
          <w:highlight w:val="none"/>
        </w:rPr>
        <w:t>发布时间：</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26</w:t>
      </w:r>
      <w:r>
        <w:rPr>
          <w:rFonts w:ascii="宋体" w:hAnsi="宋体" w:cs="宋体"/>
          <w:bCs/>
          <w:color w:val="auto"/>
          <w:szCs w:val="20"/>
          <w:highlight w:val="none"/>
        </w:rPr>
        <w:t>日</w:t>
      </w: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pStyle w:val="97"/>
        <w:rPr>
          <w:color w:val="auto"/>
          <w:highlight w:val="none"/>
        </w:rPr>
      </w:pPr>
      <w:bookmarkStart w:id="26" w:name="_Toc14450807"/>
      <w:bookmarkStart w:id="27" w:name="_Toc28489434"/>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97"/>
        <w:rPr>
          <w:color w:val="auto"/>
          <w:highlight w:val="none"/>
        </w:rPr>
      </w:pPr>
    </w:p>
    <w:p>
      <w:pPr>
        <w:pStyle w:val="97"/>
        <w:rPr>
          <w:color w:val="auto"/>
          <w:highlight w:val="none"/>
        </w:rPr>
      </w:pPr>
    </w:p>
    <w:p>
      <w:pPr>
        <w:pStyle w:val="97"/>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成交人在领取《中标通知书》</w:t>
            </w:r>
            <w:r>
              <w:rPr>
                <w:rFonts w:hint="eastAsia" w:ascii="宋体" w:hAnsi="宋体" w:cs="宋体"/>
                <w:color w:val="auto"/>
                <w:szCs w:val="21"/>
                <w:highlight w:val="none"/>
                <w:lang w:eastAsia="zh-CN"/>
              </w:rPr>
              <w:t>时</w:t>
            </w:r>
            <w:r>
              <w:rPr>
                <w:rFonts w:hint="eastAsia" w:ascii="宋体" w:hAnsi="宋体" w:cs="宋体"/>
                <w:color w:val="auto"/>
                <w:szCs w:val="21"/>
                <w:highlight w:val="none"/>
              </w:rPr>
              <w:t>直接一次性向采购代理机构足额支付招标代理服务费及专家费（专家费按实进行结算）。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自从磋商响应文件递交截止日起90天，成交报价人的响应有效期自动延长至合同终止为止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报价人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详见报价人须知</w:t>
            </w:r>
          </w:p>
        </w:tc>
      </w:tr>
    </w:tbl>
    <w:p>
      <w:pPr>
        <w:spacing w:line="360" w:lineRule="auto"/>
        <w:jc w:val="center"/>
        <w:rPr>
          <w:rFonts w:ascii="宋体" w:hAnsi="宋体"/>
          <w:b/>
          <w:bCs/>
          <w:color w:val="auto"/>
          <w:sz w:val="30"/>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0515016"/>
      <w:bookmarkStart w:id="32" w:name="_Toc320515065"/>
      <w:bookmarkStart w:id="33" w:name="_Toc475104468"/>
      <w:bookmarkStart w:id="34" w:name="_Toc315793450"/>
      <w:bookmarkStart w:id="35" w:name="_Toc323110975"/>
      <w:bookmarkStart w:id="36" w:name="_Toc363737682"/>
      <w:bookmarkStart w:id="37" w:name="_Toc322680342"/>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38" w:name="_Toc475104469"/>
      <w:bookmarkStart w:id="39" w:name="_Toc320515066"/>
      <w:bookmarkStart w:id="40" w:name="_Toc323110976"/>
      <w:bookmarkStart w:id="41" w:name="_Toc320515017"/>
      <w:bookmarkStart w:id="42" w:name="_Toc322680343"/>
      <w:bookmarkStart w:id="43" w:name="_Toc315793451"/>
      <w:bookmarkStart w:id="44" w:name="_Toc363737683"/>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45" w:name="_Toc475104470"/>
      <w:bookmarkStart w:id="46" w:name="_Toc322680344"/>
      <w:bookmarkStart w:id="47" w:name="_Toc363737684"/>
      <w:bookmarkStart w:id="48" w:name="_Toc320515067"/>
      <w:bookmarkStart w:id="49" w:name="_Toc323110977"/>
      <w:bookmarkStart w:id="50" w:name="_Toc320515018"/>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广东省农业科学院蚕业与农产品加工研究所</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“乙方”系指成交报价人。</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“成交报价人”系指</w:t>
      </w:r>
      <w:r>
        <w:rPr>
          <w:rFonts w:hint="eastAsia" w:ascii="宋体" w:hAnsi="宋体"/>
          <w:color w:val="auto"/>
          <w:szCs w:val="21"/>
          <w:highlight w:val="none"/>
        </w:rPr>
        <w:t>法定程序确定并授予合同的</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报价人</w:t>
      </w:r>
      <w:r>
        <w:rPr>
          <w:rFonts w:hint="eastAsia" w:ascii="宋体" w:hAnsi="宋体" w:cs="宋体"/>
          <w:color w:val="auto"/>
          <w:szCs w:val="21"/>
          <w:highlight w:val="none"/>
        </w:rPr>
        <w:t>的公平竞争地位。</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1" w:name="_Toc475104471"/>
      <w:bookmarkStart w:id="52" w:name="_Toc315793453"/>
      <w:bookmarkStart w:id="53" w:name="_Toc363737685"/>
      <w:bookmarkStart w:id="54" w:name="_Toc320515068"/>
      <w:bookmarkStart w:id="55" w:name="_Toc323110978"/>
      <w:bookmarkStart w:id="56" w:name="_Toc320515019"/>
      <w:bookmarkStart w:id="57" w:name="_Toc322680345"/>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报价人</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报价人</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邀请“报价人资格”要求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报价人</w:t>
      </w:r>
      <w:r>
        <w:rPr>
          <w:rFonts w:hint="eastAsia" w:ascii="宋体" w:hAnsi="宋体"/>
          <w:color w:val="auto"/>
          <w:szCs w:val="21"/>
          <w:highlight w:val="none"/>
        </w:rPr>
        <w:t>参加竞争，但只作为一家</w:t>
      </w:r>
      <w:r>
        <w:rPr>
          <w:rFonts w:hint="eastAsia" w:ascii="宋体" w:hAnsi="宋体"/>
          <w:color w:val="auto"/>
          <w:highlight w:val="none"/>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rPr>
        <w:t>报价人</w:t>
      </w:r>
      <w:r>
        <w:rPr>
          <w:rFonts w:hint="eastAsia" w:ascii="宋体" w:hAnsi="宋体"/>
          <w:color w:val="auto"/>
          <w:szCs w:val="21"/>
          <w:highlight w:val="none"/>
        </w:rPr>
        <w:t>参加竞争，作为不同的</w:t>
      </w:r>
      <w:r>
        <w:rPr>
          <w:rFonts w:hint="eastAsia" w:ascii="宋体" w:hAnsi="宋体"/>
          <w:color w:val="auto"/>
          <w:highlight w:val="none"/>
        </w:rPr>
        <w:t>报价人</w:t>
      </w:r>
      <w:r>
        <w:rPr>
          <w:rFonts w:hint="eastAsia" w:ascii="宋体" w:hAnsi="宋体"/>
          <w:color w:val="auto"/>
          <w:szCs w:val="21"/>
          <w:highlight w:val="none"/>
        </w:rPr>
        <w:t>计算。</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8" w:name="_Toc475104472"/>
      <w:bookmarkStart w:id="59" w:name="_Toc333236630"/>
      <w:bookmarkStart w:id="60" w:name="_Toc363737686"/>
      <w:bookmarkStart w:id="61" w:name="_Toc323110980"/>
      <w:bookmarkStart w:id="62" w:name="_Toc320515070"/>
      <w:bookmarkStart w:id="63" w:name="_Toc315793455"/>
      <w:bookmarkStart w:id="64" w:name="_Toc322680347"/>
      <w:bookmarkStart w:id="65" w:name="_Toc320515021"/>
      <w:r>
        <w:rPr>
          <w:rFonts w:hint="eastAsia" w:ascii="宋体" w:hAnsi="宋体"/>
          <w:b/>
          <w:bCs/>
          <w:color w:val="auto"/>
          <w:sz w:val="24"/>
          <w:highlight w:val="none"/>
        </w:rPr>
        <w:t>合格的服务和货物</w:t>
      </w:r>
      <w:bookmarkEnd w:id="58"/>
      <w:bookmarkEnd w:id="59"/>
      <w:bookmarkEnd w:id="60"/>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报价人</w:t>
      </w:r>
      <w:r>
        <w:rPr>
          <w:rFonts w:hint="eastAsia" w:ascii="宋体" w:hAnsi="宋体"/>
          <w:color w:val="auto"/>
          <w:szCs w:val="21"/>
          <w:highlight w:val="none"/>
        </w:rPr>
        <w:t>自行承担。</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报价人</w:t>
      </w:r>
      <w:r>
        <w:rPr>
          <w:rFonts w:hint="eastAsia" w:ascii="宋体" w:hAnsi="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66" w:name="_Toc363737687"/>
      <w:bookmarkStart w:id="67" w:name="_Toc475104473"/>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bookmarkStart w:id="68" w:name="_Toc320515071"/>
      <w:bookmarkStart w:id="69" w:name="_Toc323110981"/>
      <w:bookmarkStart w:id="70" w:name="_Toc322680348"/>
      <w:bookmarkStart w:id="71" w:name="_Toc320515022"/>
      <w:bookmarkStart w:id="72" w:name="_Toc315793456"/>
      <w:r>
        <w:rPr>
          <w:rFonts w:hint="eastAsia" w:ascii="宋体" w:hAnsi="宋体"/>
          <w:color w:val="auto"/>
          <w:highlight w:val="none"/>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74" w:name="_Toc363737689"/>
      <w:bookmarkStart w:id="75" w:name="_Toc315793458"/>
      <w:bookmarkStart w:id="76" w:name="_Toc322680350"/>
      <w:bookmarkStart w:id="77" w:name="_Toc320515073"/>
      <w:bookmarkStart w:id="78" w:name="_Toc323110983"/>
      <w:bookmarkStart w:id="79" w:name="_Toc475104475"/>
      <w:bookmarkStart w:id="80" w:name="_Toc320515024"/>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4"/>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报价人</w:t>
      </w:r>
      <w:r>
        <w:rPr>
          <w:rFonts w:hint="eastAsia" w:ascii="宋体" w:hAnsi="宋体" w:cs="宋体"/>
          <w:color w:val="auto"/>
          <w:szCs w:val="21"/>
          <w:highlight w:val="none"/>
        </w:rPr>
        <w:t>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1" w:name="_Toc475104476"/>
      <w:bookmarkStart w:id="82" w:name="_Toc315793459"/>
      <w:bookmarkStart w:id="83" w:name="_Toc363737690"/>
      <w:bookmarkStart w:id="84" w:name="_Toc323110984"/>
      <w:bookmarkStart w:id="85" w:name="_Toc322680351"/>
      <w:bookmarkStart w:id="86" w:name="_Toc320515074"/>
      <w:bookmarkStart w:id="87" w:name="_Toc320515025"/>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报价人</w:t>
      </w:r>
      <w:r>
        <w:rPr>
          <w:rFonts w:hint="eastAsia" w:ascii="宋体" w:hAnsi="宋体" w:cs="宋体"/>
          <w:color w:val="auto"/>
          <w:szCs w:val="21"/>
          <w:highlight w:val="none"/>
        </w:rPr>
        <w:t>，答复中不包括问题的来源。</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报价人</w:t>
      </w:r>
      <w:r>
        <w:rPr>
          <w:rFonts w:hint="eastAsia" w:ascii="宋体" w:hAnsi="宋体" w:cs="宋体"/>
          <w:color w:val="auto"/>
          <w:szCs w:val="21"/>
          <w:highlight w:val="none"/>
        </w:rPr>
        <w:t>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8" w:name="_Toc322680352"/>
      <w:bookmarkStart w:id="89" w:name="_Toc363737691"/>
      <w:bookmarkStart w:id="90" w:name="_Toc475104477"/>
      <w:bookmarkStart w:id="91" w:name="_Toc315793460"/>
      <w:bookmarkStart w:id="92" w:name="_Toc320515026"/>
      <w:bookmarkStart w:id="93" w:name="_Toc320515075"/>
      <w:bookmarkStart w:id="94" w:name="_Toc323110985"/>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报价人</w:t>
      </w:r>
      <w:r>
        <w:rPr>
          <w:rFonts w:hint="eastAsia" w:ascii="宋体" w:hAnsi="宋体"/>
          <w:bCs/>
          <w:color w:val="auto"/>
          <w:szCs w:val="21"/>
          <w:highlight w:val="none"/>
        </w:rPr>
        <w:t>，</w:t>
      </w:r>
      <w:r>
        <w:rPr>
          <w:rFonts w:hint="eastAsia" w:ascii="宋体" w:hAnsi="宋体"/>
          <w:color w:val="auto"/>
          <w:highlight w:val="none"/>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报价人</w:t>
      </w:r>
      <w:r>
        <w:rPr>
          <w:rFonts w:hint="eastAsia" w:ascii="宋体" w:hAnsi="宋体"/>
          <w:bCs/>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报价人</w:t>
      </w:r>
      <w:r>
        <w:rPr>
          <w:rFonts w:hint="eastAsia" w:ascii="宋体" w:hAnsi="宋体" w:cs="宋体"/>
          <w:color w:val="auto"/>
          <w:szCs w:val="21"/>
          <w:highlight w:val="none"/>
        </w:rPr>
        <w:t>，并对潜在</w:t>
      </w:r>
      <w:r>
        <w:rPr>
          <w:rFonts w:hint="eastAsia" w:ascii="宋体" w:hAnsi="宋体"/>
          <w:color w:val="auto"/>
          <w:highlight w:val="none"/>
        </w:rPr>
        <w:t>报价人</w:t>
      </w:r>
      <w:r>
        <w:rPr>
          <w:rFonts w:hint="eastAsia" w:ascii="宋体" w:hAnsi="宋体" w:cs="宋体"/>
          <w:color w:val="auto"/>
          <w:szCs w:val="21"/>
          <w:highlight w:val="none"/>
        </w:rPr>
        <w:t>具有约束力。潜在</w:t>
      </w:r>
      <w:r>
        <w:rPr>
          <w:rFonts w:hint="eastAsia" w:ascii="宋体" w:hAnsi="宋体"/>
          <w:color w:val="auto"/>
          <w:highlight w:val="none"/>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5" w:name="_Toc315793461"/>
      <w:bookmarkStart w:id="96" w:name="_Toc320515027"/>
      <w:bookmarkStart w:id="97" w:name="_Toc475104478"/>
      <w:bookmarkStart w:id="98" w:name="_Toc323110986"/>
      <w:bookmarkStart w:id="99" w:name="_Toc363737692"/>
      <w:bookmarkStart w:id="100" w:name="_Toc320515076"/>
      <w:bookmarkStart w:id="101" w:name="_Toc322680353"/>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2" w:name="_Toc363737693"/>
      <w:bookmarkStart w:id="103" w:name="_Toc322680354"/>
      <w:bookmarkStart w:id="104" w:name="_Toc475104479"/>
      <w:bookmarkStart w:id="105" w:name="_Toc323110987"/>
      <w:bookmarkStart w:id="106" w:name="_Toc320515077"/>
      <w:bookmarkStart w:id="107" w:name="_Toc315793462"/>
      <w:bookmarkStart w:id="108" w:name="_Toc320515028"/>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提交的磋商响应文件以及</w:t>
      </w:r>
      <w:r>
        <w:rPr>
          <w:rFonts w:hint="eastAsia" w:ascii="宋体" w:hAnsi="宋体"/>
          <w:color w:val="auto"/>
          <w:highlight w:val="none"/>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9" w:name="_Toc315793463"/>
      <w:bookmarkStart w:id="110" w:name="_Toc320515029"/>
      <w:bookmarkStart w:id="111" w:name="_Toc320515078"/>
      <w:bookmarkStart w:id="112" w:name="_Toc363737694"/>
      <w:bookmarkStart w:id="113" w:name="_Toc475104480"/>
      <w:bookmarkStart w:id="114" w:name="_Toc323110988"/>
      <w:bookmarkStart w:id="115" w:name="_Toc322680355"/>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报价人</w:t>
      </w:r>
      <w:r>
        <w:rPr>
          <w:rFonts w:hint="eastAsia" w:ascii="宋体" w:hAnsi="宋体" w:cs="宋体"/>
          <w:color w:val="auto"/>
          <w:szCs w:val="21"/>
          <w:highlight w:val="none"/>
        </w:rPr>
        <w:t>认为须提交与评审内容相关的其他资料。</w:t>
      </w:r>
    </w:p>
    <w:p>
      <w:pPr>
        <w:pStyle w:val="178"/>
        <w:numPr>
          <w:ilvl w:val="1"/>
          <w:numId w:val="4"/>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商务部分文件是指报价人提交的证明报价人的资格合格，且获得成交资格后有能力履行合同的文件。服务部分文件是指证明报价人提供的服务和货物是合格的，而且符合本竞争性磋商文件规定的文件。</w:t>
      </w:r>
      <w:bookmarkEnd w:id="11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17" w:name="_Toc475104482"/>
      <w:bookmarkStart w:id="118" w:name="_Toc320515030"/>
      <w:bookmarkStart w:id="119" w:name="_Toc363737695"/>
      <w:bookmarkStart w:id="120" w:name="_Toc315793464"/>
      <w:bookmarkStart w:id="121" w:name="_Toc322680356"/>
      <w:bookmarkStart w:id="122" w:name="_Toc320515079"/>
      <w:bookmarkStart w:id="123" w:name="_Toc323110989"/>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24" w:name="_Toc475104483"/>
      <w:bookmarkStart w:id="125" w:name="_Toc323110990"/>
      <w:bookmarkStart w:id="126" w:name="_Toc363737696"/>
      <w:r>
        <w:rPr>
          <w:rFonts w:hint="eastAsia" w:ascii="宋体" w:hAnsi="宋体"/>
          <w:b/>
          <w:bCs/>
          <w:color w:val="auto"/>
          <w:sz w:val="24"/>
          <w:highlight w:val="none"/>
        </w:rPr>
        <w:t>竞争性磋商报价</w:t>
      </w:r>
      <w:bookmarkEnd w:id="124"/>
      <w:bookmarkEnd w:id="125"/>
      <w:bookmarkEnd w:id="12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27" w:name="_Toc323110991"/>
      <w:bookmarkStart w:id="128" w:name="_Toc320515032"/>
      <w:bookmarkStart w:id="129" w:name="_Toc320515081"/>
      <w:bookmarkStart w:id="130" w:name="_Toc322680358"/>
      <w:bookmarkStart w:id="131" w:name="_Toc315793468"/>
      <w:r>
        <w:rPr>
          <w:rFonts w:hint="eastAsia" w:cs="宋体"/>
          <w:color w:val="auto"/>
          <w:szCs w:val="21"/>
          <w:highlight w:val="none"/>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报价人</w:t>
      </w:r>
      <w:r>
        <w:rPr>
          <w:rFonts w:hint="eastAsia" w:ascii="宋体" w:hAnsi="宋体" w:cs="宋体"/>
          <w:color w:val="auto"/>
          <w:szCs w:val="21"/>
          <w:highlight w:val="none"/>
        </w:rPr>
        <w:t>作出书面说明并提供相关证明材料。</w:t>
      </w:r>
      <w:r>
        <w:rPr>
          <w:rFonts w:hint="eastAsia" w:cs="宋体"/>
          <w:color w:val="auto"/>
          <w:szCs w:val="21"/>
          <w:highlight w:val="none"/>
        </w:rPr>
        <w:t>报价人</w:t>
      </w:r>
      <w:r>
        <w:rPr>
          <w:rFonts w:hint="eastAsia" w:ascii="宋体" w:hAnsi="宋体" w:cs="宋体"/>
          <w:color w:val="auto"/>
          <w:szCs w:val="21"/>
          <w:highlight w:val="none"/>
        </w:rPr>
        <w:t>不能合理说明或者不能提供相关证明材料的，由磋商小组认定该报价人以低于成本报价竞标其报价应作无效竞标处理。</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报价人</w:t>
      </w:r>
      <w:r>
        <w:rPr>
          <w:rFonts w:hint="eastAsia" w:ascii="宋体" w:hAnsi="宋体" w:cs="宋体"/>
          <w:color w:val="auto"/>
          <w:szCs w:val="21"/>
          <w:highlight w:val="none"/>
        </w:rPr>
        <w:t>在报价时应充分考虑相关风险性因素。</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报价人</w:t>
      </w:r>
      <w:r>
        <w:rPr>
          <w:rFonts w:hint="eastAsia" w:ascii="宋体" w:hAnsi="宋体" w:cs="宋体"/>
          <w:color w:val="auto"/>
          <w:szCs w:val="21"/>
          <w:highlight w:val="none"/>
        </w:rPr>
        <w:t>在获得成交资格并签署合同后，服务期限内出现的任何遗漏，均由成交报价人负责，采购人将不再支付任何费用。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2" w:name="_Toc363737697"/>
      <w:bookmarkStart w:id="133" w:name="_Toc475104484"/>
      <w:r>
        <w:rPr>
          <w:rFonts w:hint="eastAsia" w:ascii="宋体" w:hAnsi="宋体"/>
          <w:b/>
          <w:bCs/>
          <w:color w:val="auto"/>
          <w:sz w:val="24"/>
          <w:highlight w:val="none"/>
        </w:rPr>
        <w:t>证明报价人合格和资格的文件</w:t>
      </w:r>
      <w:bookmarkEnd w:id="127"/>
      <w:bookmarkEnd w:id="128"/>
      <w:bookmarkEnd w:id="129"/>
      <w:bookmarkEnd w:id="130"/>
      <w:bookmarkEnd w:id="131"/>
      <w:bookmarkEnd w:id="132"/>
      <w:bookmarkEnd w:id="133"/>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报价人提交的资格证明文件应证明其满足本须知定义的合格</w:t>
      </w:r>
      <w:r>
        <w:rPr>
          <w:rFonts w:hint="eastAsia" w:cs="宋体"/>
          <w:color w:val="auto"/>
          <w:szCs w:val="21"/>
          <w:highlight w:val="none"/>
        </w:rPr>
        <w:t>报价人</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4" w:name="_Toc320515082"/>
      <w:bookmarkStart w:id="135" w:name="_Toc320515033"/>
      <w:bookmarkStart w:id="136" w:name="_Toc363737698"/>
      <w:bookmarkStart w:id="137" w:name="_Toc333236642"/>
      <w:bookmarkStart w:id="138" w:name="_Toc315793469"/>
      <w:bookmarkStart w:id="139" w:name="_Toc475104485"/>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报价人</w:t>
      </w:r>
      <w:r>
        <w:rPr>
          <w:rFonts w:hint="eastAsia" w:ascii="宋体" w:hAnsi="宋体" w:cs="宋体"/>
          <w:color w:val="auto"/>
          <w:szCs w:val="21"/>
          <w:highlight w:val="none"/>
        </w:rPr>
        <w:t>在报价中要实质上满足或超过竞争性磋商文件的要求。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1" w:name="_Toc363737699"/>
      <w:r>
        <w:rPr>
          <w:rFonts w:hint="eastAsia" w:ascii="宋体" w:hAnsi="宋体"/>
          <w:b/>
          <w:bCs/>
          <w:color w:val="auto"/>
          <w:sz w:val="24"/>
          <w:highlight w:val="none"/>
        </w:rPr>
        <w:t>磋商保证金</w:t>
      </w:r>
    </w:p>
    <w:bookmarkEnd w:id="141"/>
    <w:p>
      <w:pPr>
        <w:numPr>
          <w:ilvl w:val="1"/>
          <w:numId w:val="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0"/>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2" w:name="_Toc394926941"/>
      <w:bookmarkStart w:id="143" w:name="_Toc475104487"/>
      <w:bookmarkStart w:id="144" w:name="_Toc351550769"/>
      <w:bookmarkStart w:id="145" w:name="_Toc320515084"/>
      <w:bookmarkStart w:id="146" w:name="_Toc320515035"/>
      <w:bookmarkStart w:id="147" w:name="_Toc322680361"/>
      <w:bookmarkStart w:id="148" w:name="_Toc363737700"/>
      <w:bookmarkStart w:id="149" w:name="_Toc323110994"/>
      <w:bookmarkStart w:id="150" w:name="_Toc315793471"/>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报价人</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报价人</w:t>
      </w:r>
      <w:r>
        <w:rPr>
          <w:rFonts w:hint="eastAsia" w:ascii="宋体" w:hAnsi="宋体"/>
          <w:color w:val="auto"/>
          <w:szCs w:val="21"/>
          <w:highlight w:val="none"/>
        </w:rPr>
        <w:t>可以自行选择是否采取履约担保函的形式交纳履约保证金。</w:t>
      </w:r>
      <w:bookmarkEnd w:id="151"/>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2" w:name="_Toc475104490"/>
      <w:bookmarkStart w:id="153" w:name="_Toc315793300"/>
      <w:r>
        <w:rPr>
          <w:rFonts w:hint="eastAsia"/>
          <w:color w:val="auto"/>
          <w:szCs w:val="21"/>
          <w:highlight w:val="none"/>
        </w:rPr>
        <w:t>融资担保，是指由专业担保机构为</w:t>
      </w:r>
      <w:r>
        <w:rPr>
          <w:rFonts w:hint="eastAsia" w:cs="宋体"/>
          <w:color w:val="auto"/>
          <w:szCs w:val="21"/>
          <w:highlight w:val="none"/>
        </w:rPr>
        <w:t>报价人</w:t>
      </w:r>
      <w:r>
        <w:rPr>
          <w:rFonts w:hint="eastAsia"/>
          <w:color w:val="auto"/>
          <w:szCs w:val="21"/>
          <w:highlight w:val="none"/>
        </w:rPr>
        <w:t>向银行融资提供的保证担保。</w:t>
      </w:r>
      <w:r>
        <w:rPr>
          <w:rFonts w:hint="eastAsia" w:cs="宋体"/>
          <w:color w:val="auto"/>
          <w:szCs w:val="21"/>
          <w:highlight w:val="none"/>
        </w:rPr>
        <w:t>报价人</w:t>
      </w:r>
      <w:r>
        <w:rPr>
          <w:rFonts w:hint="eastAsia"/>
          <w:color w:val="auto"/>
          <w:szCs w:val="21"/>
          <w:highlight w:val="none"/>
        </w:rPr>
        <w:t>可以自愿选择是否采取融资担保的形式为政府采购履约进行融资。</w:t>
      </w:r>
      <w:bookmarkEnd w:id="152"/>
      <w:bookmarkEnd w:id="15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报价人</w:t>
      </w:r>
      <w:r>
        <w:rPr>
          <w:rFonts w:hint="eastAsia" w:ascii="宋体" w:hAnsi="宋体"/>
          <w:color w:val="auto"/>
          <w:szCs w:val="21"/>
          <w:highlight w:val="none"/>
        </w:rPr>
        <w:t>必须选定有合法资质的担保公司任一家作为专业担保机构。</w:t>
      </w:r>
    </w:p>
    <w:bookmarkEnd w:id="154"/>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55" w:name="_Toc320515036"/>
      <w:bookmarkStart w:id="156" w:name="_Toc320515085"/>
      <w:bookmarkStart w:id="157" w:name="_Toc363737701"/>
      <w:bookmarkStart w:id="158" w:name="_Toc475104494"/>
      <w:bookmarkStart w:id="159" w:name="_Toc315793472"/>
      <w:bookmarkStart w:id="160" w:name="_Toc322680363"/>
      <w:bookmarkStart w:id="161" w:name="_Toc315793473"/>
      <w:bookmarkStart w:id="162" w:name="_Toc320515037"/>
      <w:bookmarkStart w:id="163" w:name="_Toc323110996"/>
      <w:bookmarkStart w:id="164" w:name="_Toc320515086"/>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报价人</w:t>
      </w:r>
      <w:r>
        <w:rPr>
          <w:rFonts w:hint="eastAsia" w:ascii="宋体" w:hAnsi="宋体" w:cs="宋体"/>
          <w:color w:val="auto"/>
          <w:szCs w:val="21"/>
          <w:highlight w:val="none"/>
        </w:rPr>
        <w:t>的全部磋商响应文件均不退回。</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磋商响应文件正本每一页均要求加盖报价人公章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5" w:name="_Toc475104495"/>
      <w:bookmarkStart w:id="166" w:name="_Toc363737702"/>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67" w:name="_Toc320515087"/>
      <w:bookmarkStart w:id="168" w:name="_Toc475104496"/>
      <w:bookmarkStart w:id="169" w:name="_Toc320515038"/>
      <w:bookmarkStart w:id="170" w:name="_Toc315793474"/>
      <w:bookmarkStart w:id="171" w:name="_Toc363737703"/>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4"/>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4"/>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2021</w:t>
            </w:r>
            <w:r>
              <w:rPr>
                <w:rFonts w:ascii="宋体" w:hAnsi="宋体"/>
                <w:color w:val="auto"/>
                <w:szCs w:val="21"/>
                <w:highlight w:val="none"/>
              </w:rPr>
              <w:t>年月日</w:t>
            </w:r>
            <w:r>
              <w:rPr>
                <w:rFonts w:hint="eastAsia" w:ascii="宋体" w:hAnsi="宋体"/>
                <w:color w:val="auto"/>
                <w:szCs w:val="21"/>
                <w:highlight w:val="none"/>
              </w:rPr>
              <w:t>前不得启封</w:t>
            </w:r>
          </w:p>
        </w:tc>
      </w:tr>
    </w:tbl>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2" w:name="_Toc322680366"/>
      <w:bookmarkStart w:id="173" w:name="_Toc320515089"/>
      <w:bookmarkStart w:id="174" w:name="_Toc315793476"/>
      <w:bookmarkStart w:id="175" w:name="_Toc320515040"/>
      <w:bookmarkStart w:id="176" w:name="_Toc323110999"/>
      <w:r>
        <w:rPr>
          <w:rFonts w:hint="eastAsia" w:ascii="宋体" w:hAnsi="宋体"/>
          <w:b/>
          <w:bCs/>
          <w:color w:val="auto"/>
          <w:sz w:val="24"/>
          <w:highlight w:val="none"/>
        </w:rPr>
        <w:t>磋商响应文件递交截止期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7" w:name="_Toc363737705"/>
      <w:bookmarkStart w:id="178" w:name="_Toc475104498"/>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2" w:name="_Toc363737707"/>
      <w:bookmarkStart w:id="183" w:name="_Toc475104500"/>
      <w:bookmarkStart w:id="184" w:name="_Toc323111001"/>
      <w:r>
        <w:rPr>
          <w:rFonts w:hint="eastAsia" w:ascii="宋体" w:hAnsi="宋体"/>
          <w:b/>
          <w:bCs/>
          <w:color w:val="auto"/>
          <w:sz w:val="24"/>
          <w:highlight w:val="none"/>
        </w:rPr>
        <w:t>磋商及抽取磋商顺序</w:t>
      </w:r>
      <w:bookmarkEnd w:id="182"/>
      <w:bookmarkEnd w:id="183"/>
      <w:bookmarkEnd w:id="184"/>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报价人</w:t>
      </w:r>
      <w:r>
        <w:rPr>
          <w:rFonts w:hint="eastAsia" w:ascii="宋体" w:hAnsi="宋体" w:cs="宋体"/>
          <w:color w:val="auto"/>
          <w:kern w:val="0"/>
          <w:szCs w:val="21"/>
          <w:highlight w:val="none"/>
        </w:rPr>
        <w:t>授权代表作为全体</w:t>
      </w:r>
      <w:r>
        <w:rPr>
          <w:rFonts w:hint="eastAsia" w:cs="宋体"/>
          <w:color w:val="auto"/>
          <w:szCs w:val="21"/>
          <w:highlight w:val="none"/>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报价人</w:t>
      </w:r>
      <w:r>
        <w:rPr>
          <w:rFonts w:hint="eastAsia" w:ascii="宋体" w:hAnsi="宋体" w:cs="宋体"/>
          <w:color w:val="auto"/>
          <w:szCs w:val="21"/>
          <w:highlight w:val="none"/>
        </w:rPr>
        <w:t>抽签决定磋商顺序。</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5" w:name="_Toc475104501"/>
      <w:bookmarkStart w:id="186" w:name="_Toc323111002"/>
      <w:bookmarkStart w:id="187" w:name="_Toc363737708"/>
      <w:r>
        <w:rPr>
          <w:rFonts w:hint="eastAsia" w:ascii="宋体" w:hAnsi="宋体"/>
          <w:b/>
          <w:bCs/>
          <w:color w:val="auto"/>
          <w:sz w:val="24"/>
          <w:highlight w:val="none"/>
        </w:rPr>
        <w:t>磋商小组</w:t>
      </w:r>
      <w:bookmarkEnd w:id="185"/>
      <w:bookmarkEnd w:id="186"/>
      <w:bookmarkEnd w:id="187"/>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88" w:name="_Toc315793480"/>
      <w:bookmarkStart w:id="189" w:name="_Toc363737709"/>
      <w:bookmarkStart w:id="190" w:name="_Toc322680370"/>
      <w:bookmarkStart w:id="191" w:name="_Toc320515093"/>
      <w:bookmarkStart w:id="192" w:name="_Toc323111003"/>
      <w:bookmarkStart w:id="193" w:name="_Toc320515044"/>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报价人</w:t>
      </w:r>
      <w:r>
        <w:rPr>
          <w:rFonts w:hint="eastAsia" w:ascii="宋体" w:hAnsi="宋体" w:cs="宋体"/>
          <w:color w:val="auto"/>
          <w:szCs w:val="21"/>
          <w:highlight w:val="none"/>
        </w:rPr>
        <w:t>发生过法律纠纷；</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报价人</w:t>
      </w:r>
      <w:r>
        <w:rPr>
          <w:rFonts w:hint="eastAsia" w:ascii="宋体" w:hAnsi="宋体" w:cs="宋体"/>
          <w:color w:val="auto"/>
          <w:szCs w:val="21"/>
          <w:highlight w:val="none"/>
        </w:rPr>
        <w:t>存在行政隶属关系；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报价人</w:t>
      </w:r>
      <w:r>
        <w:rPr>
          <w:rFonts w:hint="eastAsia" w:ascii="宋体" w:hAnsi="宋体" w:cs="宋体"/>
          <w:color w:val="auto"/>
          <w:szCs w:val="21"/>
          <w:highlight w:val="none"/>
        </w:rPr>
        <w:t>存在其他经济利益关系；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TW"/>
        </w:rPr>
        <w:t>与供应商的法定代表人或者负责人有夫妻、直系血亲、三代以内旁系血亲或者近姻亲关系</w:t>
      </w:r>
      <w:r>
        <w:rPr>
          <w:rFonts w:hint="eastAsia" w:ascii="宋体" w:hAnsi="宋体" w:cs="宋体"/>
          <w:color w:val="auto"/>
          <w:szCs w:val="21"/>
          <w:highlight w:val="none"/>
          <w:lang w:eastAsia="zh-CN"/>
        </w:rPr>
        <w:t>；</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TW"/>
        </w:rPr>
        <w:t>与供应商有其他可能影响政府采购活动公平、公正进行的关系</w:t>
      </w:r>
      <w:r>
        <w:rPr>
          <w:rFonts w:hint="eastAsia" w:ascii="宋体" w:hAnsi="宋体" w:cs="宋体"/>
          <w:color w:val="auto"/>
          <w:szCs w:val="21"/>
          <w:highlight w:val="none"/>
          <w:lang w:eastAsia="zh-CN"/>
        </w:rPr>
        <w:t>。</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351716665"/>
      <w:bookmarkStart w:id="197" w:name="_Toc363737710"/>
      <w:bookmarkStart w:id="198" w:name="_Toc475104503"/>
      <w:bookmarkStart w:id="199" w:name="_Toc323111005"/>
      <w:bookmarkStart w:id="200" w:name="_Toc322680372"/>
      <w:bookmarkStart w:id="201" w:name="_Toc315793483"/>
      <w:bookmarkStart w:id="202" w:name="_Toc320515047"/>
      <w:bookmarkStart w:id="203" w:name="_Toc320515096"/>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4"/>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报价人</w:t>
      </w:r>
      <w:r>
        <w:rPr>
          <w:rFonts w:hint="eastAsia" w:ascii="宋体" w:hAnsi="宋体"/>
          <w:color w:val="auto"/>
          <w:szCs w:val="21"/>
          <w:highlight w:val="none"/>
        </w:rPr>
        <w:t>应实行现场告知，以让其核证、澄清事实。</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报价人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报价人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报价人</w:t>
      </w:r>
      <w:r>
        <w:rPr>
          <w:rFonts w:hint="eastAsia" w:ascii="宋体" w:hAnsi="宋体"/>
          <w:color w:val="auto"/>
          <w:szCs w:val="21"/>
          <w:highlight w:val="none"/>
        </w:rPr>
        <w:t>的服务、价格和其他任何信息。</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报价人</w:t>
      </w:r>
      <w:r>
        <w:rPr>
          <w:rFonts w:hint="eastAsia" w:ascii="宋体" w:hAnsi="宋体"/>
          <w:color w:val="auto"/>
          <w:szCs w:val="21"/>
          <w:highlight w:val="none"/>
        </w:rPr>
        <w:t>。但任何形式的决定须以符合公平、公正原则和有利于项目的顺利实施为前提。</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报价人</w:t>
      </w:r>
      <w:r>
        <w:rPr>
          <w:rFonts w:hint="eastAsia" w:ascii="宋体" w:hAnsi="宋体"/>
          <w:color w:val="auto"/>
          <w:szCs w:val="21"/>
          <w:highlight w:val="none"/>
        </w:rPr>
        <w:t>提交的澄清文件和最后报价文件，由</w:t>
      </w:r>
      <w:r>
        <w:rPr>
          <w:rFonts w:hint="eastAsia" w:cs="宋体"/>
          <w:color w:val="auto"/>
          <w:szCs w:val="21"/>
          <w:highlight w:val="none"/>
        </w:rPr>
        <w:t>报价人</w:t>
      </w:r>
      <w:r>
        <w:rPr>
          <w:rFonts w:hint="eastAsia" w:ascii="宋体" w:hAnsi="宋体"/>
          <w:color w:val="auto"/>
          <w:szCs w:val="21"/>
          <w:highlight w:val="none"/>
        </w:rPr>
        <w:t>法人代表或其授权代表签字或加盖公章后生效。报价人为自然人的，应当由本人签字并附身份证明。</w:t>
      </w:r>
      <w:r>
        <w:rPr>
          <w:rFonts w:hint="eastAsia" w:cs="宋体"/>
          <w:color w:val="auto"/>
          <w:szCs w:val="21"/>
          <w:highlight w:val="none"/>
        </w:rPr>
        <w:t>报价人</w:t>
      </w:r>
      <w:r>
        <w:rPr>
          <w:rFonts w:hint="eastAsia" w:ascii="宋体" w:hAnsi="宋体"/>
          <w:color w:val="auto"/>
          <w:szCs w:val="21"/>
          <w:highlight w:val="none"/>
        </w:rPr>
        <w:t>应受其约束。</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经磋商确定最终采购需求和提交最后报价的报价人后，由磋商小组采用综合评分法对提交最后报价的报价人的响应文件和最后报价进行综合评分。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6" w:name="_Toc363737711"/>
      <w:bookmarkStart w:id="207" w:name="_Toc475104504"/>
      <w:bookmarkStart w:id="208" w:name="_Toc351716666"/>
      <w:r>
        <w:rPr>
          <w:rFonts w:hint="eastAsia" w:ascii="宋体" w:hAnsi="宋体"/>
          <w:b/>
          <w:bCs/>
          <w:color w:val="auto"/>
          <w:sz w:val="24"/>
          <w:highlight w:val="none"/>
        </w:rPr>
        <w:t>评定成交的评审方法和标准</w:t>
      </w:r>
      <w:bookmarkEnd w:id="206"/>
      <w:bookmarkEnd w:id="207"/>
      <w:bookmarkEnd w:id="208"/>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bookmarkEnd w:id="204"/>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9"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09"/>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bookmarkStart w:id="210" w:name="_Toc475104508"/>
      <w:bookmarkStart w:id="211" w:name="_Toc320515048"/>
      <w:bookmarkStart w:id="212" w:name="_Toc315793484"/>
      <w:bookmarkStart w:id="213" w:name="_Toc363737713"/>
      <w:bookmarkStart w:id="214" w:name="_Toc320515097"/>
      <w:bookmarkStart w:id="215" w:name="_Toc322680374"/>
      <w:bookmarkStart w:id="216"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jc w:val="left"/>
        <w:rPr>
          <w:rFonts w:hint="eastAsia"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0"/>
      <w:bookmarkEnd w:id="211"/>
      <w:bookmarkEnd w:id="212"/>
      <w:bookmarkEnd w:id="213"/>
      <w:bookmarkEnd w:id="214"/>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报价人的姓名或者名称、地址、邮编、联系人及联系电话；</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质疑书应当署名。报价人为自然人的，应当由本人签字；报价人为法人或者其他组织的，应当由法定代表人、主要负责人，或者其授权代表签字或者盖章，并加盖公章。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报价人</w:t>
      </w:r>
      <w:r>
        <w:rPr>
          <w:rFonts w:hint="eastAsia" w:ascii="宋体" w:hAnsi="宋体"/>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报价人</w:t>
      </w:r>
      <w:r>
        <w:rPr>
          <w:rFonts w:hint="eastAsia" w:ascii="宋体" w:hAnsi="宋体" w:cs="黑体"/>
          <w:bCs/>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15"/>
    <w:bookmarkEnd w:id="216"/>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17" w:name="_Toc363737714"/>
      <w:bookmarkStart w:id="218" w:name="_Toc475104509"/>
      <w:r>
        <w:rPr>
          <w:rFonts w:hint="eastAsia" w:ascii="宋体" w:hAnsi="宋体" w:cs="宋体"/>
          <w:b/>
          <w:bCs/>
          <w:color w:val="auto"/>
          <w:sz w:val="24"/>
          <w:highlight w:val="none"/>
        </w:rPr>
        <w:t>报价人询问的途径、接收质疑函的方式</w:t>
      </w:r>
      <w:r>
        <w:rPr>
          <w:rFonts w:hint="eastAsia" w:ascii="宋体" w:hAnsi="宋体"/>
          <w:b/>
          <w:bCs/>
          <w:color w:val="auto"/>
          <w:sz w:val="24"/>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询问和质疑接收机构名称：广州市信怡招标代理有限公司</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询问和质疑接收机构地址：广州市海珠区红卫新村西路29号UP智谷D栋503房</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询问和质疑接收部门联系人：胡先生</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询问和质疑接收机构电话：020-89001296（工作/接收时间：9：00-17：00）</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质疑接收机构传真：020-89001292</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17"/>
      <w:bookmarkEnd w:id="21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和采购人具有同等法律效力。</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19" w:name="_Toc475104510"/>
      <w:bookmarkStart w:id="220" w:name="_Toc320515050"/>
      <w:bookmarkStart w:id="221" w:name="_Toc320515099"/>
      <w:bookmarkStart w:id="222" w:name="_Toc315793486"/>
      <w:bookmarkStart w:id="223" w:name="_Toc363737715"/>
      <w:bookmarkStart w:id="224" w:name="_Toc28489462"/>
      <w:bookmarkStart w:id="225" w:name="_Toc14450813"/>
      <w:r>
        <w:rPr>
          <w:rFonts w:hint="eastAsia" w:ascii="宋体" w:hAnsi="宋体"/>
          <w:b/>
          <w:color w:val="auto"/>
          <w:sz w:val="28"/>
          <w:szCs w:val="28"/>
          <w:highlight w:val="none"/>
          <w:lang w:eastAsia="zh-TW"/>
        </w:rPr>
        <w:t>授予合同</w:t>
      </w:r>
      <w:bookmarkEnd w:id="219"/>
      <w:bookmarkEnd w:id="220"/>
      <w:bookmarkEnd w:id="221"/>
      <w:bookmarkEnd w:id="222"/>
      <w:bookmarkEnd w:id="223"/>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26" w:name="_Toc320515100"/>
      <w:bookmarkStart w:id="227" w:name="_Toc363737716"/>
      <w:bookmarkStart w:id="228" w:name="_Toc320515051"/>
      <w:bookmarkStart w:id="229" w:name="_Toc475104511"/>
      <w:bookmarkStart w:id="230" w:name="_Toc315793487"/>
      <w:r>
        <w:rPr>
          <w:rFonts w:hint="eastAsia" w:ascii="宋体" w:hAnsi="宋体"/>
          <w:b/>
          <w:bCs/>
          <w:color w:val="auto"/>
          <w:sz w:val="24"/>
          <w:highlight w:val="none"/>
        </w:rPr>
        <w:t>合同的订立</w:t>
      </w:r>
      <w:bookmarkEnd w:id="226"/>
      <w:bookmarkEnd w:id="227"/>
      <w:bookmarkEnd w:id="228"/>
      <w:bookmarkEnd w:id="229"/>
      <w:bookmarkEnd w:id="230"/>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bookmarkStart w:id="231" w:name="_Toc363737717"/>
      <w:bookmarkStart w:id="232" w:name="_Toc320515101"/>
      <w:bookmarkStart w:id="233" w:name="_Toc320515052"/>
      <w:bookmarkStart w:id="234" w:name="_Toc475104512"/>
      <w:bookmarkStart w:id="235" w:name="_Toc315793488"/>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签订书面合同。所签订的合同不得对竞争性磋商文件和成交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招标采购单位不得向成交报价人提出任何不合理的要求，作为签订合同的条件，不得与成交报价人私下订立背离合同实质性内容的协议。 </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1"/>
      <w:bookmarkEnd w:id="232"/>
      <w:bookmarkEnd w:id="233"/>
      <w:bookmarkEnd w:id="234"/>
      <w:bookmarkEnd w:id="235"/>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成交报价人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36" w:name="_Toc475104515"/>
      <w:bookmarkStart w:id="237"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6"/>
      <w:bookmarkEnd w:id="237"/>
    </w:p>
    <w:p>
      <w:pPr>
        <w:numPr>
          <w:ilvl w:val="0"/>
          <w:numId w:val="4"/>
        </w:numPr>
        <w:autoSpaceDE w:val="0"/>
        <w:autoSpaceDN w:val="0"/>
        <w:adjustRightInd w:val="0"/>
        <w:snapToGrid w:val="0"/>
        <w:spacing w:line="360" w:lineRule="auto"/>
        <w:outlineLvl w:val="0"/>
        <w:rPr>
          <w:rFonts w:ascii="宋体" w:hAnsi="宋体" w:cs="宋体"/>
          <w:b/>
          <w:color w:val="auto"/>
          <w:sz w:val="24"/>
          <w:highlight w:val="none"/>
        </w:rPr>
      </w:pPr>
      <w:bookmarkStart w:id="238" w:name="_Toc363737723"/>
      <w:bookmarkStart w:id="239" w:name="_Toc475104518"/>
      <w:r>
        <w:rPr>
          <w:rFonts w:hint="eastAsia" w:ascii="宋体" w:hAnsi="宋体" w:cs="宋体"/>
          <w:b/>
          <w:color w:val="auto"/>
          <w:sz w:val="24"/>
          <w:highlight w:val="none"/>
        </w:rPr>
        <w:t>其他</w:t>
      </w:r>
      <w:bookmarkEnd w:id="238"/>
      <w:bookmarkEnd w:id="239"/>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40" w:name="_Toc363737724"/>
      <w:bookmarkStart w:id="241" w:name="_Toc475104519"/>
      <w:r>
        <w:rPr>
          <w:rFonts w:hint="eastAsia" w:ascii="宋体" w:hAnsi="宋体" w:cs="宋体"/>
          <w:color w:val="auto"/>
          <w:szCs w:val="21"/>
          <w:highlight w:val="none"/>
        </w:rPr>
        <w:t>本项目相关公告在以下媒体发布：中国采购与招标网（网址：www.chinabidding.com.cn）</w:t>
      </w:r>
      <w:r>
        <w:rPr>
          <w:rFonts w:hint="eastAsia" w:ascii="宋体" w:hAnsi="宋体" w:cs="宋体"/>
          <w:color w:val="auto"/>
          <w:szCs w:val="21"/>
          <w:highlight w:val="none"/>
          <w:lang w:eastAsia="zh-CN"/>
        </w:rPr>
        <w:t>、</w:t>
      </w:r>
      <w:r>
        <w:rPr>
          <w:rFonts w:hint="eastAsia" w:ascii="宋体" w:hAnsi="宋体" w:cs="宋体"/>
          <w:color w:val="auto"/>
          <w:szCs w:val="21"/>
          <w:highlight w:val="none"/>
        </w:rPr>
        <w:t>广州市信怡招标代理有限公司网站（www.gzxyzb.com）。相关公告在法定媒体上公布之日即视为有效送达，不再另行通知。</w:t>
      </w:r>
      <w:bookmarkEnd w:id="240"/>
      <w:bookmarkEnd w:id="241"/>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42" w:name="_Toc363737725"/>
      <w:bookmarkStart w:id="243" w:name="_Toc475104520"/>
      <w:r>
        <w:rPr>
          <w:rFonts w:hint="eastAsia" w:ascii="宋体" w:hAnsi="宋体" w:cs="宋体"/>
          <w:color w:val="auto"/>
          <w:szCs w:val="21"/>
          <w:highlight w:val="none"/>
        </w:rPr>
        <w:t>其他未尽事宜，依照《中华人民共和国政府采购法》和省市相关法律、法规执行。</w:t>
      </w:r>
      <w:bookmarkEnd w:id="242"/>
      <w:bookmarkEnd w:id="24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说明：本部分格式为报价人提交询问函、质疑函时使用，不属于响应文件格式的组成部分。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询问函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97"/>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于年月日组织的政府采购活动。根据《政府采购法》和《政府采购报价人投诉处理办法》等规定，我公司认为</w:t>
      </w:r>
      <w:r>
        <w:rPr>
          <w:rFonts w:hint="eastAsia" w:ascii="宋体" w:hAnsi="宋体"/>
          <w:color w:val="auto"/>
          <w:szCs w:val="21"/>
          <w:highlight w:val="none"/>
          <w:u w:val="single"/>
        </w:rPr>
        <w:t>（采购项目名称）（采购项目编号：）</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质疑报价人</w:t>
      </w:r>
      <w:r>
        <w:rPr>
          <w:rFonts w:hint="eastAsia" w:ascii="宋体" w:hAnsi="宋体"/>
          <w:color w:val="auto"/>
          <w:szCs w:val="21"/>
          <w:highlight w:val="none"/>
          <w:u w:val="single"/>
        </w:rPr>
        <w:t>：（签章）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报价人质疑、投诉应当有明确的请求和必要的证明材料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报价人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4"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45" w:name="_Toc475104521"/>
      <w:r>
        <w:rPr>
          <w:rFonts w:cs="ZWAdobeF"/>
          <w:b w:val="0"/>
          <w:color w:val="auto"/>
          <w:sz w:val="2"/>
          <w:szCs w:val="2"/>
          <w:highlight w:val="none"/>
        </w:rPr>
        <w:t>2B2B</w:t>
      </w:r>
      <w:r>
        <w:rPr>
          <w:rFonts w:hint="eastAsia"/>
          <w:color w:val="auto"/>
          <w:sz w:val="44"/>
          <w:highlight w:val="none"/>
        </w:rPr>
        <w:t>第三章</w:t>
      </w:r>
      <w:bookmarkStart w:id="246" w:name="_Toc10525517"/>
      <w:r>
        <w:rPr>
          <w:rFonts w:hint="eastAsia"/>
          <w:color w:val="auto"/>
          <w:sz w:val="44"/>
          <w:highlight w:val="none"/>
        </w:rPr>
        <w:t xml:space="preserve"> 采购人需求书</w:t>
      </w:r>
      <w:bookmarkEnd w:id="224"/>
      <w:bookmarkEnd w:id="225"/>
      <w:bookmarkEnd w:id="244"/>
      <w:bookmarkEnd w:id="245"/>
      <w:bookmarkEnd w:id="246"/>
    </w:p>
    <w:p>
      <w:pPr>
        <w:spacing w:line="360" w:lineRule="auto"/>
        <w:rPr>
          <w:rFonts w:ascii="宋体" w:hAnsi="宋体"/>
          <w:color w:val="auto"/>
          <w:highlight w:val="none"/>
        </w:rPr>
      </w:pPr>
      <w:bookmarkStart w:id="247" w:name="_Toc14450822"/>
      <w:bookmarkStart w:id="248"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49" w:name="_Toc321815812"/>
      <w:bookmarkEnd w:id="249"/>
      <w:bookmarkStart w:id="250" w:name="_Toc321815818"/>
      <w:bookmarkEnd w:id="250"/>
      <w:bookmarkStart w:id="251" w:name="_Toc321815807"/>
      <w:bookmarkEnd w:id="251"/>
      <w:bookmarkStart w:id="252" w:name="_Toc321815817"/>
      <w:bookmarkEnd w:id="252"/>
      <w:bookmarkStart w:id="253" w:name="_Toc321815815"/>
      <w:bookmarkEnd w:id="253"/>
      <w:bookmarkStart w:id="254" w:name="_Toc321815816"/>
      <w:bookmarkEnd w:id="254"/>
      <w:bookmarkStart w:id="255" w:name="_Toc321815822"/>
      <w:bookmarkEnd w:id="255"/>
      <w:bookmarkStart w:id="256" w:name="_Toc321815823"/>
      <w:bookmarkEnd w:id="256"/>
      <w:bookmarkStart w:id="257" w:name="_Toc321815802"/>
      <w:bookmarkEnd w:id="257"/>
      <w:bookmarkStart w:id="258" w:name="_Toc321815801"/>
      <w:bookmarkEnd w:id="258"/>
      <w:bookmarkStart w:id="259" w:name="_Toc321815820"/>
      <w:bookmarkEnd w:id="259"/>
      <w:bookmarkStart w:id="260" w:name="_Toc321815819"/>
      <w:bookmarkEnd w:id="260"/>
      <w:bookmarkStart w:id="261" w:name="_Toc321815825"/>
      <w:bookmarkEnd w:id="261"/>
      <w:bookmarkStart w:id="262" w:name="_Toc321815809"/>
      <w:bookmarkEnd w:id="262"/>
      <w:bookmarkStart w:id="263" w:name="_Toc321815810"/>
      <w:bookmarkEnd w:id="263"/>
      <w:bookmarkStart w:id="264" w:name="_Toc321815824"/>
      <w:bookmarkEnd w:id="264"/>
      <w:bookmarkStart w:id="265" w:name="_Toc321815813"/>
      <w:bookmarkEnd w:id="265"/>
      <w:bookmarkStart w:id="266" w:name="_Toc321815821"/>
      <w:bookmarkEnd w:id="266"/>
      <w:bookmarkStart w:id="267" w:name="_Toc321815805"/>
      <w:bookmarkEnd w:id="267"/>
      <w:bookmarkStart w:id="268" w:name="_Toc321815808"/>
      <w:bookmarkEnd w:id="268"/>
      <w:bookmarkStart w:id="269" w:name="_Toc321815826"/>
      <w:bookmarkEnd w:id="269"/>
      <w:bookmarkStart w:id="270" w:name="_Toc321815814"/>
      <w:bookmarkEnd w:id="270"/>
      <w:bookmarkStart w:id="271" w:name="_Toc321815806"/>
      <w:bookmarkEnd w:id="271"/>
      <w:bookmarkStart w:id="272" w:name="_Toc321815804"/>
      <w:bookmarkEnd w:id="272"/>
      <w:bookmarkStart w:id="273" w:name="_Toc321815811"/>
      <w:bookmarkEnd w:id="273"/>
      <w:bookmarkStart w:id="274"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 供应商须对所响应项目进行整体响应，任何只对其中一部分内容进行的响应都被视为无效响应。</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 标有“★”的条款为实质性响应条款，供应商如有任何一条未完全响应，则将导致其响应无效。</w:t>
      </w:r>
    </w:p>
    <w:p>
      <w:pPr>
        <w:pStyle w:val="97"/>
        <w:rPr>
          <w:color w:val="auto"/>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凡标有“▲”的地方为重要条款，请供应商注意，如供应商不满足将严重扣分。</w:t>
      </w:r>
    </w:p>
    <w:p>
      <w:pPr>
        <w:pStyle w:val="97"/>
        <w:rPr>
          <w:color w:val="auto"/>
          <w:highlight w:val="none"/>
        </w:rPr>
      </w:pPr>
    </w:p>
    <w:bookmarkEnd w:id="247"/>
    <w:bookmarkEnd w:id="248"/>
    <w:bookmarkEnd w:id="274"/>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75" w:name="_Toc483158260"/>
      <w:r>
        <w:rPr>
          <w:rFonts w:hint="eastAsia" w:asciiTheme="minorEastAsia" w:hAnsiTheme="minorEastAsia" w:eastAsiaTheme="minorEastAsia" w:cstheme="minorEastAsia"/>
          <w:b/>
          <w:color w:val="auto"/>
          <w:sz w:val="21"/>
          <w:szCs w:val="21"/>
          <w:highlight w:val="none"/>
          <w:lang w:val="zh-CN"/>
        </w:rPr>
        <w:t>一、项目情况介绍</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项目名称：广东省农产品加工重点实验室通风设备</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采购人：广东省农业科学院蚕业与农产品加工研究所</w:t>
      </w:r>
    </w:p>
    <w:p>
      <w:pPr>
        <w:spacing w:line="440" w:lineRule="exact"/>
        <w:ind w:firstLine="420" w:firstLineChars="200"/>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采购预算：人民币</w:t>
      </w:r>
      <w:r>
        <w:rPr>
          <w:rFonts w:hint="eastAsia" w:asciiTheme="minorEastAsia" w:hAnsiTheme="minorEastAsia" w:eastAsiaTheme="minorEastAsia" w:cstheme="minorEastAsia"/>
          <w:color w:val="auto"/>
          <w:sz w:val="21"/>
          <w:szCs w:val="21"/>
          <w:highlight w:val="none"/>
          <w:lang w:val="en-US" w:eastAsia="zh-CN"/>
        </w:rPr>
        <w:t>600000.00</w:t>
      </w:r>
      <w:r>
        <w:rPr>
          <w:rFonts w:hint="eastAsia" w:asciiTheme="minorEastAsia" w:hAnsiTheme="minorEastAsia" w:eastAsiaTheme="minorEastAsia" w:cstheme="minorEastAsia"/>
          <w:color w:val="auto"/>
          <w:sz w:val="21"/>
          <w:szCs w:val="21"/>
          <w:highlight w:val="none"/>
          <w:lang w:val="zh-CN" w:eastAsia="zh-CN"/>
        </w:rPr>
        <w:t>元</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二、商务要求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bookmarkStart w:id="276" w:name="_Toc317609047"/>
      <w:r>
        <w:rPr>
          <w:rFonts w:hint="eastAsia" w:asciiTheme="minorEastAsia" w:hAnsiTheme="minorEastAsia" w:eastAsiaTheme="minorEastAsia" w:cstheme="minorEastAsia"/>
          <w:color w:val="auto"/>
          <w:sz w:val="21"/>
          <w:szCs w:val="21"/>
          <w:highlight w:val="none"/>
          <w:lang w:val="zh-CN" w:eastAsia="zh-CN"/>
        </w:rPr>
        <w:t>1</w:t>
      </w:r>
      <w:bookmarkEnd w:id="276"/>
      <w:r>
        <w:rPr>
          <w:rFonts w:hint="eastAsia" w:asciiTheme="minorEastAsia" w:hAnsiTheme="minorEastAsia" w:eastAsiaTheme="minorEastAsia" w:cstheme="minorEastAsia"/>
          <w:color w:val="auto"/>
          <w:sz w:val="21"/>
          <w:szCs w:val="21"/>
          <w:highlight w:val="none"/>
          <w:lang w:val="zh-CN" w:eastAsia="zh-CN"/>
        </w:rPr>
        <w:t>、合同履行期限：合同签订后</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lang w:val="zh-CN" w:eastAsia="zh-CN"/>
        </w:rPr>
        <w:t>天内完成供货和安装调试。</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bookmarkStart w:id="277" w:name="_Toc317609048"/>
      <w:r>
        <w:rPr>
          <w:rFonts w:hint="eastAsia" w:asciiTheme="minorEastAsia" w:hAnsiTheme="minorEastAsia" w:eastAsiaTheme="minorEastAsia" w:cstheme="minorEastAsia"/>
          <w:color w:val="auto"/>
          <w:sz w:val="21"/>
          <w:szCs w:val="21"/>
          <w:highlight w:val="none"/>
          <w:lang w:val="zh-CN" w:eastAsia="zh-CN"/>
        </w:rPr>
        <w:t>2、质量要求：按国家相关规范规程一次性验收达到合格标准。</w:t>
      </w:r>
      <w:bookmarkEnd w:id="277"/>
    </w:p>
    <w:p>
      <w:pPr>
        <w:spacing w:line="440" w:lineRule="exact"/>
        <w:ind w:firstLine="420" w:firstLineChars="200"/>
        <w:rPr>
          <w:rFonts w:hint="eastAsia" w:asciiTheme="minorEastAsia" w:hAnsiTheme="minorEastAsia" w:eastAsiaTheme="minorEastAsia" w:cstheme="minorEastAsia"/>
          <w:b/>
          <w:color w:val="auto"/>
          <w:sz w:val="21"/>
          <w:szCs w:val="21"/>
          <w:highlight w:val="none"/>
          <w:lang w:val="zh-CN"/>
        </w:rPr>
      </w:pPr>
      <w:bookmarkStart w:id="278" w:name="_Toc317609049"/>
      <w:r>
        <w:rPr>
          <w:rFonts w:hint="eastAsia" w:asciiTheme="minorEastAsia" w:hAnsiTheme="minorEastAsia" w:eastAsiaTheme="minorEastAsia" w:cstheme="minorEastAsia"/>
          <w:color w:val="auto"/>
          <w:sz w:val="21"/>
          <w:szCs w:val="21"/>
          <w:highlight w:val="none"/>
          <w:lang w:val="zh-CN" w:eastAsia="zh-CN"/>
        </w:rPr>
        <w:t>3、安全文明安装要求：按广州市的相关规定执行。</w:t>
      </w:r>
      <w:bookmarkEnd w:id="278"/>
      <w:bookmarkStart w:id="279" w:name="_Toc399775094"/>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三、项目</w:t>
      </w:r>
      <w:bookmarkEnd w:id="279"/>
      <w:r>
        <w:rPr>
          <w:rFonts w:hint="eastAsia" w:asciiTheme="minorEastAsia" w:hAnsiTheme="minorEastAsia" w:eastAsiaTheme="minorEastAsia" w:cstheme="minorEastAsia"/>
          <w:b/>
          <w:color w:val="auto"/>
          <w:sz w:val="21"/>
          <w:szCs w:val="21"/>
          <w:highlight w:val="none"/>
          <w:lang w:val="zh-CN"/>
        </w:rPr>
        <w:t>概况</w:t>
      </w:r>
    </w:p>
    <w:p>
      <w:pPr>
        <w:spacing w:line="44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工程为农科院通风系统改造项目实验室通风工程，206、302A、304C、406、506这5个房间设置一套排风系统PF-01，采用变频控制，风机选用变频风机，安装于屋面，需经活性炭过滤箱处理达标后再排放；304设置一套机械排风系统PF-02，采用CAV定风量控制，风机为定频风机，安装于屋面，需经酸雾喷淋塔处理达标后再排放；401为仪器排风，设置一套独立的排风系统PF-03，风机为定频风机，安装于屋面，需经活性炭过滤箱处理达标后再排放；207、407、408设置一套排风系统PF-04,采用变频控制，风机选用变频风机，安装于屋面，需经活性炭过滤箱处理达标后再排放；305A/B/C/D房间的通风系统PF-05室内原有的排风管道、万向罩和原子吸收罩均不更换，只更换风机并增加活性炭过滤箱进行处理；207房间设置一套同层排风系统PF-06，风机吊装于室内，只对房间进行整体排风，不做废气处理。所有通风系统均不设置机械补风装置，由门窗自然补风。</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eastAsia="zh-CN"/>
        </w:rPr>
        <w:t>四、设计参数</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实验室通风换气次数取每小时6-12次。</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支管内风速取6-12m/s,干管内风速取8-14m/s。</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通风设备设计风量</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1.5m~1.8米通风柜设计风量为1500~1800m³/h</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万向排气罩设计风量为250~300m³/h</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试剂排风柜设计风量为95~100m³/h</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600*600格栅排风口设计风量为</w:t>
      </w:r>
      <w:r>
        <w:rPr>
          <w:rFonts w:hint="eastAsia" w:ascii="宋体" w:hAnsi="宋体" w:cs="宋体"/>
          <w:color w:val="auto"/>
          <w:sz w:val="21"/>
          <w:szCs w:val="21"/>
          <w:highlight w:val="none"/>
          <w:lang w:val="en-US" w:eastAsia="zh-CN"/>
        </w:rPr>
        <w:t>350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400</w:t>
      </w:r>
      <w:r>
        <w:rPr>
          <w:rFonts w:hint="eastAsia" w:ascii="宋体" w:hAnsi="宋体" w:eastAsia="宋体" w:cs="宋体"/>
          <w:color w:val="auto"/>
          <w:sz w:val="21"/>
          <w:szCs w:val="21"/>
          <w:highlight w:val="none"/>
          <w:lang w:val="en-US" w:eastAsia="zh-CN"/>
        </w:rPr>
        <w:t>m³/h</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宽约0.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米，长约</w:t>
      </w:r>
      <w:r>
        <w:rPr>
          <w:rFonts w:hint="eastAsia" w:ascii="宋体" w:hAnsi="宋体"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米原子吸收罩设计风量为</w:t>
      </w:r>
      <w:r>
        <w:rPr>
          <w:rFonts w:hint="eastAsia" w:ascii="宋体" w:hAnsi="宋体" w:cs="宋体"/>
          <w:color w:val="auto"/>
          <w:sz w:val="21"/>
          <w:szCs w:val="21"/>
          <w:highlight w:val="none"/>
          <w:lang w:val="en-US" w:eastAsia="zh-CN"/>
        </w:rPr>
        <w:t>450~500</w:t>
      </w:r>
      <w:r>
        <w:rPr>
          <w:rFonts w:hint="eastAsia" w:ascii="宋体" w:hAnsi="宋体" w:eastAsia="宋体" w:cs="宋体"/>
          <w:color w:val="auto"/>
          <w:sz w:val="21"/>
          <w:szCs w:val="21"/>
          <w:highlight w:val="none"/>
          <w:lang w:val="en-US" w:eastAsia="zh-CN"/>
        </w:rPr>
        <w:t>m³/h</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宽约1.2米，长约1.5米原子吸收罩设计风量为1500~2000m³/h</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eastAsia="zh-CN"/>
        </w:rPr>
      </w:pPr>
      <w:r>
        <w:rPr>
          <w:rFonts w:hint="eastAsia" w:asciiTheme="minorEastAsia" w:hAnsiTheme="minorEastAsia" w:eastAsiaTheme="minorEastAsia" w:cstheme="minorEastAsia"/>
          <w:b/>
          <w:color w:val="auto"/>
          <w:sz w:val="21"/>
          <w:szCs w:val="21"/>
          <w:highlight w:val="none"/>
          <w:lang w:val="zh-CN" w:eastAsia="zh-CN"/>
        </w:rPr>
        <w:t>五、各层通风系统设计方案</w:t>
      </w:r>
    </w:p>
    <w:p>
      <w:pPr>
        <w:spacing w:line="44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1.通风系统划分</w:t>
      </w:r>
    </w:p>
    <w:tbl>
      <w:tblPr>
        <w:tblStyle w:val="90"/>
        <w:tblW w:w="5000" w:type="pct"/>
        <w:tblInd w:w="0" w:type="dxa"/>
        <w:shd w:val="clear" w:color="auto" w:fill="auto"/>
        <w:tblLayout w:type="fixed"/>
        <w:tblCellMar>
          <w:top w:w="0" w:type="dxa"/>
          <w:left w:w="0" w:type="dxa"/>
          <w:bottom w:w="0" w:type="dxa"/>
          <w:right w:w="0" w:type="dxa"/>
        </w:tblCellMar>
      </w:tblPr>
      <w:tblGrid>
        <w:gridCol w:w="795"/>
        <w:gridCol w:w="1231"/>
        <w:gridCol w:w="2233"/>
        <w:gridCol w:w="1017"/>
        <w:gridCol w:w="1445"/>
        <w:gridCol w:w="1534"/>
        <w:gridCol w:w="1413"/>
      </w:tblGrid>
      <w:tr>
        <w:tblPrEx>
          <w:shd w:val="clear" w:color="auto" w:fill="auto"/>
          <w:tblCellMar>
            <w:top w:w="0" w:type="dxa"/>
            <w:left w:w="0" w:type="dxa"/>
            <w:bottom w:w="0" w:type="dxa"/>
            <w:right w:w="0" w:type="dxa"/>
          </w:tblCellMar>
        </w:tblPrEx>
        <w:trPr>
          <w:trHeight w:val="57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通风系统编号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房间编号</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排风设备</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排风量m³/h</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排风机型号</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控制方式</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废气处理方式</w:t>
            </w:r>
          </w:p>
        </w:tc>
      </w:tr>
      <w:tr>
        <w:tblPrEx>
          <w:tblCellMar>
            <w:top w:w="0" w:type="dxa"/>
            <w:left w:w="0" w:type="dxa"/>
            <w:bottom w:w="0" w:type="dxa"/>
            <w:right w:w="0" w:type="dxa"/>
          </w:tblCellMar>
        </w:tblPrEx>
        <w:trPr>
          <w:trHeight w:val="57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PF-01</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206</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原有万向罩4个，原有1.5m通风柜1个，新增万向罩8个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5100</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7A-7.5KW</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CAV变风量控制</w:t>
            </w:r>
          </w:p>
        </w:tc>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r>
      <w:tr>
        <w:tblPrEx>
          <w:tblCellMar>
            <w:top w:w="0" w:type="dxa"/>
            <w:left w:w="0" w:type="dxa"/>
            <w:bottom w:w="0" w:type="dxa"/>
            <w:right w:w="0"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302A/304C</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更换万向罩5个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1500</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406</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原有1.5m通风柜1个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1500</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506</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原有1.5m通风柜1个，原有1.2m通风柜1个，原有排风试剂柜1个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2800</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506</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新增</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1200*1500PP原子吸收罩3个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6000</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28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PF-02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304B</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更换1.8m通风柜1个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1800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3A-1.1KW</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CAV定风量控制</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酸雾喷淋塔</w:t>
            </w:r>
          </w:p>
        </w:tc>
      </w:tr>
      <w:tr>
        <w:tblPrEx>
          <w:tblCellMar>
            <w:top w:w="0" w:type="dxa"/>
            <w:left w:w="0" w:type="dxa"/>
            <w:bottom w:w="0" w:type="dxa"/>
            <w:right w:w="0" w:type="dxa"/>
          </w:tblCellMar>
        </w:tblPrEx>
        <w:trPr>
          <w:trHeight w:val="57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PF-03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401</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新增万向排气罩10个，</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预留设备通风管道1个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4500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5A-2.2KW</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CAV定风量控制</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r>
      <w:tr>
        <w:tblPrEx>
          <w:tblCellMar>
            <w:top w:w="0" w:type="dxa"/>
            <w:left w:w="0" w:type="dxa"/>
            <w:bottom w:w="0" w:type="dxa"/>
            <w:right w:w="0" w:type="dxa"/>
          </w:tblCellMar>
        </w:tblPrEx>
        <w:trPr>
          <w:trHeight w:val="57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PF-04</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207</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原有1.5m通风柜1个，新增试剂排风柜2个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1700</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6A-4KW</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CAV变风量控制</w:t>
            </w:r>
          </w:p>
        </w:tc>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r>
      <w:tr>
        <w:tblPrEx>
          <w:tblCellMar>
            <w:top w:w="0" w:type="dxa"/>
            <w:left w:w="0" w:type="dxa"/>
            <w:bottom w:w="0" w:type="dxa"/>
            <w:right w:w="0"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407</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原有1.8m通风柜1个，新增</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600*600格栅排风口4个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3400</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408</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原有1.5m通风柜1个，新增</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600*600格栅排风口6个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3900</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PF-05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305A/B/C/D</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原有万向罩3个，原有400*400原子吸收罩2个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1900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4.5-1.5KW</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CAV定风量控制</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r>
      <w:tr>
        <w:tblPrEx>
          <w:tblCellMar>
            <w:top w:w="0" w:type="dxa"/>
            <w:left w:w="0" w:type="dxa"/>
            <w:bottom w:w="0" w:type="dxa"/>
            <w:right w:w="0" w:type="dxa"/>
          </w:tblCellMar>
        </w:tblPrEx>
        <w:trPr>
          <w:trHeight w:val="28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PF-06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207</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新增</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600*600格栅排风口4个</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1600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3.0F-0.18KW</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CAV定风量控制</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bl>
    <w:p>
      <w:pPr>
        <w:numPr>
          <w:ilvl w:val="0"/>
          <w:numId w:val="6"/>
        </w:numPr>
        <w:jc w:val="left"/>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i w:val="0"/>
          <w:color w:val="auto"/>
          <w:kern w:val="0"/>
          <w:sz w:val="24"/>
          <w:szCs w:val="24"/>
          <w:highlight w:val="none"/>
          <w:u w:val="none"/>
          <w:lang w:val="en-US" w:eastAsia="zh-CN" w:bidi="ar"/>
        </w:rPr>
        <w:t>新增</w:t>
      </w:r>
      <w:r>
        <w:rPr>
          <w:rFonts w:hint="eastAsia" w:ascii="宋体" w:hAnsi="宋体" w:eastAsia="宋体" w:cs="宋体"/>
          <w:b/>
          <w:bCs/>
          <w:i w:val="0"/>
          <w:color w:val="auto"/>
          <w:kern w:val="0"/>
          <w:sz w:val="24"/>
          <w:szCs w:val="24"/>
          <w:highlight w:val="none"/>
          <w:u w:val="none"/>
          <w:lang w:val="en-US" w:eastAsia="zh-CN" w:bidi="ar"/>
        </w:rPr>
        <w:t>排风设备</w:t>
      </w:r>
      <w:r>
        <w:rPr>
          <w:rFonts w:hint="eastAsia" w:ascii="宋体" w:hAnsi="宋体" w:cs="宋体"/>
          <w:b/>
          <w:bCs/>
          <w:i w:val="0"/>
          <w:color w:val="auto"/>
          <w:kern w:val="0"/>
          <w:sz w:val="24"/>
          <w:szCs w:val="24"/>
          <w:highlight w:val="none"/>
          <w:u w:val="none"/>
          <w:lang w:val="en-US" w:eastAsia="zh-CN" w:bidi="ar"/>
        </w:rPr>
        <w:t>参数</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 xml:space="preserve">  </w:t>
      </w:r>
    </w:p>
    <w:tbl>
      <w:tblPr>
        <w:tblStyle w:val="91"/>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119"/>
        <w:gridCol w:w="1581"/>
        <w:gridCol w:w="524"/>
        <w:gridCol w:w="526"/>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序号</w:t>
            </w:r>
          </w:p>
        </w:tc>
        <w:tc>
          <w:tcPr>
            <w:tcW w:w="570" w:type="pct"/>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项目名称</w:t>
            </w:r>
          </w:p>
        </w:tc>
        <w:tc>
          <w:tcPr>
            <w:tcW w:w="805" w:type="pct"/>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型号规格</w:t>
            </w:r>
          </w:p>
        </w:tc>
        <w:tc>
          <w:tcPr>
            <w:tcW w:w="267" w:type="pct"/>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单位</w:t>
            </w:r>
          </w:p>
        </w:tc>
        <w:tc>
          <w:tcPr>
            <w:tcW w:w="268" w:type="pct"/>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数量</w:t>
            </w:r>
          </w:p>
        </w:tc>
        <w:tc>
          <w:tcPr>
            <w:tcW w:w="2657" w:type="pct"/>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numPr>
                <w:ilvl w:val="0"/>
                <w:numId w:val="0"/>
              </w:numPr>
              <w:ind w:left="0" w:leftChars="0" w:firstLine="0" w:firstLineChars="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rPr>
              <w:t>万向排气罩</w:t>
            </w:r>
          </w:p>
        </w:tc>
        <w:tc>
          <w:tcPr>
            <w:tcW w:w="805"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rPr>
              <w:t>PP结构</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cs="宋体"/>
                <w:color w:val="auto"/>
                <w:kern w:val="0"/>
                <w:sz w:val="21"/>
                <w:szCs w:val="21"/>
                <w:highlight w:val="none"/>
              </w:rPr>
              <w:t>台</w:t>
            </w:r>
          </w:p>
        </w:tc>
        <w:tc>
          <w:tcPr>
            <w:tcW w:w="268"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cs="宋体"/>
                <w:color w:val="auto"/>
                <w:kern w:val="0"/>
                <w:sz w:val="21"/>
                <w:szCs w:val="21"/>
                <w:highlight w:val="none"/>
                <w:lang w:val="en-US" w:eastAsia="zh-CN"/>
              </w:rPr>
              <w:t>8</w:t>
            </w:r>
          </w:p>
        </w:tc>
        <w:tc>
          <w:tcPr>
            <w:tcW w:w="2657" w:type="pct"/>
            <w:noWrap w:val="0"/>
            <w:vAlign w:val="top"/>
          </w:tcPr>
          <w:p>
            <w:pPr>
              <w:numPr>
                <w:ilvl w:val="0"/>
                <w:numId w:val="0"/>
              </w:numPr>
              <w:spacing w:line="360" w:lineRule="auto"/>
              <w:ind w:left="0" w:leftChars="0" w:firstLine="0" w:firstLineChars="0"/>
              <w:jc w:val="left"/>
              <w:rPr>
                <w:rFonts w:hint="eastAsia" w:ascii="宋体" w:hAnsi="Calibri"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1．PP材质，管道直径</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rPr>
              <w:t>75mm，罩口直径：</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rPr>
              <w:t>420mm。</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2．顶部连接件铝合金360°旋转装置坚固耐用。</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3．罩口：拱型/杯型。</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4．集气罩：高密度PP/PC，材质 罩口加装360°旋转装置，确保罩口能够360°旋转，做到无死角吸风。</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5．关节：高密度PP材质，可360°旋转调节方向，易拆卸、重组及清洗。</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6．关节密封圈：不易老化之高密度橡胶。</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7．关节连接杆：304不锈钢。</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8．关节松紧旋钮：全铜材质确保螺纹不滑丝，内嵌不锈钢轴承，与关节连接杆锁合。</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9.气流调节阀：手动调节外部阀门旋钮，控制进入之气流量。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auto"/>
                <w:kern w:val="0"/>
                <w:sz w:val="21"/>
                <w:szCs w:val="21"/>
                <w:highlight w:val="none"/>
              </w:rPr>
            </w:pPr>
            <w:r>
              <w:rPr>
                <w:rFonts w:hint="eastAsia" w:ascii="宋体" w:hAnsi="宋体" w:cs="宋体"/>
                <w:b/>
                <w:bCs/>
                <w:color w:val="auto"/>
                <w:sz w:val="21"/>
                <w:szCs w:val="21"/>
                <w:highlight w:val="none"/>
                <w:vertAlign w:val="baseline"/>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jc w:val="left"/>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试剂排风柜</w:t>
            </w:r>
          </w:p>
        </w:tc>
        <w:tc>
          <w:tcPr>
            <w:tcW w:w="805" w:type="pct"/>
            <w:noWrap w:val="0"/>
            <w:vAlign w:val="top"/>
          </w:tcPr>
          <w:p>
            <w:pPr>
              <w:numPr>
                <w:ilvl w:val="0"/>
                <w:numId w:val="0"/>
              </w:numPr>
              <w:ind w:left="0" w:leftChars="0" w:firstLine="0" w:firstLineChars="0"/>
              <w:jc w:val="left"/>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约900*450*1800</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台</w:t>
            </w:r>
          </w:p>
        </w:tc>
        <w:tc>
          <w:tcPr>
            <w:tcW w:w="268"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2</w:t>
            </w:r>
          </w:p>
        </w:tc>
        <w:tc>
          <w:tcPr>
            <w:tcW w:w="2657" w:type="pct"/>
            <w:noWrap w:val="0"/>
            <w:vAlign w:val="top"/>
          </w:tcPr>
          <w:p>
            <w:pPr>
              <w:numPr>
                <w:ilvl w:val="0"/>
                <w:numId w:val="0"/>
              </w:numPr>
              <w:ind w:left="0" w:leftChars="0" w:firstLine="0" w:firstLineChars="0"/>
              <w:jc w:val="left"/>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lang w:eastAsia="zh-CN"/>
              </w:rPr>
              <w:t>全钢结构，柜体采用</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lang w:eastAsia="zh-CN"/>
              </w:rPr>
              <w:t>1.Omm冷轧钢板通过模具一体成型，经剪板，开槽，折弯成型等工艺流程，所有外露的焊缝均经过精心抛光处理，光滑不伤手；内设前后立柱，配加强筋，以增加柜体承载力及抗冲击能力。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2</w:t>
            </w:r>
          </w:p>
        </w:tc>
        <w:tc>
          <w:tcPr>
            <w:tcW w:w="570"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格栅排风口</w:t>
            </w:r>
          </w:p>
        </w:tc>
        <w:tc>
          <w:tcPr>
            <w:tcW w:w="805"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lang w:val="en-US" w:eastAsia="zh-CN"/>
              </w:rPr>
              <w:t>约</w:t>
            </w:r>
            <w:r>
              <w:rPr>
                <w:rFonts w:hint="eastAsia" w:ascii="宋体" w:hAnsi="宋体" w:cs="宋体"/>
                <w:i w:val="0"/>
                <w:color w:val="auto"/>
                <w:kern w:val="0"/>
                <w:sz w:val="21"/>
                <w:szCs w:val="21"/>
                <w:highlight w:val="none"/>
                <w:u w:val="none"/>
                <w:lang w:val="en-US" w:eastAsia="zh-CN" w:bidi="ar"/>
              </w:rPr>
              <w:t>600*600</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个</w:t>
            </w:r>
          </w:p>
        </w:tc>
        <w:tc>
          <w:tcPr>
            <w:tcW w:w="268"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4</w:t>
            </w:r>
          </w:p>
        </w:tc>
        <w:tc>
          <w:tcPr>
            <w:tcW w:w="2657" w:type="pct"/>
            <w:noWrap w:val="0"/>
            <w:vAlign w:val="top"/>
          </w:tcPr>
          <w:p>
            <w:pPr>
              <w:numPr>
                <w:ilvl w:val="0"/>
                <w:numId w:val="0"/>
              </w:numPr>
              <w:ind w:left="0" w:leftChars="0" w:firstLine="0" w:firstLineChars="0"/>
              <w:jc w:val="left"/>
              <w:rPr>
                <w:rFonts w:hint="eastAsia" w:ascii="宋体" w:hAnsi="Calibri"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铝合金材质，配人字闸，可以自由的调节此风口的流量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auto"/>
                <w:kern w:val="0"/>
                <w:sz w:val="21"/>
                <w:szCs w:val="21"/>
                <w:highlight w:val="none"/>
              </w:rPr>
            </w:pPr>
            <w:r>
              <w:rPr>
                <w:rFonts w:hint="eastAsia" w:ascii="宋体" w:hAnsi="宋体" w:cs="宋体"/>
                <w:b/>
                <w:bCs/>
                <w:color w:val="auto"/>
                <w:sz w:val="21"/>
                <w:szCs w:val="21"/>
                <w:highlight w:val="none"/>
                <w:vertAlign w:val="baseline"/>
                <w:lang w:val="en-US" w:eastAsia="zh-CN"/>
              </w:rPr>
              <w:t>304A/C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rPr>
              <w:t>万向排气罩</w:t>
            </w:r>
          </w:p>
        </w:tc>
        <w:tc>
          <w:tcPr>
            <w:tcW w:w="805"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rPr>
              <w:t>PP结构</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cs="宋体"/>
                <w:color w:val="auto"/>
                <w:kern w:val="0"/>
                <w:sz w:val="21"/>
                <w:szCs w:val="21"/>
                <w:highlight w:val="none"/>
              </w:rPr>
              <w:t>台</w:t>
            </w:r>
          </w:p>
        </w:tc>
        <w:tc>
          <w:tcPr>
            <w:tcW w:w="268"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cs="宋体"/>
                <w:color w:val="auto"/>
                <w:kern w:val="0"/>
                <w:sz w:val="21"/>
                <w:szCs w:val="21"/>
                <w:highlight w:val="none"/>
                <w:lang w:val="en-US" w:eastAsia="zh-CN"/>
              </w:rPr>
              <w:t>5</w:t>
            </w:r>
          </w:p>
        </w:tc>
        <w:tc>
          <w:tcPr>
            <w:tcW w:w="2657" w:type="pct"/>
            <w:noWrap w:val="0"/>
            <w:vAlign w:val="top"/>
          </w:tcPr>
          <w:p>
            <w:pPr>
              <w:numPr>
                <w:ilvl w:val="0"/>
                <w:numId w:val="0"/>
              </w:numPr>
              <w:spacing w:line="360" w:lineRule="auto"/>
              <w:ind w:left="0" w:leftChars="0" w:firstLine="0" w:firstLineChars="0"/>
              <w:jc w:val="left"/>
              <w:rPr>
                <w:rFonts w:hint="default" w:ascii="宋体" w:hAnsi="Calibri"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1．PP材质，管道直径</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rPr>
              <w:t>75mm，罩口直径：</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rPr>
              <w:t>420mm。</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2．顶部连接件铝合金360°旋转装置坚固耐用。</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3．罩口：拱型/杯型。</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4．集气罩：高密度PP/PC，材质 罩口加装360°旋转装置，确保罩口能够360°旋转，做到无死角吸风。</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5．关节：高密度PP材质，可360°旋转调节方向，易拆卸、重组及清洗。</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6．关节密封圈：不易老化之高密度橡胶。</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7．关节连接杆：304不锈钢。</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8．关节松紧旋钮：全铜材质确保螺纹不滑丝，内嵌不锈钢轴承，与关节连接杆锁合。</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9.气流调节阀：手动调节外部阀门旋钮，控制进入之气流量。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cs="宋体"/>
                <w:color w:val="auto"/>
                <w:kern w:val="0"/>
                <w:sz w:val="21"/>
                <w:szCs w:val="21"/>
                <w:highlight w:val="none"/>
              </w:rPr>
            </w:pPr>
            <w:r>
              <w:rPr>
                <w:rFonts w:hint="eastAsia" w:ascii="宋体" w:hAnsi="宋体" w:cs="宋体"/>
                <w:b/>
                <w:bCs/>
                <w:i w:val="0"/>
                <w:color w:val="auto"/>
                <w:kern w:val="0"/>
                <w:sz w:val="21"/>
                <w:szCs w:val="21"/>
                <w:highlight w:val="none"/>
                <w:u w:val="none"/>
                <w:lang w:val="en-US" w:eastAsia="zh-CN" w:bidi="ar"/>
              </w:rPr>
              <w:t>304B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玻璃钢通风柜</w:t>
            </w:r>
          </w:p>
        </w:tc>
        <w:tc>
          <w:tcPr>
            <w:tcW w:w="805"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default" w:ascii="宋体" w:hAnsi="宋体" w:eastAsia="宋体" w:cs="宋体"/>
                <w:b w:val="0"/>
                <w:bCs w:val="0"/>
                <w:color w:val="auto"/>
                <w:sz w:val="21"/>
                <w:szCs w:val="21"/>
                <w:highlight w:val="none"/>
                <w:vertAlign w:val="baseline"/>
                <w:lang w:val="en-US" w:eastAsia="zh-CN"/>
              </w:rPr>
              <w:t>1800*8</w:t>
            </w:r>
            <w:r>
              <w:rPr>
                <w:rFonts w:hint="eastAsia" w:ascii="宋体" w:hAnsi="宋体" w:cs="宋体"/>
                <w:b w:val="0"/>
                <w:bCs w:val="0"/>
                <w:color w:val="auto"/>
                <w:sz w:val="21"/>
                <w:szCs w:val="21"/>
                <w:highlight w:val="none"/>
                <w:vertAlign w:val="baseline"/>
                <w:lang w:val="en-US" w:eastAsia="zh-CN"/>
              </w:rPr>
              <w:t>0</w:t>
            </w:r>
            <w:r>
              <w:rPr>
                <w:rFonts w:hint="default" w:ascii="宋体" w:hAnsi="宋体" w:eastAsia="宋体" w:cs="宋体"/>
                <w:b w:val="0"/>
                <w:bCs w:val="0"/>
                <w:color w:val="auto"/>
                <w:sz w:val="21"/>
                <w:szCs w:val="21"/>
                <w:highlight w:val="none"/>
                <w:vertAlign w:val="baseline"/>
                <w:lang w:val="en-US" w:eastAsia="zh-CN"/>
              </w:rPr>
              <w:t>0*2350</w:t>
            </w:r>
          </w:p>
        </w:tc>
        <w:tc>
          <w:tcPr>
            <w:tcW w:w="267"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台</w:t>
            </w:r>
          </w:p>
        </w:tc>
        <w:tc>
          <w:tcPr>
            <w:tcW w:w="268"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w:t>
            </w:r>
          </w:p>
        </w:tc>
        <w:tc>
          <w:tcPr>
            <w:tcW w:w="2657" w:type="pct"/>
            <w:noWrap w:val="0"/>
            <w:vAlign w:val="top"/>
          </w:tcPr>
          <w:p>
            <w:pPr>
              <w:numPr>
                <w:ilvl w:val="0"/>
                <w:numId w:val="0"/>
              </w:numPr>
              <w:ind w:left="0" w:leftChars="0" w:firstLine="0" w:firstLineChars="0"/>
              <w:jc w:val="left"/>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eastAsia="zh-CN"/>
              </w:rPr>
              <w:t>上部柜体尺寸：</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lang w:eastAsia="zh-CN"/>
              </w:rPr>
              <w:t>（L1</w:t>
            </w:r>
            <w:r>
              <w:rPr>
                <w:rFonts w:hint="eastAsia" w:ascii="宋体" w:cs="宋体"/>
                <w:color w:val="auto"/>
                <w:kern w:val="0"/>
                <w:sz w:val="21"/>
                <w:szCs w:val="21"/>
                <w:highlight w:val="none"/>
                <w:lang w:val="en-US" w:eastAsia="zh-CN"/>
              </w:rPr>
              <w:t>8</w:t>
            </w:r>
            <w:r>
              <w:rPr>
                <w:rFonts w:hint="eastAsia" w:ascii="宋体" w:cs="宋体"/>
                <w:color w:val="auto"/>
                <w:kern w:val="0"/>
                <w:sz w:val="21"/>
                <w:szCs w:val="21"/>
                <w:highlight w:val="none"/>
                <w:lang w:eastAsia="zh-CN"/>
              </w:rPr>
              <w:t>00*W800*H2350）mm</w:t>
            </w:r>
          </w:p>
          <w:p>
            <w:pPr>
              <w:numPr>
                <w:ilvl w:val="0"/>
                <w:numId w:val="0"/>
              </w:numPr>
              <w:ind w:left="0" w:leftChars="0" w:firstLine="0" w:firstLineChars="0"/>
              <w:jc w:val="left"/>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eastAsia="zh-CN"/>
              </w:rPr>
              <w:t>底部尺寸：</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lang w:eastAsia="zh-CN"/>
              </w:rPr>
              <w:t>（L1</w:t>
            </w:r>
            <w:r>
              <w:rPr>
                <w:rFonts w:hint="eastAsia" w:ascii="宋体" w:cs="宋体"/>
                <w:color w:val="auto"/>
                <w:kern w:val="0"/>
                <w:sz w:val="21"/>
                <w:szCs w:val="21"/>
                <w:highlight w:val="none"/>
                <w:lang w:val="en-US" w:eastAsia="zh-CN"/>
              </w:rPr>
              <w:t>8</w:t>
            </w:r>
            <w:r>
              <w:rPr>
                <w:rFonts w:hint="eastAsia" w:ascii="宋体" w:cs="宋体"/>
                <w:color w:val="auto"/>
                <w:kern w:val="0"/>
                <w:sz w:val="21"/>
                <w:szCs w:val="21"/>
                <w:highlight w:val="none"/>
                <w:lang w:eastAsia="zh-CN"/>
              </w:rPr>
              <w:t>00*W800*H825）mm</w:t>
            </w:r>
          </w:p>
          <w:p>
            <w:pPr>
              <w:numPr>
                <w:ilvl w:val="0"/>
                <w:numId w:val="0"/>
              </w:numPr>
              <w:ind w:left="0" w:leftChars="0" w:firstLine="0" w:firstLineChars="0"/>
              <w:jc w:val="left"/>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eastAsia="zh-CN"/>
              </w:rPr>
              <w:t>内部有效操作空间（视窗关闭时）：</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lang w:eastAsia="zh-CN"/>
              </w:rPr>
              <w:t>L1</w:t>
            </w:r>
            <w:r>
              <w:rPr>
                <w:rFonts w:hint="eastAsia" w:ascii="宋体" w:cs="宋体"/>
                <w:color w:val="auto"/>
                <w:kern w:val="0"/>
                <w:sz w:val="21"/>
                <w:szCs w:val="21"/>
                <w:highlight w:val="none"/>
                <w:lang w:val="en-US" w:eastAsia="zh-CN"/>
              </w:rPr>
              <w:t>5</w:t>
            </w:r>
            <w:r>
              <w:rPr>
                <w:rFonts w:hint="eastAsia" w:ascii="宋体" w:cs="宋体"/>
                <w:color w:val="auto"/>
                <w:kern w:val="0"/>
                <w:sz w:val="21"/>
                <w:szCs w:val="21"/>
                <w:highlight w:val="none"/>
                <w:lang w:eastAsia="zh-CN"/>
              </w:rPr>
              <w:t>60*W800*H1200mm(含)。</w:t>
            </w:r>
            <w:r>
              <w:rPr>
                <w:rFonts w:hint="eastAsia" w:ascii="宋体" w:cs="宋体"/>
                <w:color w:val="auto"/>
                <w:kern w:val="0"/>
                <w:sz w:val="21"/>
                <w:szCs w:val="21"/>
                <w:highlight w:val="none"/>
                <w:lang w:eastAsia="zh-CN"/>
              </w:rPr>
              <w:br w:type="textWrapping"/>
            </w:r>
            <w:r>
              <w:rPr>
                <w:rFonts w:hint="eastAsia" w:ascii="宋体" w:cs="宋体"/>
                <w:color w:val="auto"/>
                <w:kern w:val="0"/>
                <w:sz w:val="21"/>
                <w:szCs w:val="21"/>
                <w:highlight w:val="none"/>
                <w:lang w:eastAsia="zh-CN"/>
              </w:rPr>
              <w:t>通风柜台面：采用碟形工艺，总厚度</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lang w:eastAsia="zh-CN"/>
              </w:rPr>
              <w:t>25mm厚一体实芯烧制实验室专用陶瓷台面，防止有害液体外溢（不能采用拼接或者后期加厚方式加工），台面耐强腐蚀，耐高温，耐磨，便于清洁，永不变形变色，美观大方，安全环保，免维护。</w:t>
            </w:r>
          </w:p>
          <w:p>
            <w:pPr>
              <w:numPr>
                <w:ilvl w:val="0"/>
                <w:numId w:val="0"/>
              </w:numPr>
              <w:ind w:left="0" w:leftChars="0" w:firstLine="0" w:firstLineChars="0"/>
              <w:jc w:val="left"/>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eastAsia="zh-CN"/>
              </w:rPr>
              <w:t>磋商响应文件中需提供同时满足以下技术参数并针对此项目加盖公章的授权书及检测报告。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★1、放射性核素限量：参照GB6566-2010《建筑材料放射性核素限量》标准，检测结果必须符合：内照射指数≤0.01；外照射指数≤0.03；须提供检测机构出具的辐射限量检测报告；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▲2、承载测试：提供破坏载荷满足测试样品为：</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lang w:val="en-US" w:eastAsia="zh-CN"/>
              </w:rPr>
              <w:t>750×750mm（加载面积：</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lang w:val="en-US" w:eastAsia="zh-CN"/>
              </w:rPr>
              <w:t>650×650mm）；均匀施加500kg载荷，保载：65h，测试结果为未破坏的检测报告。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3、抗落球冲击：参照GB/T26696-2011的检测标准，325g钢球，落差600mm，无裂痕和破损；提供国家建筑材料测试中心的检测报告;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▲4、耐高温：耐高温不低于1550℃,提供国家建筑材料测试中心的检测报告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5、耐光色牢度：参照GB/T 17657-2013，检测样品为：一体实芯黑色胚体陶瓷板，检测结果为：耐光色牢度≥4级；提供国家化学建筑材料测试中心的检测报告;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6、破坏强度：参照GB/T 4100-2015（陶瓷砖）附录G标准，破坏强度≥12876N；提供国家建筑材料测试中心的检测报告;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7、压缩强度：参照GB/T 9966.1-2001标准，压缩强度≥315MPa,提供国家建筑材料测试中心的检测报告;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8、抗急冷急热性：参照JC/T 872-2000(2017)标准，标准要求为无裂隙，检测结果符合；提供国家建筑材料测试中心的检测报告;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▲9、为确保实验人员的操作安全，储水量：依据实验室陶瓷台面DIN相关要求参照DINEN12916:1995-10,条款4.2，检测报告中被检测的样品为碟形陶瓷台面，厚度为18/25mm，检测结果容量为≥5L的检测报告。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▲10、抗细菌：参照JC/T 897-2014 ，检测项目为：肺炎克雷伯氏菌，检测结果为≥99.13%，提供国家化学建筑材料测试中心的检测报告。</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▲11、所选台面品牌质量具有公认的独立慧见标识：如IC-mark论证。</w:t>
            </w:r>
          </w:p>
          <w:p>
            <w:pPr>
              <w:numPr>
                <w:ilvl w:val="0"/>
                <w:numId w:val="0"/>
              </w:numPr>
              <w:ind w:left="0" w:leftChars="0" w:firstLine="0" w:firstLineChars="0"/>
              <w:jc w:val="left"/>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▲12、重金属检测：检测项目为：(可溶性铅、镉），检测样品为一体实芯黑色坯体陶瓷板，参照GB18586-2001的测试方法，提供国家化学建筑材料测试中心的检测报告，检测结果未检出。</w:t>
            </w:r>
          </w:p>
          <w:p>
            <w:pPr>
              <w:numPr>
                <w:ilvl w:val="0"/>
                <w:numId w:val="0"/>
              </w:numPr>
              <w:ind w:left="0" w:leftChars="0" w:firstLine="0" w:firstLineChars="0"/>
              <w:jc w:val="left"/>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val="en-US" w:eastAsia="zh-CN"/>
              </w:rPr>
              <w:t>▲13、耐化学性能：提供国家化学建筑材料测试中心出具的，检测样品为一体实芯黑色胚体陶瓷板，参照GB/T17657-2013，检测内容为63项常用化学试剂，检测结果为：62项无明显变化。</w:t>
            </w:r>
          </w:p>
          <w:p>
            <w:pPr>
              <w:numPr>
                <w:ilvl w:val="0"/>
                <w:numId w:val="0"/>
              </w:numPr>
              <w:ind w:left="0" w:leftChars="0" w:firstLine="0" w:firstLineChars="0"/>
              <w:jc w:val="left"/>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eastAsia="zh-CN"/>
              </w:rPr>
              <w:t>柜体部分：</w:t>
            </w:r>
            <w:r>
              <w:rPr>
                <w:rFonts w:hint="eastAsia" w:ascii="宋体" w:cs="宋体"/>
                <w:color w:val="auto"/>
                <w:kern w:val="0"/>
                <w:sz w:val="21"/>
                <w:szCs w:val="21"/>
                <w:highlight w:val="none"/>
                <w:lang w:eastAsia="zh-CN"/>
              </w:rPr>
              <w:br w:type="textWrapping"/>
            </w:r>
            <w:r>
              <w:rPr>
                <w:rFonts w:hint="eastAsia" w:ascii="宋体" w:cs="宋体"/>
                <w:color w:val="auto"/>
                <w:kern w:val="0"/>
                <w:sz w:val="21"/>
                <w:szCs w:val="21"/>
                <w:highlight w:val="none"/>
                <w:lang w:eastAsia="zh-CN"/>
              </w:rPr>
              <w:t>柜体组合：采三段组合式柜体，上部柜体（排毒柜），中间（操作台面），下部底柜（内含独立式贮存柜及独立水、电、气体管线系统容纳柜设计）；</w:t>
            </w:r>
          </w:p>
          <w:p>
            <w:pPr>
              <w:numPr>
                <w:ilvl w:val="0"/>
                <w:numId w:val="0"/>
              </w:numPr>
              <w:ind w:left="0" w:leftChars="0" w:firstLine="0" w:firstLineChars="0"/>
              <w:jc w:val="left"/>
              <w:rPr>
                <w:rFonts w:hint="default" w:ascii="宋体" w:hAnsi="宋体" w:eastAsia="宋体" w:cs="宋体"/>
                <w:b w:val="0"/>
                <w:bCs w:val="0"/>
                <w:color w:val="auto"/>
                <w:sz w:val="21"/>
                <w:szCs w:val="21"/>
                <w:highlight w:val="none"/>
                <w:vertAlign w:val="baseline"/>
                <w:lang w:val="en-US" w:eastAsia="zh-CN"/>
              </w:rPr>
            </w:pPr>
            <w:r>
              <w:rPr>
                <w:rFonts w:hint="eastAsia" w:ascii="宋体" w:cs="宋体"/>
                <w:color w:val="auto"/>
                <w:kern w:val="0"/>
                <w:sz w:val="21"/>
                <w:szCs w:val="21"/>
                <w:highlight w:val="none"/>
                <w:lang w:eastAsia="zh-CN"/>
              </w:rPr>
              <w:t>外壳：采用高分子树脂材料，防腐性强，持久耐用。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bCs/>
                <w:i w:val="0"/>
                <w:color w:val="auto"/>
                <w:kern w:val="0"/>
                <w:sz w:val="21"/>
                <w:szCs w:val="21"/>
                <w:highlight w:val="none"/>
                <w:u w:val="none"/>
                <w:lang w:val="en-US" w:eastAsia="zh-CN" w:bidi="ar"/>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rPr>
              <w:t>万向排气罩</w:t>
            </w:r>
          </w:p>
        </w:tc>
        <w:tc>
          <w:tcPr>
            <w:tcW w:w="805"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rPr>
              <w:t>PP结构</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cs="宋体"/>
                <w:color w:val="auto"/>
                <w:kern w:val="0"/>
                <w:sz w:val="21"/>
                <w:szCs w:val="21"/>
                <w:highlight w:val="none"/>
              </w:rPr>
              <w:t>台</w:t>
            </w:r>
          </w:p>
        </w:tc>
        <w:tc>
          <w:tcPr>
            <w:tcW w:w="268" w:type="pct"/>
            <w:noWrap w:val="0"/>
            <w:vAlign w:val="top"/>
          </w:tcPr>
          <w:p>
            <w:pPr>
              <w:numPr>
                <w:ilvl w:val="0"/>
                <w:numId w:val="0"/>
              </w:numPr>
              <w:ind w:left="0" w:leftChars="0" w:firstLine="0"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cs="宋体"/>
                <w:color w:val="auto"/>
                <w:kern w:val="0"/>
                <w:sz w:val="21"/>
                <w:szCs w:val="21"/>
                <w:highlight w:val="none"/>
                <w:lang w:val="en-US" w:eastAsia="zh-CN"/>
              </w:rPr>
              <w:t>10</w:t>
            </w:r>
          </w:p>
        </w:tc>
        <w:tc>
          <w:tcPr>
            <w:tcW w:w="2657" w:type="pct"/>
            <w:noWrap w:val="0"/>
            <w:vAlign w:val="top"/>
          </w:tcPr>
          <w:p>
            <w:pPr>
              <w:numPr>
                <w:ilvl w:val="0"/>
                <w:numId w:val="0"/>
              </w:numPr>
              <w:jc w:val="left"/>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1．PP材质，管道直径</w:t>
            </w:r>
            <w:r>
              <w:rPr>
                <w:rFonts w:hint="eastAsia" w:ascii="宋体" w:cs="宋体"/>
                <w:color w:val="auto"/>
                <w:kern w:val="0"/>
                <w:sz w:val="21"/>
                <w:szCs w:val="21"/>
                <w:highlight w:val="none"/>
                <w:lang w:val="en-US" w:eastAsia="zh-CN"/>
              </w:rPr>
              <w:t>约</w:t>
            </w:r>
            <w:r>
              <w:rPr>
                <w:rFonts w:hint="eastAsia" w:ascii="宋体" w:cs="宋体"/>
                <w:color w:val="auto"/>
                <w:kern w:val="0"/>
                <w:sz w:val="21"/>
                <w:szCs w:val="21"/>
                <w:highlight w:val="none"/>
              </w:rPr>
              <w:t>75mm，罩口直径：</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rPr>
              <w:t>420mm。</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2．顶部连接件铝合金360°旋转装置坚固耐用。</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3．罩口：拱型/杯型。</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4．集气罩：高密度PP/PC，材质 罩口加装360°旋转装置，确保罩口能够360°旋转，做到无死角吸风。</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5．关节：高密度PP材质，可360°旋转调节方向，易拆卸、重组及清洗。</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6．关节密封圈：不易老化之高密度橡胶。</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7．关节连接杆：304不锈钢。</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8．关节松紧旋钮：全铜材质确保螺纹不滑丝，内嵌不锈钢轴承，与关节连接杆锁合。</w:t>
            </w:r>
            <w:r>
              <w:rPr>
                <w:rFonts w:hint="eastAsia" w:ascii="宋体" w:cs="宋体"/>
                <w:color w:val="auto"/>
                <w:kern w:val="0"/>
                <w:sz w:val="21"/>
                <w:szCs w:val="21"/>
                <w:highlight w:val="none"/>
              </w:rPr>
              <w:br w:type="textWrapping"/>
            </w:r>
            <w:r>
              <w:rPr>
                <w:rFonts w:hint="eastAsia" w:ascii="宋体" w:cs="宋体"/>
                <w:color w:val="auto"/>
                <w:kern w:val="0"/>
                <w:sz w:val="21"/>
                <w:szCs w:val="21"/>
                <w:highlight w:val="none"/>
              </w:rPr>
              <w:t>9.气流调节阀：手动调节外部阀门旋钮，控制进入之气流量。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numPr>
                <w:ilvl w:val="0"/>
                <w:numId w:val="0"/>
              </w:numPr>
              <w:jc w:val="left"/>
              <w:rPr>
                <w:rFonts w:hint="eastAsia" w:ascii="宋体" w:cs="宋体"/>
                <w:color w:val="auto"/>
                <w:kern w:val="0"/>
                <w:sz w:val="21"/>
                <w:szCs w:val="21"/>
                <w:highlight w:val="none"/>
              </w:rPr>
            </w:pPr>
            <w:r>
              <w:rPr>
                <w:rFonts w:hint="eastAsia" w:ascii="宋体" w:cs="宋体"/>
                <w:b/>
                <w:bCs/>
                <w:color w:val="auto"/>
                <w:kern w:val="0"/>
                <w:sz w:val="21"/>
                <w:szCs w:val="21"/>
                <w:highlight w:val="none"/>
                <w:lang w:val="en-US" w:eastAsia="zh-CN"/>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格栅排风口</w:t>
            </w:r>
          </w:p>
        </w:tc>
        <w:tc>
          <w:tcPr>
            <w:tcW w:w="805"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lang w:val="en-US" w:eastAsia="zh-CN"/>
              </w:rPr>
              <w:t>约</w:t>
            </w:r>
            <w:r>
              <w:rPr>
                <w:rFonts w:hint="eastAsia" w:ascii="宋体" w:hAnsi="宋体" w:cs="宋体"/>
                <w:i w:val="0"/>
                <w:color w:val="auto"/>
                <w:kern w:val="0"/>
                <w:sz w:val="21"/>
                <w:szCs w:val="21"/>
                <w:highlight w:val="none"/>
                <w:u w:val="none"/>
                <w:lang w:val="en-US" w:eastAsia="zh-CN" w:bidi="ar"/>
              </w:rPr>
              <w:t>600*600</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个</w:t>
            </w:r>
          </w:p>
        </w:tc>
        <w:tc>
          <w:tcPr>
            <w:tcW w:w="268"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4</w:t>
            </w:r>
          </w:p>
        </w:tc>
        <w:tc>
          <w:tcPr>
            <w:tcW w:w="2657" w:type="pct"/>
            <w:noWrap w:val="0"/>
            <w:vAlign w:val="top"/>
          </w:tcPr>
          <w:p>
            <w:pPr>
              <w:numPr>
                <w:ilvl w:val="0"/>
                <w:numId w:val="0"/>
              </w:numPr>
              <w:ind w:left="0" w:leftChars="0" w:firstLine="0" w:firstLineChars="0"/>
              <w:jc w:val="left"/>
              <w:rPr>
                <w:rFonts w:hint="eastAsia" w:ascii="宋体" w:hAnsi="Calibri"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铝合金材质，配人字闸，可以自由的调节此风口的流量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numPr>
                <w:ilvl w:val="0"/>
                <w:numId w:val="0"/>
              </w:numPr>
              <w:jc w:val="left"/>
              <w:rPr>
                <w:rFonts w:hint="eastAsia" w:ascii="宋体" w:cs="宋体"/>
                <w:color w:val="auto"/>
                <w:kern w:val="0"/>
                <w:sz w:val="21"/>
                <w:szCs w:val="21"/>
                <w:highlight w:val="none"/>
              </w:rPr>
            </w:pPr>
            <w:r>
              <w:rPr>
                <w:rFonts w:hint="eastAsia" w:ascii="宋体" w:cs="宋体"/>
                <w:b/>
                <w:bCs/>
                <w:color w:val="auto"/>
                <w:kern w:val="0"/>
                <w:sz w:val="21"/>
                <w:szCs w:val="21"/>
                <w:highlight w:val="none"/>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格栅排风口</w:t>
            </w:r>
          </w:p>
        </w:tc>
        <w:tc>
          <w:tcPr>
            <w:tcW w:w="805" w:type="pct"/>
            <w:noWrap w:val="0"/>
            <w:vAlign w:val="top"/>
          </w:tcPr>
          <w:p>
            <w:pPr>
              <w:numPr>
                <w:ilvl w:val="0"/>
                <w:numId w:val="0"/>
              </w:numPr>
              <w:ind w:left="0" w:leftChars="0"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cs="宋体"/>
                <w:color w:val="auto"/>
                <w:kern w:val="0"/>
                <w:sz w:val="21"/>
                <w:szCs w:val="21"/>
                <w:highlight w:val="none"/>
                <w:lang w:val="en-US" w:eastAsia="zh-CN"/>
              </w:rPr>
              <w:t>约</w:t>
            </w:r>
            <w:r>
              <w:rPr>
                <w:rFonts w:hint="eastAsia" w:ascii="宋体" w:hAnsi="宋体" w:cs="宋体"/>
                <w:i w:val="0"/>
                <w:color w:val="auto"/>
                <w:kern w:val="0"/>
                <w:sz w:val="21"/>
                <w:szCs w:val="21"/>
                <w:highlight w:val="none"/>
                <w:u w:val="none"/>
                <w:lang w:val="en-US" w:eastAsia="zh-CN" w:bidi="ar"/>
              </w:rPr>
              <w:t>600*600</w:t>
            </w:r>
          </w:p>
        </w:tc>
        <w:tc>
          <w:tcPr>
            <w:tcW w:w="267"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个</w:t>
            </w:r>
          </w:p>
        </w:tc>
        <w:tc>
          <w:tcPr>
            <w:tcW w:w="268" w:type="pct"/>
            <w:noWrap w:val="0"/>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6</w:t>
            </w:r>
          </w:p>
        </w:tc>
        <w:tc>
          <w:tcPr>
            <w:tcW w:w="2657" w:type="pct"/>
            <w:noWrap w:val="0"/>
            <w:vAlign w:val="top"/>
          </w:tcPr>
          <w:p>
            <w:pPr>
              <w:numPr>
                <w:ilvl w:val="0"/>
                <w:numId w:val="0"/>
              </w:numPr>
              <w:ind w:left="0" w:leftChars="0" w:firstLine="0" w:firstLineChars="0"/>
              <w:jc w:val="left"/>
              <w:rPr>
                <w:rFonts w:hint="eastAsia" w:ascii="宋体" w:hAnsi="Calibri"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铝合金材质，配人字闸，可以自由的调节此风口的流量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000" w:type="pct"/>
            <w:gridSpan w:val="6"/>
            <w:noWrap w:val="0"/>
            <w:vAlign w:val="top"/>
          </w:tcPr>
          <w:p>
            <w:pPr>
              <w:numPr>
                <w:ilvl w:val="0"/>
                <w:numId w:val="0"/>
              </w:numPr>
              <w:jc w:val="left"/>
              <w:rPr>
                <w:rFonts w:hint="eastAsia" w:ascii="宋体" w:cs="宋体"/>
                <w:color w:val="auto"/>
                <w:kern w:val="0"/>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w:t>
            </w:r>
          </w:p>
        </w:tc>
        <w:tc>
          <w:tcPr>
            <w:tcW w:w="570"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PP原子吸收罩</w:t>
            </w:r>
          </w:p>
        </w:tc>
        <w:tc>
          <w:tcPr>
            <w:tcW w:w="805"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1200*1500</w:t>
            </w:r>
          </w:p>
        </w:tc>
        <w:tc>
          <w:tcPr>
            <w:tcW w:w="267"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个</w:t>
            </w:r>
          </w:p>
        </w:tc>
        <w:tc>
          <w:tcPr>
            <w:tcW w:w="268"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3</w:t>
            </w:r>
          </w:p>
        </w:tc>
        <w:tc>
          <w:tcPr>
            <w:tcW w:w="2657" w:type="pct"/>
            <w:noWrap w:val="0"/>
            <w:vAlign w:val="top"/>
          </w:tcPr>
          <w:p>
            <w:pPr>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cs="宋体"/>
                <w:color w:val="auto"/>
                <w:kern w:val="0"/>
                <w:sz w:val="21"/>
                <w:szCs w:val="21"/>
                <w:highlight w:val="none"/>
              </w:rPr>
              <w:t>PP材质</w:t>
            </w:r>
            <w:r>
              <w:rPr>
                <w:rFonts w:hint="eastAsia" w:ascii="宋体" w:cs="宋体"/>
                <w:color w:val="auto"/>
                <w:kern w:val="0"/>
                <w:sz w:val="21"/>
                <w:szCs w:val="21"/>
                <w:highlight w:val="none"/>
                <w:lang w:eastAsia="zh-CN"/>
              </w:rPr>
              <w:t>，接口尺寸</w:t>
            </w:r>
            <w:r>
              <w:rPr>
                <w:rFonts w:hint="eastAsia" w:ascii="宋体" w:cs="宋体"/>
                <w:color w:val="auto"/>
                <w:kern w:val="0"/>
                <w:sz w:val="21"/>
                <w:szCs w:val="21"/>
                <w:highlight w:val="none"/>
                <w:lang w:val="en-US" w:eastAsia="zh-CN"/>
              </w:rPr>
              <w:t>约400*250</w:t>
            </w:r>
          </w:p>
        </w:tc>
      </w:tr>
    </w:tbl>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风机选型：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本次通风系统风机全部采用玻璃钢离心风机，Ne≤11.0kw时采用A式传动，具有以下优点：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（1）效率高，风机曲线平坦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（2）性能稳定可靠，维护方便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（3）耐腐蚀，使用寿命长</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管路设计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本系统圆形风管采用PVC管材，矩形风管采用PP板材，所有管道的设计压力均小于1500Pa，属于中低压管路，采用的风管壁厚如下：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PVC和PP圆形风管板材厚度（mm）</w:t>
      </w:r>
    </w:p>
    <w:tbl>
      <w:tblPr>
        <w:tblStyle w:val="9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6"/>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风管直径D</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板材厚度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D≤320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320＜D≤800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800＜D≤1200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1200＜D≤2000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PVC和PP矩形风管板材厚度（mm）</w:t>
      </w:r>
    </w:p>
    <w:tbl>
      <w:tblPr>
        <w:tblStyle w:val="9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6"/>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风管长边尺寸b</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板材厚度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D≤320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320＜D≤500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500＜D≤800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800＜D≤1250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1250＜D≤2000</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约</w:t>
            </w:r>
            <w:r>
              <w:rPr>
                <w:rFonts w:hint="eastAsia" w:ascii="宋体" w:hAnsi="宋体" w:eastAsia="宋体" w:cs="宋体"/>
                <w:b w:val="0"/>
                <w:bCs w:val="0"/>
                <w:color w:val="auto"/>
                <w:sz w:val="21"/>
                <w:szCs w:val="21"/>
                <w:highlight w:val="none"/>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根据建筑条件及现有的管道情况，风管均就近从房间内的窗户开孔并沿室外的墙壁上至5层的屋面。</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减震设计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（1）根据国家有关规定，城市地区对环境建筑影响的铅直震动容许值为</w:t>
      </w:r>
    </w:p>
    <w:tbl>
      <w:tblPr>
        <w:tblStyle w:val="9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6"/>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昼间标准</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夜间标准</w:t>
            </w:r>
          </w:p>
        </w:tc>
        <w:tc>
          <w:tcPr>
            <w:tcW w:w="225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≦72dB</w:t>
            </w:r>
          </w:p>
        </w:tc>
      </w:tr>
    </w:tbl>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210" w:firstLineChars="1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大型玻璃钢离心风机运行时震动较大，需对风机采取减震措施，具体措施如下：</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15"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风机与基础之间加装橡胶减震垫，厚度</w:t>
      </w:r>
      <w:r>
        <w:rPr>
          <w:rFonts w:hint="eastAsia" w:ascii="宋体" w:hAnsi="宋体" w:cs="宋体"/>
          <w:b w:val="0"/>
          <w:bCs w:val="0"/>
          <w:color w:val="auto"/>
          <w:sz w:val="21"/>
          <w:szCs w:val="21"/>
          <w:highlight w:val="none"/>
          <w:lang w:val="en-US" w:eastAsia="zh-CN"/>
        </w:rPr>
        <w:t>约为</w:t>
      </w:r>
      <w:r>
        <w:rPr>
          <w:rFonts w:hint="eastAsia" w:ascii="宋体" w:hAnsi="宋体" w:eastAsia="宋体" w:cs="宋体"/>
          <w:b w:val="0"/>
          <w:bCs w:val="0"/>
          <w:color w:val="auto"/>
          <w:sz w:val="21"/>
          <w:szCs w:val="21"/>
          <w:highlight w:val="none"/>
          <w:lang w:val="en-US" w:eastAsia="zh-CN"/>
        </w:rPr>
        <w:t>为3cm。</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15"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风机进出口安装减震软接头，使风机运行时产生的噪音和震动不会通过风管传递到实验室内。</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15"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风机底座为水泥基础，水泥基础的高度根据现场情况可做适当调整，在条件允许的情况下风机基础高度不小于20cm。</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通风控制系统设计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本项目</w:t>
      </w:r>
      <w:r>
        <w:rPr>
          <w:rFonts w:hint="eastAsia" w:ascii="宋体" w:hAnsi="宋体" w:cs="宋体"/>
          <w:b w:val="0"/>
          <w:bCs w:val="0"/>
          <w:color w:val="auto"/>
          <w:sz w:val="21"/>
          <w:szCs w:val="21"/>
          <w:highlight w:val="none"/>
          <w:lang w:val="en-US" w:eastAsia="zh-CN"/>
        </w:rPr>
        <w:t>共设计6</w:t>
      </w:r>
      <w:r>
        <w:rPr>
          <w:rFonts w:hint="eastAsia" w:ascii="宋体" w:hAnsi="宋体" w:eastAsia="宋体" w:cs="宋体"/>
          <w:b w:val="0"/>
          <w:bCs w:val="0"/>
          <w:color w:val="auto"/>
          <w:sz w:val="21"/>
          <w:szCs w:val="21"/>
          <w:highlight w:val="none"/>
          <w:lang w:val="en-US" w:eastAsia="zh-CN"/>
        </w:rPr>
        <w:t>套通风系统</w:t>
      </w:r>
      <w:r>
        <w:rPr>
          <w:rFonts w:hint="eastAsia" w:ascii="宋体" w:hAnsi="宋体" w:cs="宋体"/>
          <w:b w:val="0"/>
          <w:bCs w:val="0"/>
          <w:color w:val="auto"/>
          <w:sz w:val="21"/>
          <w:szCs w:val="21"/>
          <w:highlight w:val="none"/>
          <w:lang w:val="en-US" w:eastAsia="zh-CN"/>
        </w:rPr>
        <w:t>，其中PF-01和PF-04采用CAV变频控制系统,采用定静压控制方法，在风机排风主管道上设置管道静压传感器，通过控制器和变频器调节风机转速，维持管道静压，从而达到满足实际需要风量的目的。其余排风系统</w:t>
      </w:r>
      <w:r>
        <w:rPr>
          <w:rFonts w:hint="eastAsia" w:ascii="宋体" w:hAnsi="宋体" w:eastAsia="宋体" w:cs="宋体"/>
          <w:b w:val="0"/>
          <w:bCs w:val="0"/>
          <w:color w:val="auto"/>
          <w:sz w:val="21"/>
          <w:szCs w:val="21"/>
          <w:highlight w:val="none"/>
          <w:lang w:val="en-US" w:eastAsia="zh-CN"/>
        </w:rPr>
        <w:t>均采用CAV定风量控制系统。每套系统的风机以固定频率运行，始终保持转速不变，无变化需求及控制要求，通过手动调节阀来调节管道内的阻力从而使末端设备以设定的排风量恒定排风。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需要从5层引一组</w:t>
      </w:r>
      <w:r>
        <w:rPr>
          <w:rFonts w:hint="eastAsia" w:ascii="宋体" w:hAnsi="宋体" w:cs="宋体"/>
          <w:b w:val="0"/>
          <w:bCs w:val="0"/>
          <w:color w:val="auto"/>
          <w:sz w:val="21"/>
          <w:szCs w:val="21"/>
          <w:highlight w:val="none"/>
          <w:lang w:val="en-US" w:eastAsia="zh-CN"/>
        </w:rPr>
        <w:t>约17</w:t>
      </w:r>
      <w:r>
        <w:rPr>
          <w:rFonts w:hint="eastAsia" w:ascii="宋体" w:hAnsi="宋体" w:eastAsia="宋体" w:cs="宋体"/>
          <w:b w:val="0"/>
          <w:bCs w:val="0"/>
          <w:color w:val="auto"/>
          <w:sz w:val="21"/>
          <w:szCs w:val="21"/>
          <w:highlight w:val="none"/>
          <w:lang w:val="en-US" w:eastAsia="zh-CN"/>
        </w:rPr>
        <w:t>kw的电缆给到屋面的风机和喷淋塔的水泵，风机的控制箱安装5层屋面上，每套通风系统都是独立控制的，在对应的房间内设置面板开关，用于控制风机的启停</w:t>
      </w:r>
      <w:r>
        <w:rPr>
          <w:rFonts w:hint="eastAsia" w:ascii="宋体" w:hAnsi="宋体" w:cs="宋体"/>
          <w:b w:val="0"/>
          <w:bCs w:val="0"/>
          <w:color w:val="auto"/>
          <w:sz w:val="21"/>
          <w:szCs w:val="21"/>
          <w:highlight w:val="none"/>
          <w:lang w:val="en-US" w:eastAsia="zh-CN"/>
        </w:rPr>
        <w:t>，保证</w:t>
      </w:r>
      <w:r>
        <w:rPr>
          <w:rFonts w:hint="eastAsia" w:ascii="宋体" w:hAnsi="宋体" w:eastAsia="宋体" w:cs="宋体"/>
          <w:b w:val="0"/>
          <w:bCs w:val="0"/>
          <w:color w:val="auto"/>
          <w:sz w:val="21"/>
          <w:szCs w:val="21"/>
          <w:highlight w:val="none"/>
          <w:lang w:val="en-US" w:eastAsia="zh-CN"/>
        </w:rPr>
        <w:t>房间的通风设备就会按照设定好的排风量稳定排风，保证实验人员的安全。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废气处理方案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（1）PF-01和PF-0</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06</w:t>
      </w:r>
      <w:r>
        <w:rPr>
          <w:rFonts w:hint="eastAsia" w:ascii="宋体" w:hAnsi="宋体" w:eastAsia="宋体" w:cs="宋体"/>
          <w:b w:val="0"/>
          <w:bCs w:val="0"/>
          <w:color w:val="auto"/>
          <w:sz w:val="21"/>
          <w:szCs w:val="21"/>
          <w:highlight w:val="none"/>
          <w:lang w:val="en-US" w:eastAsia="zh-CN"/>
        </w:rPr>
        <w:t>这</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套排风系统的废气均是有机废气，采用颗粒状的活性炭来充分吸附废气中有机成分的分子，当活性炭吸附到一定的饱和度时就需更换新的活性炭。（废气排放执行广东省《大气污染物排放限值》（DB44/27-2001）第二时段二级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（2）PF-0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这1套排风系统的废气是无机废气，需根据无机废气中的化学成分购买对应的药液加入酸雾喷淋塔中，利用废气中某些物质和药液产生化学反应的特征，使无机废气在酸雾喷淋塔中发生化学反应，去除废气中的有害成分，废气检测达标后方可排放。（废气排放执行广东省《大气污染物排放限值》（DB44/27-2001）第二时段二级标准）</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eastAsia="zh-CN"/>
        </w:rPr>
      </w:pPr>
    </w:p>
    <w:p>
      <w:pPr>
        <w:outlineLvl w:val="1"/>
        <w:rPr>
          <w:rFonts w:hint="eastAsia" w:asciiTheme="minorEastAsia" w:hAnsiTheme="minorEastAsia" w:eastAsiaTheme="minorEastAsia" w:cstheme="minorEastAsia"/>
          <w:b/>
          <w:color w:val="auto"/>
          <w:sz w:val="21"/>
          <w:szCs w:val="21"/>
          <w:highlight w:val="none"/>
          <w:lang w:val="zh-CN" w:eastAsia="zh-CN"/>
        </w:rPr>
      </w:pPr>
      <w:r>
        <w:rPr>
          <w:rFonts w:hint="eastAsia" w:asciiTheme="minorEastAsia" w:hAnsiTheme="minorEastAsia" w:eastAsiaTheme="minorEastAsia" w:cstheme="minorEastAsia"/>
          <w:b/>
          <w:color w:val="auto"/>
          <w:sz w:val="21"/>
          <w:szCs w:val="21"/>
          <w:highlight w:val="none"/>
          <w:lang w:val="zh-CN" w:eastAsia="zh-CN"/>
        </w:rPr>
        <w:t>六、现场踏勘</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本项目不集中组织</w:t>
      </w:r>
      <w:r>
        <w:rPr>
          <w:rFonts w:hint="eastAsia" w:asciiTheme="minorEastAsia" w:hAnsiTheme="minorEastAsia" w:eastAsiaTheme="minorEastAsia" w:cstheme="minorEastAsia"/>
          <w:color w:val="auto"/>
          <w:sz w:val="21"/>
          <w:szCs w:val="21"/>
          <w:highlight w:val="none"/>
        </w:rPr>
        <w:t>现场踏勘</w:t>
      </w:r>
      <w:r>
        <w:rPr>
          <w:rFonts w:hint="eastAsia" w:asciiTheme="minorEastAsia" w:hAnsiTheme="minorEastAsia" w:eastAsiaTheme="minorEastAsia" w:cstheme="minorEastAsia"/>
          <w:color w:val="auto"/>
          <w:sz w:val="21"/>
          <w:szCs w:val="21"/>
          <w:highlight w:val="none"/>
          <w:lang w:val="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outlineLvl w:val="1"/>
        <w:rPr>
          <w:rFonts w:hint="eastAsia" w:asciiTheme="minorEastAsia" w:hAnsiTheme="minorEastAsia" w:eastAsiaTheme="minorEastAsia" w:cstheme="minorEastAsia"/>
          <w:b/>
          <w:color w:val="auto"/>
          <w:sz w:val="21"/>
          <w:szCs w:val="21"/>
          <w:highlight w:val="none"/>
          <w:lang w:val="zh-CN"/>
        </w:rPr>
      </w:pPr>
    </w:p>
    <w:p>
      <w:pPr>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zh-CN"/>
        </w:rPr>
        <w:t>七、货物</w:t>
      </w:r>
      <w:r>
        <w:rPr>
          <w:rFonts w:hint="eastAsia" w:asciiTheme="minorEastAsia" w:hAnsiTheme="minorEastAsia" w:eastAsiaTheme="minorEastAsia" w:cstheme="minorEastAsia"/>
          <w:b/>
          <w:color w:val="auto"/>
          <w:sz w:val="21"/>
          <w:szCs w:val="21"/>
          <w:highlight w:val="none"/>
          <w:lang w:val="en-US" w:eastAsia="zh-CN"/>
        </w:rPr>
        <w:t>采购清单及基本参数要求</w:t>
      </w:r>
    </w:p>
    <w:tbl>
      <w:tblPr>
        <w:tblStyle w:val="90"/>
        <w:tblW w:w="5000" w:type="pct"/>
        <w:tblInd w:w="0" w:type="dxa"/>
        <w:shd w:val="clear" w:color="auto" w:fill="auto"/>
        <w:tblLayout w:type="autofit"/>
        <w:tblCellMar>
          <w:top w:w="0" w:type="dxa"/>
          <w:left w:w="0" w:type="dxa"/>
          <w:bottom w:w="0" w:type="dxa"/>
          <w:right w:w="0" w:type="dxa"/>
        </w:tblCellMar>
      </w:tblPr>
      <w:tblGrid>
        <w:gridCol w:w="854"/>
        <w:gridCol w:w="2687"/>
        <w:gridCol w:w="3148"/>
        <w:gridCol w:w="650"/>
        <w:gridCol w:w="1062"/>
        <w:gridCol w:w="1267"/>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PF-01通风系统清单</w:t>
            </w: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3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玻璃钢离心变频风机</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1.名称:玻璃钢离心（变频）风机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2.型号:</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7A-7.5KW</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11328CMH~19531CMH</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4.全压：</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1583Pa~1053Pa</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5.转速：</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1450r/min</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6.材质：玻璃钢</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2.处理风量：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17000CMH</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万向排气罩</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1.名称：万向排气罩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φ75，PP结构</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PP原子吸收罩</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1.名称:PP原子吸收罩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1200*1500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1.名称:风机基础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2.规格：水泥基础</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1.名称:活性炭过滤箱支架</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风机弹簧减震</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1.名称:风机弹簧减震</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1.名称:风机进出口</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1.名称:帆布软接</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1.名称:防雨帽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2.风机配套防雨帽</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1.名称:PP板制作风管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2.形状:矩形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.板材厚度:</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.管件、法兰等附件及支架设计要求:成品支架安装</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1.名称:PP板制作风管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2.形状:矩形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.板材厚度:</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8mm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.管件、法兰等附件及支架设计要求:成品支架安装</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97.00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φ200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32.00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φ200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1.管道支架制作（一般管架）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2.管道支架安装（一般管架）</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32.00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L50镀锌角钢</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1.名称:电动风量调节阀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400*400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630*400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φ200</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400*250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1000*500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铝扣板天花拆除及修复</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16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1628"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1.玻璃窗开孔及修复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2.含玻璃更换</w:t>
            </w:r>
          </w:p>
        </w:tc>
        <w:tc>
          <w:tcPr>
            <w:tcW w:w="3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874"/>
        <w:gridCol w:w="2732"/>
        <w:gridCol w:w="3024"/>
        <w:gridCol w:w="659"/>
        <w:gridCol w:w="1085"/>
        <w:gridCol w:w="1294"/>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PF-02通风系统清单</w:t>
            </w: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0</wp:posOffset>
                  </wp:positionV>
                  <wp:extent cx="4445" cy="443230"/>
                  <wp:effectExtent l="0" t="0" r="0" b="0"/>
                  <wp:wrapNone/>
                  <wp:docPr id="1" name="图片_130"/>
                  <wp:cNvGraphicFramePr/>
                  <a:graphic xmlns:a="http://schemas.openxmlformats.org/drawingml/2006/main">
                    <a:graphicData uri="http://schemas.openxmlformats.org/drawingml/2006/picture">
                      <pic:pic xmlns:pic="http://schemas.openxmlformats.org/drawingml/2006/picture">
                        <pic:nvPicPr>
                          <pic:cNvPr id="1" name="图片_130"/>
                          <pic:cNvPicPr/>
                        </pic:nvPicPr>
                        <pic:blipFill>
                          <a:blip r:embed="rId15"/>
                          <a:stretch>
                            <a:fillRect/>
                          </a:stretch>
                        </pic:blipFill>
                        <pic:spPr>
                          <a:xfrm>
                            <a:off x="0" y="0"/>
                            <a:ext cx="4445" cy="443230"/>
                          </a:xfrm>
                          <a:prstGeom prst="rect">
                            <a:avLst/>
                          </a:prstGeom>
                          <a:noFill/>
                          <a:ln>
                            <a:noFill/>
                          </a:ln>
                        </pic:spPr>
                      </pic:pic>
                    </a:graphicData>
                  </a:graphic>
                </wp:anchor>
              </w:drawing>
            </w:r>
            <w:r>
              <w:rPr>
                <w:rFonts w:hint="eastAsia" w:ascii="宋体" w:hAnsi="宋体" w:eastAsia="宋体" w:cs="宋体"/>
                <w:b/>
                <w:i w:val="0"/>
                <w:color w:val="auto"/>
                <w:kern w:val="0"/>
                <w:sz w:val="21"/>
                <w:szCs w:val="21"/>
                <w:highlight w:val="none"/>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0</wp:posOffset>
                  </wp:positionV>
                  <wp:extent cx="4445" cy="443230"/>
                  <wp:effectExtent l="0" t="0" r="0" b="0"/>
                  <wp:wrapNone/>
                  <wp:docPr id="2" name="图片_130_SpCnt_1"/>
                  <wp:cNvGraphicFramePr/>
                  <a:graphic xmlns:a="http://schemas.openxmlformats.org/drawingml/2006/main">
                    <a:graphicData uri="http://schemas.openxmlformats.org/drawingml/2006/picture">
                      <pic:pic xmlns:pic="http://schemas.openxmlformats.org/drawingml/2006/picture">
                        <pic:nvPicPr>
                          <pic:cNvPr id="2" name="图片_130_SpCnt_1"/>
                          <pic:cNvPicPr/>
                        </pic:nvPicPr>
                        <pic:blipFill>
                          <a:blip r:embed="rId15"/>
                          <a:stretch>
                            <a:fillRect/>
                          </a:stretch>
                        </pic:blipFill>
                        <pic:spPr>
                          <a:xfrm>
                            <a:off x="0" y="0"/>
                            <a:ext cx="4445" cy="443230"/>
                          </a:xfrm>
                          <a:prstGeom prst="rect">
                            <a:avLst/>
                          </a:prstGeom>
                          <a:noFill/>
                          <a:ln>
                            <a:noFill/>
                          </a:ln>
                        </pic:spPr>
                      </pic:pic>
                    </a:graphicData>
                  </a:graphic>
                </wp:anchor>
              </w:drawing>
            </w:r>
            <w:r>
              <w:rPr>
                <w:rFonts w:hint="eastAsia" w:ascii="宋体" w:hAnsi="宋体" w:eastAsia="宋体" w:cs="宋体"/>
                <w:b/>
                <w:i w:val="0"/>
                <w:color w:val="auto"/>
                <w:kern w:val="0"/>
                <w:sz w:val="21"/>
                <w:szCs w:val="21"/>
                <w:highlight w:val="none"/>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0</wp:posOffset>
                  </wp:positionV>
                  <wp:extent cx="4445" cy="443230"/>
                  <wp:effectExtent l="0" t="0" r="0" b="0"/>
                  <wp:wrapNone/>
                  <wp:docPr id="3" name="图片_130_SpCnt_2"/>
                  <wp:cNvGraphicFramePr/>
                  <a:graphic xmlns:a="http://schemas.openxmlformats.org/drawingml/2006/main">
                    <a:graphicData uri="http://schemas.openxmlformats.org/drawingml/2006/picture">
                      <pic:pic xmlns:pic="http://schemas.openxmlformats.org/drawingml/2006/picture">
                        <pic:nvPicPr>
                          <pic:cNvPr id="3" name="图片_130_SpCnt_2"/>
                          <pic:cNvPicPr/>
                        </pic:nvPicPr>
                        <pic:blipFill>
                          <a:blip r:embed="rId15"/>
                          <a:stretch>
                            <a:fillRect/>
                          </a:stretch>
                        </pic:blipFill>
                        <pic:spPr>
                          <a:xfrm>
                            <a:off x="0" y="0"/>
                            <a:ext cx="4445" cy="443230"/>
                          </a:xfrm>
                          <a:prstGeom prst="rect">
                            <a:avLst/>
                          </a:prstGeom>
                          <a:noFill/>
                          <a:ln>
                            <a:noFill/>
                          </a:ln>
                        </pic:spPr>
                      </pic:pic>
                    </a:graphicData>
                  </a:graphic>
                </wp:anchor>
              </w:drawing>
            </w:r>
            <w:r>
              <w:rPr>
                <w:rFonts w:hint="eastAsia" w:ascii="宋体" w:hAnsi="宋体" w:eastAsia="宋体" w:cs="宋体"/>
                <w:b/>
                <w:i w:val="0"/>
                <w:color w:val="auto"/>
                <w:kern w:val="0"/>
                <w:sz w:val="21"/>
                <w:szCs w:val="21"/>
                <w:highlight w:val="none"/>
                <w:u w:val="none"/>
                <w:lang w:val="en-US" w:eastAsia="zh-CN" w:bidi="ar"/>
              </w:rPr>
              <w:t>项目内容</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玻璃钢离心风机</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1.名称:离心风机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2.型号:</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3A 1.1KW</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3.材质:玻璃钢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1443~2506m³/h</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5.余压：</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1140~770Pa</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6.转速：</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2900r/min</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玻璃钢喷淋塔</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1.名称:喷淋塔</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2.规格:BT-2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φ600 H2500                        3.材质:玻璃钢</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玻璃钢通风柜</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1.名称：玻璃钢通风柜</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1.尺寸：</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1800*850*2350</w:t>
            </w:r>
            <w:r>
              <w:rPr>
                <w:rFonts w:hint="eastAsia" w:ascii="宋体" w:hAnsi="宋体" w:cs="宋体"/>
                <w:i w:val="0"/>
                <w:color w:val="auto"/>
                <w:kern w:val="0"/>
                <w:sz w:val="21"/>
                <w:szCs w:val="21"/>
                <w:highlight w:val="none"/>
                <w:u w:val="none"/>
                <w:lang w:val="en-US" w:eastAsia="zh-CN" w:bidi="ar"/>
              </w:rPr>
              <w:t>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2.陶瓷台面，玻璃钢柜体，配小水杯和控制面板</w:t>
            </w: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喷淋塔基础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1.名称:喷淋塔基础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2.规格：水泥基础</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1.名称:风机基础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2.规格：水泥基础</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风机弹簧减震</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1.名称:风机弹簧减震</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1.名称:风机进出口</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1.名称:帆布软接</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41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1.名称:防雨帽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2.喷淋塔防雨帽</w:t>
            </w: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48.00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1.管道支架制作（一般管架）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2.管道支架安装（一般管架）</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L50镀锌角钢</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塑料管</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1.安装部位:室内</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2.介质:给水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3.材质、规格:PP-R DN25 PN1.25</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4.连接形式:粘接</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塑料管</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1.安装部位:室内</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2.介质:排水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3.材质、规格:PVC-U DN110</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4.连接形式:粘接</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环评采样平台</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156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1.玻璃窗开孔及修复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2.含玻璃更换</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854"/>
        <w:gridCol w:w="2687"/>
        <w:gridCol w:w="3148"/>
        <w:gridCol w:w="650"/>
        <w:gridCol w:w="1062"/>
        <w:gridCol w:w="1267"/>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PF-03通风系统清单</w:t>
            </w: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玻璃钢离心风机</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1.名称:离心风机                        2.型号:</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5A-2.2KW</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4096CMH~6952CMH</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4.全压：</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820Pa~490Pa</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5.转速：</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1450r/min</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6.材质：玻璃钢</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2.处理风量：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4500CMH</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万向排气罩</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1.名称：万向排气罩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φ75，PP结构</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1.名称:风机基础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2.规格：水泥基础</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1.名称:活性炭过滤箱支架</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1.名称:风机橡胶减震</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1.名称:风机进出口</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1.名称:帆布软接</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9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1.名称:防雨帽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2.风机配套防雨帽</w:t>
            </w: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1.名称:PP板制作风管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2.形状:矩形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.板材厚度:</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.管件、法兰等附件及支架设计要求:成品支架安装</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φ200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φ200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1.管道支架制作（一般管架）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2.管道支架安装（一般管架）</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24.00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L50镀锌角钢</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φ200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400*400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162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1.玻璃窗开孔及修复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2.含玻璃更换</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854"/>
        <w:gridCol w:w="2687"/>
        <w:gridCol w:w="3148"/>
        <w:gridCol w:w="650"/>
        <w:gridCol w:w="1062"/>
        <w:gridCol w:w="1267"/>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PF-04通风系统清单</w:t>
            </w: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玻璃钢离心变频风机</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1.名称:（变频）离心风机                        2.型号:</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6A-4KW</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6840CMH~12720CMH</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4.全压：</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1230Pa~710Pa</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5.转速：</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1450r/min</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6.材质：玻璃钢</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2.处理风量：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9000CMH</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万向排气罩</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1.名称：万向排气罩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φ75，PP结构</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试剂排风柜</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1.名称:试剂排风柜</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2.规格：全钢结构，</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900*450*1800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1.名称:风机基础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2.规格：水泥基础</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1.名称:活性炭过滤箱支架</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1.名称:风机橡胶减震</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1.名称:风机进出口</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1.名称:帆布软接</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9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1.名称:防雨帽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2.风机配套防雨帽</w:t>
            </w: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1.名称:PP板制作风管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2.形状:矩形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.板材厚度:</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.管件、法兰等附件及支架设计要求:成品支架安装</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70.00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1.名称:PP板制作风管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2.形状:矩形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.板材厚度:</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8mm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.管件、法兰等附件及支架设计要求:成品支架安装</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36.00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24.00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1.管道支架制作（一般管架）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2.管道支架安装（一般管架）</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23.00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L50镀锌角钢</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400*200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800*400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格栅排风口</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1.名称:格栅排风口</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600*600</w:t>
            </w:r>
            <w:r>
              <w:rPr>
                <w:rFonts w:hint="eastAsia" w:ascii="宋体" w:hAnsi="宋体" w:cs="宋体"/>
                <w:i w:val="0"/>
                <w:color w:val="auto"/>
                <w:kern w:val="0"/>
                <w:sz w:val="21"/>
                <w:szCs w:val="21"/>
                <w:highlight w:val="none"/>
                <w:u w:val="none"/>
                <w:lang w:val="en-US" w:eastAsia="zh-CN" w:bidi="ar"/>
              </w:rPr>
              <w:t>mm</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原有管道及风机拆除</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1.名称：原有风管及风机拆除</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1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162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1.玻璃窗开孔及修复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2.含玻璃更换</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874"/>
        <w:gridCol w:w="2732"/>
        <w:gridCol w:w="3024"/>
        <w:gridCol w:w="659"/>
        <w:gridCol w:w="1085"/>
        <w:gridCol w:w="1294"/>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PF-05通风系统清单</w:t>
            </w: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玻璃钢离心风机</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1.名称:离心风机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2.型号:</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4.5A 1.5KW</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3.材质:玻璃钢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2700~4960m³/h</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5.全压：</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 xml:space="preserve">670~400Pa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6.转速：</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1450r/min</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2.处理风量：</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1500~2000CMH</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1.名称:风机基础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2.规格：水泥基础</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1.名称:活性炭过滤箱支架</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1.名称:风机橡胶减震</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1.名称:风机进出口</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1.名称:帆布软接</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41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1.名称:防雨帽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2.风机配套防雨帽</w:t>
            </w: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1.名称:通风管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φ110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1.名称:风管90度弯头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2.材质、规格:PVC </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1.管道支架制作（一般管架）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2.管道支架安装（一般管架）</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φ315</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铝扣板天花拆除及修复</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874"/>
        <w:gridCol w:w="2732"/>
        <w:gridCol w:w="3024"/>
        <w:gridCol w:w="659"/>
        <w:gridCol w:w="1085"/>
        <w:gridCol w:w="1294"/>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PF-06通风系统清单</w:t>
            </w: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玻璃钢斜流风机</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1.名称:斜流风机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2.型号:FSJG</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3.0F 220V、4级-0.18KW</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4.材质:玻璃钢</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风机吊架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1.名称:风机吊架</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1.名称:风机橡胶减震</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1.名称:风机进出口</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1.名称:帆布软接</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1.名称:PP板制作风管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2.形状:矩形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.板材厚度:</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.管件、法兰等附件及支架设计要求:成品支架安装</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29.00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1.管道支架制作（一般管架）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2.管道支架安装（一般管架）</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1.名称:手动风量调节阀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400*200</w:t>
            </w:r>
            <w:r>
              <w:rPr>
                <w:rFonts w:hint="eastAsia" w:ascii="宋体" w:hAnsi="宋体" w:cs="宋体"/>
                <w:i w:val="0"/>
                <w:color w:val="auto"/>
                <w:kern w:val="0"/>
                <w:sz w:val="21"/>
                <w:szCs w:val="21"/>
                <w:highlight w:val="none"/>
                <w:u w:val="none"/>
                <w:lang w:val="en-US" w:eastAsia="zh-CN" w:bidi="ar"/>
              </w:rPr>
              <w:t>mm</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格栅排风口</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1.名称:格栅排风口</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600*600</w:t>
            </w:r>
            <w:r>
              <w:rPr>
                <w:rFonts w:hint="eastAsia" w:ascii="宋体" w:hAnsi="宋体" w:cs="宋体"/>
                <w:i w:val="0"/>
                <w:color w:val="auto"/>
                <w:kern w:val="0"/>
                <w:sz w:val="21"/>
                <w:szCs w:val="21"/>
                <w:highlight w:val="none"/>
                <w:u w:val="none"/>
                <w:lang w:val="en-US" w:eastAsia="zh-CN" w:bidi="ar"/>
              </w:rPr>
              <w:t>mm</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防雨百叶</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1.名称:防雨百叶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400*200</w:t>
            </w:r>
            <w:r>
              <w:rPr>
                <w:rFonts w:hint="eastAsia" w:ascii="宋体" w:hAnsi="宋体" w:cs="宋体"/>
                <w:i w:val="0"/>
                <w:color w:val="auto"/>
                <w:kern w:val="0"/>
                <w:sz w:val="21"/>
                <w:szCs w:val="21"/>
                <w:highlight w:val="none"/>
                <w:u w:val="none"/>
                <w:lang w:val="en-US" w:eastAsia="zh-CN" w:bidi="ar"/>
              </w:rPr>
              <w:t>mm</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1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156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1.玻璃窗开孔及修复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2.含玻璃更换</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874"/>
        <w:gridCol w:w="2730"/>
        <w:gridCol w:w="3022"/>
        <w:gridCol w:w="657"/>
        <w:gridCol w:w="1085"/>
        <w:gridCol w:w="1300"/>
      </w:tblGrid>
      <w:tr>
        <w:tblPrEx>
          <w:shd w:val="clear" w:color="auto" w:fill="auto"/>
          <w:tblCellMar>
            <w:top w:w="0" w:type="dxa"/>
            <w:left w:w="0" w:type="dxa"/>
            <w:bottom w:w="0" w:type="dxa"/>
            <w:right w:w="0" w:type="dxa"/>
          </w:tblCellMar>
        </w:tblPrEx>
        <w:trPr>
          <w:trHeight w:val="567"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通风控制系统清单</w:t>
            </w: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567" w:hRule="atLeast"/>
        </w:trPr>
        <w:tc>
          <w:tcPr>
            <w:tcW w:w="18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一、控制系统</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变频器</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1.名称:变频器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4KW</w:t>
            </w: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变频器</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1.名称:变频器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7.5KW</w:t>
            </w: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可编程管道压差控制器</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1.名称:可编程管道压差控制器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2.规格:AC24V,模拟量输入输出</w:t>
            </w: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管道静压差传感器</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1.名称:管道静压差传感器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0-1000Pa</w:t>
            </w: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变频控制箱</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1.名称:变频控制箱及控制元器件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2.规格:正泰元器件，室外型，变频控制箱，变频调节风机</w:t>
            </w: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控制线</w:t>
            </w:r>
          </w:p>
        </w:tc>
        <w:tc>
          <w:tcPr>
            <w:tcW w:w="156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1.名称:控制线</w:t>
            </w: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630.00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配管</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1.名称:镀锌线管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DN20mm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530.00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配管</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1.名称:镀锌线管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DN50mm</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50.00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295"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桥架</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1.名称:桥架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200*100*1.0</w:t>
            </w:r>
            <w:r>
              <w:rPr>
                <w:rFonts w:hint="eastAsia" w:ascii="宋体" w:hAnsi="宋体" w:cs="宋体"/>
                <w:i w:val="0"/>
                <w:color w:val="auto"/>
                <w:kern w:val="0"/>
                <w:sz w:val="21"/>
                <w:szCs w:val="21"/>
                <w:highlight w:val="none"/>
                <w:u w:val="none"/>
                <w:lang w:val="en-US" w:eastAsia="zh-CN" w:bidi="ar"/>
              </w:rPr>
              <w:t>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3.材质:钢制</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68.00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风机配电箱</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1.名称:配电箱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2.型号:30-40位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3.安装方式:悬挂嵌入式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4.软启动</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水泵控制箱</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1.名称:水泵控制箱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2.规格：与风机联动控制</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电力电缆</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1.名称:电力电缆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2.配线形式:动力线路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3.型号:ZR-YJY</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5*4</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5.材质:铜芯</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260.00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电力电缆</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1.名称:电力电缆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2.配线形式:动力线路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3.型号:ZR-YJY</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5*6</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5.材质:铜芯</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电力电缆</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1.名称:电力电缆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2.配线形式:动力线路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3.型号:ZR-YJY</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4.规格:</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5*16</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5.材质:铜芯</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50.00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面板开关</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1.名称：面板开关</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18.00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系统调试费</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1.名称:系统调试费</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8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二、其他</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原有管道及风机拆除</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1.名称：原有风管及风机拆除</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墙面修复</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1.名称：墙面修复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2.尺寸：</w:t>
            </w:r>
            <w:r>
              <w:rPr>
                <w:rFonts w:hint="eastAsia" w:ascii="宋体" w:hAnsi="宋体" w:cs="宋体"/>
                <w:i w:val="0"/>
                <w:color w:val="auto"/>
                <w:kern w:val="0"/>
                <w:sz w:val="21"/>
                <w:szCs w:val="21"/>
                <w:highlight w:val="none"/>
                <w:u w:val="none"/>
                <w:lang w:val="en-US" w:eastAsia="zh-CN" w:bidi="ar"/>
              </w:rPr>
              <w:t>约</w:t>
            </w:r>
            <w:r>
              <w:rPr>
                <w:rFonts w:hint="eastAsia" w:ascii="宋体" w:hAnsi="宋体" w:eastAsia="宋体" w:cs="宋体"/>
                <w:i w:val="0"/>
                <w:color w:val="auto"/>
                <w:kern w:val="0"/>
                <w:sz w:val="21"/>
                <w:szCs w:val="21"/>
                <w:highlight w:val="none"/>
                <w:u w:val="none"/>
                <w:lang w:val="en-US" w:eastAsia="zh-CN" w:bidi="ar"/>
              </w:rPr>
              <w:t>φ250</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风管封堵</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五金配件</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高空作业费</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1.名称：高空作业费</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2.从2楼外立面安装风管至6楼楼顶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3.搭钢架排栅，宽6000以内，从一楼至六楼</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风机、喷淋塔吊装费用</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现场管理及二次搬运</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垃圾清运</w:t>
            </w:r>
          </w:p>
        </w:tc>
        <w:tc>
          <w:tcPr>
            <w:tcW w:w="1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br w:type="page"/>
      </w:r>
    </w:p>
    <w:p>
      <w:pPr>
        <w:tabs>
          <w:tab w:val="left" w:pos="840"/>
        </w:tabs>
        <w:spacing w:line="360" w:lineRule="auto"/>
        <w:outlineLvl w:val="1"/>
        <w:rPr>
          <w:rFonts w:hint="eastAsia" w:asciiTheme="minorEastAsia" w:hAnsiTheme="minorEastAsia" w:eastAsiaTheme="minorEastAsia" w:cstheme="minorEastAsia"/>
          <w:b/>
          <w:color w:val="auto"/>
          <w:sz w:val="21"/>
          <w:szCs w:val="21"/>
          <w:highlight w:val="none"/>
          <w:lang w:val="zh-CN" w:eastAsia="zh-CN"/>
        </w:rPr>
      </w:pPr>
      <w:r>
        <w:rPr>
          <w:rFonts w:hint="eastAsia" w:asciiTheme="minorEastAsia" w:hAnsiTheme="minorEastAsia" w:eastAsiaTheme="minorEastAsia" w:cstheme="minorEastAsia"/>
          <w:b/>
          <w:color w:val="auto"/>
          <w:sz w:val="21"/>
          <w:szCs w:val="21"/>
          <w:highlight w:val="none"/>
          <w:lang w:val="zh-CN"/>
        </w:rPr>
        <w:t>八、</w:t>
      </w:r>
      <w:r>
        <w:rPr>
          <w:rFonts w:hint="eastAsia" w:asciiTheme="minorEastAsia" w:hAnsiTheme="minorEastAsia" w:eastAsiaTheme="minorEastAsia" w:cstheme="minorEastAsia"/>
          <w:b/>
          <w:color w:val="auto"/>
          <w:sz w:val="21"/>
          <w:szCs w:val="21"/>
          <w:highlight w:val="none"/>
          <w:lang w:val="zh-CN" w:eastAsia="zh-CN"/>
        </w:rPr>
        <w:t>图纸</w:t>
      </w:r>
    </w:p>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4" name="图片 4" descr="农科院-通风方案设计-20201207B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农科院-通风方案设计-20201207B_页面_1"/>
                    <pic:cNvPicPr>
                      <a:picLocks noChangeAspect="1"/>
                    </pic:cNvPicPr>
                  </pic:nvPicPr>
                  <pic:blipFill>
                    <a:blip r:embed="rId16"/>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5" name="图片 5" descr="农科院-通风方案设计-20201207B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农科院-通风方案设计-20201207B_页面_2"/>
                    <pic:cNvPicPr>
                      <a:picLocks noChangeAspect="1"/>
                    </pic:cNvPicPr>
                  </pic:nvPicPr>
                  <pic:blipFill>
                    <a:blip r:embed="rId17"/>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6" name="图片 6" descr="农科院-通风方案设计-20201207B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农科院-通风方案设计-20201207B_页面_3"/>
                    <pic:cNvPicPr>
                      <a:picLocks noChangeAspect="1"/>
                    </pic:cNvPicPr>
                  </pic:nvPicPr>
                  <pic:blipFill>
                    <a:blip r:embed="rId18"/>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13" name="图片 13" descr="农科院-通风方案设计-20201207B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农科院-通风方案设计-20201207B_页面_4"/>
                    <pic:cNvPicPr>
                      <a:picLocks noChangeAspect="1"/>
                    </pic:cNvPicPr>
                  </pic:nvPicPr>
                  <pic:blipFill>
                    <a:blip r:embed="rId19"/>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14" name="图片 14" descr="农科院-通风方案设计-20201207B_页面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农科院-通风方案设计-20201207B_页面_5"/>
                    <pic:cNvPicPr>
                      <a:picLocks noChangeAspect="1"/>
                    </pic:cNvPicPr>
                  </pic:nvPicPr>
                  <pic:blipFill>
                    <a:blip r:embed="rId20"/>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15" name="图片 15" descr="农科院-通风方案设计-20201207B_页面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农科院-通风方案设计-20201207B_页面_6"/>
                    <pic:cNvPicPr>
                      <a:picLocks noChangeAspect="1"/>
                    </pic:cNvPicPr>
                  </pic:nvPicPr>
                  <pic:blipFill>
                    <a:blip r:embed="rId21"/>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16" name="图片 16" descr="农科院-通风方案设计-20201207B_页面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农科院-通风方案设计-20201207B_页面_7"/>
                    <pic:cNvPicPr>
                      <a:picLocks noChangeAspect="1"/>
                    </pic:cNvPicPr>
                  </pic:nvPicPr>
                  <pic:blipFill>
                    <a:blip r:embed="rId22"/>
                    <a:stretch>
                      <a:fillRect/>
                    </a:stretch>
                  </pic:blipFill>
                  <pic:spPr>
                    <a:xfrm>
                      <a:off x="0" y="0"/>
                      <a:ext cx="6078220" cy="4299585"/>
                    </a:xfrm>
                    <a:prstGeom prst="rect">
                      <a:avLst/>
                    </a:prstGeom>
                  </pic:spPr>
                </pic:pic>
              </a:graphicData>
            </a:graphic>
          </wp:inline>
        </w:drawing>
      </w:r>
      <w:r>
        <w:rPr>
          <w:rFonts w:hint="eastAsia" w:asciiTheme="minorEastAsia" w:hAnsiTheme="minorEastAsia" w:eastAsiaTheme="minorEastAsia" w:cstheme="minorEastAsia"/>
          <w:b/>
          <w:color w:val="auto"/>
          <w:sz w:val="21"/>
          <w:szCs w:val="21"/>
          <w:highlight w:val="none"/>
          <w:lang w:val="zh-CN"/>
        </w:rPr>
        <w:drawing>
          <wp:inline distT="0" distB="0" distL="114300" distR="114300">
            <wp:extent cx="6078220" cy="4299585"/>
            <wp:effectExtent l="0" t="0" r="17780" b="5715"/>
            <wp:docPr id="17" name="图片 17" descr="农科院-通风方案设计-20201207B_页面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农科院-通风方案设计-20201207B_页面_8"/>
                    <pic:cNvPicPr>
                      <a:picLocks noChangeAspect="1"/>
                    </pic:cNvPicPr>
                  </pic:nvPicPr>
                  <pic:blipFill>
                    <a:blip r:embed="rId23"/>
                    <a:stretch>
                      <a:fillRect/>
                    </a:stretch>
                  </pic:blipFill>
                  <pic:spPr>
                    <a:xfrm>
                      <a:off x="0" y="0"/>
                      <a:ext cx="6078220" cy="4299585"/>
                    </a:xfrm>
                    <a:prstGeom prst="rect">
                      <a:avLst/>
                    </a:prstGeom>
                  </pic:spPr>
                </pic:pic>
              </a:graphicData>
            </a:graphic>
          </wp:inline>
        </w:drawing>
      </w:r>
    </w:p>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br w:type="page"/>
      </w:r>
    </w:p>
    <w:p>
      <w:pPr>
        <w:tabs>
          <w:tab w:val="left" w:pos="840"/>
        </w:tabs>
        <w:spacing w:line="440" w:lineRule="exact"/>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九、其他</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1.本次报价包括以上清单中所有内容，报价人必须给出清单所有项目的综合单价（综合单价须有明细内容）和合价，若有缺项漏项，应视为均摊在其他费用中。</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3.各报价人必须给出产品的详细资料，包括技术标准、产品配置、尺寸等，以便采购人综合进行评定。</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4.报价人必须保证：报价所列内容使得整个工程在功能上的完整性，并正常运行，验收合格。</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5.成交人责任:成交人在施工过程中需要负责处理好与周边的关系及经济问题，发生任何纠纷以及产生所有费用均由成交人自行承担。</w:t>
      </w:r>
    </w:p>
    <w:p>
      <w:pPr>
        <w:tabs>
          <w:tab w:val="left" w:pos="840"/>
        </w:tabs>
        <w:spacing w:line="440" w:lineRule="exact"/>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eastAsia="zh-CN"/>
        </w:rPr>
        <w:t>十</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zh-CN"/>
        </w:rPr>
        <w:t>质量保修期及售后服务要求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1、免费质保期期限（自验收合格之日起计）：</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质量保修期</w:t>
      </w:r>
      <w:r>
        <w:rPr>
          <w:rFonts w:hint="eastAsia" w:asciiTheme="minorEastAsia" w:hAnsiTheme="minorEastAsia" w:eastAsiaTheme="minorEastAsia" w:cstheme="minorEastAsia"/>
          <w:color w:val="auto"/>
          <w:sz w:val="21"/>
          <w:szCs w:val="21"/>
          <w:highlight w:val="none"/>
        </w:rPr>
        <w:t>至少一</w:t>
      </w:r>
      <w:r>
        <w:rPr>
          <w:rFonts w:hint="eastAsia" w:asciiTheme="minorEastAsia" w:hAnsiTheme="minorEastAsia" w:eastAsiaTheme="minorEastAsia" w:cstheme="minorEastAsia"/>
          <w:color w:val="auto"/>
          <w:sz w:val="21"/>
          <w:szCs w:val="21"/>
          <w:highlight w:val="none"/>
          <w:lang w:val="zh-CN"/>
        </w:rPr>
        <w:t>年。</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若国家或生产厂家对本项目所涉及货物及其服务的质保期规定高于本项目要求的，应按照国家或生产厂家的规定执行。</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质量保修期内成交人对所供项目内容实行包修、包换、包维护保养</w:t>
      </w:r>
      <w:r>
        <w:rPr>
          <w:rFonts w:hint="eastAsia" w:asciiTheme="minorEastAsia" w:hAnsiTheme="minorEastAsia" w:eastAsiaTheme="minorEastAsia" w:cstheme="minorEastAsia"/>
          <w:color w:val="auto"/>
          <w:sz w:val="21"/>
          <w:szCs w:val="21"/>
          <w:highlight w:val="none"/>
        </w:rPr>
        <w:t>，结合具体工程要求</w:t>
      </w:r>
      <w:r>
        <w:rPr>
          <w:rFonts w:hint="eastAsia" w:asciiTheme="minorEastAsia" w:hAnsiTheme="minorEastAsia" w:eastAsiaTheme="minorEastAsia" w:cstheme="minorEastAsia"/>
          <w:color w:val="auto"/>
          <w:sz w:val="21"/>
          <w:szCs w:val="21"/>
          <w:highlight w:val="none"/>
          <w:lang w:val="zh-CN"/>
        </w:rPr>
        <w:t>。免费质保期所涉及服务的一切费用均包含在投标报价中。</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报价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服务响应时间：报价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4、报价人应在广东省内有专业的售后服务机构和人员，并提供售后服务机构相关信息、联系电话及联系人。</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5、配件：报价人承诺在质保期内免费提供有效的常用配件。</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6、培训：报价人承诺在合同签订后，组织采购人相关管理人员进行产品使用和日常保养的知识培训，培训费用由报价人承担。</w:t>
      </w:r>
    </w:p>
    <w:p>
      <w:pPr>
        <w:tabs>
          <w:tab w:val="left" w:pos="840"/>
        </w:tabs>
        <w:spacing w:line="440" w:lineRule="exac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十一</w:t>
      </w:r>
      <w:r>
        <w:rPr>
          <w:rFonts w:hint="eastAsia" w:asciiTheme="minorEastAsia" w:hAnsiTheme="minorEastAsia" w:eastAsiaTheme="minorEastAsia" w:cstheme="minorEastAsia"/>
          <w:b/>
          <w:color w:val="auto"/>
          <w:sz w:val="21"/>
          <w:szCs w:val="21"/>
          <w:highlight w:val="none"/>
          <w:lang w:val="zh-CN"/>
        </w:rPr>
        <w:t>、支付方式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1.支付方式：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采购人按下述进度以转账方式支付相应款项。</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2.支付进度：</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（一）付款采用 分期付款方式；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（二）具体付款方式：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（1）合同签订生效后，采购人支付成交人合同金额30%预付款；</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（2）所有货物到达安装现场并经采购人确认后，采购人按合同金额向成交人支付至</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0%的款项；</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（3）项目完成并经采购人及上级主管部门验收合格等手续，采购人自收到发票后30日内将资金支付到成交人账户，支付至结算金额的</w:t>
      </w:r>
      <w:r>
        <w:rPr>
          <w:rFonts w:hint="eastAsia" w:asciiTheme="minorEastAsia" w:hAnsiTheme="minorEastAsia" w:eastAsiaTheme="minorEastAsia" w:cstheme="minorEastAsia"/>
          <w:color w:val="auto"/>
          <w:sz w:val="21"/>
          <w:szCs w:val="21"/>
          <w:highlight w:val="none"/>
          <w:lang w:val="en-US" w:eastAsia="zh-CN"/>
        </w:rPr>
        <w:t>97</w:t>
      </w:r>
      <w:r>
        <w:rPr>
          <w:rFonts w:hint="eastAsia" w:asciiTheme="minorEastAsia" w:hAnsiTheme="minorEastAsia" w:eastAsiaTheme="minorEastAsia" w:cstheme="minorEastAsia"/>
          <w:color w:val="auto"/>
          <w:sz w:val="21"/>
          <w:szCs w:val="21"/>
          <w:highlight w:val="none"/>
        </w:rPr>
        <w:t>%，余下</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%作为本项目质保金，质保期到期后无责免息支付给成交人。若成交人在质量保证期内未完全履行缺陷保修义务的，采购人有权扣除质量保证金，并保留进一步索赔的权利。</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（三）成交人向采购人申请支付货款时需提供：</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（2）成交人开具正式全额发票；</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（3）验收调试报告加盖采购人公章；</w:t>
      </w:r>
    </w:p>
    <w:p>
      <w:pPr>
        <w:spacing w:line="440" w:lineRule="exact"/>
        <w:ind w:firstLine="420" w:firstLineChars="200"/>
        <w:rPr>
          <w:color w:val="auto"/>
          <w:sz w:val="44"/>
          <w:highlight w:val="none"/>
        </w:rPr>
      </w:pPr>
      <w:r>
        <w:rPr>
          <w:rFonts w:hint="eastAsia" w:asciiTheme="minorEastAsia" w:hAnsiTheme="minorEastAsia" w:eastAsiaTheme="minorEastAsia" w:cstheme="minorEastAsia"/>
          <w:color w:val="auto"/>
          <w:sz w:val="21"/>
          <w:szCs w:val="21"/>
          <w:highlight w:val="none"/>
        </w:rPr>
        <w:t>（4）中标（成交）通知书。</w:t>
      </w:r>
      <w:bookmarkEnd w:id="275"/>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bookmarkStart w:id="280" w:name="_Toc303110406"/>
      <w:bookmarkStart w:id="281" w:name="_Toc293341641"/>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szCs w:val="21"/>
          <w:highlight w:val="none"/>
        </w:rPr>
        <w:t>注：本合同条款仅供参考，甲乙双方可根据实际情况进行补充，但不得对采购文件作实质性修改。</w:t>
      </w:r>
    </w:p>
    <w:p>
      <w:pPr>
        <w:jc w:val="center"/>
        <w:rPr>
          <w:rFonts w:asciiTheme="minorEastAsia" w:hAnsiTheme="minorEastAsia" w:eastAsiaTheme="minorEastAsia" w:cstheme="minorEastAsia"/>
          <w:b/>
          <w:color w:val="auto"/>
          <w:sz w:val="52"/>
          <w:szCs w:val="52"/>
          <w:highlight w:val="none"/>
        </w:rPr>
      </w:pPr>
    </w:p>
    <w:p>
      <w:pPr>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asciiTheme="minorEastAsia" w:hAnsiTheme="minorEastAsia" w:eastAsiaTheme="minorEastAsia" w:cstheme="minorEastAsia"/>
          <w:color w:val="auto"/>
          <w:sz w:val="28"/>
          <w:highlight w:val="none"/>
        </w:rPr>
      </w:pPr>
    </w:p>
    <w:p>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甲  方：</w:t>
      </w:r>
    </w:p>
    <w:p>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乙  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根据《中华人民共和国采购法》、《中华人民共和国合同法》及年月日竞争性磋商文件（招标编号：，采购代理机构： ）、</w:t>
      </w:r>
      <w:r>
        <w:rPr>
          <w:rFonts w:hint="eastAsia" w:asciiTheme="minorEastAsia" w:hAnsiTheme="minorEastAsia" w:eastAsiaTheme="minorEastAsia" w:cstheme="minorEastAsia"/>
          <w:color w:val="auto"/>
          <w:szCs w:val="21"/>
          <w:highlight w:val="none"/>
          <w:lang w:eastAsia="zh-CN"/>
        </w:rPr>
        <w:t>磋商响应文件</w:t>
      </w:r>
      <w:r>
        <w:rPr>
          <w:rFonts w:hint="eastAsia" w:asciiTheme="minorEastAsia" w:hAnsiTheme="minorEastAsia" w:eastAsiaTheme="minorEastAsia" w:cstheme="minorEastAsia"/>
          <w:color w:val="auto"/>
          <w:szCs w:val="21"/>
          <w:highlight w:val="none"/>
        </w:rPr>
        <w:t>的要求，经双方协商一致，签订本合同。具体条款如下：</w:t>
      </w:r>
    </w:p>
    <w:p>
      <w:pPr>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合同设备</w:t>
      </w:r>
    </w:p>
    <w:p>
      <w:pPr>
        <w:ind w:firstLine="48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乙方负责向甲方提供下表中所列采购项目和相关的安装调试服务。</w:t>
      </w:r>
    </w:p>
    <w:p>
      <w:pPr>
        <w:ind w:left="840"/>
        <w:rPr>
          <w:rFonts w:asciiTheme="minorEastAsia" w:hAnsiTheme="minorEastAsia" w:eastAsiaTheme="minorEastAsia" w:cstheme="minorEastAsia"/>
          <w:color w:val="auto"/>
          <w:highlight w:val="none"/>
        </w:rPr>
      </w:pPr>
    </w:p>
    <w:tbl>
      <w:tblPr>
        <w:tblStyle w:val="90"/>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ind w:left="-2" w:firstLine="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bl>
    <w:p>
      <w:pPr>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 2. 合同总价</w:t>
      </w:r>
    </w:p>
    <w:p>
      <w:pPr>
        <w:spacing w:line="360" w:lineRule="auto"/>
        <w:ind w:left="315" w:left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总价为：（大写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 ，即RMB￥</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元，</w:t>
      </w:r>
      <w:r>
        <w:rPr>
          <w:rFonts w:hint="eastAsia" w:ascii="宋体" w:hAnsi="宋体" w:cs="宋体"/>
          <w:color w:val="auto"/>
          <w:szCs w:val="21"/>
          <w:highlight w:val="none"/>
        </w:rPr>
        <w:t>本项目是交钥匙工程，</w:t>
      </w:r>
      <w:r>
        <w:rPr>
          <w:rFonts w:hint="eastAsia" w:asciiTheme="minorEastAsia" w:hAnsiTheme="minorEastAsia" w:eastAsiaTheme="minorEastAsia" w:cstheme="minorEastAsia"/>
          <w:color w:val="auto"/>
          <w:highlight w:val="none"/>
        </w:rPr>
        <w:t>该合同总金额</w:t>
      </w:r>
      <w:r>
        <w:rPr>
          <w:rFonts w:hint="eastAsia" w:ascii="宋体" w:hAnsi="宋体" w:cs="宋体"/>
          <w:color w:val="auto"/>
          <w:szCs w:val="21"/>
          <w:highlight w:val="none"/>
        </w:rPr>
        <w:t>包括设备采购及相关运输、设计、安装、调试、培训、售后等服务</w:t>
      </w:r>
      <w:r>
        <w:rPr>
          <w:rFonts w:hint="eastAsia" w:asciiTheme="minorEastAsia" w:hAnsiTheme="minorEastAsia" w:eastAsiaTheme="minorEastAsia" w:cstheme="minorEastAsia"/>
          <w:color w:val="auto"/>
          <w:highlight w:val="none"/>
        </w:rPr>
        <w:t>。本合同执行期间合同总金额不变。</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3．2.2.1合同签订生效后，甲方支付乙方合同金额30%预付款</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3.2.2.2</w:t>
      </w:r>
      <w:r>
        <w:rPr>
          <w:rFonts w:hint="eastAsia" w:cs="Calibri"/>
          <w:color w:val="auto"/>
          <w:szCs w:val="21"/>
          <w:highlight w:val="none"/>
        </w:rPr>
        <w:t>所有货物到达安装现场</w:t>
      </w:r>
      <w:r>
        <w:rPr>
          <w:rFonts w:hint="eastAsia" w:ascii="宋体" w:hAnsi="宋体"/>
          <w:color w:val="auto"/>
          <w:szCs w:val="21"/>
          <w:highlight w:val="none"/>
        </w:rPr>
        <w:t>并经甲方确认后，甲方按合同金额向乙方支付至</w:t>
      </w:r>
      <w:r>
        <w:rPr>
          <w:rFonts w:hint="eastAsia" w:ascii="宋体" w:hAnsi="宋体"/>
          <w:color w:val="auto"/>
          <w:szCs w:val="21"/>
          <w:highlight w:val="none"/>
          <w:lang w:val="en-US" w:eastAsia="zh-CN"/>
        </w:rPr>
        <w:t>7</w:t>
      </w:r>
      <w:r>
        <w:rPr>
          <w:rFonts w:hint="eastAsia" w:ascii="宋体" w:hAnsi="宋体"/>
          <w:color w:val="auto"/>
          <w:szCs w:val="21"/>
          <w:highlight w:val="none"/>
        </w:rPr>
        <w:t>0%的款项；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3.2.2.3</w:t>
      </w:r>
      <w:r>
        <w:rPr>
          <w:rFonts w:hint="eastAsia" w:ascii="宋体" w:hAnsi="宋体" w:cs="宋体"/>
          <w:color w:val="auto"/>
          <w:szCs w:val="21"/>
          <w:highlight w:val="none"/>
        </w:rPr>
        <w:t>项目完成并经</w:t>
      </w:r>
      <w:r>
        <w:rPr>
          <w:rFonts w:hint="eastAsia" w:asciiTheme="minorEastAsia" w:hAnsiTheme="minorEastAsia" w:eastAsiaTheme="minorEastAsia" w:cstheme="minorEastAsia"/>
          <w:color w:val="auto"/>
          <w:szCs w:val="21"/>
          <w:highlight w:val="none"/>
        </w:rPr>
        <w:t>甲方及上级主管部门</w:t>
      </w:r>
      <w:r>
        <w:rPr>
          <w:rFonts w:hint="eastAsia" w:ascii="宋体" w:hAnsi="宋体" w:cs="宋体"/>
          <w:color w:val="auto"/>
          <w:szCs w:val="21"/>
          <w:highlight w:val="none"/>
        </w:rPr>
        <w:t>验收合格等手续，甲方自收到发票后30日内将资金支付到乙方账户，支付至结算金额的9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%，余下</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%作为本项目质保金，质保期到期后无责免息支付给乙方。若乙方在质量保证期内未完全履行缺陷保修义务的，甲方有权扣除质量保证金，并保留进一步索赔的权利。</w:t>
      </w:r>
    </w:p>
    <w:p>
      <w:pPr>
        <w:spacing w:line="360" w:lineRule="auto"/>
        <w:ind w:left="420" w:hanging="420" w:hangingChars="200"/>
        <w:rPr>
          <w:color w:val="auto"/>
          <w:highlight w:val="none"/>
        </w:rPr>
      </w:pPr>
      <w:r>
        <w:rPr>
          <w:rFonts w:hint="eastAsia" w:asciiTheme="minorEastAsia" w:hAnsiTheme="minorEastAsia" w:eastAsiaTheme="minorEastAsia" w:cstheme="minorEastAsia"/>
          <w:color w:val="auto"/>
          <w:szCs w:val="21"/>
          <w:highlight w:val="none"/>
        </w:rPr>
        <w:t>3.3乙方向甲方申请支付货款时需提供：（1）合同；（2）乙方开具正式全额发票；（3）验收调试报告加盖甲方公章；（4）中标（成交）通知书。</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spacing w:line="360" w:lineRule="auto"/>
        <w:ind w:left="420" w:left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w:t>
      </w:r>
      <w:r>
        <w:rPr>
          <w:rFonts w:hint="eastAsia" w:asciiTheme="minorEastAsia" w:hAnsiTheme="minorEastAsia" w:eastAsiaTheme="minorEastAsia" w:cstheme="minorEastAsia"/>
          <w:color w:val="auto"/>
          <w:highlight w:val="none"/>
          <w:lang w:eastAsia="zh-CN"/>
        </w:rPr>
        <w:t>磋商响应文件</w:t>
      </w:r>
      <w:r>
        <w:rPr>
          <w:rFonts w:hint="eastAsia" w:asciiTheme="minorEastAsia" w:hAnsiTheme="minorEastAsia" w:eastAsiaTheme="minorEastAsia" w:cstheme="minorEastAsia"/>
          <w:color w:val="auto"/>
          <w:highlight w:val="none"/>
        </w:rPr>
        <w:t>、会议纪要、协议等均为本合同不可分割之一部分。</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spacing w:line="360" w:lineRule="auto"/>
        <w:ind w:left="315" w:left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spacing w:line="360" w:lineRule="auto"/>
        <w:ind w:left="630" w:leftChars="300" w:firstLine="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numPr>
          <w:ilvl w:val="0"/>
          <w:numId w:val="9"/>
        </w:numPr>
        <w:tabs>
          <w:tab w:val="left" w:pos="945"/>
          <w:tab w:val="clear" w:pos="1352"/>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乙方交付使用时间：成交人签订合同后起天内完成全部货物的安装、调试和验收。</w:t>
      </w:r>
    </w:p>
    <w:p>
      <w:pPr>
        <w:numPr>
          <w:ilvl w:val="0"/>
          <w:numId w:val="9"/>
        </w:numPr>
        <w:tabs>
          <w:tab w:val="left" w:pos="945"/>
          <w:tab w:val="clear" w:pos="1352"/>
        </w:tabs>
        <w:spacing w:line="360" w:lineRule="auto"/>
        <w:ind w:hanging="827"/>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numPr>
          <w:ilvl w:val="0"/>
          <w:numId w:val="10"/>
        </w:numPr>
        <w:tabs>
          <w:tab w:val="left" w:pos="945"/>
          <w:tab w:val="clear" w:pos="1215"/>
        </w:tabs>
        <w:spacing w:line="360" w:lineRule="auto"/>
        <w:ind w:hanging="69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numPr>
          <w:ilvl w:val="0"/>
          <w:numId w:val="10"/>
        </w:numPr>
        <w:tabs>
          <w:tab w:val="left" w:pos="945"/>
          <w:tab w:val="clear" w:pos="1215"/>
        </w:tabs>
        <w:spacing w:line="360" w:lineRule="auto"/>
        <w:ind w:hanging="69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numPr>
          <w:ilvl w:val="0"/>
          <w:numId w:val="11"/>
        </w:numPr>
        <w:tabs>
          <w:tab w:val="left" w:pos="945"/>
          <w:tab w:val="clear" w:pos="1215"/>
        </w:tabs>
        <w:spacing w:line="360" w:lineRule="auto"/>
        <w:ind w:left="945" w:right="-420" w:righ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numPr>
          <w:ilvl w:val="0"/>
          <w:numId w:val="11"/>
        </w:numPr>
        <w:tabs>
          <w:tab w:val="left" w:pos="945"/>
          <w:tab w:val="clear" w:pos="1215"/>
        </w:tabs>
        <w:spacing w:line="360" w:lineRule="auto"/>
        <w:ind w:left="945" w:right="-420" w:righ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11"/>
        </w:numPr>
        <w:tabs>
          <w:tab w:val="left" w:pos="945"/>
          <w:tab w:val="clear" w:pos="1215"/>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numPr>
          <w:ilvl w:val="0"/>
          <w:numId w:val="11"/>
        </w:numPr>
        <w:tabs>
          <w:tab w:val="left" w:pos="945"/>
          <w:tab w:val="clear" w:pos="1215"/>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numPr>
          <w:ilvl w:val="0"/>
          <w:numId w:val="11"/>
        </w:numPr>
        <w:tabs>
          <w:tab w:val="left" w:pos="945"/>
          <w:tab w:val="clear" w:pos="1215"/>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spacing w:line="360" w:lineRule="auto"/>
        <w:ind w:left="458" w:hanging="457" w:hangingChars="21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numPr>
          <w:ilvl w:val="0"/>
          <w:numId w:val="12"/>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乙方保证合同设备是全新、未曾使用过的，其质量、规格及技术特征符合合同附件的要求。保证备品配件在同机型设备停产后3年以上的供应。</w:t>
      </w:r>
    </w:p>
    <w:p>
      <w:pPr>
        <w:numPr>
          <w:ilvl w:val="0"/>
          <w:numId w:val="12"/>
        </w:numPr>
        <w:tabs>
          <w:tab w:val="left" w:pos="540"/>
          <w:tab w:val="left" w:pos="1320"/>
          <w:tab w:val="clear" w:pos="72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合同设备保质保用期为设备最终验收合格并经本项目有关部门验收签字之日起不少于12个月。</w:t>
      </w:r>
    </w:p>
    <w:p>
      <w:pPr>
        <w:numPr>
          <w:ilvl w:val="0"/>
          <w:numId w:val="12"/>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保质保用期内出现产品质量及安装问题，由乙方负责包修、包换或包退，并承担因此而产生的一切费用。乙方应在收到甲方通知后24小时内派员到现场免费维修(技术要求另有规定除外)。</w:t>
      </w:r>
    </w:p>
    <w:p>
      <w:pPr>
        <w:numPr>
          <w:ilvl w:val="0"/>
          <w:numId w:val="12"/>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因设备的质量问题而发生争议，由广东省或广州市质检部门进行质量鉴定。设备符合质量标准的，鉴定费用由甲方承担；设备不符合质量标准的，鉴定费用由乙方承担。</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numPr>
          <w:ilvl w:val="0"/>
          <w:numId w:val="13"/>
        </w:numPr>
        <w:tabs>
          <w:tab w:val="left" w:pos="540"/>
          <w:tab w:val="clear" w:pos="72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乙方应派员到甲方指定地点配合工作。</w:t>
      </w:r>
    </w:p>
    <w:p>
      <w:pPr>
        <w:numPr>
          <w:ilvl w:val="0"/>
          <w:numId w:val="13"/>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乙方按甲方提供的合同执行进度计划，再配合甲方及有关单位，以此做好合同执行进度上的配合工作。</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spacing w:line="360" w:lineRule="auto"/>
        <w:ind w:right="-420" w:righ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spacing w:line="360" w:lineRule="auto"/>
        <w:ind w:left="420" w:right="-200" w:hanging="420" w:hanging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spacing w:line="360" w:lineRule="auto"/>
        <w:ind w:left="444" w:leftChars="-57" w:hanging="564" w:hangingChars="269"/>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spacing w:line="360" w:lineRule="auto"/>
        <w:ind w:left="549" w:leftChars="-57" w:hanging="669" w:hangingChars="319"/>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numPr>
          <w:ilvl w:val="0"/>
          <w:numId w:val="14"/>
        </w:numPr>
        <w:tabs>
          <w:tab w:val="clear" w:pos="1215"/>
        </w:tabs>
        <w:spacing w:line="360" w:lineRule="auto"/>
        <w:ind w:left="840" w:hanging="31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numPr>
          <w:ilvl w:val="0"/>
          <w:numId w:val="14"/>
        </w:numPr>
        <w:tabs>
          <w:tab w:val="clear" w:pos="1215"/>
        </w:tabs>
        <w:spacing w:line="360" w:lineRule="auto"/>
        <w:ind w:left="840" w:hanging="31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numPr>
          <w:ilvl w:val="0"/>
          <w:numId w:val="14"/>
        </w:numPr>
        <w:tabs>
          <w:tab w:val="clear" w:pos="1215"/>
        </w:tabs>
        <w:spacing w:line="360" w:lineRule="auto"/>
        <w:ind w:left="840" w:hanging="31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spacing w:line="360" w:lineRule="auto"/>
        <w:ind w:left="645" w:leftChars="-57" w:hanging="765" w:hangingChars="31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color w:val="auto"/>
          <w:szCs w:val="21"/>
          <w:highlight w:val="none"/>
        </w:rPr>
        <w:t xml:space="preserve">  甲方应依合同规定时间内，向乙方支付货款，每拖延一天乙方可向甲方加收合同金额的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549" w:leftChars="-57" w:hanging="669" w:hangingChars="31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w:t>
      </w:r>
      <w:r>
        <w:rPr>
          <w:rFonts w:hint="eastAsia" w:asciiTheme="minorEastAsia" w:hAnsiTheme="minorEastAsia" w:eastAsiaTheme="minorEastAsia" w:cstheme="minorEastAsia"/>
          <w:color w:val="auto"/>
          <w:szCs w:val="21"/>
          <w:highlight w:val="none"/>
          <w:shd w:val="clear" w:color="auto" w:fill="FFFFFF"/>
        </w:rPr>
        <w:t>7.5%</w:t>
      </w:r>
      <w:r>
        <w:rPr>
          <w:rFonts w:hint="eastAsia" w:asciiTheme="minorEastAsia" w:hAnsiTheme="minorEastAsia" w:eastAsiaTheme="minorEastAsia" w:cstheme="minorEastAsia"/>
          <w:color w:val="auto"/>
          <w:szCs w:val="21"/>
          <w:highlight w:val="none"/>
        </w:rPr>
        <w:t>的违约金。</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spacing w:line="360" w:lineRule="auto"/>
        <w:ind w:left="525" w:leftChars="250" w:firstLine="12" w:firstLineChars="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spacing w:line="360" w:lineRule="auto"/>
        <w:ind w:left="630" w:left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spacing w:line="360" w:lineRule="auto"/>
        <w:ind w:left="600" w:hanging="600" w:hanging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14</w:t>
      </w:r>
      <w:r>
        <w:rPr>
          <w:rFonts w:hint="eastAsia" w:asciiTheme="minorEastAsia" w:hAnsiTheme="minorEastAsia" w:eastAsiaTheme="minorEastAsia" w:cstheme="minorEastAsia"/>
          <w:color w:val="auto"/>
          <w:szCs w:val="21"/>
          <w:highlight w:val="none"/>
        </w:rPr>
        <w:t>.1 本合同正本四份，具有同等法律效力，甲、乙双方各执一份，省教育装备中心一份，采购代理机构一份。合同自签字之日起即时生效。</w:t>
      </w:r>
    </w:p>
    <w:p>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numPr>
          <w:ilvl w:val="0"/>
          <w:numId w:val="15"/>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成交人提交的投标函和投标一览表；</w:t>
      </w:r>
    </w:p>
    <w:p>
      <w:pPr>
        <w:numPr>
          <w:ilvl w:val="0"/>
          <w:numId w:val="15"/>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numPr>
          <w:ilvl w:val="0"/>
          <w:numId w:val="15"/>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numPr>
          <w:ilvl w:val="0"/>
          <w:numId w:val="15"/>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其他相关</w:t>
      </w:r>
      <w:r>
        <w:rPr>
          <w:rFonts w:hint="eastAsia" w:asciiTheme="minorEastAsia" w:hAnsiTheme="minorEastAsia" w:eastAsiaTheme="minorEastAsia" w:cstheme="minorEastAsia"/>
          <w:color w:val="auto"/>
          <w:szCs w:val="21"/>
          <w:highlight w:val="none"/>
          <w:lang w:eastAsia="zh-CN"/>
        </w:rPr>
        <w:t>磋商响应文件</w:t>
      </w: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spacing w:line="360" w:lineRule="auto"/>
        <w:ind w:left="718" w:leftChars="342"/>
        <w:rPr>
          <w:rFonts w:hint="eastAsia" w:asciiTheme="minorEastAsia" w:hAnsiTheme="minorEastAsia" w:eastAsiaTheme="minorEastAsia" w:cstheme="minorEastAsia"/>
          <w:color w:val="auto"/>
          <w:szCs w:val="21"/>
          <w:highlight w:val="none"/>
        </w:rPr>
      </w:pPr>
    </w:p>
    <w:p>
      <w:pPr>
        <w:spacing w:line="360" w:lineRule="auto"/>
        <w:ind w:left="718" w:leftChars="342"/>
        <w:rPr>
          <w:rFonts w:hint="eastAsia" w:asciiTheme="minorEastAsia" w:hAnsiTheme="minorEastAsia" w:eastAsiaTheme="minorEastAsia" w:cstheme="minorEastAsia"/>
          <w:color w:val="auto"/>
          <w:szCs w:val="21"/>
          <w:highlight w:val="none"/>
        </w:rPr>
      </w:pPr>
    </w:p>
    <w:p>
      <w:pPr>
        <w:pStyle w:val="97"/>
        <w:rPr>
          <w:rFonts w:hint="eastAsia"/>
          <w:color w:val="auto"/>
          <w:highlight w:val="none"/>
        </w:rPr>
      </w:pPr>
    </w:p>
    <w:p>
      <w:pPr>
        <w:spacing w:line="360" w:lineRule="auto"/>
        <w:ind w:left="718" w:leftChars="34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spacing w:line="360" w:lineRule="auto"/>
        <w:ind w:left="718" w:leftChars="342"/>
        <w:rPr>
          <w:rFonts w:hint="eastAsia" w:asciiTheme="minorEastAsia" w:hAnsiTheme="minorEastAsia" w:eastAsiaTheme="minorEastAsia" w:cstheme="minorEastAsia"/>
          <w:color w:val="auto"/>
          <w:szCs w:val="21"/>
          <w:highlight w:val="none"/>
        </w:rPr>
      </w:pPr>
    </w:p>
    <w:p>
      <w:pPr>
        <w:spacing w:line="360" w:lineRule="auto"/>
        <w:ind w:left="718" w:leftChars="34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spacing w:line="360" w:lineRule="auto"/>
        <w:ind w:left="718" w:leftChars="342"/>
        <w:rPr>
          <w:rFonts w:hint="eastAsia" w:asciiTheme="minorEastAsia" w:hAnsiTheme="minorEastAsia" w:eastAsiaTheme="minorEastAsia" w:cstheme="minorEastAsia"/>
          <w:color w:val="auto"/>
          <w:szCs w:val="21"/>
          <w:highlight w:val="none"/>
        </w:rPr>
      </w:pPr>
    </w:p>
    <w:p>
      <w:pPr>
        <w:spacing w:line="360" w:lineRule="auto"/>
        <w:ind w:left="718" w:leftChars="34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spacing w:line="360" w:lineRule="auto"/>
        <w:ind w:left="718" w:leftChars="342"/>
        <w:rPr>
          <w:rFonts w:hint="eastAsia" w:asciiTheme="minorEastAsia" w:hAnsiTheme="minorEastAsia" w:eastAsiaTheme="minorEastAsia" w:cstheme="minorEastAsia"/>
          <w:color w:val="auto"/>
          <w:szCs w:val="21"/>
          <w:highlight w:val="none"/>
        </w:rPr>
      </w:pPr>
    </w:p>
    <w:p>
      <w:pPr>
        <w:spacing w:line="360" w:lineRule="auto"/>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日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0"/>
    <w:bookmarkEnd w:id="281"/>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hAnsi="宋体" w:cs="宋体"/>
          <w:color w:val="auto"/>
          <w:kern w:val="0"/>
          <w:szCs w:val="21"/>
          <w:highlight w:val="none"/>
        </w:rPr>
      </w:pPr>
    </w:p>
    <w:p>
      <w:pPr>
        <w:pStyle w:val="47"/>
        <w:rPr>
          <w:rFonts w:hAnsi="宋体"/>
          <w:color w:val="auto"/>
          <w:szCs w:val="21"/>
          <w:highlight w:val="none"/>
        </w:rPr>
      </w:pPr>
    </w:p>
    <w:p>
      <w:pPr>
        <w:pStyle w:val="47"/>
        <w:rPr>
          <w:rFonts w:hAnsi="宋体"/>
          <w:color w:val="auto"/>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2" w:name="OLE_LINK4"/>
    </w:p>
    <w:p>
      <w:pPr>
        <w:pStyle w:val="4"/>
        <w:autoSpaceDE w:val="0"/>
        <w:rPr>
          <w:b w:val="0"/>
          <w:bCs w:val="0"/>
          <w:color w:val="auto"/>
          <w:sz w:val="44"/>
          <w:highlight w:val="none"/>
        </w:rPr>
      </w:pPr>
      <w:bookmarkStart w:id="283" w:name="_Toc475104528"/>
      <w:r>
        <w:rPr>
          <w:rFonts w:hint="eastAsia"/>
          <w:color w:val="auto"/>
          <w:sz w:val="44"/>
          <w:highlight w:val="none"/>
        </w:rPr>
        <w:t>第五章 评分体系与标准</w:t>
      </w:r>
      <w:bookmarkEnd w:id="283"/>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6"/>
        </w:numPr>
        <w:autoSpaceDE w:val="0"/>
        <w:autoSpaceDN w:val="0"/>
        <w:adjustRightInd w:val="0"/>
        <w:snapToGrid w:val="0"/>
        <w:spacing w:line="360" w:lineRule="auto"/>
        <w:outlineLvl w:val="0"/>
        <w:rPr>
          <w:rFonts w:ascii="宋体" w:hAnsi="宋体"/>
          <w:bCs/>
          <w:color w:val="auto"/>
          <w:szCs w:val="21"/>
          <w:highlight w:val="none"/>
        </w:rPr>
      </w:pPr>
      <w:bookmarkStart w:id="284" w:name="_Toc475104529"/>
      <w:bookmarkStart w:id="285" w:name="_Toc42394669"/>
      <w:bookmarkStart w:id="286" w:name="_Toc101843128"/>
      <w:bookmarkStart w:id="287" w:name="_Toc98579007"/>
      <w:bookmarkStart w:id="288" w:name="_Toc50276153"/>
      <w:bookmarkStart w:id="289" w:name="_Toc98580289"/>
      <w:bookmarkStart w:id="290" w:name="_Toc101771375"/>
      <w:bookmarkStart w:id="291" w:name="_Toc98579065"/>
      <w:bookmarkStart w:id="292" w:name="_Toc98579606"/>
      <w:bookmarkStart w:id="293" w:name="_Toc264203535"/>
      <w:bookmarkStart w:id="294" w:name="_Toc101951266"/>
      <w:bookmarkStart w:id="295" w:name="_Toc42394513"/>
      <w:bookmarkStart w:id="296" w:name="_Toc101775128"/>
      <w:bookmarkStart w:id="297" w:name="_Toc41884701"/>
      <w:bookmarkStart w:id="298" w:name="_Toc41723931"/>
      <w:bookmarkStart w:id="299" w:name="_Toc42313167"/>
      <w:bookmarkStart w:id="300" w:name="_Toc102211724"/>
      <w:bookmarkStart w:id="301" w:name="_Toc124646434"/>
      <w:bookmarkStart w:id="302" w:name="_Toc150050902"/>
      <w:bookmarkStart w:id="303" w:name="_Toc28489533"/>
      <w:bookmarkStart w:id="304" w:name="_Toc124401382"/>
      <w:bookmarkStart w:id="305" w:name="_Toc67911942"/>
      <w:bookmarkStart w:id="306" w:name="_Toc131922503"/>
      <w:bookmarkStart w:id="307" w:name="_Toc104902929"/>
      <w:bookmarkStart w:id="308" w:name="_Toc138506092"/>
      <w:bookmarkStart w:id="309" w:name="_Toc95304223"/>
      <w:bookmarkStart w:id="310" w:name="_Toc148420070"/>
      <w:bookmarkStart w:id="311" w:name="_Toc34535380"/>
      <w:bookmarkStart w:id="312" w:name="_Toc148060906"/>
      <w:bookmarkStart w:id="313" w:name="_Toc124570687"/>
      <w:bookmarkStart w:id="314" w:name="_Toc108243616"/>
      <w:bookmarkStart w:id="315" w:name="_Toc35834934"/>
      <w:bookmarkStart w:id="316" w:name="_Toc131904930"/>
      <w:bookmarkStart w:id="317" w:name="_Toc108001800"/>
      <w:bookmarkStart w:id="318" w:name="_Toc101553556"/>
      <w:bookmarkStart w:id="319" w:name="_Toc125770208"/>
      <w:bookmarkStart w:id="320" w:name="_Toc113277292"/>
      <w:bookmarkStart w:id="321" w:name="_Toc104874465"/>
      <w:bookmarkStart w:id="322" w:name="_Toc66722112"/>
      <w:bookmarkStart w:id="323" w:name="_Toc68620012"/>
      <w:bookmarkStart w:id="324" w:name="_Toc169334816"/>
      <w:bookmarkStart w:id="325" w:name="_Toc95249607"/>
      <w:bookmarkStart w:id="326" w:name="_Toc101553661"/>
      <w:bookmarkStart w:id="327" w:name="_Toc138568672"/>
      <w:bookmarkStart w:id="328" w:name="_Toc28142601"/>
      <w:r>
        <w:rPr>
          <w:rFonts w:hint="eastAsia" w:ascii="宋体" w:hAnsi="宋体"/>
          <w:bCs/>
          <w:color w:val="auto"/>
          <w:szCs w:val="21"/>
          <w:highlight w:val="none"/>
        </w:rPr>
        <w:t>本评审办法采用综合评分法。</w:t>
      </w:r>
      <w:bookmarkEnd w:id="284"/>
    </w:p>
    <w:p>
      <w:pPr>
        <w:numPr>
          <w:ilvl w:val="0"/>
          <w:numId w:val="16"/>
        </w:numPr>
        <w:autoSpaceDE w:val="0"/>
        <w:autoSpaceDN w:val="0"/>
        <w:adjustRightInd w:val="0"/>
        <w:snapToGrid w:val="0"/>
        <w:spacing w:line="360" w:lineRule="auto"/>
        <w:outlineLvl w:val="0"/>
        <w:rPr>
          <w:rFonts w:ascii="宋体" w:cs="宋体"/>
          <w:color w:val="auto"/>
          <w:highlight w:val="none"/>
        </w:rPr>
      </w:pPr>
      <w:bookmarkStart w:id="329" w:name="_Toc475104530"/>
      <w:bookmarkStart w:id="330"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设定的程序和规则推荐评审结果</w:t>
      </w:r>
      <w:r>
        <w:rPr>
          <w:rFonts w:hint="eastAsia" w:ascii="宋体" w:hAnsi="宋体" w:cs="宋体"/>
          <w:color w:val="auto"/>
          <w:szCs w:val="21"/>
          <w:highlight w:val="none"/>
        </w:rPr>
        <w:t>；</w:t>
      </w:r>
    </w:p>
    <w:p>
      <w:pPr>
        <w:numPr>
          <w:ilvl w:val="0"/>
          <w:numId w:val="16"/>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通过资格性和符合性检查的有效报价人方有资格提交最后报价及进行技术、商务及价格的详细评审，最后磋商小组出具竞争性磋商报告。</w:t>
      </w:r>
      <w:bookmarkEnd w:id="329"/>
    </w:p>
    <w:bookmarkEnd w:id="285"/>
    <w:bookmarkEnd w:id="286"/>
    <w:bookmarkEnd w:id="287"/>
    <w:bookmarkEnd w:id="288"/>
    <w:bookmarkEnd w:id="289"/>
    <w:bookmarkEnd w:id="290"/>
    <w:bookmarkEnd w:id="291"/>
    <w:bookmarkEnd w:id="292"/>
    <w:bookmarkEnd w:id="293"/>
    <w:bookmarkEnd w:id="294"/>
    <w:bookmarkEnd w:id="295"/>
    <w:bookmarkEnd w:id="296"/>
    <w:bookmarkEnd w:id="330"/>
    <w:p>
      <w:pPr>
        <w:numPr>
          <w:ilvl w:val="0"/>
          <w:numId w:val="16"/>
        </w:numPr>
        <w:autoSpaceDE w:val="0"/>
        <w:autoSpaceDN w:val="0"/>
        <w:adjustRightInd w:val="0"/>
        <w:snapToGrid w:val="0"/>
        <w:spacing w:line="360" w:lineRule="auto"/>
        <w:outlineLvl w:val="0"/>
        <w:rPr>
          <w:rFonts w:ascii="宋体" w:hAnsi="宋体"/>
          <w:bCs/>
          <w:color w:val="auto"/>
          <w:szCs w:val="21"/>
          <w:highlight w:val="none"/>
        </w:rPr>
      </w:pPr>
      <w:bookmarkStart w:id="331"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6"/>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1"/>
    </w:p>
    <w:tbl>
      <w:tblPr>
        <w:tblStyle w:val="90"/>
        <w:tblpPr w:leftFromText="180" w:rightFromText="180" w:vertAnchor="text" w:tblpXSpec="center" w:tblpY="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bookmarkStart w:id="332" w:name="_Toc333236678"/>
            <w:bookmarkStart w:id="333" w:name="_Toc475104533"/>
            <w:r>
              <w:rPr>
                <w:rFonts w:hint="eastAsia" w:ascii="宋体" w:hAnsi="宋体" w:eastAsia="宋体" w:cs="宋体"/>
                <w:i w:val="0"/>
                <w:color w:val="auto"/>
                <w:kern w:val="0"/>
                <w:sz w:val="21"/>
                <w:szCs w:val="21"/>
                <w:highlight w:val="none"/>
                <w:u w:val="none"/>
                <w:lang w:val="en-US" w:eastAsia="zh-CN" w:bidi="ar"/>
              </w:rPr>
              <w:t>评分项目</w:t>
            </w:r>
          </w:p>
        </w:tc>
        <w:tc>
          <w:tcPr>
            <w:tcW w:w="185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技术部分</w:t>
            </w:r>
          </w:p>
        </w:tc>
        <w:tc>
          <w:tcPr>
            <w:tcW w:w="185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商务部分</w:t>
            </w:r>
          </w:p>
        </w:tc>
        <w:tc>
          <w:tcPr>
            <w:tcW w:w="185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价格部分</w:t>
            </w:r>
          </w:p>
        </w:tc>
        <w:tc>
          <w:tcPr>
            <w:tcW w:w="185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权重</w:t>
            </w:r>
          </w:p>
        </w:tc>
        <w:tc>
          <w:tcPr>
            <w:tcW w:w="185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185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185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185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w:t>
            </w:r>
          </w:p>
        </w:tc>
      </w:tr>
    </w:tbl>
    <w:p>
      <w:pPr>
        <w:numPr>
          <w:ilvl w:val="1"/>
          <w:numId w:val="16"/>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2"/>
    <w:bookmarkEnd w:id="333"/>
    <w:p>
      <w:pPr>
        <w:numPr>
          <w:ilvl w:val="0"/>
          <w:numId w:val="16"/>
        </w:numPr>
        <w:autoSpaceDE w:val="0"/>
        <w:autoSpaceDN w:val="0"/>
        <w:adjustRightInd w:val="0"/>
        <w:snapToGrid w:val="0"/>
        <w:spacing w:line="360" w:lineRule="auto"/>
        <w:outlineLvl w:val="0"/>
        <w:rPr>
          <w:rFonts w:ascii="宋体" w:hAnsi="宋体"/>
          <w:color w:val="auto"/>
          <w:szCs w:val="21"/>
          <w:highlight w:val="none"/>
        </w:rPr>
      </w:pPr>
      <w:bookmarkStart w:id="334" w:name="_Toc475104534"/>
      <w:bookmarkStart w:id="335"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6"/>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6"/>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磋商小组各成员应当独立对每个有效响应的文件进行评价、打分，然后汇总每个报价人每项评分因素的得分。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297"/>
    <w:bookmarkEnd w:id="298"/>
    <w:bookmarkEnd w:id="299"/>
    <w:bookmarkEnd w:id="334"/>
    <w:bookmarkEnd w:id="335"/>
    <w:p>
      <w:pPr>
        <w:numPr>
          <w:ilvl w:val="0"/>
          <w:numId w:val="16"/>
        </w:numPr>
        <w:autoSpaceDE w:val="0"/>
        <w:autoSpaceDN w:val="0"/>
        <w:adjustRightInd w:val="0"/>
        <w:snapToGrid w:val="0"/>
        <w:spacing w:line="360" w:lineRule="auto"/>
        <w:outlineLvl w:val="0"/>
        <w:rPr>
          <w:rFonts w:ascii="宋体" w:hAnsi="宋体"/>
          <w:color w:val="auto"/>
          <w:szCs w:val="21"/>
          <w:highlight w:val="none"/>
        </w:rPr>
      </w:pPr>
      <w:bookmarkStart w:id="336" w:name="_Toc475104535"/>
      <w:bookmarkStart w:id="337" w:name="_Toc333236685"/>
      <w:r>
        <w:rPr>
          <w:rFonts w:hint="eastAsia" w:ascii="宋体" w:hAnsi="宋体"/>
          <w:color w:val="auto"/>
          <w:szCs w:val="21"/>
          <w:highlight w:val="none"/>
        </w:rPr>
        <w:t>价格评定</w:t>
      </w:r>
    </w:p>
    <w:p>
      <w:pPr>
        <w:numPr>
          <w:ilvl w:val="1"/>
          <w:numId w:val="16"/>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6"/>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价格评分：综合评分法中的价格分统一采用低价优先法计算，即满足磋商文件要求且最后报价最低的报价人的价格为磋商基准价，其价格分为满分。其他报价人的价格分统一按照下列公式计算：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，以报价人第二次报价作为基准，计算价格扣减作为报价人的价格评分，评标价只作为分值的计算，最终成交价格按照报价人第二次响应报价为准。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如报价人为非制造商，其代理产品的制造商也应同时提交《中小企业声明函》，否则评审时不能享受相应的价格扣除。</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报价人提供的《残疾人福利性单位声明函》与事实不符的，依照《政府采购法》第七十七条第一款的规定追究法律责任。</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报价人公章）。</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6"/>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1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6"/>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6"/>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6"/>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36"/>
      <w:bookmarkEnd w:id="337"/>
    </w:p>
    <w:p>
      <w:pPr>
        <w:spacing w:line="360" w:lineRule="auto"/>
        <w:ind w:firstLine="403" w:firstLineChars="192"/>
        <w:rPr>
          <w:rFonts w:ascii="宋体" w:hAnsi="宋体"/>
          <w:color w:val="auto"/>
          <w:kern w:val="0"/>
          <w:szCs w:val="21"/>
          <w:highlight w:val="none"/>
        </w:rPr>
      </w:pPr>
      <w:r>
        <w:rPr>
          <w:rFonts w:hint="eastAsia" w:ascii="宋体" w:hAnsi="宋体" w:cs="Times New Roman"/>
          <w:color w:val="auto"/>
          <w:kern w:val="0"/>
          <w:szCs w:val="21"/>
          <w:highlight w:val="none"/>
        </w:rPr>
        <w:t>本评标</w:t>
      </w:r>
      <w:r>
        <w:rPr>
          <w:rFonts w:hint="eastAsia" w:ascii="宋体" w:hAnsi="宋体"/>
          <w:color w:val="auto"/>
          <w:kern w:val="0"/>
          <w:szCs w:val="21"/>
          <w:highlight w:val="none"/>
        </w:rPr>
        <w:t>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38" w:name="_Toc475104536"/>
      <w:r>
        <w:rPr>
          <w:rFonts w:hint="eastAsia"/>
          <w:color w:val="auto"/>
          <w:sz w:val="24"/>
          <w:highlight w:val="none"/>
        </w:rPr>
        <w:t>资格性审查及符合性检查表</w:t>
      </w:r>
      <w:bookmarkEnd w:id="338"/>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3.报价人的所有评审项均填写“○”才被视为“通过”，其中一项为“×”则被视为不通过。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90"/>
        <w:tblW w:w="99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14"/>
        <w:gridCol w:w="6818"/>
        <w:gridCol w:w="6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blHeader/>
          <w:jc w:val="center"/>
        </w:trPr>
        <w:tc>
          <w:tcPr>
            <w:tcW w:w="679"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序号</w:t>
            </w:r>
          </w:p>
        </w:tc>
        <w:tc>
          <w:tcPr>
            <w:tcW w:w="1814"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评分项目</w:t>
            </w:r>
          </w:p>
        </w:tc>
        <w:tc>
          <w:tcPr>
            <w:tcW w:w="6818"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评分标准</w:t>
            </w:r>
          </w:p>
        </w:tc>
        <w:tc>
          <w:tcPr>
            <w:tcW w:w="656"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zh-CN" w:eastAsia="zh-CN" w:bidi="ar"/>
              </w:rPr>
            </w:pPr>
            <w:r>
              <w:rPr>
                <w:rFonts w:hint="eastAsia" w:ascii="宋体" w:hAnsi="宋体" w:eastAsia="宋体" w:cs="宋体"/>
                <w:i w:val="0"/>
                <w:color w:val="auto"/>
                <w:kern w:val="0"/>
                <w:sz w:val="21"/>
                <w:szCs w:val="21"/>
                <w:highlight w:val="none"/>
                <w:u w:val="none"/>
                <w:lang w:val="zh-CN" w:eastAsia="zh-CN" w:bidi="ar"/>
              </w:rPr>
              <w:t>对所投产品设备技术参数、性能指标、质量及特别带“▲”的响应情况和符合性</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技术指标响应情况：</w:t>
            </w:r>
            <w:r>
              <w:rPr>
                <w:rFonts w:hint="eastAsia" w:ascii="宋体" w:hAnsi="宋体" w:eastAsia="宋体" w:cs="宋体"/>
                <w:i w:val="0"/>
                <w:color w:val="auto"/>
                <w:kern w:val="0"/>
                <w:sz w:val="21"/>
                <w:szCs w:val="21"/>
                <w:highlight w:val="none"/>
                <w:u w:val="none"/>
                <w:lang w:val="en-US" w:eastAsia="zh-CN" w:bidi="ar"/>
              </w:rPr>
              <w:t>完全满足或优于</w:t>
            </w:r>
            <w:r>
              <w:rPr>
                <w:rFonts w:hint="eastAsia" w:ascii="宋体" w:hAnsi="宋体" w:cs="宋体"/>
                <w:i w:val="0"/>
                <w:color w:val="auto"/>
                <w:kern w:val="0"/>
                <w:sz w:val="21"/>
                <w:szCs w:val="21"/>
                <w:highlight w:val="none"/>
                <w:u w:val="none"/>
                <w:lang w:val="en-US" w:eastAsia="zh-CN" w:bidi="ar"/>
              </w:rPr>
              <w:t>竞争性磋商文件</w:t>
            </w:r>
            <w:r>
              <w:rPr>
                <w:rFonts w:hint="eastAsia" w:ascii="宋体" w:hAnsi="宋体" w:eastAsia="宋体" w:cs="宋体"/>
                <w:i w:val="0"/>
                <w:color w:val="auto"/>
                <w:kern w:val="0"/>
                <w:sz w:val="21"/>
                <w:szCs w:val="21"/>
                <w:highlight w:val="none"/>
                <w:u w:val="none"/>
                <w:lang w:val="en-US" w:eastAsia="zh-CN" w:bidi="ar"/>
              </w:rPr>
              <w:t>第三章采购人需求书第五点各层通风系统设计方案招标参数</w:t>
            </w:r>
            <w:r>
              <w:rPr>
                <w:rFonts w:hint="eastAsia" w:ascii="宋体" w:hAnsi="宋体" w:cs="宋体"/>
                <w:i w:val="0"/>
                <w:color w:val="auto"/>
                <w:kern w:val="0"/>
                <w:sz w:val="21"/>
                <w:szCs w:val="21"/>
                <w:highlight w:val="none"/>
                <w:u w:val="none"/>
                <w:lang w:val="en-US" w:eastAsia="zh-CN" w:bidi="ar"/>
              </w:rPr>
              <w:t>的</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15</w:t>
            </w:r>
            <w:r>
              <w:rPr>
                <w:rFonts w:hint="eastAsia" w:ascii="宋体" w:hAnsi="宋体" w:eastAsia="宋体" w:cs="宋体"/>
                <w:i w:val="0"/>
                <w:color w:val="auto"/>
                <w:kern w:val="0"/>
                <w:sz w:val="21"/>
                <w:szCs w:val="21"/>
                <w:highlight w:val="none"/>
                <w:u w:val="none"/>
                <w:lang w:val="en-US" w:eastAsia="zh-CN" w:bidi="ar"/>
              </w:rPr>
              <w:t>分，带“▲”所标内容为重要参数每负偏离一个条款扣3分；其他一般参数每负偏离一个条款扣2分；扣完为止。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zh-CN" w:eastAsia="zh-CN" w:bidi="ar"/>
              </w:rPr>
            </w:pPr>
            <w:r>
              <w:rPr>
                <w:rFonts w:hint="eastAsia" w:ascii="宋体" w:hAnsi="宋体" w:eastAsia="宋体" w:cs="宋体"/>
                <w:i w:val="0"/>
                <w:color w:val="auto"/>
                <w:kern w:val="0"/>
                <w:sz w:val="21"/>
                <w:szCs w:val="21"/>
                <w:highlight w:val="none"/>
                <w:u w:val="none"/>
                <w:lang w:val="zh-CN" w:eastAsia="zh-CN" w:bidi="ar"/>
              </w:rPr>
              <w:t>（注：产品设备技术参数，需提供证明材料，证明材料必须逐项对应招标文件的技术条款。否则不得分。）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安装方案、安装组织设计及保证措施</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1.有详细设备生产、安装、调试及验收等安装方案，方案全面完整，且具有很强的操作性和科学合理性。安装组织设计详尽、可靠、科学、实用，有切实可行的保证交货期的措施的，得15分；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2.有设备生产、安装、调试及验收等安装方案，方案基本完整，可操作性一般。安装组织设计一般，有基本的保证交货期的措施的，得10分；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3.有设备生产、安装、调试及验收等安装方案，方案不完整，可操作性不强。安装组织设计较差，基本不能的保证交货期的，得3分；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4.其他不得分。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合同履行期进度计划承诺</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GB" w:eastAsia="zh-CN" w:bidi="ar"/>
              </w:rPr>
              <w:t>本项目竞争性磋商文件规定的合同履行期限为</w:t>
            </w:r>
            <w:r>
              <w:rPr>
                <w:rFonts w:hint="eastAsia" w:ascii="宋体" w:hAnsi="宋体" w:eastAsia="宋体" w:cs="宋体"/>
                <w:i w:val="0"/>
                <w:color w:val="auto"/>
                <w:kern w:val="0"/>
                <w:sz w:val="21"/>
                <w:szCs w:val="21"/>
                <w:highlight w:val="none"/>
                <w:u w:val="none"/>
                <w:lang w:val="en-US" w:eastAsia="zh-CN" w:bidi="ar"/>
              </w:rPr>
              <w:t>40日历天</w:t>
            </w:r>
            <w:r>
              <w:rPr>
                <w:rFonts w:hint="eastAsia" w:ascii="宋体" w:hAnsi="宋体" w:eastAsia="宋体" w:cs="宋体"/>
                <w:i w:val="0"/>
                <w:color w:val="auto"/>
                <w:kern w:val="0"/>
                <w:sz w:val="21"/>
                <w:szCs w:val="21"/>
                <w:highlight w:val="none"/>
                <w:u w:val="none"/>
                <w:lang w:val="en-GB" w:eastAsia="zh-CN" w:bidi="ar"/>
              </w:rPr>
              <w:t>，合同履行期限为</w:t>
            </w:r>
            <w:r>
              <w:rPr>
                <w:rFonts w:hint="eastAsia" w:ascii="宋体" w:hAnsi="宋体" w:eastAsia="宋体" w:cs="宋体"/>
                <w:i w:val="0"/>
                <w:color w:val="auto"/>
                <w:kern w:val="0"/>
                <w:sz w:val="21"/>
                <w:szCs w:val="21"/>
                <w:highlight w:val="none"/>
                <w:u w:val="none"/>
                <w:lang w:val="en-US" w:eastAsia="zh-CN" w:bidi="ar"/>
              </w:rPr>
              <w:t>40日历天</w:t>
            </w:r>
            <w:r>
              <w:rPr>
                <w:rFonts w:hint="eastAsia" w:ascii="宋体" w:hAnsi="宋体" w:eastAsia="宋体" w:cs="宋体"/>
                <w:i w:val="0"/>
                <w:color w:val="auto"/>
                <w:kern w:val="0"/>
                <w:sz w:val="21"/>
                <w:szCs w:val="21"/>
                <w:highlight w:val="none"/>
                <w:u w:val="none"/>
                <w:lang w:val="en-GB" w:eastAsia="zh-CN" w:bidi="ar"/>
              </w:rPr>
              <w:t>的不得分，每承诺提前</w:t>
            </w:r>
            <w:r>
              <w:rPr>
                <w:rFonts w:hint="eastAsia" w:ascii="宋体" w:hAnsi="宋体" w:eastAsia="宋体" w:cs="宋体"/>
                <w:i w:val="0"/>
                <w:color w:val="auto"/>
                <w:kern w:val="0"/>
                <w:sz w:val="21"/>
                <w:szCs w:val="21"/>
                <w:highlight w:val="none"/>
                <w:u w:val="none"/>
                <w:lang w:val="en-US" w:eastAsia="zh-CN" w:bidi="ar"/>
              </w:rPr>
              <w:t>1日历天</w:t>
            </w:r>
            <w:r>
              <w:rPr>
                <w:rFonts w:hint="eastAsia" w:ascii="宋体" w:hAnsi="宋体" w:eastAsia="宋体" w:cs="宋体"/>
                <w:i w:val="0"/>
                <w:color w:val="auto"/>
                <w:kern w:val="0"/>
                <w:sz w:val="21"/>
                <w:szCs w:val="21"/>
                <w:highlight w:val="none"/>
                <w:u w:val="none"/>
                <w:lang w:val="en-GB" w:eastAsia="zh-CN" w:bidi="ar"/>
              </w:rPr>
              <w:t>的得</w:t>
            </w: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GB" w:eastAsia="zh-CN" w:bidi="ar"/>
              </w:rPr>
              <w:t>分，此项满分为</w:t>
            </w:r>
            <w:r>
              <w:rPr>
                <w:rFonts w:hint="eastAsia" w:ascii="宋体" w:hAnsi="宋体" w:eastAsia="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GB" w:eastAsia="zh-CN" w:bidi="ar"/>
              </w:rPr>
              <w:t>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文明安全安装措施</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1.具有详细的文明、安全安装保证措施的，得5分；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2.有文明、安全安装保证措施，叙述不强的，得2分；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3.其他不得分。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9311" w:type="dxa"/>
            <w:gridSpan w:val="3"/>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p>
        </w:tc>
        <w:tc>
          <w:tcPr>
            <w:tcW w:w="656"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r>
    </w:tbl>
    <w:p>
      <w:pPr>
        <w:snapToGrid w:val="0"/>
        <w:spacing w:line="360" w:lineRule="auto"/>
        <w:rPr>
          <w:rFonts w:ascii="宋体" w:hAnsi="宋体" w:cs="宋体"/>
          <w:b/>
          <w:bCs/>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评委签名：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90"/>
        <w:tblW w:w="95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392"/>
        <w:gridCol w:w="6772"/>
        <w:gridCol w:w="7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blHeader/>
          <w:jc w:val="center"/>
        </w:trPr>
        <w:tc>
          <w:tcPr>
            <w:tcW w:w="656"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序号</w:t>
            </w:r>
          </w:p>
        </w:tc>
        <w:tc>
          <w:tcPr>
            <w:tcW w:w="1392"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评分项目</w:t>
            </w:r>
          </w:p>
        </w:tc>
        <w:tc>
          <w:tcPr>
            <w:tcW w:w="6772"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评分标准</w:t>
            </w:r>
          </w:p>
        </w:tc>
        <w:tc>
          <w:tcPr>
            <w:tcW w:w="728"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1</w:t>
            </w:r>
          </w:p>
        </w:tc>
        <w:tc>
          <w:tcPr>
            <w:tcW w:w="139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en-GB" w:eastAsia="zh-CN"/>
              </w:rPr>
              <w:t>同类项目业绩</w:t>
            </w:r>
          </w:p>
        </w:tc>
        <w:tc>
          <w:tcPr>
            <w:tcW w:w="677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提供201</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lang w:val="zh-CN" w:eastAsia="zh-CN"/>
              </w:rPr>
              <w:t>年以来</w:t>
            </w:r>
            <w:r>
              <w:rPr>
                <w:rFonts w:hint="eastAsia" w:ascii="宋体" w:hAnsi="宋体" w:eastAsia="宋体" w:cs="宋体"/>
                <w:i w:val="0"/>
                <w:color w:val="auto"/>
                <w:kern w:val="0"/>
                <w:sz w:val="21"/>
                <w:szCs w:val="21"/>
                <w:highlight w:val="none"/>
                <w:u w:val="none"/>
                <w:lang w:val="en-US" w:eastAsia="zh-CN" w:bidi="ar"/>
              </w:rPr>
              <w:t>完成类似项目业绩</w:t>
            </w:r>
            <w:r>
              <w:rPr>
                <w:rFonts w:hint="eastAsia" w:ascii="宋体" w:hAnsi="宋体" w:cs="宋体"/>
                <w:bCs/>
                <w:color w:val="auto"/>
                <w:szCs w:val="20"/>
                <w:highlight w:val="none"/>
                <w:lang w:val="zh-CN" w:eastAsia="zh-CN"/>
              </w:rPr>
              <w:t>（附上成交/中标通知书或合同复印件）每提供一份业绩得</w:t>
            </w:r>
            <w:r>
              <w:rPr>
                <w:rFonts w:hint="eastAsia" w:ascii="宋体" w:hAnsi="宋体" w:cs="宋体"/>
                <w:bCs/>
                <w:color w:val="auto"/>
                <w:szCs w:val="20"/>
                <w:highlight w:val="none"/>
                <w:lang w:val="en-US" w:eastAsia="zh-CN"/>
              </w:rPr>
              <w:t>1</w:t>
            </w:r>
            <w:r>
              <w:rPr>
                <w:rFonts w:hint="eastAsia" w:ascii="宋体" w:hAnsi="宋体" w:cs="宋体"/>
                <w:bCs/>
                <w:color w:val="auto"/>
                <w:szCs w:val="20"/>
                <w:highlight w:val="none"/>
                <w:lang w:val="zh-CN" w:eastAsia="zh-CN"/>
              </w:rPr>
              <w:t>分，满分</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lang w:val="zh-CN" w:eastAsia="zh-CN"/>
              </w:rPr>
              <w:t>分。</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2</w:t>
            </w:r>
          </w:p>
        </w:tc>
        <w:tc>
          <w:tcPr>
            <w:tcW w:w="139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供应商履约能力</w:t>
            </w:r>
          </w:p>
        </w:tc>
        <w:tc>
          <w:tcPr>
            <w:tcW w:w="677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w:t>
            </w:r>
            <w:r>
              <w:rPr>
                <w:rFonts w:hint="eastAsia" w:ascii="宋体" w:hAnsi="宋体" w:cs="宋体"/>
                <w:bCs/>
                <w:color w:val="auto"/>
                <w:szCs w:val="20"/>
                <w:highlight w:val="none"/>
                <w:lang w:val="en-US" w:eastAsia="zh-CN"/>
              </w:rPr>
              <w:t>1</w:t>
            </w:r>
            <w:r>
              <w:rPr>
                <w:rFonts w:hint="eastAsia" w:ascii="宋体" w:hAnsi="宋体" w:cs="宋体"/>
                <w:bCs/>
                <w:color w:val="auto"/>
                <w:szCs w:val="20"/>
                <w:highlight w:val="none"/>
                <w:lang w:val="zh-CN" w:eastAsia="zh-CN"/>
              </w:rPr>
              <w:t>）报价人获得ISO9001质量管理体系认证、ISO14001环境管理体系认证、</w:t>
            </w:r>
            <w:r>
              <w:rPr>
                <w:rFonts w:hint="eastAsia" w:ascii="宋体" w:hAnsi="宋体" w:cs="宋体"/>
                <w:bCs/>
                <w:color w:val="auto"/>
                <w:szCs w:val="20"/>
                <w:highlight w:val="none"/>
                <w:lang w:val="en-US" w:eastAsia="zh-CN"/>
              </w:rPr>
              <w:t>ISO 45001:2018</w:t>
            </w:r>
            <w:r>
              <w:rPr>
                <w:rFonts w:hint="eastAsia" w:ascii="宋体" w:hAnsi="宋体" w:cs="宋体"/>
                <w:bCs/>
                <w:color w:val="auto"/>
                <w:szCs w:val="20"/>
                <w:highlight w:val="none"/>
                <w:lang w:val="zh-CN" w:eastAsia="zh-CN"/>
              </w:rPr>
              <w:t>职业健康安全管理体系认证，全部提供得</w:t>
            </w:r>
            <w:r>
              <w:rPr>
                <w:rFonts w:hint="eastAsia" w:ascii="宋体" w:hAnsi="宋体" w:cs="宋体"/>
                <w:bCs/>
                <w:color w:val="auto"/>
                <w:szCs w:val="20"/>
                <w:highlight w:val="none"/>
                <w:lang w:val="en-US" w:eastAsia="zh-CN"/>
              </w:rPr>
              <w:t>2分，</w:t>
            </w:r>
            <w:r>
              <w:rPr>
                <w:rFonts w:hint="eastAsia" w:ascii="宋体" w:hAnsi="宋体" w:cs="宋体"/>
                <w:bCs/>
                <w:color w:val="auto"/>
                <w:szCs w:val="20"/>
                <w:highlight w:val="none"/>
                <w:lang w:val="zh-CN" w:eastAsia="zh-CN"/>
              </w:rPr>
              <w:t>以上三项证书任缺一项不得分</w:t>
            </w:r>
            <w:r>
              <w:rPr>
                <w:rFonts w:hint="eastAsia" w:ascii="宋体" w:hAnsi="宋体" w:cs="宋体"/>
                <w:bCs/>
                <w:color w:val="auto"/>
                <w:szCs w:val="20"/>
                <w:highlight w:val="none"/>
                <w:lang w:val="en-US"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lang w:val="zh-CN" w:eastAsia="zh-CN"/>
              </w:rPr>
              <w:t>报价人获得地级市及以上政府有关部门颁发的《企业研究开发机构证书》得 2分；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lang w:val="zh-CN" w:eastAsia="zh-CN"/>
              </w:rPr>
              <w:t>）报价人具备《高新技术企业证书》得</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lang w:val="zh-CN" w:eastAsia="zh-CN"/>
              </w:rPr>
              <w:t>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zh-CN" w:eastAsia="zh-CN"/>
              </w:rPr>
              <w:t>（</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lang w:val="zh-CN" w:eastAsia="zh-CN"/>
              </w:rPr>
              <w:t>）报价人获得知识产权管理体系认证证书得</w:t>
            </w:r>
            <w:r>
              <w:rPr>
                <w:rFonts w:hint="eastAsia" w:ascii="宋体" w:hAnsi="宋体" w:cs="宋体"/>
                <w:bCs/>
                <w:color w:val="auto"/>
                <w:szCs w:val="20"/>
                <w:highlight w:val="none"/>
                <w:lang w:val="en-US" w:eastAsia="zh-CN"/>
              </w:rPr>
              <w:t>2分。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注：须提供相关证明材料复印件并加盖公章。</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kern w:val="2"/>
                <w:sz w:val="21"/>
                <w:szCs w:val="20"/>
                <w:highlight w:val="none"/>
                <w:lang w:val="en-US" w:eastAsia="zh-CN" w:bidi="ar-SA"/>
              </w:rPr>
            </w:pPr>
            <w:r>
              <w:rPr>
                <w:rFonts w:hint="eastAsia" w:ascii="宋体" w:hAnsi="宋体" w:cs="宋体"/>
                <w:bCs/>
                <w:color w:val="auto"/>
                <w:szCs w:val="20"/>
                <w:highlight w:val="none"/>
                <w:lang w:val="en-US" w:eastAsia="zh-CN"/>
              </w:rPr>
              <w:t>3</w:t>
            </w:r>
          </w:p>
        </w:tc>
        <w:tc>
          <w:tcPr>
            <w:tcW w:w="139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kern w:val="2"/>
                <w:sz w:val="21"/>
                <w:szCs w:val="20"/>
                <w:highlight w:val="none"/>
                <w:lang w:val="zh-CN" w:eastAsia="zh-CN" w:bidi="ar-SA"/>
              </w:rPr>
            </w:pPr>
            <w:r>
              <w:rPr>
                <w:rFonts w:hint="eastAsia" w:ascii="宋体" w:hAnsi="宋体" w:cs="宋体"/>
                <w:bCs/>
                <w:color w:val="auto"/>
                <w:szCs w:val="20"/>
                <w:highlight w:val="none"/>
                <w:lang w:val="en-US" w:eastAsia="zh-CN"/>
              </w:rPr>
              <w:t>售后服务方案</w:t>
            </w:r>
          </w:p>
        </w:tc>
        <w:tc>
          <w:tcPr>
            <w:tcW w:w="677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对比报价人对本项目售后服务要求的响应情况：</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1.</w:t>
            </w:r>
            <w:r>
              <w:rPr>
                <w:rFonts w:hint="eastAsia" w:ascii="宋体" w:hAnsi="宋体" w:cs="宋体"/>
                <w:bCs/>
                <w:color w:val="auto"/>
                <w:szCs w:val="20"/>
                <w:highlight w:val="none"/>
                <w:lang w:val="zh-CN" w:eastAsia="zh-CN"/>
              </w:rPr>
              <w:t>完全满足或优于招标要求的，</w:t>
            </w:r>
            <w:r>
              <w:rPr>
                <w:rFonts w:hint="eastAsia" w:ascii="宋体" w:hAnsi="宋体" w:cs="宋体"/>
                <w:bCs/>
                <w:color w:val="auto"/>
                <w:szCs w:val="20"/>
                <w:highlight w:val="none"/>
                <w:lang w:val="en-US" w:eastAsia="zh-CN"/>
              </w:rPr>
              <w:t>提供详尽的售后服务方案，实施步骤清晰，承诺细致、满足用户要求，得7分。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2.有提供售后服务方案，但叙述一般，步骤较清晰，承诺一般、满足用户要求一般，得4分。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kern w:val="2"/>
                <w:sz w:val="21"/>
                <w:szCs w:val="20"/>
                <w:highlight w:val="none"/>
                <w:lang w:val="zh-CN" w:eastAsia="zh-CN" w:bidi="ar-SA"/>
              </w:rPr>
            </w:pPr>
            <w:r>
              <w:rPr>
                <w:rFonts w:hint="eastAsia" w:ascii="宋体" w:hAnsi="宋体" w:cs="宋体"/>
                <w:bCs/>
                <w:color w:val="auto"/>
                <w:szCs w:val="20"/>
                <w:highlight w:val="none"/>
                <w:lang w:val="en-US" w:eastAsia="zh-CN"/>
              </w:rPr>
              <w:t>3.其他不得分。</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Cs/>
                <w:color w:val="auto"/>
                <w:kern w:val="2"/>
                <w:sz w:val="21"/>
                <w:szCs w:val="20"/>
                <w:highlight w:val="none"/>
                <w:lang w:val="en-US" w:eastAsia="zh-CN" w:bidi="ar-SA"/>
              </w:rPr>
            </w:pPr>
            <w:r>
              <w:rPr>
                <w:rFonts w:hint="eastAsia" w:ascii="宋体" w:hAnsi="宋体" w:cs="宋体"/>
                <w:bCs/>
                <w:color w:val="auto"/>
                <w:szCs w:val="20"/>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820" w:type="dxa"/>
            <w:gridSpan w:val="3"/>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合计</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20</w:t>
            </w:r>
          </w:p>
        </w:tc>
      </w:tr>
    </w:tbl>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                                                 </w:t>
      </w:r>
    </w:p>
    <w:p>
      <w:pPr>
        <w:snapToGrid w:val="0"/>
        <w:rPr>
          <w:rFonts w:ascii="宋体" w:hAnsi="宋体" w:cs="宋体"/>
          <w:b/>
          <w:bCs/>
          <w:color w:val="auto"/>
          <w:highlight w:val="none"/>
        </w:rPr>
      </w:pPr>
    </w:p>
    <w:p>
      <w:pPr>
        <w:snapToGrid w:val="0"/>
        <w:rPr>
          <w:rFonts w:ascii="宋体" w:hAnsi="宋体" w:cs="宋体"/>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1、价格核准：磋商小组对有效报价人的详细报价进行复核，看其是否有计算错误或供货范围上的错误，修正错误的原则详见招标相关条款。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综合评分法中的价格分统一采用低价优先法计算，即满足磋商文件要求且最后报价最低的报价人的价格为磋商基准价，其价格分为满分。其他报价人的价格分统一按照下列公式计算：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39" w:name="_Toc320515058"/>
      <w:bookmarkStart w:id="340"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39"/>
      <w:bookmarkEnd w:id="340"/>
    </w:p>
    <w:p>
      <w:pPr>
        <w:spacing w:line="360" w:lineRule="auto"/>
        <w:rPr>
          <w:rFonts w:ascii="宋体" w:hAnsi="宋体"/>
          <w:bCs/>
          <w:color w:val="auto"/>
          <w:sz w:val="28"/>
          <w:highlight w:val="none"/>
        </w:rPr>
      </w:pPr>
      <w:bookmarkStart w:id="341" w:name="_Toc109467908"/>
      <w:bookmarkStart w:id="342" w:name="_Toc14450838"/>
      <w:bookmarkStart w:id="343" w:name="_Toc34535358"/>
      <w:bookmarkStart w:id="344" w:name="_Toc35834912"/>
      <w:bookmarkStart w:id="345" w:name="_Toc28489496"/>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46" w:name="_Toc163481918"/>
      <w:r>
        <w:rPr>
          <w:rFonts w:hint="eastAsia"/>
          <w:color w:val="auto"/>
          <w:szCs w:val="30"/>
          <w:highlight w:val="none"/>
        </w:rPr>
        <w:br w:type="page"/>
      </w:r>
    </w:p>
    <w:p>
      <w:pPr>
        <w:pStyle w:val="5"/>
        <w:numPr>
          <w:ilvl w:val="0"/>
          <w:numId w:val="17"/>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4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★具有良好的商业信誉和健全的财务会计制度【提供</w:t>
            </w:r>
            <w:r>
              <w:rPr>
                <w:rFonts w:hint="eastAsia" w:ascii="宋体" w:hAnsi="宋体" w:cs="宋体"/>
                <w:color w:val="auto"/>
                <w:kern w:val="0"/>
                <w:szCs w:val="21"/>
                <w:highlight w:val="none"/>
                <w:lang w:val="en-US" w:eastAsia="zh-CN"/>
              </w:rPr>
              <w:t>2019</w:t>
            </w:r>
            <w:r>
              <w:rPr>
                <w:rFonts w:hint="eastAsia" w:ascii="宋体" w:hAnsi="宋体" w:cs="宋体"/>
                <w:color w:val="auto"/>
                <w:kern w:val="0"/>
                <w:szCs w:val="21"/>
                <w:highlight w:val="none"/>
              </w:rPr>
              <w:t>年或</w:t>
            </w:r>
            <w:r>
              <w:rPr>
                <w:rFonts w:hint="eastAsia" w:ascii="宋体" w:hAnsi="宋体" w:cs="宋体"/>
                <w:color w:val="auto"/>
                <w:kern w:val="0"/>
                <w:szCs w:val="21"/>
                <w:highlight w:val="none"/>
                <w:lang w:val="en-US" w:eastAsia="zh-CN"/>
              </w:rPr>
              <w:t>2020</w:t>
            </w:r>
            <w:r>
              <w:rPr>
                <w:rFonts w:hint="eastAsia" w:ascii="宋体" w:hAnsi="宋体" w:cs="宋体"/>
                <w:color w:val="auto"/>
                <w:kern w:val="0"/>
                <w:szCs w:val="21"/>
                <w:highlight w:val="none"/>
              </w:rPr>
              <w:t>年的财务状况报告或基本开户行（提供开户许可证）出具的资信证明复印件。如报价人为新注册的，提供成立至今的月或季度财务状况报告复印件】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检测报告</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▲条款响应一览表（附件2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报价人认为有必要说明的其他文件(附件</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5"/>
        <w:numPr>
          <w:ilvl w:val="0"/>
          <w:numId w:val="17"/>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（报价人名称）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天有效，如被确定为报价人成交报价人，有效期将延至合同终止日为止；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6.我方如被确定为报价人成交报价人，将保证履行竞争性磋商文件以及竞争性磋商文件修改书（如有的话）中的全部责任和义务，按质、按量、按期完成《合同》中的全部任务；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报价人全称（加盖公章）：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r>
        <w:rPr>
          <w:rFonts w:hint="eastAsia" w:ascii="宋体" w:hAnsi="宋体"/>
          <w:color w:val="auto"/>
          <w:highlight w:val="none"/>
        </w:rPr>
        <w:br w:type="page"/>
      </w:r>
      <w:bookmarkStart w:id="347" w:name="_Toc14450839"/>
      <w:bookmarkStart w:id="348" w:name="_Toc55816096"/>
      <w:bookmarkStart w:id="349" w:name="_Toc41448359"/>
      <w:bookmarkStart w:id="350" w:name="_Toc86065029"/>
      <w:bookmarkStart w:id="351" w:name="_Toc35834913"/>
      <w:bookmarkStart w:id="352" w:name="_Toc28489497"/>
      <w:bookmarkStart w:id="353" w:name="_Toc34535359"/>
      <w:bookmarkStart w:id="354" w:name="_Toc25224019"/>
      <w:bookmarkStart w:id="355" w:name="_Toc10946790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56" w:name="_Toc223939105"/>
      <w:r>
        <w:rPr>
          <w:rFonts w:hint="eastAsia" w:hAnsi="宋体"/>
          <w:color w:val="auto"/>
          <w:szCs w:val="21"/>
          <w:highlight w:val="none"/>
        </w:rPr>
        <w:t>现任我单位职务，为法定代表人，特此证明。</w:t>
      </w:r>
      <w:bookmarkEnd w:id="356"/>
      <w:bookmarkStart w:id="357"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57"/>
      <w:bookmarkStart w:id="358"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58"/>
      <w:bookmarkStart w:id="359"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bookmarkEnd w:id="359"/>
      <w:bookmarkStart w:id="360"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0"/>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2021</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被授权人(报价人授权代表)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“报价信封”内。如是法定代表人作为报价人代表，则无需提交此资料。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一、本公司（企业）具备《中华人民共和国政府采购法》第二十二条资格条件：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r>
        <w:rPr>
          <w:rFonts w:hint="eastAsia"/>
          <w:color w:val="auto"/>
          <w:highlight w:val="none"/>
        </w:rPr>
        <w:t>提供法人或者其他组织的营业执照、组织机构代码证和税务登记证（或三证合一证明）等证明文件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r>
        <w:rPr>
          <w:rFonts w:hint="eastAsia"/>
          <w:color w:val="auto"/>
          <w:highlight w:val="none"/>
        </w:rPr>
        <w:t>提供</w:t>
      </w:r>
      <w:r>
        <w:rPr>
          <w:rFonts w:hint="eastAsia"/>
          <w:color w:val="auto"/>
          <w:highlight w:val="none"/>
          <w:lang w:val="en-US" w:eastAsia="zh-CN"/>
        </w:rPr>
        <w:t>2019</w:t>
      </w:r>
      <w:r>
        <w:rPr>
          <w:rFonts w:hint="eastAsia"/>
          <w:color w:val="auto"/>
          <w:highlight w:val="none"/>
        </w:rPr>
        <w:t>年或20</w:t>
      </w:r>
      <w:r>
        <w:rPr>
          <w:rFonts w:hint="eastAsia"/>
          <w:color w:val="auto"/>
          <w:highlight w:val="none"/>
          <w:lang w:val="en-US" w:eastAsia="zh-CN"/>
        </w:rPr>
        <w:t>20</w:t>
      </w:r>
      <w:r>
        <w:rPr>
          <w:rFonts w:hint="eastAsia"/>
          <w:color w:val="auto"/>
          <w:highlight w:val="none"/>
        </w:rPr>
        <w:t>年的财务状况报告或基本开户行（提供开户许可证）出具的资信证明复印件。如报价人为新注册的，提供成立至今的月或季度财务状况报告复印件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r>
        <w:rPr>
          <w:rFonts w:hint="eastAsia"/>
          <w:color w:val="auto"/>
          <w:highlight w:val="none"/>
        </w:rPr>
        <w:t>提供缴纳税收和社会保险的凭证。如依法免税或不需要缴纳社会保障资金的，应提供相应文件证明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根据《中华人民共和国政府采购法实施条例》的规定，本公司（企业）如为采购项目提供整体设计、规范编制或者项目管理、监理、检测等服务的报价人，不再参加该采购项目的其他采购活动。否则，由此所造成的损失、不良后果及法律责任，一律由我公司（企业）承担。</w:t>
      </w:r>
    </w:p>
    <w:p>
      <w:pPr>
        <w:snapToGrid w:val="0"/>
        <w:spacing w:beforeLines="50" w:line="360" w:lineRule="auto"/>
        <w:ind w:firstLine="525" w:firstLineChars="250"/>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本公司（企业）的法定代表人或单位负责人与本项目其他报价人的法定代表人或单位负责人不为同一人且与其他报价人之间不存在直接控股、管理关系。</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四、本公司（企业）政府采购活动前三年内，没有正在被司法机关立案调查。</w:t>
      </w:r>
    </w:p>
    <w:p>
      <w:pPr>
        <w:snapToGrid w:val="0"/>
        <w:spacing w:line="360" w:lineRule="auto"/>
        <w:ind w:firstLine="420" w:firstLineChars="200"/>
        <w:jc w:val="left"/>
        <w:rPr>
          <w:color w:val="auto"/>
          <w:szCs w:val="21"/>
          <w:highlight w:val="none"/>
        </w:rPr>
      </w:pPr>
      <w:r>
        <w:rPr>
          <w:rFonts w:hint="eastAsia" w:ascii="宋体" w:hAnsi="宋体" w:cs="宋体"/>
          <w:color w:val="auto"/>
          <w:szCs w:val="21"/>
          <w:highlight w:val="none"/>
        </w:rPr>
        <w:t>本公司（企业）已清楚竞争性磋商文件的要求及有关文件规定，并承诺在本次招标采购活动中，如有违法、违规、弄虚作假行为，所造成的损失、不良后果及法律责任，一律由我公司（企业）承担。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报价人</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2021</w:t>
      </w:r>
      <w:r>
        <w:rPr>
          <w:rFonts w:hint="eastAsia" w:ascii="宋体" w:hAnsi="宋体"/>
          <w:color w:val="auto"/>
          <w:szCs w:val="21"/>
          <w:highlight w:val="none"/>
          <w:u w:val="single"/>
        </w:rPr>
        <w:t>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报价人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报价人单位名称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注:1.报价人应按“采购人需求”的要求，根据实际情况进行报价。本表内的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2.报价人报价高于采购项目预算金额的报价响应无效；</w:t>
      </w:r>
    </w:p>
    <w:p>
      <w:pPr>
        <w:snapToGrid w:val="0"/>
        <w:spacing w:line="360" w:lineRule="auto"/>
        <w:ind w:left="515" w:leftChars="150" w:hanging="200" w:hangingChars="95"/>
        <w:rPr>
          <w:rFonts w:ascii="宋体" w:hAnsi="宋体" w:cs="宋体"/>
          <w:b/>
          <w:color w:val="auto"/>
          <w:szCs w:val="21"/>
          <w:highlight w:val="none"/>
        </w:rPr>
      </w:pPr>
      <w:r>
        <w:rPr>
          <w:rFonts w:hint="eastAsia" w:ascii="宋体" w:hAnsi="宋体" w:cs="宋体"/>
          <w:b/>
          <w:color w:val="auto"/>
          <w:szCs w:val="21"/>
          <w:highlight w:val="none"/>
        </w:rPr>
        <w:t>3.中文大写金额用汉字，如壹、贰、叁、肆、伍、陆、柒、捌、玖、拾、佰、仟、万、亿、元、角、分、零、整（正）等。如：小写： 1230000，大写：</w:t>
      </w:r>
      <w:r>
        <w:rPr>
          <w:rFonts w:hint="eastAsia" w:ascii="宋体" w:hAnsi="宋体" w:cs="宋体"/>
          <w:b/>
          <w:color w:val="auto"/>
          <w:szCs w:val="21"/>
          <w:highlight w:val="none"/>
          <w:u w:val="single"/>
        </w:rPr>
        <w:t>壹佰贰拾叁万元整</w:t>
      </w:r>
      <w:r>
        <w:rPr>
          <w:rFonts w:hint="eastAsia" w:ascii="宋体" w:hAnsi="宋体" w:cs="宋体"/>
          <w:b/>
          <w:color w:val="auto"/>
          <w:szCs w:val="21"/>
          <w:highlight w:val="none"/>
        </w:rPr>
        <w:t>。</w:t>
      </w:r>
    </w:p>
    <w:p>
      <w:pPr>
        <w:snapToGrid w:val="0"/>
        <w:spacing w:line="360" w:lineRule="auto"/>
        <w:ind w:left="512" w:leftChars="195" w:hanging="103" w:hangingChars="49"/>
        <w:rPr>
          <w:rFonts w:ascii="宋体" w:hAnsi="宋体" w:cs="宋体"/>
          <w:b/>
          <w:color w:val="auto"/>
          <w:szCs w:val="21"/>
          <w:highlight w:val="none"/>
        </w:rPr>
      </w:pPr>
      <w:r>
        <w:rPr>
          <w:rFonts w:hint="eastAsia" w:ascii="宋体" w:hAnsi="宋体" w:cs="宋体"/>
          <w:b/>
          <w:color w:val="auto"/>
          <w:szCs w:val="21"/>
          <w:highlight w:val="none"/>
        </w:rPr>
        <w:t>4.投标总报价应包含采购项目的全部费用，报价人不得再向采购人收取任何费用；</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5.报价以人民币元为单位，保留小数点后两位；</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6.投标报价要求具体见第二章“投标报价”及采购人需求要求；</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7.本表格须附在正副的</w:t>
      </w:r>
      <w:r>
        <w:rPr>
          <w:rFonts w:hint="eastAsia" w:ascii="宋体" w:hAnsi="宋体" w:cs="宋体"/>
          <w:b/>
          <w:color w:val="auto"/>
          <w:szCs w:val="21"/>
          <w:highlight w:val="none"/>
          <w:lang w:eastAsia="zh-CN"/>
        </w:rPr>
        <w:t>磋商响应文件</w:t>
      </w:r>
      <w:r>
        <w:rPr>
          <w:rFonts w:hint="eastAsia" w:ascii="宋体" w:hAnsi="宋体" w:cs="宋体"/>
          <w:b/>
          <w:color w:val="auto"/>
          <w:szCs w:val="21"/>
          <w:highlight w:val="none"/>
        </w:rPr>
        <w:t>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int="eastAsia" w:hAnsi="宋体" w:cs="宋体"/>
          <w:color w:val="auto"/>
          <w:kern w:val="0"/>
          <w:szCs w:val="21"/>
          <w:highlight w:val="none"/>
          <w:lang w:val="en-US" w:eastAsia="zh-CN"/>
        </w:rPr>
      </w:pPr>
      <w:r>
        <w:rPr>
          <w:rFonts w:hint="eastAsia" w:hAnsi="宋体" w:cs="宋体"/>
          <w:color w:val="auto"/>
          <w:kern w:val="0"/>
          <w:szCs w:val="21"/>
          <w:highlight w:val="none"/>
        </w:rPr>
        <w:t xml:space="preserve">项目名称： </w:t>
      </w:r>
      <w:r>
        <w:rPr>
          <w:rFonts w:hint="eastAsia" w:hAnsi="宋体" w:cs="宋体"/>
          <w:color w:val="auto"/>
          <w:kern w:val="0"/>
          <w:szCs w:val="21"/>
          <w:highlight w:val="none"/>
          <w:lang w:val="en-US" w:eastAsia="zh-CN"/>
        </w:rPr>
        <w:t xml:space="preserve">                                                  </w:t>
      </w:r>
    </w:p>
    <w:p>
      <w:pPr>
        <w:pStyle w:val="46"/>
        <w:spacing w:line="360" w:lineRule="auto"/>
        <w:ind w:right="482"/>
        <w:jc w:val="left"/>
        <w:rPr>
          <w:rFonts w:hint="eastAsia" w:asciiTheme="minorEastAsia" w:hAnsiTheme="minorEastAsia" w:eastAsiaTheme="minorEastAsia" w:cstheme="minorEastAsia"/>
          <w:b/>
          <w:color w:val="auto"/>
          <w:sz w:val="21"/>
          <w:szCs w:val="21"/>
          <w:highlight w:val="none"/>
          <w:lang w:val="en-US" w:eastAsia="zh-CN"/>
        </w:rPr>
      </w:pPr>
      <w:r>
        <w:rPr>
          <w:rFonts w:hint="eastAsia" w:hAnsi="宋体" w:cs="宋体"/>
          <w:color w:val="auto"/>
          <w:kern w:val="0"/>
          <w:szCs w:val="21"/>
          <w:highlight w:val="none"/>
        </w:rPr>
        <w:t>项目编号：</w:t>
      </w:r>
    </w:p>
    <w:tbl>
      <w:tblPr>
        <w:tblStyle w:val="90"/>
        <w:tblW w:w="5000" w:type="pct"/>
        <w:tblInd w:w="0" w:type="dxa"/>
        <w:shd w:val="clear" w:color="auto" w:fill="auto"/>
        <w:tblLayout w:type="autofit"/>
        <w:tblCellMar>
          <w:top w:w="0" w:type="dxa"/>
          <w:left w:w="0" w:type="dxa"/>
          <w:bottom w:w="0" w:type="dxa"/>
          <w:right w:w="0" w:type="dxa"/>
        </w:tblCellMar>
      </w:tblPr>
      <w:tblGrid>
        <w:gridCol w:w="731"/>
        <w:gridCol w:w="2086"/>
        <w:gridCol w:w="818"/>
        <w:gridCol w:w="735"/>
        <w:gridCol w:w="1727"/>
        <w:gridCol w:w="2030"/>
        <w:gridCol w:w="1541"/>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PF-01通风系统清单</w:t>
            </w: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1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综合单价（元）</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1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57"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玻璃钢离心变频风机</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万向排气罩</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PP原子吸收罩</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7"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风机弹簧减震</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7"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97.00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32.00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32.00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7"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铝扣板天花拆除及修复</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423"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893"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423"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423"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4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bl>
    <w:p>
      <w:pPr>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fixed"/>
        <w:tblCellMar>
          <w:top w:w="0" w:type="dxa"/>
          <w:left w:w="0" w:type="dxa"/>
          <w:bottom w:w="0" w:type="dxa"/>
          <w:right w:w="0" w:type="dxa"/>
        </w:tblCellMar>
      </w:tblPr>
      <w:tblGrid>
        <w:gridCol w:w="730"/>
        <w:gridCol w:w="2091"/>
        <w:gridCol w:w="807"/>
        <w:gridCol w:w="739"/>
        <w:gridCol w:w="1742"/>
        <w:gridCol w:w="2054"/>
        <w:gridCol w:w="1505"/>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PF-02通风系统清单</w:t>
            </w: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695325</wp:posOffset>
                  </wp:positionH>
                  <wp:positionV relativeFrom="paragraph">
                    <wp:posOffset>0</wp:posOffset>
                  </wp:positionV>
                  <wp:extent cx="4445" cy="443230"/>
                  <wp:effectExtent l="0" t="0" r="0" b="0"/>
                  <wp:wrapNone/>
                  <wp:docPr id="18" name="图片_130"/>
                  <wp:cNvGraphicFramePr/>
                  <a:graphic xmlns:a="http://schemas.openxmlformats.org/drawingml/2006/main">
                    <a:graphicData uri="http://schemas.openxmlformats.org/drawingml/2006/picture">
                      <pic:pic xmlns:pic="http://schemas.openxmlformats.org/drawingml/2006/picture">
                        <pic:nvPicPr>
                          <pic:cNvPr id="18" name="图片_130"/>
                          <pic:cNvPicPr/>
                        </pic:nvPicPr>
                        <pic:blipFill>
                          <a:blip r:embed="rId15"/>
                          <a:stretch>
                            <a:fillRect/>
                          </a:stretch>
                        </pic:blipFill>
                        <pic:spPr>
                          <a:xfrm>
                            <a:off x="0" y="0"/>
                            <a:ext cx="4445" cy="443230"/>
                          </a:xfrm>
                          <a:prstGeom prst="rect">
                            <a:avLst/>
                          </a:prstGeom>
                          <a:noFill/>
                          <a:ln>
                            <a:noFill/>
                          </a:ln>
                        </pic:spPr>
                      </pic:pic>
                    </a:graphicData>
                  </a:graphic>
                </wp:anchor>
              </w:drawing>
            </w:r>
            <w:r>
              <w:rPr>
                <w:rFonts w:hint="eastAsia" w:ascii="宋体" w:hAnsi="宋体" w:eastAsia="宋体" w:cs="宋体"/>
                <w:b/>
                <w:i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695325</wp:posOffset>
                  </wp:positionH>
                  <wp:positionV relativeFrom="paragraph">
                    <wp:posOffset>0</wp:posOffset>
                  </wp:positionV>
                  <wp:extent cx="4445" cy="443230"/>
                  <wp:effectExtent l="0" t="0" r="0" b="0"/>
                  <wp:wrapNone/>
                  <wp:docPr id="19" name="图片_130_SpCnt_1"/>
                  <wp:cNvGraphicFramePr/>
                  <a:graphic xmlns:a="http://schemas.openxmlformats.org/drawingml/2006/main">
                    <a:graphicData uri="http://schemas.openxmlformats.org/drawingml/2006/picture">
                      <pic:pic xmlns:pic="http://schemas.openxmlformats.org/drawingml/2006/picture">
                        <pic:nvPicPr>
                          <pic:cNvPr id="19" name="图片_130_SpCnt_1"/>
                          <pic:cNvPicPr/>
                        </pic:nvPicPr>
                        <pic:blipFill>
                          <a:blip r:embed="rId15"/>
                          <a:stretch>
                            <a:fillRect/>
                          </a:stretch>
                        </pic:blipFill>
                        <pic:spPr>
                          <a:xfrm>
                            <a:off x="0" y="0"/>
                            <a:ext cx="4445" cy="443230"/>
                          </a:xfrm>
                          <a:prstGeom prst="rect">
                            <a:avLst/>
                          </a:prstGeom>
                          <a:noFill/>
                          <a:ln>
                            <a:noFill/>
                          </a:ln>
                        </pic:spPr>
                      </pic:pic>
                    </a:graphicData>
                  </a:graphic>
                </wp:anchor>
              </w:drawing>
            </w:r>
            <w:r>
              <w:rPr>
                <w:rFonts w:hint="eastAsia" w:ascii="宋体" w:hAnsi="宋体" w:eastAsia="宋体" w:cs="宋体"/>
                <w:b/>
                <w:i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695325</wp:posOffset>
                  </wp:positionH>
                  <wp:positionV relativeFrom="paragraph">
                    <wp:posOffset>0</wp:posOffset>
                  </wp:positionV>
                  <wp:extent cx="4445" cy="443230"/>
                  <wp:effectExtent l="0" t="0" r="0" b="0"/>
                  <wp:wrapNone/>
                  <wp:docPr id="20" name="图片_130_SpCnt_2"/>
                  <wp:cNvGraphicFramePr/>
                  <a:graphic xmlns:a="http://schemas.openxmlformats.org/drawingml/2006/main">
                    <a:graphicData uri="http://schemas.openxmlformats.org/drawingml/2006/picture">
                      <pic:pic xmlns:pic="http://schemas.openxmlformats.org/drawingml/2006/picture">
                        <pic:nvPicPr>
                          <pic:cNvPr id="20" name="图片_130_SpCnt_2"/>
                          <pic:cNvPicPr/>
                        </pic:nvPicPr>
                        <pic:blipFill>
                          <a:blip r:embed="rId15"/>
                          <a:stretch>
                            <a:fillRect/>
                          </a:stretch>
                        </pic:blipFill>
                        <pic:spPr>
                          <a:xfrm>
                            <a:off x="0" y="0"/>
                            <a:ext cx="4445" cy="443230"/>
                          </a:xfrm>
                          <a:prstGeom prst="rect">
                            <a:avLst/>
                          </a:prstGeom>
                          <a:noFill/>
                          <a:ln>
                            <a:noFill/>
                          </a:ln>
                        </pic:spPr>
                      </pic:pic>
                    </a:graphicData>
                  </a:graphic>
                </wp:anchor>
              </w:drawing>
            </w:r>
            <w:r>
              <w:rPr>
                <w:rFonts w:hint="eastAsia" w:ascii="宋体" w:hAnsi="宋体" w:eastAsia="宋体" w:cs="宋体"/>
                <w:b/>
                <w:i w:val="0"/>
                <w:color w:val="auto"/>
                <w:kern w:val="0"/>
                <w:sz w:val="21"/>
                <w:szCs w:val="21"/>
                <w:highlight w:val="none"/>
                <w:u w:val="none"/>
                <w:lang w:val="en-US" w:eastAsia="zh-CN" w:bidi="ar"/>
              </w:rPr>
              <w:t>项目内容</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综合单价（元）</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玻璃钢离心风机</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玻璃钢喷淋塔</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玻璃钢通风柜</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喷淋塔基础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风机弹簧减震</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8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48.00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塑料管</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塑料管</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环评采样平台</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4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1"/>
                <w:szCs w:val="21"/>
                <w:highlight w:val="none"/>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fixed"/>
        <w:tblCellMar>
          <w:top w:w="0" w:type="dxa"/>
          <w:left w:w="0" w:type="dxa"/>
          <w:bottom w:w="0" w:type="dxa"/>
          <w:right w:w="0" w:type="dxa"/>
        </w:tblCellMar>
      </w:tblPr>
      <w:tblGrid>
        <w:gridCol w:w="730"/>
        <w:gridCol w:w="2091"/>
        <w:gridCol w:w="784"/>
        <w:gridCol w:w="762"/>
        <w:gridCol w:w="1731"/>
        <w:gridCol w:w="2053"/>
        <w:gridCol w:w="1517"/>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PF-03通风系统清单</w:t>
            </w: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综合单价（元）</w:t>
            </w:r>
          </w:p>
        </w:tc>
        <w:tc>
          <w:tcPr>
            <w:tcW w:w="2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玻璃钢离心风机</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万向排气罩</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8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24.00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8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1"/>
                <w:szCs w:val="21"/>
                <w:highlight w:val="none"/>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fixed"/>
        <w:tblCellMar>
          <w:top w:w="0" w:type="dxa"/>
          <w:left w:w="0" w:type="dxa"/>
          <w:bottom w:w="0" w:type="dxa"/>
          <w:right w:w="0" w:type="dxa"/>
        </w:tblCellMar>
      </w:tblPr>
      <w:tblGrid>
        <w:gridCol w:w="719"/>
        <w:gridCol w:w="2090"/>
        <w:gridCol w:w="785"/>
        <w:gridCol w:w="773"/>
        <w:gridCol w:w="1731"/>
        <w:gridCol w:w="2065"/>
        <w:gridCol w:w="1505"/>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PF-04通风系统清单</w:t>
            </w: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综合单价（元）</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玻璃钢离心变频风机</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万向排气罩</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试剂排风柜</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8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70.00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36.00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24.00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23.00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室外管道镀锌角钢固定支架</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电动风量调节阀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格栅排风口</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原有管道及风机拆除</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8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1"/>
                <w:szCs w:val="21"/>
                <w:highlight w:val="none"/>
                <w:u w:val="none"/>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fixed"/>
        <w:tblCellMar>
          <w:top w:w="0" w:type="dxa"/>
          <w:left w:w="0" w:type="dxa"/>
          <w:bottom w:w="0" w:type="dxa"/>
          <w:right w:w="0" w:type="dxa"/>
        </w:tblCellMar>
      </w:tblPr>
      <w:tblGrid>
        <w:gridCol w:w="718"/>
        <w:gridCol w:w="2087"/>
        <w:gridCol w:w="777"/>
        <w:gridCol w:w="762"/>
        <w:gridCol w:w="1754"/>
        <w:gridCol w:w="2065"/>
        <w:gridCol w:w="1505"/>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PF-05通风系统清单</w:t>
            </w: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综合单价（元）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玻璃钢离心风机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活性炭过滤箱支架</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7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防雨帽</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风管90度弯头</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铝扣板天花拆除及修复</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环评采样口</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1"/>
                <w:szCs w:val="21"/>
                <w:highlight w:val="none"/>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fixed"/>
        <w:tblCellMar>
          <w:top w:w="0" w:type="dxa"/>
          <w:left w:w="0" w:type="dxa"/>
          <w:bottom w:w="0" w:type="dxa"/>
          <w:right w:w="0" w:type="dxa"/>
        </w:tblCellMar>
      </w:tblPr>
      <w:tblGrid>
        <w:gridCol w:w="719"/>
        <w:gridCol w:w="2067"/>
        <w:gridCol w:w="785"/>
        <w:gridCol w:w="761"/>
        <w:gridCol w:w="1789"/>
        <w:gridCol w:w="2019"/>
        <w:gridCol w:w="1528"/>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PF-06通风系统清单</w:t>
            </w: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综合单价（元）</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一、排风设备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玻璃钢斜流风机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二、设备附件</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风机吊架</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风机橡胶减震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风机进出口</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帆布软接</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三、风管风阀</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PP板制作风管</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29.00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管道支架</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手动风量调节阀</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格栅排风口</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6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防雨百叶</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四、其他</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玻璃窗开孔及修复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1"/>
                <w:szCs w:val="21"/>
                <w:highlight w:val="none"/>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1"/>
                <w:szCs w:val="21"/>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bl>
    <w:p>
      <w:pPr>
        <w:pStyle w:val="47"/>
        <w:rPr>
          <w:rFonts w:hint="eastAsia" w:asciiTheme="minorEastAsia" w:hAnsiTheme="minorEastAsia" w:eastAsiaTheme="minorEastAsia" w:cstheme="minorEastAsia"/>
          <w:b/>
          <w:color w:val="auto"/>
          <w:sz w:val="21"/>
          <w:szCs w:val="21"/>
          <w:highlight w:val="none"/>
          <w:lang w:val="zh-CN"/>
        </w:rPr>
      </w:pPr>
    </w:p>
    <w:tbl>
      <w:tblPr>
        <w:tblStyle w:val="90"/>
        <w:tblW w:w="5000" w:type="pct"/>
        <w:tblInd w:w="0" w:type="dxa"/>
        <w:shd w:val="clear" w:color="auto" w:fill="auto"/>
        <w:tblLayout w:type="autofit"/>
        <w:tblCellMar>
          <w:top w:w="0" w:type="dxa"/>
          <w:left w:w="0" w:type="dxa"/>
          <w:bottom w:w="0" w:type="dxa"/>
          <w:right w:w="0" w:type="dxa"/>
        </w:tblCellMar>
      </w:tblPr>
      <w:tblGrid>
        <w:gridCol w:w="736"/>
        <w:gridCol w:w="2065"/>
        <w:gridCol w:w="772"/>
        <w:gridCol w:w="770"/>
        <w:gridCol w:w="1785"/>
        <w:gridCol w:w="1999"/>
        <w:gridCol w:w="1541"/>
      </w:tblGrid>
      <w:tr>
        <w:tblPrEx>
          <w:shd w:val="clear" w:color="auto" w:fill="auto"/>
          <w:tblCellMar>
            <w:top w:w="0" w:type="dxa"/>
            <w:left w:w="0" w:type="dxa"/>
            <w:bottom w:w="0" w:type="dxa"/>
            <w:right w:w="0" w:type="dxa"/>
          </w:tblCellMar>
        </w:tblPrEx>
        <w:trPr>
          <w:trHeight w:val="567"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通风控制系统清单</w:t>
            </w: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项目内容</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综合单价（元）</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综合总价（元）</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所投品牌</w:t>
            </w:r>
          </w:p>
        </w:tc>
      </w:tr>
      <w:tr>
        <w:tblPrEx>
          <w:tblCellMar>
            <w:top w:w="0" w:type="dxa"/>
            <w:left w:w="0" w:type="dxa"/>
            <w:bottom w:w="0" w:type="dxa"/>
            <w:right w:w="0" w:type="dxa"/>
          </w:tblCellMar>
        </w:tblPrEx>
        <w:trPr>
          <w:trHeight w:val="567"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一、控制系统</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变频器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变频器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可编程管道压差控制器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管道静压差传感器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变频控制箱</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控制线</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630.00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配管</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530.00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配管</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50.00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29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桥架</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68.00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风机配电箱</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水泵控制箱</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电力电缆</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260.00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电力电缆</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电力电缆</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50.00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面板开关</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18.00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系统调试费</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二、其他</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原有管道及风机拆除</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墙面修复</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6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风管封堵</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五金配件</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高空作业费</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风机、喷淋塔吊装费用</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现场管理及二次搬运</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垃圾清运</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9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材料运输及搬运费</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税金*13%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小计</w:t>
            </w:r>
          </w:p>
        </w:tc>
        <w:tc>
          <w:tcPr>
            <w:tcW w:w="355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67"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cs="宋体"/>
                <w:b/>
                <w:i w:val="0"/>
                <w:color w:val="auto"/>
                <w:kern w:val="0"/>
                <w:sz w:val="21"/>
                <w:szCs w:val="21"/>
                <w:highlight w:val="none"/>
                <w:u w:val="none"/>
                <w:lang w:val="en-US" w:eastAsia="zh-CN" w:bidi="ar"/>
              </w:rPr>
              <w:t>总计</w:t>
            </w:r>
          </w:p>
        </w:tc>
        <w:tc>
          <w:tcPr>
            <w:tcW w:w="355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1"/>
                <w:szCs w:val="21"/>
                <w:highlight w:val="none"/>
                <w:u w:val="none"/>
              </w:rPr>
            </w:pPr>
          </w:p>
        </w:tc>
      </w:tr>
    </w:tbl>
    <w:p>
      <w:pPr>
        <w:rPr>
          <w:rFonts w:hint="eastAsia"/>
          <w:color w:val="auto"/>
          <w:highlight w:val="none"/>
        </w:rPr>
      </w:pPr>
    </w:p>
    <w:p>
      <w:pPr>
        <w:spacing w:line="360" w:lineRule="auto"/>
        <w:jc w:val="left"/>
        <w:rPr>
          <w:rFonts w:hint="eastAsia" w:ascii="宋体" w:hAnsi="宋体"/>
          <w:b/>
          <w:color w:val="auto"/>
          <w:szCs w:val="21"/>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报价人自行设计。报价人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3.该表格式仅作参考，报价人的详细报价表格式可自定。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）小微企业投标且提供其它小型、微型企业产品的，请填写下表内容(如报价人为中小企业，请填写下面的《中小企业声明函》一起提交)：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tabs>
          <w:tab w:val="left" w:pos="0"/>
        </w:tabs>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报价人</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报价人</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rFonts w:ascii="宋体" w:hAnsi="宋体"/>
          <w:color w:val="auto"/>
          <w:szCs w:val="21"/>
          <w:highlight w:val="none"/>
          <w:lang w:val="en-GB"/>
        </w:rPr>
      </w:pPr>
      <w:r>
        <w:rPr>
          <w:rFonts w:hint="eastAsia" w:ascii="宋体" w:cs="宋体"/>
          <w:color w:val="auto"/>
          <w:szCs w:val="21"/>
          <w:highlight w:val="none"/>
        </w:rPr>
        <w:t>b、</w:t>
      </w:r>
      <w:r>
        <w:rPr>
          <w:rFonts w:hint="eastAsia" w:ascii="宋体" w:hAnsi="宋体" w:cs="宋体"/>
          <w:color w:val="auto"/>
          <w:kern w:val="0"/>
          <w:szCs w:val="21"/>
          <w:highlight w:val="none"/>
        </w:rPr>
        <w:t>报价人</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报价人</w:t>
      </w:r>
      <w:r>
        <w:rPr>
          <w:rFonts w:hint="eastAsia" w:ascii="宋体" w:cs="宋体"/>
          <w:color w:val="auto"/>
          <w:szCs w:val="21"/>
          <w:highlight w:val="none"/>
        </w:rPr>
        <w:t>公章。</w:t>
      </w: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61" w:name="OLE_LINK13"/>
      <w:bookmarkStart w:id="362" w:name="OLE_LINK14"/>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p>
    <w:p>
      <w:pPr>
        <w:pStyle w:val="6"/>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2021</w:t>
      </w:r>
      <w:r>
        <w:rPr>
          <w:rFonts w:hint="eastAsia"/>
          <w:b w:val="0"/>
          <w:bCs/>
          <w:color w:val="auto"/>
          <w:sz w:val="21"/>
          <w:szCs w:val="21"/>
          <w:highlight w:val="none"/>
        </w:rPr>
        <w:t>年  月  日</w:t>
      </w:r>
      <w:r>
        <w:rPr>
          <w:rFonts w:hint="eastAsia"/>
          <w:color w:val="auto"/>
          <w:sz w:val="21"/>
          <w:szCs w:val="21"/>
          <w:highlight w:val="none"/>
        </w:rPr>
        <w:br w:type="page"/>
      </w:r>
      <w:bookmarkStart w:id="363" w:name="_Toc512331248"/>
    </w:p>
    <w:p>
      <w:pPr>
        <w:pStyle w:val="6"/>
        <w:rPr>
          <w:bCs/>
          <w:color w:val="auto"/>
          <w:szCs w:val="28"/>
          <w:highlight w:val="none"/>
        </w:rPr>
      </w:pPr>
      <w:r>
        <w:rPr>
          <w:rFonts w:hint="eastAsia"/>
          <w:bCs/>
          <w:color w:val="auto"/>
          <w:szCs w:val="28"/>
          <w:highlight w:val="none"/>
        </w:rPr>
        <w:t>附件12 残疾人福利性单位声明函（如适用）</w:t>
      </w:r>
      <w:bookmarkEnd w:id="363"/>
    </w:p>
    <w:p>
      <w:pPr>
        <w:rPr>
          <w:color w:val="auto"/>
          <w:highlight w:val="none"/>
        </w:rPr>
      </w:pPr>
    </w:p>
    <w:bookmarkEnd w:id="361"/>
    <w:bookmarkEnd w:id="362"/>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报价人基本情况表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报价人</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64" w:name="_Toc81142098"/>
      <w:bookmarkStart w:id="365"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报价人全称（盖公章）：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2.采购人需求书中的服务要求仅为最低要求。报价人在磋商响应文件中必须列出具体报价响应内容。如果报价人只注明“符合”或“满足”，将被视为“不符合”，从而可能导致严重影响评标结果。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3.报价人没有在磋商响应文件中注明偏离（文字说明或在服务、商务偏离表注明）的参数、配置、条款视为报价人完全接受。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注：报价人对竞争性磋商文件的合同（样本）不允许实质性偏离，否则将视为不响应。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64"/>
    <w:bookmarkEnd w:id="365"/>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[说明]报价人应按照竞争性磋商文件的要求，根据采购人需求要求内容做出全面响应并编制服务方案。其内容应包括但不限于：</w:t>
      </w:r>
    </w:p>
    <w:p>
      <w:pPr>
        <w:spacing w:line="360" w:lineRule="auto"/>
        <w:ind w:left="420" w:leftChars="200" w:firstLine="105" w:firstLineChars="50"/>
        <w:rPr>
          <w:rFonts w:ascii="宋体" w:hAnsi="宋体"/>
          <w:bCs/>
          <w:color w:val="auto"/>
          <w:szCs w:val="21"/>
          <w:highlight w:val="none"/>
        </w:rPr>
      </w:pP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zh-CN" w:eastAsia="zh-CN"/>
        </w:rPr>
        <w:t>（1）对所投产品设备技术参数、性能指标、质量及特别带“▲”的响应情况和符合性；</w:t>
      </w: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zh-CN" w:eastAsia="zh-CN"/>
        </w:rPr>
        <w:t>（</w:t>
      </w:r>
      <w:r>
        <w:rPr>
          <w:rFonts w:hint="eastAsia" w:ascii="宋体" w:hAnsi="宋体" w:eastAsia="宋体" w:cs="宋体"/>
          <w:bCs/>
          <w:color w:val="auto"/>
          <w:szCs w:val="20"/>
          <w:highlight w:val="none"/>
          <w:lang w:val="en-US" w:eastAsia="zh-CN"/>
        </w:rPr>
        <w:t>2</w:t>
      </w:r>
      <w:r>
        <w:rPr>
          <w:rFonts w:hint="eastAsia" w:ascii="宋体" w:hAnsi="宋体" w:eastAsia="宋体" w:cs="宋体"/>
          <w:bCs/>
          <w:color w:val="auto"/>
          <w:szCs w:val="20"/>
          <w:highlight w:val="none"/>
          <w:lang w:val="zh-CN" w:eastAsia="zh-CN"/>
        </w:rPr>
        <w:t>）安装方案、安装组织设计及保证措施</w:t>
      </w:r>
      <w:r>
        <w:rPr>
          <w:rFonts w:hint="eastAsia" w:ascii="宋体" w:hAnsi="宋体" w:eastAsia="宋体" w:cs="宋体"/>
          <w:bCs/>
          <w:color w:val="auto"/>
          <w:szCs w:val="20"/>
          <w:highlight w:val="none"/>
          <w:lang w:val="en-US" w:eastAsia="zh-CN"/>
        </w:rPr>
        <w:t>；</w:t>
      </w: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en-US" w:eastAsia="zh-CN"/>
        </w:rPr>
        <w:t>（3）合同履行期进度计划承诺</w:t>
      </w:r>
      <w:r>
        <w:rPr>
          <w:rFonts w:hint="eastAsia" w:ascii="宋体" w:hAnsi="宋体" w:eastAsia="宋体" w:cs="宋体"/>
          <w:bCs/>
          <w:color w:val="auto"/>
          <w:szCs w:val="20"/>
          <w:highlight w:val="none"/>
          <w:lang w:val="zh-CN" w:eastAsia="zh-CN"/>
        </w:rPr>
        <w:t>；</w:t>
      </w: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en-US" w:eastAsia="zh-CN"/>
        </w:rPr>
        <w:t>（</w:t>
      </w:r>
      <w:r>
        <w:rPr>
          <w:rFonts w:hint="eastAsia" w:ascii="宋体" w:hAnsi="宋体" w:cs="宋体"/>
          <w:bCs/>
          <w:color w:val="auto"/>
          <w:szCs w:val="20"/>
          <w:highlight w:val="none"/>
          <w:lang w:val="en-US" w:eastAsia="zh-CN"/>
        </w:rPr>
        <w:t>4</w:t>
      </w:r>
      <w:r>
        <w:rPr>
          <w:rFonts w:hint="eastAsia" w:ascii="宋体" w:hAnsi="宋体" w:eastAsia="宋体" w:cs="宋体"/>
          <w:bCs/>
          <w:color w:val="auto"/>
          <w:szCs w:val="20"/>
          <w:highlight w:val="none"/>
          <w:lang w:val="en-US" w:eastAsia="zh-CN"/>
        </w:rPr>
        <w:t>）文明安全安装措施</w:t>
      </w:r>
      <w:r>
        <w:rPr>
          <w:rFonts w:hint="eastAsia" w:ascii="宋体" w:hAnsi="宋体" w:cs="宋体"/>
          <w:bCs/>
          <w:color w:val="auto"/>
          <w:szCs w:val="20"/>
          <w:highlight w:val="none"/>
          <w:lang w:val="zh-CN" w:eastAsia="zh-CN"/>
        </w:rPr>
        <w:t>。</w:t>
      </w:r>
    </w:p>
    <w:p>
      <w:pPr>
        <w:pStyle w:val="46"/>
        <w:rPr>
          <w:color w:val="auto"/>
          <w:highlight w:val="none"/>
        </w:rPr>
      </w:pPr>
    </w:p>
    <w:p>
      <w:pPr>
        <w:rPr>
          <w:color w:val="auto"/>
          <w:highlight w:val="none"/>
        </w:rPr>
      </w:pPr>
    </w:p>
    <w:p>
      <w:pPr>
        <w:pStyle w:val="97"/>
        <w:rPr>
          <w:b/>
          <w:color w:val="auto"/>
          <w:sz w:val="24"/>
          <w:highlight w:val="none"/>
        </w:rPr>
      </w:pPr>
    </w:p>
    <w:p>
      <w:pPr>
        <w:pStyle w:val="97"/>
        <w:rPr>
          <w:b/>
          <w:color w:val="auto"/>
          <w:sz w:val="24"/>
          <w:highlight w:val="none"/>
        </w:rPr>
      </w:pPr>
    </w:p>
    <w:p>
      <w:pPr>
        <w:pStyle w:val="97"/>
        <w:rPr>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w:t>
      </w:r>
      <w:r>
        <w:rPr>
          <w:rFonts w:hint="eastAsia" w:ascii="宋体" w:hAnsi="宋体"/>
          <w:b/>
          <w:bCs/>
          <w:color w:val="auto"/>
          <w:kern w:val="0"/>
          <w:sz w:val="28"/>
          <w:szCs w:val="28"/>
          <w:highlight w:val="none"/>
          <w:lang w:val="en-US" w:eastAsia="zh-CN"/>
        </w:rPr>
        <w:t>8</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s="Tahoma"/>
          <w:color w:val="auto"/>
          <w:kern w:val="28"/>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从事</w:t>
            </w:r>
            <w:r>
              <w:rPr>
                <w:rFonts w:asciiTheme="minorEastAsia" w:hAnsiTheme="minorEastAsia" w:eastAsiaTheme="minorEastAsia" w:cstheme="minorEastAsia"/>
                <w:color w:val="auto"/>
                <w:sz w:val="21"/>
                <w:szCs w:val="21"/>
                <w:highlight w:val="none"/>
              </w:rPr>
              <w:t>同类</w:t>
            </w:r>
            <w:r>
              <w:rPr>
                <w:rFonts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注：1.在合同执行期间，成交报价人须设立项目负责人和专业专职的主要技术及服务人员，并在上表中列明；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089"/>
        <w:gridCol w:w="1131"/>
        <w:gridCol w:w="108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5089"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1"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08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3"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5089"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★具有良好的商业信誉和健全的财务会计制度【提供20</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年或20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年的财务状况报告或基本开户行（提供开户许可证）出具的资信证明复印件。如报价人为新注册的，提供成立至今的月或季度财务状况报告复印件】</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5089"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089"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★放射性核素限量：参照GB6566-2010《建筑材料放射性核素限量》标准，检测结果必须符合：内照射指数≤0.01；外照射指数≤0.03；须提供检测机构出具的辐射限量检测报告；</w:t>
            </w:r>
          </w:p>
        </w:tc>
        <w:tc>
          <w:tcPr>
            <w:tcW w:w="1131" w:type="dxa"/>
            <w:vAlign w:val="center"/>
          </w:tcPr>
          <w:p>
            <w:pPr>
              <w:spacing w:before="240" w:line="360" w:lineRule="auto"/>
              <w:ind w:left="902" w:hanging="902"/>
              <w:jc w:val="center"/>
              <w:rPr>
                <w:rFonts w:ascii="宋体" w:hAnsi="宋体"/>
                <w:color w:val="auto"/>
                <w:szCs w:val="21"/>
                <w:highlight w:val="none"/>
              </w:rPr>
            </w:pPr>
          </w:p>
        </w:tc>
        <w:tc>
          <w:tcPr>
            <w:tcW w:w="1084" w:type="dxa"/>
            <w:vAlign w:val="center"/>
          </w:tcPr>
          <w:p>
            <w:pPr>
              <w:spacing w:before="240" w:line="360" w:lineRule="auto"/>
              <w:ind w:left="902" w:hanging="902"/>
              <w:jc w:val="center"/>
              <w:rPr>
                <w:rFonts w:ascii="宋体" w:hAnsi="宋体"/>
                <w:color w:val="auto"/>
                <w:szCs w:val="21"/>
                <w:highlight w:val="none"/>
              </w:rPr>
            </w:pPr>
          </w:p>
        </w:tc>
        <w:tc>
          <w:tcPr>
            <w:tcW w:w="1073"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r>
        <w:rPr>
          <w:rFonts w:hint="eastAsia" w:ascii="宋体" w:hAnsi="宋体"/>
          <w:b/>
          <w:bCs/>
          <w:color w:val="auto"/>
          <w:szCs w:val="21"/>
          <w:highlight w:val="none"/>
        </w:rPr>
        <w:t>说明：1、报价人必须对应竞争性磋商文件的 “★”号条款逐条应答并按要求填写下表。</w:t>
      </w:r>
    </w:p>
    <w:p>
      <w:pPr>
        <w:spacing w:line="360" w:lineRule="auto"/>
        <w:ind w:left="718" w:leftChars="342"/>
        <w:rPr>
          <w:rFonts w:hint="eastAsia" w:ascii="宋体" w:hAnsi="宋体"/>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2"/>
      <w:bookmarkEnd w:id="341"/>
      <w:bookmarkEnd w:id="342"/>
      <w:bookmarkEnd w:id="343"/>
      <w:bookmarkEnd w:id="344"/>
      <w:bookmarkEnd w:id="345"/>
      <w:bookmarkEnd w:id="347"/>
      <w:bookmarkEnd w:id="348"/>
      <w:bookmarkEnd w:id="349"/>
      <w:bookmarkEnd w:id="350"/>
      <w:bookmarkEnd w:id="351"/>
      <w:bookmarkEnd w:id="352"/>
      <w:bookmarkEnd w:id="353"/>
      <w:bookmarkEnd w:id="354"/>
      <w:bookmarkEnd w:id="355"/>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▲条款响应一览表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47" w:type="dxa"/>
            <w:tcBorders>
              <w:left w:val="single" w:color="000000" w:sz="4" w:space="0"/>
            </w:tcBorders>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带“▲”号响应内容</w:t>
            </w:r>
          </w:p>
        </w:tc>
        <w:tc>
          <w:tcPr>
            <w:tcW w:w="108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187"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105"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▲承载测试：提供破坏载荷满足测试样品为：</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lang w:val="en-US" w:eastAsia="zh-CN"/>
              </w:rPr>
              <w:t>750×750mm（加载面积：</w:t>
            </w:r>
            <w:r>
              <w:rPr>
                <w:rFonts w:hint="eastAsia" w:ascii="宋体" w:hAnsi="宋体" w:cs="宋体"/>
                <w:i w:val="0"/>
                <w:color w:val="auto"/>
                <w:kern w:val="0"/>
                <w:sz w:val="21"/>
                <w:szCs w:val="21"/>
                <w:highlight w:val="none"/>
                <w:u w:val="none"/>
                <w:lang w:val="en-US" w:eastAsia="zh-CN" w:bidi="ar"/>
              </w:rPr>
              <w:t>约</w:t>
            </w:r>
            <w:r>
              <w:rPr>
                <w:rFonts w:hint="eastAsia" w:ascii="宋体" w:cs="宋体"/>
                <w:color w:val="auto"/>
                <w:kern w:val="0"/>
                <w:sz w:val="21"/>
                <w:szCs w:val="21"/>
                <w:highlight w:val="none"/>
                <w:lang w:val="en-US" w:eastAsia="zh-CN"/>
              </w:rPr>
              <w:t>650×650mm）；均匀施加500kg载荷，保载：65h，测试结果为未破坏的检测报告。</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▲耐高温：耐高温不低于1550℃,提供国家建筑材料测试中心的检测报告</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▲为确保实验人员的操作安全，储水量：依据实验室陶瓷台面DIN相关要求参照DINEN12916:1995-10,条款4.2，检测报告中被检测的样品为碟形陶瓷台面，厚度为18/25mm，检测结果容量为≥5L的检测报告。</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▲抗细菌：参照JC/T 897-2014 ，检测项目为：肺炎克雷伯氏菌，检测结果为≥99.13%，提供国家化学建筑材料测试中心的检测报告。</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▲所选台面品牌质量具有公认的独立慧见标识：如IC-mark论证。</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▲重金属检测：检测项目为：(可溶性铅、镉），检测样品为一体实芯黑色坯体陶瓷板，参照GB18586-2001的测试方法，提供国家化学建筑材料测试中心的检测报告，检测结果未检出。</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r>
              <w:rPr>
                <w:rFonts w:hint="eastAsia" w:ascii="宋体" w:cs="宋体"/>
                <w:color w:val="auto"/>
                <w:kern w:val="0"/>
                <w:sz w:val="21"/>
                <w:szCs w:val="21"/>
                <w:highlight w:val="none"/>
                <w:lang w:val="en-US" w:eastAsia="zh-CN"/>
              </w:rPr>
              <w:t>▲耐化学性能：提供国家化学建筑材料测试中心出具的，检测样品为一体实芯黑色胚体陶瓷板，参照GB/T17657-2013，检测内容为63项常用化学试剂，检测结果为：62项无明显变化。</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说明：1、报价人必须对应采购文件的 “</w:t>
      </w:r>
      <w:r>
        <w:rPr>
          <w:rFonts w:hint="eastAsia" w:ascii="宋体" w:hAnsi="宋体" w:cs="宋体"/>
          <w:color w:val="auto"/>
          <w:szCs w:val="21"/>
          <w:highlight w:val="none"/>
        </w:rPr>
        <w:t>▲</w:t>
      </w:r>
      <w:r>
        <w:rPr>
          <w:rFonts w:hint="eastAsia" w:ascii="宋体" w:hAnsi="宋体" w:cs="宋体"/>
          <w:b/>
          <w:bCs/>
          <w:color w:val="auto"/>
          <w:szCs w:val="21"/>
          <w:highlight w:val="none"/>
        </w:rPr>
        <w:t>”号条款逐条应答并按要求填写下表。</w:t>
      </w:r>
    </w:p>
    <w:p>
      <w:pPr>
        <w:rPr>
          <w:rFonts w:ascii="宋体" w:hAnsi="宋体" w:cs="宋体"/>
          <w:b/>
          <w:bCs/>
          <w:color w:val="auto"/>
          <w:kern w:val="0"/>
          <w:sz w:val="24"/>
          <w:highlight w:val="none"/>
        </w:rPr>
      </w:pPr>
      <w:r>
        <w:rPr>
          <w:rFonts w:hint="eastAsia" w:ascii="宋体" w:hAnsi="宋体" w:cs="宋体"/>
          <w:b/>
          <w:bCs/>
          <w:color w:val="auto"/>
          <w:szCs w:val="21"/>
          <w:highlight w:val="none"/>
        </w:rPr>
        <w:t>2、对完全响应的条目在下表相应列中标注“○”。对有偏离的条目在下表相应列中标注“×”，并简述偏离内容。</w:t>
      </w: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报价人全称（加盖公章）: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法定代表或其授权代表(</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p>
    <w:p>
      <w:pPr>
        <w:rPr>
          <w:rFonts w:ascii="宋体" w:hAnsi="宋体"/>
          <w:b/>
          <w:bCs/>
          <w:color w:val="auto"/>
          <w:kern w:val="0"/>
          <w:sz w:val="28"/>
          <w:szCs w:val="28"/>
          <w:highlight w:val="none"/>
        </w:rPr>
      </w:pPr>
      <w:r>
        <w:rPr>
          <w:rFonts w:hint="eastAsia" w:ascii="宋体" w:hAnsi="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报价人认为有必要说明的其他文件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7"/>
                      <w:rPr>
                        <w:rStyle w:val="9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54</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69842"/>
    <w:multiLevelType w:val="singleLevel"/>
    <w:tmpl w:val="86169842"/>
    <w:lvl w:ilvl="0" w:tentative="0">
      <w:start w:val="2"/>
      <w:numFmt w:val="decimal"/>
      <w:lvlText w:val="%1."/>
      <w:lvlJc w:val="left"/>
      <w:pPr>
        <w:tabs>
          <w:tab w:val="left" w:pos="312"/>
        </w:tabs>
      </w:pPr>
    </w:lvl>
  </w:abstractNum>
  <w:abstractNum w:abstractNumId="1">
    <w:nsid w:val="AA3C9FC2"/>
    <w:multiLevelType w:val="singleLevel"/>
    <w:tmpl w:val="AA3C9FC2"/>
    <w:lvl w:ilvl="0" w:tentative="0">
      <w:start w:val="1"/>
      <w:numFmt w:val="upperLetter"/>
      <w:lvlText w:val="%1."/>
      <w:lvlJc w:val="left"/>
      <w:pPr>
        <w:tabs>
          <w:tab w:val="left" w:pos="312"/>
        </w:tabs>
        <w:ind w:left="315" w:firstLine="0"/>
      </w:pPr>
    </w:lvl>
  </w:abstractNum>
  <w:abstractNum w:abstractNumId="2">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4">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10">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285B32B"/>
    <w:multiLevelType w:val="singleLevel"/>
    <w:tmpl w:val="6285B32B"/>
    <w:lvl w:ilvl="0" w:tentative="0">
      <w:start w:val="2"/>
      <w:numFmt w:val="decimal"/>
      <w:suff w:val="nothing"/>
      <w:lvlText w:val="（%1）"/>
      <w:lvlJc w:val="left"/>
    </w:lvl>
  </w:abstractNum>
  <w:abstractNum w:abstractNumId="14">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lvlOverride w:ilvl="0">
      <w:startOverride w:val="1"/>
    </w:lvlOverride>
  </w:num>
  <w:num w:numId="2">
    <w:abstractNumId w:val="3"/>
  </w:num>
  <w:num w:numId="3">
    <w:abstractNumId w:val="14"/>
  </w:num>
  <w:num w:numId="4">
    <w:abstractNumId w:val="12"/>
  </w:num>
  <w:num w:numId="5">
    <w:abstractNumId w:val="10"/>
  </w:num>
  <w:num w:numId="6">
    <w:abstractNumId w:val="0"/>
  </w:num>
  <w:num w:numId="7">
    <w:abstractNumId w:val="13"/>
  </w:num>
  <w:num w:numId="8">
    <w:abstractNumId w:val="1"/>
  </w:num>
  <w:num w:numId="9">
    <w:abstractNumId w:val="9"/>
  </w:num>
  <w:num w:numId="10">
    <w:abstractNumId w:val="17"/>
  </w:num>
  <w:num w:numId="11">
    <w:abstractNumId w:val="4"/>
  </w:num>
  <w:num w:numId="12">
    <w:abstractNumId w:val="15"/>
  </w:num>
  <w:num w:numId="13">
    <w:abstractNumId w:val="7"/>
  </w:num>
  <w:num w:numId="14">
    <w:abstractNumId w:val="11"/>
  </w:num>
  <w:num w:numId="15">
    <w:abstractNumId w:val="5"/>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4544BB"/>
    <w:rsid w:val="005054B5"/>
    <w:rsid w:val="00511485"/>
    <w:rsid w:val="00542854"/>
    <w:rsid w:val="00545874"/>
    <w:rsid w:val="00553854"/>
    <w:rsid w:val="006E4DAE"/>
    <w:rsid w:val="007A5220"/>
    <w:rsid w:val="007C756C"/>
    <w:rsid w:val="00801945"/>
    <w:rsid w:val="00822326"/>
    <w:rsid w:val="00845AC9"/>
    <w:rsid w:val="008E4121"/>
    <w:rsid w:val="009F7297"/>
    <w:rsid w:val="00A50D6E"/>
    <w:rsid w:val="00C56CAD"/>
    <w:rsid w:val="00C86501"/>
    <w:rsid w:val="00CD3B18"/>
    <w:rsid w:val="00D71D8C"/>
    <w:rsid w:val="00D75658"/>
    <w:rsid w:val="00D908A5"/>
    <w:rsid w:val="00E6627F"/>
    <w:rsid w:val="00FA526C"/>
    <w:rsid w:val="01980809"/>
    <w:rsid w:val="02E62206"/>
    <w:rsid w:val="05006FA0"/>
    <w:rsid w:val="0639033A"/>
    <w:rsid w:val="06421AB1"/>
    <w:rsid w:val="07161791"/>
    <w:rsid w:val="084429CB"/>
    <w:rsid w:val="08694ADA"/>
    <w:rsid w:val="09407E21"/>
    <w:rsid w:val="0A9A3C00"/>
    <w:rsid w:val="0AE11E48"/>
    <w:rsid w:val="0BF136BB"/>
    <w:rsid w:val="0C045CD2"/>
    <w:rsid w:val="0CDF06FD"/>
    <w:rsid w:val="0D7E5EAD"/>
    <w:rsid w:val="0D8152E8"/>
    <w:rsid w:val="0D8D2929"/>
    <w:rsid w:val="0E294FAB"/>
    <w:rsid w:val="0E4105B3"/>
    <w:rsid w:val="105C59F3"/>
    <w:rsid w:val="10D149BD"/>
    <w:rsid w:val="113F7D71"/>
    <w:rsid w:val="1143396C"/>
    <w:rsid w:val="11A42212"/>
    <w:rsid w:val="13534EBF"/>
    <w:rsid w:val="137179C0"/>
    <w:rsid w:val="138013E6"/>
    <w:rsid w:val="1554593F"/>
    <w:rsid w:val="167654DF"/>
    <w:rsid w:val="16A36F9A"/>
    <w:rsid w:val="199B7D6D"/>
    <w:rsid w:val="1A251978"/>
    <w:rsid w:val="1A3C0A9F"/>
    <w:rsid w:val="1A4C5B34"/>
    <w:rsid w:val="1B62425E"/>
    <w:rsid w:val="1B9B22B5"/>
    <w:rsid w:val="1C245DE6"/>
    <w:rsid w:val="1D461912"/>
    <w:rsid w:val="1D633DE0"/>
    <w:rsid w:val="1D9C254F"/>
    <w:rsid w:val="1F1539B4"/>
    <w:rsid w:val="1F9E3FD7"/>
    <w:rsid w:val="20630372"/>
    <w:rsid w:val="20AB499A"/>
    <w:rsid w:val="210359FE"/>
    <w:rsid w:val="210C2156"/>
    <w:rsid w:val="216E2E07"/>
    <w:rsid w:val="22535329"/>
    <w:rsid w:val="22BF6C29"/>
    <w:rsid w:val="22C869D7"/>
    <w:rsid w:val="2301305E"/>
    <w:rsid w:val="233D3FD3"/>
    <w:rsid w:val="242C59D1"/>
    <w:rsid w:val="24EE7B33"/>
    <w:rsid w:val="255A3784"/>
    <w:rsid w:val="261C0F45"/>
    <w:rsid w:val="26DE6E46"/>
    <w:rsid w:val="2988523F"/>
    <w:rsid w:val="2A1810D7"/>
    <w:rsid w:val="2A4464A6"/>
    <w:rsid w:val="2B8F5A11"/>
    <w:rsid w:val="2CC3315B"/>
    <w:rsid w:val="2E306885"/>
    <w:rsid w:val="2F030788"/>
    <w:rsid w:val="2F4A2ADE"/>
    <w:rsid w:val="32711968"/>
    <w:rsid w:val="348E0D5D"/>
    <w:rsid w:val="354A32AA"/>
    <w:rsid w:val="35504E75"/>
    <w:rsid w:val="370D4E81"/>
    <w:rsid w:val="39144DD2"/>
    <w:rsid w:val="39613E61"/>
    <w:rsid w:val="3A817547"/>
    <w:rsid w:val="3B91650A"/>
    <w:rsid w:val="3C47493F"/>
    <w:rsid w:val="3CE25F07"/>
    <w:rsid w:val="3D116FAF"/>
    <w:rsid w:val="40B056D5"/>
    <w:rsid w:val="40F2232A"/>
    <w:rsid w:val="413E03B5"/>
    <w:rsid w:val="422B07EA"/>
    <w:rsid w:val="433C464F"/>
    <w:rsid w:val="45816D95"/>
    <w:rsid w:val="45BC0B50"/>
    <w:rsid w:val="47F7074A"/>
    <w:rsid w:val="48BB5163"/>
    <w:rsid w:val="498664A7"/>
    <w:rsid w:val="4BA44348"/>
    <w:rsid w:val="4BC27EF0"/>
    <w:rsid w:val="4BD95E6C"/>
    <w:rsid w:val="4DBE3804"/>
    <w:rsid w:val="4E5221B2"/>
    <w:rsid w:val="4ECA1C10"/>
    <w:rsid w:val="500819AE"/>
    <w:rsid w:val="51F3066E"/>
    <w:rsid w:val="52A95F17"/>
    <w:rsid w:val="54A35848"/>
    <w:rsid w:val="55137FB5"/>
    <w:rsid w:val="56A0651B"/>
    <w:rsid w:val="594E7C18"/>
    <w:rsid w:val="5CE9656C"/>
    <w:rsid w:val="5CED4227"/>
    <w:rsid w:val="5DE55A9A"/>
    <w:rsid w:val="5E363818"/>
    <w:rsid w:val="5E421EBB"/>
    <w:rsid w:val="5F1123F4"/>
    <w:rsid w:val="5F4F61BA"/>
    <w:rsid w:val="5F9100C4"/>
    <w:rsid w:val="613F1AFA"/>
    <w:rsid w:val="61C679A6"/>
    <w:rsid w:val="62113364"/>
    <w:rsid w:val="629F1549"/>
    <w:rsid w:val="633406B9"/>
    <w:rsid w:val="6468148A"/>
    <w:rsid w:val="65FE204E"/>
    <w:rsid w:val="66CD6C6A"/>
    <w:rsid w:val="68BC1C18"/>
    <w:rsid w:val="6C3237AC"/>
    <w:rsid w:val="6CF57457"/>
    <w:rsid w:val="6D08160C"/>
    <w:rsid w:val="6D6E5707"/>
    <w:rsid w:val="6D757E5C"/>
    <w:rsid w:val="6DBB2FB8"/>
    <w:rsid w:val="6E032189"/>
    <w:rsid w:val="6E7252CC"/>
    <w:rsid w:val="7151618F"/>
    <w:rsid w:val="73E10AC3"/>
    <w:rsid w:val="76AC3FB9"/>
    <w:rsid w:val="77D008D6"/>
    <w:rsid w:val="782D5791"/>
    <w:rsid w:val="785574EC"/>
    <w:rsid w:val="78E967AD"/>
    <w:rsid w:val="79C925F3"/>
    <w:rsid w:val="7A773046"/>
    <w:rsid w:val="7B0503DB"/>
    <w:rsid w:val="7B2E0E6C"/>
    <w:rsid w:val="7B3D7122"/>
    <w:rsid w:val="7CC65E6E"/>
    <w:rsid w:val="7CE37D39"/>
    <w:rsid w:val="7D8D6193"/>
    <w:rsid w:val="7E7E2AD4"/>
    <w:rsid w:val="7F141DD7"/>
    <w:rsid w:val="7F601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paragraph" w:customStyle="1" w:styleId="97">
    <w:name w:val="样式 宋体 小四 行距: 1.5 倍行距"/>
    <w:basedOn w:val="1"/>
    <w:qFormat/>
    <w:uiPriority w:val="0"/>
    <w:rPr>
      <w:rFonts w:ascii="宋体" w:hAnsi="宋体" w:cs="宋体"/>
      <w:sz w:val="28"/>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列出段落1"/>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12"/>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 w:type="character" w:customStyle="1" w:styleId="220">
    <w:name w:val="font71"/>
    <w:basedOn w:val="92"/>
    <w:qFormat/>
    <w:uiPriority w:val="0"/>
    <w:rPr>
      <w:rFonts w:hint="default" w:ascii="Times New Roman" w:hAnsi="Times New Roman" w:cs="Times New Roman"/>
      <w:color w:val="000000"/>
      <w:sz w:val="20"/>
      <w:szCs w:val="20"/>
      <w:u w:val="none"/>
    </w:rPr>
  </w:style>
  <w:style w:type="character" w:customStyle="1" w:styleId="221">
    <w:name w:val="font11"/>
    <w:basedOn w:val="92"/>
    <w:qFormat/>
    <w:uiPriority w:val="0"/>
    <w:rPr>
      <w:rFonts w:hint="eastAsia" w:ascii="宋体" w:hAnsi="宋体" w:eastAsia="宋体" w:cs="宋体"/>
      <w:color w:val="000000"/>
      <w:sz w:val="22"/>
      <w:szCs w:val="22"/>
      <w:u w:val="none"/>
    </w:rPr>
  </w:style>
  <w:style w:type="character" w:customStyle="1" w:styleId="222">
    <w:name w:val="font101"/>
    <w:basedOn w:val="92"/>
    <w:qFormat/>
    <w:uiPriority w:val="0"/>
    <w:rPr>
      <w:rFonts w:hint="eastAsia" w:ascii="宋体" w:hAnsi="宋体" w:eastAsia="宋体" w:cs="宋体"/>
      <w:color w:val="000000"/>
      <w:sz w:val="22"/>
      <w:szCs w:val="22"/>
      <w:u w:val="none"/>
    </w:rPr>
  </w:style>
  <w:style w:type="character" w:customStyle="1" w:styleId="223">
    <w:name w:val="font81"/>
    <w:basedOn w:val="92"/>
    <w:qFormat/>
    <w:uiPriority w:val="0"/>
    <w:rPr>
      <w:rFonts w:hint="eastAsia" w:ascii="宋体" w:hAnsi="宋体" w:eastAsia="宋体" w:cs="宋体"/>
      <w:color w:val="000000"/>
      <w:sz w:val="20"/>
      <w:szCs w:val="20"/>
      <w:u w:val="none"/>
    </w:rPr>
  </w:style>
  <w:style w:type="character" w:customStyle="1" w:styleId="224">
    <w:name w:val="font131"/>
    <w:basedOn w:val="9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9918</Words>
  <Characters>56537</Characters>
  <Lines>471</Lines>
  <Paragraphs>132</Paragraphs>
  <TotalTime>5</TotalTime>
  <ScaleCrop>false</ScaleCrop>
  <LinksUpToDate>false</LinksUpToDate>
  <CharactersWithSpaces>66323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2021-01-26T03:24:08Z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