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bookmarkStart w:id="370" w:name="_GoBack"/>
    </w:p>
    <w:p>
      <w:pPr>
        <w:spacing w:line="360" w:lineRule="auto"/>
        <w:rPr>
          <w:rFonts w:ascii="宋体" w:hAnsi="宋体"/>
          <w:b/>
          <w:bCs/>
          <w:color w:val="auto"/>
          <w:spacing w:val="100"/>
          <w:sz w:val="28"/>
          <w:szCs w:val="28"/>
          <w:highlight w:val="none"/>
        </w:rPr>
      </w:pPr>
    </w:p>
    <w:p>
      <w:pPr>
        <w:pStyle w:val="88"/>
        <w:ind w:firstLine="301"/>
        <w:rPr>
          <w:color w:val="auto"/>
          <w:highlight w:val="none"/>
        </w:rPr>
      </w:pPr>
    </w:p>
    <w:p>
      <w:pPr>
        <w:pStyle w:val="88"/>
        <w:ind w:firstLine="301"/>
        <w:rPr>
          <w:color w:val="auto"/>
          <w:highlight w:val="none"/>
        </w:rPr>
      </w:pPr>
    </w:p>
    <w:p>
      <w:pPr>
        <w:spacing w:line="480" w:lineRule="auto"/>
        <w:jc w:val="center"/>
        <w:rPr>
          <w:rFonts w:ascii="宋体" w:hAnsi="宋体"/>
          <w:b/>
          <w:color w:val="auto"/>
          <w:sz w:val="30"/>
          <w:szCs w:val="30"/>
          <w:highlight w:val="none"/>
        </w:rPr>
      </w:pPr>
      <w:r>
        <w:rPr>
          <w:rFonts w:hint="eastAsia" w:ascii="宋体" w:hAnsi="宋体"/>
          <w:b/>
          <w:color w:val="auto"/>
          <w:sz w:val="30"/>
          <w:szCs w:val="30"/>
          <w:highlight w:val="none"/>
        </w:rPr>
        <w:t xml:space="preserve">项目名称：东晋企业生产人员排水排污管道整改工程 </w:t>
      </w:r>
    </w:p>
    <w:p>
      <w:pPr>
        <w:spacing w:line="480" w:lineRule="auto"/>
        <w:jc w:val="center"/>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项目编号：</w:t>
      </w:r>
      <w:r>
        <w:rPr>
          <w:rFonts w:hint="eastAsia" w:ascii="宋体" w:hAnsi="宋体"/>
          <w:b/>
          <w:color w:val="auto"/>
          <w:sz w:val="30"/>
          <w:szCs w:val="30"/>
          <w:highlight w:val="none"/>
          <w:lang w:eastAsia="zh-CN"/>
        </w:rPr>
        <w:t>202012-184098-0070</w:t>
      </w:r>
    </w:p>
    <w:p>
      <w:pPr>
        <w:spacing w:line="360" w:lineRule="auto"/>
        <w:rPr>
          <w:rFonts w:ascii="宋体" w:hAnsi="宋体"/>
          <w:color w:val="auto"/>
          <w:sz w:val="84"/>
          <w:highlight w:val="none"/>
        </w:rPr>
      </w:pPr>
    </w:p>
    <w:p>
      <w:pPr>
        <w:pStyle w:val="2"/>
        <w:rPr>
          <w:color w:val="auto"/>
          <w:highlight w:val="none"/>
        </w:rPr>
      </w:pPr>
    </w:p>
    <w:p>
      <w:pPr>
        <w:spacing w:line="360" w:lineRule="auto"/>
        <w:ind w:firstLine="1687" w:firstLineChars="200"/>
        <w:rPr>
          <w:rFonts w:ascii="宋体" w:hAnsi="宋体"/>
          <w:color w:val="auto"/>
          <w:sz w:val="32"/>
          <w:szCs w:val="32"/>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pStyle w:val="2"/>
        <w:rPr>
          <w:color w:val="auto"/>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 xml:space="preserve">采   购   人： </w:t>
      </w:r>
      <w:r>
        <w:rPr>
          <w:rFonts w:hint="eastAsia" w:ascii="宋体" w:hAnsi="宋体" w:cs="宋体"/>
          <w:b/>
          <w:bCs/>
          <w:color w:val="auto"/>
          <w:sz w:val="30"/>
          <w:szCs w:val="30"/>
          <w:highlight w:val="none"/>
        </w:rPr>
        <w:t>广州市东晋企业发展公司</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6"/>
          <w:rFonts w:ascii="宋体" w:hAnsi="宋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417" w:bottom="1134" w:left="1417" w:header="567" w:footer="737" w:gutter="0"/>
          <w:cols w:space="720" w:num="1"/>
          <w:titlePg/>
          <w:docGrid w:linePitch="312" w:charSpace="0"/>
        </w:sectPr>
      </w:pPr>
      <w:r>
        <w:rPr>
          <w:rFonts w:hint="eastAsia" w:ascii="宋体" w:hAnsi="宋体"/>
          <w:b/>
          <w:color w:val="auto"/>
          <w:sz w:val="30"/>
          <w:szCs w:val="30"/>
          <w:highlight w:val="none"/>
        </w:rPr>
        <w:t>日        期：</w:t>
      </w:r>
      <w:bookmarkStart w:id="0" w:name="_Toc28489433"/>
      <w:bookmarkStart w:id="1" w:name="_Toc14450806"/>
      <w:r>
        <w:rPr>
          <w:rStyle w:val="96"/>
          <w:rFonts w:hint="eastAsia" w:ascii="宋体" w:hAnsi="宋体"/>
          <w:b/>
          <w:color w:val="auto"/>
          <w:sz w:val="30"/>
          <w:szCs w:val="30"/>
          <w:highlight w:val="none"/>
          <w:u w:val="none"/>
        </w:rPr>
        <w:t xml:space="preserve"> 二○二○年十二月</w:t>
      </w:r>
    </w:p>
    <w:p>
      <w:pPr>
        <w:spacing w:beforeLines="50" w:afterLines="50" w:line="360" w:lineRule="auto"/>
        <w:rPr>
          <w:rFonts w:ascii="宋体" w:hAnsi="宋体"/>
          <w:b/>
          <w:color w:val="auto"/>
          <w:sz w:val="36"/>
          <w:highlight w:val="none"/>
        </w:rPr>
      </w:pPr>
    </w:p>
    <w:p>
      <w:pPr>
        <w:spacing w:beforeLines="5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请仔细检查投标/报价文件是否已按竞争性磋商文件要求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竞争性磋商文件而决定不参加本次投标/报价的供应商，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（本提示内容非竞争性磋商文件的组成部分，仅为善意提醒。如有不一致，以竞争性磋商文件为准）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Lines="100" w:afterLines="100" w:line="360" w:lineRule="auto"/>
        <w:rPr>
          <w:rStyle w:val="96"/>
          <w:rFonts w:ascii="宋体" w:hAnsi="宋体"/>
          <w:smallCaps/>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6"/>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6"/>
          <w:rFonts w:hint="eastAsia"/>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6"/>
          <w:rFonts w:hint="eastAsia"/>
          <w:color w:val="auto"/>
          <w:sz w:val="28"/>
          <w:szCs w:val="28"/>
          <w:highlight w:val="none"/>
        </w:rPr>
        <w:t>第二章 竞争性磋商须</w:t>
      </w:r>
      <w:bookmarkStart w:id="2" w:name="_Hlt509928387"/>
      <w:r>
        <w:rPr>
          <w:rStyle w:val="96"/>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9</w:t>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6"/>
          <w:rFonts w:hint="eastAsia"/>
          <w:color w:val="auto"/>
          <w:sz w:val="28"/>
          <w:szCs w:val="28"/>
          <w:highlight w:val="none"/>
        </w:rPr>
        <w:t>第三章 采购人</w:t>
      </w:r>
      <w:bookmarkStart w:id="3" w:name="_Hlt510014101"/>
      <w:r>
        <w:rPr>
          <w:rStyle w:val="96"/>
          <w:rFonts w:hint="eastAsia"/>
          <w:color w:val="auto"/>
          <w:sz w:val="28"/>
          <w:szCs w:val="28"/>
          <w:highlight w:val="none"/>
        </w:rPr>
        <w:t>需</w:t>
      </w:r>
      <w:bookmarkEnd w:id="3"/>
      <w:bookmarkStart w:id="4" w:name="_Hlt510971526"/>
      <w:r>
        <w:rPr>
          <w:rStyle w:val="96"/>
          <w:rFonts w:hint="eastAsia"/>
          <w:color w:val="auto"/>
          <w:sz w:val="28"/>
          <w:szCs w:val="28"/>
          <w:highlight w:val="none"/>
        </w:rPr>
        <w:t>求</w:t>
      </w:r>
      <w:bookmarkEnd w:id="4"/>
      <w:bookmarkStart w:id="5" w:name="_Hlt510014036"/>
      <w:bookmarkStart w:id="6" w:name="_Hlt510014037"/>
      <w:r>
        <w:rPr>
          <w:rStyle w:val="96"/>
          <w:rFonts w:hint="eastAsia"/>
          <w:color w:val="auto"/>
          <w:sz w:val="28"/>
          <w:szCs w:val="28"/>
          <w:highlight w:val="none"/>
        </w:rPr>
        <w:t>书</w:t>
      </w:r>
      <w:bookmarkEnd w:id="5"/>
      <w:bookmarkEnd w:id="6"/>
      <w:bookmarkStart w:id="7" w:name="_Hlt509991847"/>
      <w:bookmarkStart w:id="8" w:name="_Hlt509994710"/>
      <w:bookmarkStart w:id="9" w:name="_Hlt509994711"/>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w:t>
      </w:r>
      <w:r>
        <w:rPr>
          <w:rFonts w:hint="eastAsia"/>
          <w:color w:val="auto"/>
          <w:sz w:val="28"/>
          <w:szCs w:val="28"/>
          <w:highlight w:val="none"/>
          <w:lang w:val="en-US" w:eastAsia="zh-CN"/>
        </w:rPr>
        <w:t>6</w:t>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6"/>
          <w:rFonts w:hint="eastAsia"/>
          <w:color w:val="auto"/>
          <w:sz w:val="28"/>
          <w:szCs w:val="28"/>
          <w:highlight w:val="none"/>
        </w:rPr>
        <w:t xml:space="preserve">第四章 </w:t>
      </w:r>
      <w:bookmarkStart w:id="10" w:name="_Hlt511828826"/>
      <w:r>
        <w:rPr>
          <w:rStyle w:val="96"/>
          <w:rFonts w:hint="eastAsia"/>
          <w:color w:val="auto"/>
          <w:sz w:val="28"/>
          <w:szCs w:val="28"/>
          <w:highlight w:val="none"/>
        </w:rPr>
        <w:t>政府采购合同（</w:t>
      </w:r>
      <w:bookmarkEnd w:id="10"/>
      <w:r>
        <w:rPr>
          <w:rStyle w:val="96"/>
          <w:rFonts w:hint="eastAsia"/>
          <w:color w:val="auto"/>
          <w:sz w:val="28"/>
          <w:szCs w:val="28"/>
          <w:highlight w:val="none"/>
        </w:rPr>
        <w:t>样本）</w:t>
      </w:r>
      <w:r>
        <w:rPr>
          <w:rStyle w:val="96"/>
          <w:rFonts w:hint="eastAsia"/>
          <w:color w:val="auto"/>
          <w:sz w:val="28"/>
          <w:szCs w:val="28"/>
          <w:highlight w:val="none"/>
        </w:rPr>
        <w:fldChar w:fldCharType="end"/>
      </w:r>
      <w:r>
        <w:rPr>
          <w:rFonts w:hint="eastAsia"/>
          <w:color w:val="auto"/>
          <w:sz w:val="28"/>
          <w:szCs w:val="28"/>
          <w:highlight w:val="none"/>
        </w:rPr>
        <w:t>........................................................................3</w:t>
      </w:r>
      <w:r>
        <w:rPr>
          <w:rFonts w:hint="eastAsia"/>
          <w:color w:val="auto"/>
          <w:sz w:val="28"/>
          <w:szCs w:val="28"/>
          <w:highlight w:val="none"/>
          <w:lang w:val="en-US" w:eastAsia="zh-CN"/>
        </w:rPr>
        <w:t>1</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6"/>
          <w:rFonts w:hint="eastAsia"/>
          <w:color w:val="auto"/>
          <w:sz w:val="28"/>
          <w:szCs w:val="28"/>
          <w:highlight w:val="none"/>
        </w:rPr>
        <w:t>第五章 评分</w:t>
      </w:r>
      <w:bookmarkStart w:id="11" w:name="_Hlt509997395"/>
      <w:r>
        <w:rPr>
          <w:rStyle w:val="96"/>
          <w:rFonts w:hint="eastAsia"/>
          <w:color w:val="auto"/>
          <w:sz w:val="28"/>
          <w:szCs w:val="28"/>
          <w:highlight w:val="none"/>
        </w:rPr>
        <w:t>体</w:t>
      </w:r>
      <w:bookmarkEnd w:id="11"/>
      <w:bookmarkStart w:id="12" w:name="_Hlt475104622"/>
      <w:r>
        <w:rPr>
          <w:rStyle w:val="96"/>
          <w:rFonts w:hint="eastAsia"/>
          <w:color w:val="auto"/>
          <w:sz w:val="28"/>
          <w:szCs w:val="28"/>
          <w:highlight w:val="none"/>
        </w:rPr>
        <w:t>系</w:t>
      </w:r>
      <w:bookmarkEnd w:id="12"/>
      <w:bookmarkStart w:id="13" w:name="_Hlt510014093"/>
      <w:bookmarkStart w:id="14" w:name="_Hlt509932461"/>
      <w:bookmarkStart w:id="15" w:name="_Hlt509932460"/>
      <w:r>
        <w:rPr>
          <w:rStyle w:val="96"/>
          <w:rFonts w:hint="eastAsia"/>
          <w:color w:val="auto"/>
          <w:sz w:val="28"/>
          <w:szCs w:val="28"/>
          <w:highlight w:val="none"/>
        </w:rPr>
        <w:t>与</w:t>
      </w:r>
      <w:bookmarkEnd w:id="13"/>
      <w:bookmarkEnd w:id="14"/>
      <w:bookmarkEnd w:id="15"/>
      <w:bookmarkStart w:id="16" w:name="_Hlt509994748"/>
      <w:r>
        <w:rPr>
          <w:rStyle w:val="96"/>
          <w:rFonts w:hint="eastAsia"/>
          <w:color w:val="auto"/>
          <w:sz w:val="28"/>
          <w:szCs w:val="28"/>
          <w:highlight w:val="none"/>
        </w:rPr>
        <w:t>标</w:t>
      </w:r>
      <w:bookmarkEnd w:id="16"/>
      <w:bookmarkStart w:id="17" w:name="_Hlt510014176"/>
      <w:bookmarkStart w:id="18" w:name="_Hlt509992254"/>
      <w:r>
        <w:rPr>
          <w:rStyle w:val="96"/>
          <w:rFonts w:hint="eastAsia"/>
          <w:color w:val="auto"/>
          <w:sz w:val="28"/>
          <w:szCs w:val="28"/>
          <w:highlight w:val="none"/>
        </w:rPr>
        <w:t>准</w:t>
      </w:r>
      <w:bookmarkEnd w:id="17"/>
      <w:bookmarkEnd w:id="18"/>
      <w:bookmarkStart w:id="19" w:name="_Hlt509991721"/>
      <w:bookmarkStart w:id="20" w:name="_Hlt509991939"/>
      <w:bookmarkStart w:id="21" w:name="_Hlt509991722"/>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37</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6"/>
          <w:rFonts w:hint="eastAsia"/>
          <w:color w:val="auto"/>
          <w:sz w:val="28"/>
          <w:szCs w:val="28"/>
          <w:highlight w:val="none"/>
        </w:rPr>
        <w:t>第六章 附件（格</w:t>
      </w:r>
      <w:bookmarkStart w:id="22" w:name="_Hlt510014049"/>
      <w:r>
        <w:rPr>
          <w:rStyle w:val="96"/>
          <w:rFonts w:hint="eastAsia"/>
          <w:color w:val="auto"/>
          <w:sz w:val="28"/>
          <w:szCs w:val="28"/>
          <w:highlight w:val="none"/>
        </w:rPr>
        <w:t>式</w:t>
      </w:r>
      <w:bookmarkEnd w:id="22"/>
      <w:r>
        <w:rPr>
          <w:rStyle w:val="96"/>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45</w:t>
      </w:r>
    </w:p>
    <w:p>
      <w:pPr>
        <w:pStyle w:val="61"/>
        <w:tabs>
          <w:tab w:val="right" w:leader="dot" w:pos="9231"/>
        </w:tabs>
        <w:spacing w:line="360" w:lineRule="auto"/>
        <w:rPr>
          <w:b w:val="0"/>
          <w:bCs w:val="0"/>
          <w:caps w:val="0"/>
          <w:color w:val="auto"/>
          <w:sz w:val="28"/>
          <w:szCs w:val="28"/>
          <w:highlight w:val="none"/>
        </w:rPr>
        <w:sectPr>
          <w:headerReference r:id="rId10" w:type="first"/>
          <w:footerReference r:id="rId12" w:type="first"/>
          <w:headerReference r:id="rId9" w:type="default"/>
          <w:footerReference r:id="rId11" w:type="default"/>
          <w:type w:val="continuous"/>
          <w:pgSz w:w="11906" w:h="16838"/>
          <w:pgMar w:top="567" w:right="1304" w:bottom="567" w:left="1361" w:header="567" w:footer="737" w:gutter="0"/>
          <w:cols w:space="720" w:num="1"/>
          <w:titlePg/>
          <w:docGrid w:linePitch="312" w:charSpace="0"/>
        </w:sectPr>
      </w:pPr>
    </w:p>
    <w:p>
      <w:pPr>
        <w:pStyle w:val="61"/>
        <w:tabs>
          <w:tab w:val="right" w:leader="dot" w:pos="9231"/>
        </w:tabs>
        <w:spacing w:line="360" w:lineRule="auto"/>
        <w:rPr>
          <w:b w:val="0"/>
          <w:bCs w:val="0"/>
          <w:caps w:val="0"/>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23" w:name="_Toc320515014"/>
      <w:bookmarkStart w:id="24" w:name="_Toc475104466"/>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w:t>
      </w:r>
      <w:bookmarkEnd w:id="0"/>
      <w:bookmarkEnd w:id="1"/>
      <w:bookmarkEnd w:id="23"/>
      <w:bookmarkEnd w:id="24"/>
      <w:bookmarkEnd w:id="25"/>
      <w:r>
        <w:rPr>
          <w:rFonts w:hint="eastAsia"/>
          <w:color w:val="auto"/>
          <w:sz w:val="44"/>
          <w:highlight w:val="none"/>
        </w:rPr>
        <w:t>公告</w:t>
      </w:r>
    </w:p>
    <w:p>
      <w:pPr>
        <w:spacing w:line="480" w:lineRule="auto"/>
        <w:jc w:val="center"/>
        <w:rPr>
          <w:rFonts w:ascii="宋体" w:hAnsi="宋体"/>
          <w:b/>
          <w:color w:val="auto"/>
          <w:sz w:val="30"/>
          <w:szCs w:val="30"/>
          <w:highlight w:val="none"/>
        </w:rPr>
      </w:pPr>
      <w:r>
        <w:rPr>
          <w:rFonts w:ascii="宋体" w:hAnsi="宋体"/>
          <w:color w:val="auto"/>
          <w:highlight w:val="none"/>
        </w:rPr>
        <w:br w:type="page"/>
      </w:r>
      <w:r>
        <w:rPr>
          <w:rFonts w:hint="eastAsia" w:ascii="宋体" w:hAnsi="宋体"/>
          <w:b/>
          <w:color w:val="auto"/>
          <w:sz w:val="30"/>
          <w:szCs w:val="30"/>
          <w:highlight w:val="none"/>
        </w:rPr>
        <w:t>竞争性磋商公告</w:t>
      </w:r>
    </w:p>
    <w:p>
      <w:pPr>
        <w:widowControl/>
        <w:adjustRightInd w:val="0"/>
        <w:snapToGrid w:val="0"/>
        <w:spacing w:before="100" w:beforeAutospacing="1" w:after="100" w:afterAutospacing="1"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highlight w:val="none"/>
        </w:rPr>
      </w:pPr>
      <w:bookmarkStart w:id="26" w:name="_Toc14450807"/>
      <w:bookmarkStart w:id="27" w:name="_Toc28489434"/>
      <w:r>
        <w:rPr>
          <w:rFonts w:hint="eastAsia" w:ascii="宋体" w:hAnsi="宋体" w:cs="宋体"/>
          <w:color w:val="auto"/>
          <w:szCs w:val="21"/>
          <w:highlight w:val="none"/>
          <w:lang w:eastAsia="zh-CN"/>
        </w:rPr>
        <w:t>东晋企业生产人员排水排污管道整改工程招标项目的潜在投</w:t>
      </w:r>
      <w:r>
        <w:rPr>
          <w:rFonts w:hint="eastAsia" w:ascii="宋体" w:hAnsi="宋体" w:cs="宋体"/>
          <w:color w:val="auto"/>
          <w:szCs w:val="21"/>
          <w:highlight w:val="none"/>
        </w:rPr>
        <w:t>标人应在广州市海珠区红卫新村西路29号UP智谷D栋503房获取招标文件，并于</w:t>
      </w:r>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12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28</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ascii="宋体" w:hAnsi="宋体" w:cs="宋体"/>
          <w:bCs/>
          <w:color w:val="auto"/>
          <w:szCs w:val="20"/>
          <w:highlight w:val="none"/>
        </w:rPr>
        <w:t>点30分</w:t>
      </w:r>
      <w:r>
        <w:rPr>
          <w:rFonts w:hint="eastAsia" w:ascii="宋体" w:hAnsi="宋体" w:cs="宋体"/>
          <w:color w:val="auto"/>
          <w:szCs w:val="21"/>
          <w:highlight w:val="none"/>
        </w:rPr>
        <w:t>（北京时间）前递交响应文件。</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一、项目基本情况</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项目编号：</w:t>
      </w:r>
      <w:r>
        <w:rPr>
          <w:rFonts w:hint="eastAsia" w:ascii="宋体" w:hAnsi="宋体" w:cs="宋体"/>
          <w:bCs/>
          <w:color w:val="auto"/>
          <w:szCs w:val="20"/>
          <w:highlight w:val="none"/>
          <w:lang w:eastAsia="zh-CN"/>
        </w:rPr>
        <w:t>202012-184098-0070</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项目名称：</w:t>
      </w:r>
      <w:r>
        <w:rPr>
          <w:rFonts w:hint="eastAsia" w:ascii="宋体" w:hAnsi="宋体" w:cs="宋体"/>
          <w:color w:val="auto"/>
          <w:szCs w:val="21"/>
          <w:highlight w:val="none"/>
          <w:lang w:eastAsia="zh-CN"/>
        </w:rPr>
        <w:t>东晋企业生产人员排水排污管道整改工程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采购方式：竞争性磋商</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预算金额：</w:t>
      </w:r>
      <w:r>
        <w:rPr>
          <w:rFonts w:hint="eastAsia" w:ascii="宋体" w:hAnsi="宋体" w:cs="宋体"/>
          <w:bCs/>
          <w:color w:val="auto"/>
          <w:szCs w:val="20"/>
          <w:highlight w:val="none"/>
          <w:lang w:eastAsia="zh-CN"/>
        </w:rPr>
        <w:t>419615.90</w:t>
      </w:r>
      <w:r>
        <w:rPr>
          <w:rFonts w:hint="eastAsia" w:ascii="宋体" w:hAnsi="宋体" w:cs="宋体"/>
          <w:bCs/>
          <w:color w:val="auto"/>
          <w:szCs w:val="20"/>
          <w:highlight w:val="none"/>
        </w:rPr>
        <w:t>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最高限价（如有）：</w:t>
      </w:r>
      <w:r>
        <w:rPr>
          <w:rFonts w:hint="eastAsia" w:ascii="宋体" w:hAnsi="宋体" w:cs="宋体"/>
          <w:bCs/>
          <w:color w:val="auto"/>
          <w:szCs w:val="20"/>
          <w:highlight w:val="none"/>
          <w:lang w:eastAsia="zh-CN"/>
        </w:rPr>
        <w:t>419615.90</w:t>
      </w:r>
      <w:r>
        <w:rPr>
          <w:rFonts w:hint="eastAsia" w:ascii="宋体" w:hAnsi="宋体" w:cs="宋体"/>
          <w:bCs/>
          <w:color w:val="auto"/>
          <w:szCs w:val="20"/>
          <w:highlight w:val="none"/>
        </w:rPr>
        <w:t>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采购需求：（包括但不限于标的的名称、数量、简要技术需求或服务要求等）</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1、标的名称：</w:t>
      </w:r>
      <w:r>
        <w:rPr>
          <w:rFonts w:hint="eastAsia" w:ascii="宋体" w:hAnsi="宋体" w:cs="宋体"/>
          <w:color w:val="auto"/>
          <w:szCs w:val="21"/>
          <w:highlight w:val="none"/>
          <w:lang w:eastAsia="zh-CN"/>
        </w:rPr>
        <w:t>东晋企业生产人员排水排污管道整改工程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2、标的数量：1项</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3、简要技术需求或服务要求：</w:t>
      </w:r>
    </w:p>
    <w:tbl>
      <w:tblPr>
        <w:tblStyle w:val="90"/>
        <w:tblW w:w="8214" w:type="dxa"/>
        <w:tblCellSpacing w:w="0" w:type="dxa"/>
        <w:tblInd w:w="9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38"/>
        <w:gridCol w:w="2053"/>
        <w:gridCol w:w="21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9"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采购内容</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数量</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2"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cs="宋体"/>
                <w:color w:val="auto"/>
                <w:szCs w:val="21"/>
                <w:highlight w:val="none"/>
                <w:lang w:eastAsia="zh-CN"/>
              </w:rPr>
              <w:t>东晋企业生产人员排水排污管道整改工程</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1项</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lang w:eastAsia="zh-CN"/>
              </w:rPr>
              <w:t>419615.90</w:t>
            </w:r>
            <w:r>
              <w:rPr>
                <w:rFonts w:hint="eastAsia" w:ascii="宋体" w:hAnsi="宋体" w:cs="宋体"/>
                <w:bCs/>
                <w:color w:val="auto"/>
                <w:szCs w:val="20"/>
                <w:highlight w:val="none"/>
              </w:rPr>
              <w:t>元</w:t>
            </w:r>
          </w:p>
        </w:tc>
      </w:tr>
    </w:tbl>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详细请看第三章采购人需求书 。</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子项目1：最高限价：人民币</w:t>
      </w:r>
      <w:r>
        <w:rPr>
          <w:rFonts w:hint="eastAsia" w:ascii="宋体" w:hAnsi="宋体" w:cs="宋体"/>
          <w:bCs/>
          <w:color w:val="auto"/>
          <w:szCs w:val="20"/>
          <w:highlight w:val="none"/>
          <w:lang w:eastAsia="zh-CN"/>
        </w:rPr>
        <w:t>419615.90</w:t>
      </w:r>
      <w:r>
        <w:rPr>
          <w:rFonts w:hint="eastAsia" w:ascii="宋体" w:hAnsi="宋体" w:cs="宋体"/>
          <w:bCs/>
          <w:color w:val="auto"/>
          <w:szCs w:val="20"/>
          <w:highlight w:val="none"/>
        </w:rPr>
        <w:t>元。</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项目基本概况简述：本项目为</w:t>
      </w:r>
      <w:r>
        <w:rPr>
          <w:rFonts w:hint="eastAsia" w:ascii="宋体" w:hAnsi="宋体" w:cs="宋体"/>
          <w:color w:val="auto"/>
          <w:szCs w:val="21"/>
          <w:highlight w:val="none"/>
          <w:lang w:eastAsia="zh-CN"/>
        </w:rPr>
        <w:t>东晋企业生产人员排水排污管道整改工程</w:t>
      </w:r>
      <w:r>
        <w:rPr>
          <w:rFonts w:hint="eastAsia"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4、其他：</w:t>
      </w:r>
      <w:r>
        <w:rPr>
          <w:rFonts w:hint="eastAsia" w:ascii="宋体" w:hAnsi="宋体" w:cs="宋体"/>
          <w:bCs/>
          <w:color w:val="auto"/>
          <w:szCs w:val="20"/>
          <w:highlight w:val="none"/>
        </w:rPr>
        <w:t>无</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合同履行期限</w:t>
      </w: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20</w:t>
      </w:r>
      <w:r>
        <w:rPr>
          <w:rFonts w:hint="eastAsia" w:ascii="宋体" w:hAnsi="宋体" w:cs="宋体"/>
          <w:bCs/>
          <w:color w:val="auto"/>
          <w:szCs w:val="20"/>
          <w:highlight w:val="none"/>
        </w:rPr>
        <w:t>日历天内</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本项目不接受联合体</w:t>
      </w:r>
      <w:r>
        <w:rPr>
          <w:rFonts w:hint="eastAsia"/>
          <w:color w:val="auto"/>
          <w:szCs w:val="21"/>
          <w:highlight w:val="none"/>
        </w:rPr>
        <w:t>磋商</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二、申请人的资格要求</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2.落实政府采购政策需满足的资格要求：</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1)《政府采购促进中小企业发展暂行办法》（财库〔2011〕181号）</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2)《关于政府采购支持监狱企业发展有关问题的通知》(财库〔2014〕68号)</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3)《关于促进残疾人就业政府采购政策的通知》（财库〔2017〕141号)</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4)《关于环境标志产品政府采购实施的意见》(财库〔2006〕90号）</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5)《节能产品政府采购实施意见》的通知（财库〔2004〕185号）</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3.本项目的特定资格要求：</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（1）参加本项目磋商的供应商应具备《政府采购法》第二十二条供应商资格条件；</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1）具有独立承担民事责任的能力[提供法人或者其他组织的营业执照、组织机构代码证和税务登记证（或三证合一证明）等证明文件）]；</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2）具有良好的商业信誉和健全的财务会计制度[提供2018年或2019年的财务状况报告或基本开户行（提供开户许可证）出具的资信证明复印件。如投标人为新注册的，提供成立至今的月或季度财务状况报告复印件]；</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3）具有履行合同所必需的设备和专业技术能力（提供履行合同所必需的设备清单以及技术人员的名单材料）；</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4）有依法缴纳税收和社会保障资金的良好记录（提供缴纳税收和社会保险的凭证。如依法免税或不需要缴纳社会保障资金的，应提供相应文件证明）；</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5）参加政府采购活动前三年内，在经营活动中没有重大违法记录（提供书面声明）；</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6）法律、行政法规规定的其他条件。</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（2）供应商必须是具有独立承担民事责任能力的中华人民共和国境内注册的法人或其他组织；</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（3）供应商须具有承接本工程所需的</w:t>
      </w:r>
      <w:r>
        <w:rPr>
          <w:rFonts w:hint="eastAsia" w:ascii="宋体" w:hAnsi="宋体" w:cs="宋体"/>
          <w:bCs/>
          <w:color w:val="auto"/>
          <w:szCs w:val="20"/>
          <w:highlight w:val="none"/>
          <w:lang w:eastAsia="zh-CN"/>
        </w:rPr>
        <w:t>市政公用工程</w:t>
      </w:r>
      <w:r>
        <w:rPr>
          <w:rFonts w:hint="eastAsia" w:ascii="宋体" w:hAnsi="宋体" w:cs="宋体"/>
          <w:bCs/>
          <w:color w:val="auto"/>
          <w:szCs w:val="20"/>
          <w:highlight w:val="none"/>
        </w:rPr>
        <w:t>施工总承包叁级（或以上级别）资质；</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（4）供应商须具有建设行政主管部门颁发的安全生产许可证；</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（5）供应商拟担任本工程项目负责人的人员为：</w:t>
      </w:r>
      <w:r>
        <w:rPr>
          <w:rFonts w:hint="eastAsia" w:ascii="宋体" w:hAnsi="宋体" w:cs="宋体"/>
          <w:bCs/>
          <w:color w:val="auto"/>
          <w:szCs w:val="20"/>
          <w:highlight w:val="none"/>
          <w:lang w:eastAsia="zh-CN"/>
        </w:rPr>
        <w:t>市政公用工程</w:t>
      </w:r>
      <w:r>
        <w:rPr>
          <w:rFonts w:hint="eastAsia" w:ascii="宋体" w:hAnsi="宋体" w:cs="宋体"/>
          <w:bCs/>
          <w:color w:val="auto"/>
          <w:szCs w:val="20"/>
          <w:highlight w:val="none"/>
        </w:rPr>
        <w:t>专业二级或以上级别注册建造师，且项目负责人持有安全培训考核合格证（B类）或能够提供广东省建筑施工企业管理人员安全生产考核信息系统安全生产管理人员证书信息的网页截图，且未担任其他在建项目；</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（6）供应商提供《公平竞争承诺书》；</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7）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1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①</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由采购人、采购代理机构于投标截止日在上述网站进行查询，同时对信息查询记录和证据截图或下载存档；</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2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②</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若分公司投标：供应商为非独立法人（即由合法法人依法建立的分公司），除了对供应商进行信息查询外，同时对总公司的信息查询记录和证据截图或下载存档）；</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8）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承诺函，格式自拟）。</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三、获取</w:t>
      </w:r>
      <w:r>
        <w:rPr>
          <w:rFonts w:hint="eastAsia" w:ascii="宋体" w:hAnsi="宋体" w:cs="宋体"/>
          <w:b/>
          <w:bCs/>
          <w:color w:val="auto"/>
          <w:szCs w:val="20"/>
          <w:highlight w:val="none"/>
        </w:rPr>
        <w:t>竞争性磋商文件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420" w:leftChars="200" w:firstLine="420" w:firstLineChars="200"/>
        <w:textAlignment w:val="auto"/>
        <w:rPr>
          <w:rFonts w:ascii="宋体" w:hAnsi="宋体" w:cs="宋体"/>
          <w:bCs/>
          <w:color w:val="auto"/>
          <w:szCs w:val="20"/>
          <w:highlight w:val="none"/>
        </w:rPr>
      </w:pPr>
      <w:r>
        <w:rPr>
          <w:rFonts w:ascii="宋体" w:hAnsi="宋体" w:cs="宋体"/>
          <w:bCs/>
          <w:color w:val="auto"/>
          <w:szCs w:val="20"/>
          <w:highlight w:val="none"/>
        </w:rPr>
        <w:t>时间：2020年</w:t>
      </w:r>
      <w:r>
        <w:rPr>
          <w:rFonts w:hint="eastAsia" w:ascii="宋体" w:hAnsi="宋体" w:cs="宋体"/>
          <w:bCs/>
          <w:color w:val="auto"/>
          <w:szCs w:val="20"/>
          <w:highlight w:val="none"/>
          <w:lang w:val="en-US" w:eastAsia="zh-CN"/>
        </w:rPr>
        <w:t>12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18</w:t>
      </w:r>
      <w:r>
        <w:rPr>
          <w:rFonts w:ascii="宋体" w:hAnsi="宋体" w:cs="宋体"/>
          <w:bCs/>
          <w:color w:val="auto"/>
          <w:szCs w:val="20"/>
          <w:highlight w:val="none"/>
        </w:rPr>
        <w:t>日至2020年</w:t>
      </w:r>
      <w:r>
        <w:rPr>
          <w:rFonts w:hint="eastAsia" w:ascii="宋体" w:hAnsi="宋体" w:cs="宋体"/>
          <w:bCs/>
          <w:color w:val="auto"/>
          <w:szCs w:val="20"/>
          <w:highlight w:val="none"/>
          <w:lang w:val="en-US" w:eastAsia="zh-CN"/>
        </w:rPr>
        <w:t>12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24</w:t>
      </w:r>
      <w:r>
        <w:rPr>
          <w:rFonts w:ascii="宋体" w:hAnsi="宋体" w:cs="宋体"/>
          <w:bCs/>
          <w:color w:val="auto"/>
          <w:szCs w:val="20"/>
          <w:highlight w:val="none"/>
        </w:rPr>
        <w:t>日（磋商文件的发售期限自开始之日起不得少于5个工作日），每天上午</w:t>
      </w:r>
      <w:r>
        <w:rPr>
          <w:rFonts w:hint="eastAsia" w:ascii="宋体" w:hAnsi="宋体" w:cs="宋体"/>
          <w:bCs/>
          <w:color w:val="auto"/>
          <w:szCs w:val="20"/>
          <w:highlight w:val="none"/>
        </w:rPr>
        <w:t>09</w:t>
      </w:r>
      <w:r>
        <w:rPr>
          <w:rFonts w:ascii="宋体" w:hAnsi="宋体" w:cs="宋体"/>
          <w:bCs/>
          <w:color w:val="auto"/>
          <w:szCs w:val="20"/>
          <w:highlight w:val="none"/>
        </w:rPr>
        <w:t>:</w:t>
      </w:r>
      <w:r>
        <w:rPr>
          <w:rFonts w:hint="eastAsia" w:ascii="宋体" w:hAnsi="宋体" w:cs="宋体"/>
          <w:bCs/>
          <w:color w:val="auto"/>
          <w:szCs w:val="20"/>
          <w:highlight w:val="none"/>
        </w:rPr>
        <w:t>0</w:t>
      </w:r>
      <w:r>
        <w:rPr>
          <w:rFonts w:ascii="宋体" w:hAnsi="宋体" w:cs="宋体"/>
          <w:bCs/>
          <w:color w:val="auto"/>
          <w:szCs w:val="20"/>
          <w:highlight w:val="none"/>
        </w:rPr>
        <w:t>0至12:00，下午14:30至17:30（北京时间，法定节假日除外 ）</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420" w:leftChars="200" w:firstLine="420" w:firstLineChars="200"/>
        <w:textAlignment w:val="auto"/>
        <w:rPr>
          <w:rFonts w:hint="eastAsia" w:ascii="宋体" w:hAnsi="宋体" w:cs="宋体"/>
          <w:color w:val="auto"/>
          <w:kern w:val="0"/>
          <w:szCs w:val="21"/>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420" w:leftChars="200" w:firstLine="420" w:firstLineChars="200"/>
        <w:textAlignment w:val="auto"/>
        <w:rPr>
          <w:rFonts w:ascii="宋体" w:hAnsi="宋体" w:cs="宋体"/>
          <w:bCs/>
          <w:color w:val="auto"/>
          <w:szCs w:val="20"/>
          <w:highlight w:val="none"/>
        </w:rPr>
      </w:pPr>
      <w:r>
        <w:rPr>
          <w:rFonts w:ascii="宋体" w:hAnsi="宋体" w:cs="宋体"/>
          <w:bCs/>
          <w:color w:val="auto"/>
          <w:szCs w:val="20"/>
          <w:highlight w:val="none"/>
        </w:rPr>
        <w:t>方式：现场</w:t>
      </w:r>
      <w:r>
        <w:rPr>
          <w:rFonts w:hint="eastAsia" w:ascii="宋体" w:hAnsi="宋体" w:cs="宋体"/>
          <w:bCs/>
          <w:color w:val="auto"/>
          <w:szCs w:val="20"/>
          <w:highlight w:val="none"/>
        </w:rPr>
        <w:t>登记</w:t>
      </w:r>
      <w:r>
        <w:rPr>
          <w:rFonts w:ascii="宋体" w:hAnsi="宋体" w:cs="宋体"/>
          <w:bCs/>
          <w:color w:val="auto"/>
          <w:szCs w:val="20"/>
          <w:highlight w:val="none"/>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420" w:leftChars="200" w:firstLine="420" w:firstLineChars="200"/>
        <w:textAlignment w:val="auto"/>
        <w:rPr>
          <w:rFonts w:ascii="宋体" w:hAnsi="宋体" w:cs="宋体"/>
          <w:bCs/>
          <w:color w:val="auto"/>
          <w:szCs w:val="20"/>
          <w:highlight w:val="none"/>
        </w:rPr>
      </w:pPr>
      <w:r>
        <w:rPr>
          <w:rFonts w:ascii="宋体" w:hAnsi="宋体" w:cs="宋体"/>
          <w:bCs/>
          <w:color w:val="auto"/>
          <w:szCs w:val="20"/>
          <w:highlight w:val="none"/>
        </w:rPr>
        <w:t>售价（元）：</w:t>
      </w:r>
      <w:r>
        <w:rPr>
          <w:rFonts w:hint="eastAsia" w:ascii="宋体" w:hAnsi="宋体" w:cs="宋体"/>
          <w:bCs/>
          <w:color w:val="auto"/>
          <w:szCs w:val="20"/>
          <w:highlight w:val="none"/>
        </w:rPr>
        <w:t>5</w:t>
      </w:r>
      <w:r>
        <w:rPr>
          <w:rFonts w:ascii="宋体" w:hAnsi="宋体" w:cs="宋体"/>
          <w:bCs/>
          <w:color w:val="auto"/>
          <w:szCs w:val="20"/>
          <w:highlight w:val="none"/>
        </w:rPr>
        <w:t>00</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四、响应文件提交</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420" w:leftChars="200"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截止时间</w:t>
      </w:r>
      <w:r>
        <w:rPr>
          <w:rFonts w:hint="eastAsia" w:ascii="仿宋" w:hAnsi="仿宋" w:eastAsia="仿宋"/>
          <w:color w:val="auto"/>
          <w:sz w:val="28"/>
          <w:szCs w:val="28"/>
          <w:highlight w:val="none"/>
        </w:rPr>
        <w:t>：</w:t>
      </w:r>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12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28</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ascii="宋体" w:hAnsi="宋体" w:cs="宋体"/>
          <w:bCs/>
          <w:color w:val="auto"/>
          <w:szCs w:val="20"/>
          <w:highlight w:val="none"/>
        </w:rPr>
        <w:t>点30分（北京时间）（从磋商文件开始发出之日起至供应商提交首次响应文件截止之日止不得少于10日）</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420" w:leftChars="200" w:firstLine="420" w:firstLineChars="200"/>
        <w:textAlignment w:val="auto"/>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bookmarkStart w:id="28" w:name="_Toc35393633"/>
      <w:bookmarkStart w:id="29" w:name="_Toc28359016"/>
      <w:bookmarkStart w:id="30" w:name="_Toc28359093"/>
      <w:bookmarkStart w:id="31" w:name="_Toc35393802"/>
      <w:r>
        <w:rPr>
          <w:rFonts w:hint="eastAsia" w:ascii="宋体" w:hAnsi="宋体" w:cs="宋体"/>
          <w:b/>
          <w:bCs/>
          <w:color w:val="auto"/>
          <w:szCs w:val="20"/>
          <w:highlight w:val="none"/>
        </w:rPr>
        <w:t>五、开启</w:t>
      </w:r>
      <w:bookmarkEnd w:id="28"/>
      <w:bookmarkEnd w:id="29"/>
      <w:bookmarkEnd w:id="30"/>
      <w:bookmarkEnd w:id="31"/>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420" w:leftChars="200" w:firstLine="420" w:firstLineChars="200"/>
        <w:textAlignment w:val="auto"/>
        <w:rPr>
          <w:rFonts w:ascii="宋体" w:hAnsi="宋体" w:cs="宋体"/>
          <w:bCs/>
          <w:color w:val="auto"/>
          <w:szCs w:val="20"/>
          <w:highlight w:val="none"/>
        </w:rPr>
      </w:pPr>
      <w:r>
        <w:rPr>
          <w:rFonts w:hint="eastAsia" w:ascii="宋体" w:hAnsi="宋体" w:cs="宋体"/>
          <w:color w:val="auto"/>
          <w:kern w:val="0"/>
          <w:szCs w:val="21"/>
          <w:highlight w:val="none"/>
        </w:rPr>
        <w:t>时间</w:t>
      </w:r>
      <w:r>
        <w:rPr>
          <w:rFonts w:hint="eastAsia" w:ascii="宋体" w:hAnsi="宋体" w:cs="宋体"/>
          <w:bCs/>
          <w:color w:val="auto"/>
          <w:szCs w:val="20"/>
          <w:highlight w:val="none"/>
        </w:rPr>
        <w:t>：</w:t>
      </w:r>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12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28</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ascii="宋体" w:hAnsi="宋体" w:cs="宋体"/>
          <w:bCs/>
          <w:color w:val="auto"/>
          <w:szCs w:val="20"/>
          <w:highlight w:val="none"/>
        </w:rPr>
        <w:t>点30分</w:t>
      </w:r>
      <w:r>
        <w:rPr>
          <w:rFonts w:hint="eastAsia" w:ascii="宋体" w:hAnsi="宋体" w:cs="宋体"/>
          <w:bCs/>
          <w:color w:val="auto"/>
          <w:szCs w:val="20"/>
          <w:highlight w:val="none"/>
        </w:rPr>
        <w:t>（北京时间）</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420" w:leftChars="200"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六</w:t>
      </w:r>
      <w:r>
        <w:rPr>
          <w:rFonts w:ascii="宋体" w:hAnsi="宋体" w:cs="宋体"/>
          <w:b/>
          <w:bCs/>
          <w:color w:val="auto"/>
          <w:szCs w:val="20"/>
          <w:highlight w:val="none"/>
        </w:rPr>
        <w:t>、公告期限</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420" w:leftChars="200" w:firstLine="420" w:firstLineChars="200"/>
        <w:textAlignment w:val="auto"/>
        <w:rPr>
          <w:rFonts w:ascii="宋体" w:hAnsi="宋体" w:cs="宋体"/>
          <w:bCs/>
          <w:color w:val="auto"/>
          <w:szCs w:val="20"/>
          <w:highlight w:val="none"/>
        </w:rPr>
      </w:pPr>
      <w:r>
        <w:rPr>
          <w:rFonts w:ascii="宋体" w:hAnsi="宋体" w:cs="宋体"/>
          <w:bCs/>
          <w:color w:val="auto"/>
          <w:szCs w:val="20"/>
          <w:highlight w:val="none"/>
        </w:rPr>
        <w:t>自本公告发布之日起</w:t>
      </w:r>
      <w:r>
        <w:rPr>
          <w:rFonts w:hint="eastAsia" w:ascii="宋体" w:hAnsi="宋体" w:cs="宋体"/>
          <w:bCs/>
          <w:color w:val="auto"/>
          <w:szCs w:val="20"/>
          <w:highlight w:val="none"/>
        </w:rPr>
        <w:t>3</w:t>
      </w:r>
      <w:r>
        <w:rPr>
          <w:rFonts w:ascii="宋体" w:hAnsi="宋体" w:cs="宋体"/>
          <w:bCs/>
          <w:color w:val="auto"/>
          <w:szCs w:val="20"/>
          <w:highlight w:val="none"/>
        </w:rPr>
        <w:t>个工作日。</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七</w:t>
      </w:r>
      <w:r>
        <w:rPr>
          <w:rFonts w:ascii="宋体" w:hAnsi="宋体" w:cs="宋体"/>
          <w:b/>
          <w:bCs/>
          <w:color w:val="auto"/>
          <w:szCs w:val="20"/>
          <w:highlight w:val="none"/>
        </w:rPr>
        <w:t>、其他补充事宜</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420" w:leftChars="200"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1.只接受登记及领购竞争性磋商文件的供应商投标。</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420" w:leftChars="200"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2.已成功登记及领购竞争性磋商文件的供应商参加投标的，不代表通过资格性、符合性审查。投标资格最终根据投标人投标文件中的资格审查资料作出的结论为准。</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420" w:leftChars="200"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3.若已登记及领购竞争性磋商文件而决定不参加本项目投标的供应商，应在开标前三日以书面形式（书面材料、信函或传真加盖供应商公章）通知采购代理机构。</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420" w:leftChars="200"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4.竞争性磋商文件的公示，根据《广东省实施〈中华人民共和国政府采购法〉办法》第三十五条的规定，供应商认为政府竞争性磋商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八</w:t>
      </w:r>
      <w:r>
        <w:rPr>
          <w:rFonts w:ascii="宋体" w:hAnsi="宋体" w:cs="宋体"/>
          <w:b/>
          <w:bCs/>
          <w:color w:val="auto"/>
          <w:szCs w:val="20"/>
          <w:highlight w:val="none"/>
        </w:rPr>
        <w:t>、</w:t>
      </w:r>
      <w:r>
        <w:rPr>
          <w:rFonts w:hint="eastAsia" w:ascii="宋体" w:hAnsi="宋体" w:cs="宋体"/>
          <w:b/>
          <w:bCs/>
          <w:color w:val="auto"/>
          <w:szCs w:val="20"/>
          <w:highlight w:val="none"/>
        </w:rPr>
        <w:t>凡</w:t>
      </w:r>
      <w:r>
        <w:rPr>
          <w:rFonts w:ascii="宋体" w:hAnsi="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1.采购人信息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w:t>
      </w:r>
      <w:r>
        <w:rPr>
          <w:rFonts w:hint="eastAsia" w:ascii="宋体" w:hAnsi="宋体" w:cs="宋体"/>
          <w:color w:val="auto"/>
          <w:szCs w:val="21"/>
          <w:highlight w:val="none"/>
        </w:rPr>
        <w:t>广州市东晋企业发展公司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w:t>
      </w:r>
      <w:r>
        <w:rPr>
          <w:rFonts w:hint="eastAsia" w:ascii="宋体" w:hAnsi="宋体" w:cs="宋体"/>
          <w:bCs/>
          <w:color w:val="auto"/>
          <w:szCs w:val="20"/>
          <w:highlight w:val="none"/>
        </w:rPr>
        <w:t>广州市天河区五山岑村</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w:t>
      </w:r>
      <w:r>
        <w:rPr>
          <w:rFonts w:hint="eastAsia" w:ascii="宋体" w:hAnsi="宋体" w:cs="宋体"/>
          <w:bCs/>
          <w:color w:val="auto"/>
          <w:szCs w:val="20"/>
          <w:highlight w:val="none"/>
        </w:rPr>
        <w:t>020-87238056</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2.采购代理机构信息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名称：广州市信怡招标代理有限公司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地址：广州市海珠区红卫新村西路29号UP智谷D栋503房</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联系方式：020-8900129</w:t>
      </w:r>
      <w:r>
        <w:rPr>
          <w:rFonts w:hint="eastAsia" w:ascii="宋体" w:hAnsi="宋体" w:cs="宋体"/>
          <w:bCs/>
          <w:color w:val="auto"/>
          <w:szCs w:val="20"/>
          <w:highlight w:val="none"/>
        </w:rPr>
        <w:t>6</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3.项目联系方式</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项目联系人：陈小姐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电话：020-8900129</w:t>
      </w:r>
      <w:r>
        <w:rPr>
          <w:rFonts w:hint="eastAsia" w:ascii="宋体" w:hAnsi="宋体" w:cs="宋体"/>
          <w:bCs/>
          <w:color w:val="auto"/>
          <w:szCs w:val="20"/>
          <w:highlight w:val="none"/>
        </w:rPr>
        <w:t>6</w:t>
      </w:r>
    </w:p>
    <w:p>
      <w:pPr>
        <w:pStyle w:val="46"/>
        <w:rPr>
          <w:rFonts w:hAnsi="宋体" w:cs="宋体"/>
          <w:bCs/>
          <w:color w:val="auto"/>
          <w:szCs w:val="20"/>
          <w:highlight w:val="none"/>
        </w:rPr>
      </w:pPr>
    </w:p>
    <w:p>
      <w:pPr>
        <w:pStyle w:val="47"/>
        <w:rPr>
          <w:color w:val="auto"/>
          <w:highlight w:val="none"/>
        </w:rPr>
      </w:pPr>
    </w:p>
    <w:p>
      <w:pPr>
        <w:tabs>
          <w:tab w:val="left" w:pos="840"/>
          <w:tab w:val="left" w:pos="945"/>
        </w:tabs>
        <w:snapToGrid w:val="0"/>
        <w:spacing w:line="360" w:lineRule="auto"/>
        <w:ind w:left="525"/>
        <w:jc w:val="right"/>
        <w:rPr>
          <w:rFonts w:ascii="宋体" w:hAnsi="宋体" w:cs="宋体"/>
          <w:bCs/>
          <w:color w:val="auto"/>
          <w:szCs w:val="20"/>
          <w:highlight w:val="none"/>
        </w:rPr>
      </w:pPr>
      <w:r>
        <w:rPr>
          <w:rFonts w:ascii="宋体" w:hAnsi="宋体" w:cs="宋体"/>
          <w:bCs/>
          <w:color w:val="auto"/>
          <w:szCs w:val="20"/>
          <w:highlight w:val="none"/>
        </w:rPr>
        <w:t>发布人：广州市信怡招标代理有限公司</w:t>
      </w:r>
    </w:p>
    <w:p>
      <w:pPr>
        <w:pStyle w:val="36"/>
        <w:snapToGrid w:val="0"/>
        <w:spacing w:line="528" w:lineRule="auto"/>
        <w:ind w:firstLine="630" w:firstLineChars="300"/>
        <w:jc w:val="right"/>
        <w:rPr>
          <w:rFonts w:ascii="宋体" w:hAnsi="宋体"/>
          <w:color w:val="auto"/>
          <w:sz w:val="28"/>
          <w:highlight w:val="none"/>
        </w:rPr>
      </w:pPr>
      <w:r>
        <w:rPr>
          <w:rFonts w:ascii="宋体" w:hAnsi="宋体" w:cs="宋体"/>
          <w:bCs/>
          <w:color w:val="auto"/>
          <w:szCs w:val="20"/>
          <w:highlight w:val="none"/>
        </w:rPr>
        <w:t>发布时间：2020年</w:t>
      </w:r>
      <w:r>
        <w:rPr>
          <w:rFonts w:hint="eastAsia" w:ascii="宋体" w:hAnsi="宋体" w:cs="宋体"/>
          <w:bCs/>
          <w:color w:val="auto"/>
          <w:szCs w:val="20"/>
          <w:highlight w:val="none"/>
          <w:lang w:val="en-US" w:eastAsia="zh-CN"/>
        </w:rPr>
        <w:t>12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17</w:t>
      </w:r>
      <w:r>
        <w:rPr>
          <w:rFonts w:ascii="宋体" w:hAnsi="宋体" w:cs="宋体"/>
          <w:bCs/>
          <w:color w:val="auto"/>
          <w:szCs w:val="20"/>
          <w:highlight w:val="none"/>
        </w:rPr>
        <w:t>日</w:t>
      </w:r>
    </w:p>
    <w:p>
      <w:pPr>
        <w:pStyle w:val="36"/>
        <w:snapToGrid w:val="0"/>
        <w:spacing w:line="528" w:lineRule="auto"/>
        <w:ind w:firstLine="840" w:firstLineChars="300"/>
        <w:jc w:val="right"/>
        <w:rPr>
          <w:rFonts w:ascii="宋体" w:hAnsi="宋体"/>
          <w:color w:val="auto"/>
          <w:sz w:val="28"/>
          <w:highlight w:val="none"/>
        </w:rPr>
      </w:pPr>
    </w:p>
    <w:p>
      <w:pPr>
        <w:rPr>
          <w:rFonts w:ascii="宋体" w:hAnsi="宋体"/>
          <w:color w:val="auto"/>
          <w:sz w:val="28"/>
          <w:highlight w:val="none"/>
        </w:rPr>
      </w:pPr>
      <w:r>
        <w:rPr>
          <w:rFonts w:ascii="宋体" w:hAnsi="宋体"/>
          <w:color w:val="auto"/>
          <w:sz w:val="28"/>
          <w:highlight w:val="none"/>
        </w:rPr>
        <w:br w:type="page"/>
      </w:r>
    </w:p>
    <w:p>
      <w:pPr>
        <w:pStyle w:val="88"/>
        <w:ind w:firstLine="301"/>
        <w:rPr>
          <w:color w:val="auto"/>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88"/>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32" w:name="_Toc475104467"/>
      <w:bookmarkStart w:id="33" w:name="_Toc320515015"/>
      <w:r>
        <w:rPr>
          <w:rFonts w:cs="ZWAdobeF"/>
          <w:b w:val="0"/>
          <w:color w:val="auto"/>
          <w:sz w:val="2"/>
          <w:szCs w:val="2"/>
          <w:highlight w:val="none"/>
        </w:rPr>
        <w:t>1B1B</w:t>
      </w:r>
      <w:r>
        <w:rPr>
          <w:rFonts w:hint="eastAsia"/>
          <w:color w:val="auto"/>
          <w:sz w:val="44"/>
          <w:highlight w:val="none"/>
        </w:rPr>
        <w:t>第二章</w:t>
      </w:r>
      <w:bookmarkStart w:id="34" w:name="_Toc10525515"/>
      <w:r>
        <w:rPr>
          <w:rFonts w:hint="eastAsia"/>
          <w:color w:val="auto"/>
          <w:sz w:val="44"/>
          <w:highlight w:val="none"/>
        </w:rPr>
        <w:t xml:space="preserve"> 竞争性磋商须知</w:t>
      </w:r>
      <w:bookmarkEnd w:id="26"/>
      <w:bookmarkEnd w:id="27"/>
      <w:bookmarkEnd w:id="32"/>
      <w:bookmarkEnd w:id="33"/>
      <w:bookmarkEnd w:id="34"/>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0"/>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p>
        </w:tc>
        <w:tc>
          <w:tcPr>
            <w:tcW w:w="6234" w:type="dxa"/>
            <w:tcBorders>
              <w:top w:val="single" w:color="auto" w:sz="4" w:space="0"/>
              <w:left w:val="single" w:color="auto" w:sz="4" w:space="0"/>
              <w:right w:val="single" w:color="auto" w:sz="4" w:space="0"/>
            </w:tcBorders>
            <w:vAlign w:val="center"/>
          </w:tcPr>
          <w:p>
            <w:pPr>
              <w:spacing w:line="300" w:lineRule="exact"/>
              <w:rPr>
                <w:rFonts w:hint="default" w:ascii="宋体" w:hAnsi="宋体" w:eastAsia="宋体" w:cs="宋体"/>
                <w:color w:val="auto"/>
                <w:szCs w:val="21"/>
                <w:highlight w:val="none"/>
                <w:lang w:val="en-US" w:eastAsia="zh-CN"/>
              </w:rPr>
            </w:pPr>
            <w:r>
              <w:rPr>
                <w:rFonts w:hint="eastAsia" w:ascii="宋体" w:hAnsi="宋体"/>
                <w:color w:val="auto"/>
                <w:szCs w:val="21"/>
                <w:highlight w:val="none"/>
              </w:rPr>
              <w:t>收费依据及方法：招标代理服务费按中华人民共和国国家发展计划委员会颁发的计价格[2002]1980号、国家发改委[2003]857号及发改价格</w:t>
            </w:r>
            <w:r>
              <w:rPr>
                <w:rFonts w:hint="eastAsia" w:ascii="宋体" w:hAnsi="宋体"/>
                <w:color w:val="auto"/>
                <w:szCs w:val="21"/>
                <w:highlight w:val="none"/>
              </w:rPr>
              <w:sym w:font="Symbol" w:char="F05B"/>
            </w:r>
            <w:r>
              <w:rPr>
                <w:rFonts w:hint="eastAsia" w:ascii="宋体" w:hAnsi="宋体"/>
                <w:color w:val="auto"/>
                <w:szCs w:val="21"/>
                <w:highlight w:val="none"/>
              </w:rPr>
              <w:t>2011</w:t>
            </w:r>
            <w:r>
              <w:rPr>
                <w:rFonts w:hint="eastAsia" w:ascii="宋体" w:hAnsi="宋体"/>
                <w:color w:val="auto"/>
                <w:szCs w:val="21"/>
                <w:highlight w:val="none"/>
              </w:rPr>
              <w:sym w:font="Symbol" w:char="F05D"/>
            </w:r>
            <w:r>
              <w:rPr>
                <w:rFonts w:hint="eastAsia" w:ascii="宋体" w:hAnsi="宋体"/>
                <w:color w:val="auto"/>
                <w:szCs w:val="21"/>
                <w:highlight w:val="none"/>
              </w:rPr>
              <w:t>534号文规定的收取。采购代理服务费</w:t>
            </w:r>
            <w:r>
              <w:rPr>
                <w:rFonts w:hint="eastAsia" w:ascii="宋体" w:hAnsi="宋体"/>
                <w:color w:val="auto"/>
                <w:szCs w:val="21"/>
                <w:highlight w:val="none"/>
                <w:lang w:eastAsia="zh-CN"/>
              </w:rPr>
              <w:t>不足</w:t>
            </w:r>
            <w:r>
              <w:rPr>
                <w:rFonts w:hint="eastAsia" w:ascii="宋体" w:hAnsi="宋体"/>
                <w:color w:val="auto"/>
                <w:szCs w:val="21"/>
                <w:highlight w:val="none"/>
                <w:lang w:val="en-US" w:eastAsia="zh-CN"/>
              </w:rPr>
              <w:t>5000元的按5000元进行收取。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s="宋体"/>
                <w:color w:val="auto"/>
                <w:szCs w:val="21"/>
                <w:highlight w:val="none"/>
              </w:rPr>
              <w:t>成交人在领取《成交通知书》前直接一次性向采购代理机构足额支付招标代理服务费及专家费（专家费按实进行结算）。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详见投标人须知</w:t>
            </w:r>
          </w:p>
        </w:tc>
      </w:tr>
    </w:tbl>
    <w:p>
      <w:pPr>
        <w:spacing w:line="360" w:lineRule="auto"/>
        <w:jc w:val="center"/>
        <w:rPr>
          <w:rFonts w:ascii="宋体" w:hAnsi="宋体"/>
          <w:b/>
          <w:bCs/>
          <w:color w:val="auto"/>
          <w:sz w:val="30"/>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5" w:name="_Toc475104468"/>
      <w:bookmarkStart w:id="36" w:name="_Toc315793450"/>
      <w:bookmarkStart w:id="37" w:name="_Toc322680342"/>
      <w:bookmarkStart w:id="38" w:name="_Toc320515065"/>
      <w:bookmarkStart w:id="39" w:name="_Toc323110975"/>
      <w:bookmarkStart w:id="40" w:name="_Toc363737682"/>
      <w:bookmarkStart w:id="41" w:name="_Toc320515016"/>
      <w:r>
        <w:rPr>
          <w:rFonts w:hint="eastAsia" w:ascii="宋体" w:hAnsi="宋体"/>
          <w:b/>
          <w:color w:val="auto"/>
          <w:sz w:val="28"/>
          <w:szCs w:val="28"/>
          <w:highlight w:val="none"/>
          <w:lang w:eastAsia="zh-TW"/>
        </w:rPr>
        <w:t>说 明</w:t>
      </w:r>
      <w:bookmarkEnd w:id="35"/>
      <w:bookmarkEnd w:id="36"/>
      <w:bookmarkEnd w:id="37"/>
      <w:bookmarkEnd w:id="38"/>
      <w:bookmarkEnd w:id="39"/>
      <w:bookmarkEnd w:id="40"/>
      <w:bookmarkEnd w:id="41"/>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2" w:name="_Toc323110976"/>
      <w:bookmarkStart w:id="43" w:name="_Toc475104469"/>
      <w:bookmarkStart w:id="44" w:name="_Toc320515017"/>
      <w:bookmarkStart w:id="45" w:name="_Toc320515066"/>
      <w:bookmarkStart w:id="46" w:name="_Toc322680343"/>
      <w:bookmarkStart w:id="47" w:name="_Toc315793451"/>
      <w:bookmarkStart w:id="48" w:name="_Toc363737683"/>
      <w:r>
        <w:rPr>
          <w:rFonts w:hint="eastAsia" w:ascii="宋体" w:hAnsi="宋体"/>
          <w:b/>
          <w:bCs/>
          <w:color w:val="auto"/>
          <w:sz w:val="24"/>
          <w:highlight w:val="none"/>
        </w:rPr>
        <w:t>招标适用范围</w:t>
      </w:r>
      <w:bookmarkEnd w:id="42"/>
      <w:bookmarkEnd w:id="43"/>
      <w:bookmarkEnd w:id="44"/>
      <w:bookmarkEnd w:id="45"/>
      <w:bookmarkEnd w:id="46"/>
      <w:bookmarkEnd w:id="47"/>
      <w:bookmarkEnd w:id="48"/>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9" w:name="_Toc475104470"/>
      <w:bookmarkStart w:id="50" w:name="_Toc320515067"/>
      <w:bookmarkStart w:id="51" w:name="_Toc323110977"/>
      <w:bookmarkStart w:id="52" w:name="_Toc320515018"/>
      <w:bookmarkStart w:id="53" w:name="_Toc322680344"/>
      <w:bookmarkStart w:id="54" w:name="_Toc363737684"/>
      <w:r>
        <w:rPr>
          <w:rFonts w:hint="eastAsia" w:ascii="宋体" w:hAnsi="宋体"/>
          <w:b/>
          <w:bCs/>
          <w:color w:val="auto"/>
          <w:sz w:val="24"/>
          <w:highlight w:val="none"/>
        </w:rPr>
        <w:t>定义</w:t>
      </w:r>
      <w:bookmarkEnd w:id="49"/>
      <w:bookmarkEnd w:id="50"/>
      <w:bookmarkEnd w:id="51"/>
      <w:bookmarkEnd w:id="52"/>
      <w:bookmarkEnd w:id="53"/>
      <w:bookmarkEnd w:id="54"/>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rPr>
        <w:t>广州市东晋企业发展公司</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供应商</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“乙方”系指成交供应商。</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“成交供应商”系指</w:t>
      </w:r>
      <w:r>
        <w:rPr>
          <w:rFonts w:hint="eastAsia" w:ascii="宋体" w:hAnsi="宋体"/>
          <w:color w:val="auto"/>
          <w:szCs w:val="21"/>
          <w:highlight w:val="none"/>
        </w:rPr>
        <w:t>法定程序确定并授予合同的</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供应商</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供应商</w:t>
      </w:r>
      <w:r>
        <w:rPr>
          <w:rFonts w:hint="eastAsia" w:ascii="宋体" w:hAnsi="宋体" w:cs="宋体"/>
          <w:color w:val="auto"/>
          <w:szCs w:val="21"/>
          <w:highlight w:val="none"/>
        </w:rPr>
        <w:t>的公平竞争地位。</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55" w:name="_Toc363737685"/>
      <w:bookmarkStart w:id="56" w:name="_Toc320515019"/>
      <w:bookmarkStart w:id="57" w:name="_Toc475104471"/>
      <w:bookmarkStart w:id="58" w:name="_Toc320515068"/>
      <w:bookmarkStart w:id="59" w:name="_Toc315793453"/>
      <w:bookmarkStart w:id="60" w:name="_Toc323110978"/>
      <w:bookmarkStart w:id="61" w:name="_Toc322680345"/>
      <w:r>
        <w:rPr>
          <w:rFonts w:hint="eastAsia" w:ascii="宋体" w:hAnsi="宋体"/>
          <w:b/>
          <w:bCs/>
          <w:color w:val="auto"/>
          <w:sz w:val="24"/>
          <w:highlight w:val="none"/>
        </w:rPr>
        <w:t>合格的</w:t>
      </w:r>
      <w:bookmarkEnd w:id="55"/>
      <w:bookmarkEnd w:id="56"/>
      <w:bookmarkEnd w:id="57"/>
      <w:bookmarkEnd w:id="58"/>
      <w:bookmarkEnd w:id="59"/>
      <w:bookmarkEnd w:id="60"/>
      <w:bookmarkEnd w:id="61"/>
      <w:r>
        <w:rPr>
          <w:rFonts w:hint="eastAsia" w:ascii="宋体" w:hAnsi="宋体"/>
          <w:b/>
          <w:bCs/>
          <w:color w:val="auto"/>
          <w:sz w:val="24"/>
          <w:highlight w:val="none"/>
        </w:rPr>
        <w:t>供应商</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供应商</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供应商</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邀请“供应商资格”要求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供应商</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供应商</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供应商</w:t>
      </w:r>
      <w:r>
        <w:rPr>
          <w:rFonts w:hint="eastAsia" w:ascii="宋体" w:hAnsi="宋体"/>
          <w:color w:val="auto"/>
          <w:szCs w:val="21"/>
          <w:highlight w:val="none"/>
        </w:rPr>
        <w:t>参加竞争，但只作为一家</w:t>
      </w:r>
      <w:r>
        <w:rPr>
          <w:rFonts w:hint="eastAsia" w:ascii="宋体" w:hAnsi="宋体"/>
          <w:color w:val="auto"/>
          <w:highlight w:val="none"/>
        </w:rPr>
        <w:t>供应商</w:t>
      </w:r>
      <w:r>
        <w:rPr>
          <w:rFonts w:hint="eastAsia" w:ascii="宋体" w:hAnsi="宋体"/>
          <w:color w:val="auto"/>
          <w:szCs w:val="21"/>
          <w:highlight w:val="none"/>
        </w:rPr>
        <w:t>计算。同一品牌不同型号的产品由多家</w:t>
      </w:r>
      <w:r>
        <w:rPr>
          <w:rFonts w:hint="eastAsia" w:ascii="宋体" w:hAnsi="宋体"/>
          <w:color w:val="auto"/>
          <w:highlight w:val="none"/>
        </w:rPr>
        <w:t>供应商</w:t>
      </w:r>
      <w:r>
        <w:rPr>
          <w:rFonts w:hint="eastAsia" w:ascii="宋体" w:hAnsi="宋体"/>
          <w:color w:val="auto"/>
          <w:szCs w:val="21"/>
          <w:highlight w:val="none"/>
        </w:rPr>
        <w:t>参加竞争，作为不同的</w:t>
      </w:r>
      <w:r>
        <w:rPr>
          <w:rFonts w:hint="eastAsia" w:ascii="宋体" w:hAnsi="宋体"/>
          <w:color w:val="auto"/>
          <w:highlight w:val="none"/>
        </w:rPr>
        <w:t>供应商</w:t>
      </w:r>
      <w:r>
        <w:rPr>
          <w:rFonts w:hint="eastAsia" w:ascii="宋体" w:hAnsi="宋体"/>
          <w:color w:val="auto"/>
          <w:szCs w:val="21"/>
          <w:highlight w:val="none"/>
        </w:rPr>
        <w:t>计算。</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62" w:name="_Toc475104472"/>
      <w:bookmarkStart w:id="63" w:name="_Toc363737686"/>
      <w:bookmarkStart w:id="64" w:name="_Toc333236630"/>
      <w:bookmarkStart w:id="65" w:name="_Toc322680347"/>
      <w:bookmarkStart w:id="66" w:name="_Toc323110980"/>
      <w:bookmarkStart w:id="67" w:name="_Toc315793455"/>
      <w:bookmarkStart w:id="68" w:name="_Toc320515021"/>
      <w:bookmarkStart w:id="69" w:name="_Toc320515070"/>
      <w:r>
        <w:rPr>
          <w:rFonts w:hint="eastAsia" w:ascii="宋体" w:hAnsi="宋体"/>
          <w:b/>
          <w:bCs/>
          <w:color w:val="auto"/>
          <w:sz w:val="24"/>
          <w:highlight w:val="none"/>
        </w:rPr>
        <w:t>合格的服务和货物</w:t>
      </w:r>
      <w:bookmarkEnd w:id="62"/>
      <w:bookmarkEnd w:id="63"/>
      <w:bookmarkEnd w:id="64"/>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供应商</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供应商</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供应商</w:t>
      </w:r>
      <w:r>
        <w:rPr>
          <w:rFonts w:hint="eastAsia" w:ascii="宋体" w:hAnsi="宋体"/>
          <w:color w:val="auto"/>
          <w:szCs w:val="21"/>
          <w:highlight w:val="none"/>
        </w:rPr>
        <w:t>自行承担。</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供应商</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供应商</w:t>
      </w:r>
      <w:r>
        <w:rPr>
          <w:rFonts w:hint="eastAsia" w:ascii="宋体" w:hAnsi="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0" w:name="_Toc363737687"/>
      <w:bookmarkStart w:id="71" w:name="_Toc475104473"/>
      <w:r>
        <w:rPr>
          <w:rFonts w:hint="eastAsia" w:ascii="宋体" w:hAnsi="宋体"/>
          <w:b/>
          <w:bCs/>
          <w:color w:val="auto"/>
          <w:sz w:val="24"/>
          <w:highlight w:val="none"/>
        </w:rPr>
        <w:t>磋商费用</w:t>
      </w:r>
      <w:bookmarkEnd w:id="65"/>
      <w:bookmarkEnd w:id="66"/>
      <w:bookmarkEnd w:id="67"/>
      <w:bookmarkEnd w:id="68"/>
      <w:bookmarkEnd w:id="69"/>
      <w:bookmarkEnd w:id="70"/>
      <w:bookmarkEnd w:id="71"/>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bookmarkStart w:id="72" w:name="_Toc322680348"/>
      <w:bookmarkStart w:id="73" w:name="_Toc323110981"/>
      <w:bookmarkStart w:id="74" w:name="_Toc320515022"/>
      <w:bookmarkStart w:id="75" w:name="_Toc320515071"/>
      <w:bookmarkStart w:id="76" w:name="_Toc315793456"/>
      <w:r>
        <w:rPr>
          <w:rFonts w:hint="eastAsia" w:ascii="宋体" w:hAnsi="宋体"/>
          <w:color w:val="auto"/>
          <w:highlight w:val="none"/>
        </w:rPr>
        <w:t>供应商</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72"/>
      <w:bookmarkEnd w:id="73"/>
      <w:bookmarkEnd w:id="74"/>
      <w:bookmarkEnd w:id="75"/>
    </w:p>
    <w:bookmarkEnd w:id="76"/>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7" w:name="_Toc475104474"/>
      <w:r>
        <w:rPr>
          <w:rFonts w:hint="eastAsia" w:ascii="宋体" w:hAnsi="宋体"/>
          <w:b/>
          <w:color w:val="auto"/>
          <w:sz w:val="28"/>
          <w:szCs w:val="28"/>
          <w:highlight w:val="none"/>
          <w:lang w:eastAsia="zh-TW"/>
        </w:rPr>
        <w:t>竞争性磋商文件</w:t>
      </w:r>
      <w:bookmarkEnd w:id="77"/>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8" w:name="_Toc363737689"/>
      <w:bookmarkStart w:id="79" w:name="_Toc322680350"/>
      <w:bookmarkStart w:id="80" w:name="_Toc323110983"/>
      <w:bookmarkStart w:id="81" w:name="_Toc315793458"/>
      <w:bookmarkStart w:id="82" w:name="_Toc320515024"/>
      <w:bookmarkStart w:id="83" w:name="_Toc320515073"/>
      <w:bookmarkStart w:id="84" w:name="_Toc475104475"/>
      <w:r>
        <w:rPr>
          <w:rFonts w:hint="eastAsia" w:ascii="宋体" w:hAnsi="宋体"/>
          <w:b/>
          <w:bCs/>
          <w:color w:val="auto"/>
          <w:sz w:val="24"/>
          <w:highlight w:val="none"/>
        </w:rPr>
        <w:t>竞争性磋商文件的编制依据与构成</w:t>
      </w:r>
      <w:bookmarkEnd w:id="78"/>
      <w:bookmarkEnd w:id="79"/>
      <w:bookmarkEnd w:id="80"/>
      <w:bookmarkEnd w:id="81"/>
      <w:bookmarkEnd w:id="82"/>
      <w:bookmarkEnd w:id="83"/>
      <w:bookmarkEnd w:id="84"/>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5"/>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ascii="宋体" w:hAnsi="宋体"/>
          <w:color w:val="auto"/>
          <w:szCs w:val="21"/>
          <w:highlight w:val="none"/>
        </w:rPr>
      </w:pPr>
      <w:r>
        <w:rPr>
          <w:rFonts w:hint="eastAsia" w:ascii="宋体" w:hAnsi="宋体"/>
          <w:color w:val="auto"/>
          <w:szCs w:val="21"/>
          <w:highlight w:val="none"/>
        </w:rPr>
        <w:t>（5）附件（格式）</w:t>
      </w:r>
    </w:p>
    <w:p>
      <w:pPr>
        <w:spacing w:line="360" w:lineRule="auto"/>
        <w:ind w:firstLine="24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工程量清单</w:t>
      </w:r>
      <w:r>
        <w:rPr>
          <w:rFonts w:hint="eastAsia" w:ascii="宋体" w:hAnsi="宋体"/>
          <w:color w:val="auto"/>
          <w:szCs w:val="21"/>
          <w:highlight w:val="none"/>
        </w:rPr>
        <w:t>（另册）</w:t>
      </w:r>
    </w:p>
    <w:p>
      <w:pPr>
        <w:spacing w:line="360" w:lineRule="auto"/>
        <w:ind w:firstLine="24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szCs w:val="21"/>
          <w:highlight w:val="none"/>
        </w:rPr>
        <w:t>工程量清单</w:t>
      </w:r>
      <w:r>
        <w:rPr>
          <w:rFonts w:hint="eastAsia" w:ascii="宋体" w:hAnsi="宋体"/>
          <w:color w:val="auto"/>
          <w:szCs w:val="21"/>
          <w:highlight w:val="none"/>
        </w:rPr>
        <w:t>》须用采购人提供的电子版（含封面），并逐页加盖法人公章确认，投标人不得修改《</w:t>
      </w:r>
      <w:r>
        <w:rPr>
          <w:rFonts w:hint="eastAsia" w:ascii="宋体" w:hAnsi="宋体" w:cs="宋体"/>
          <w:color w:val="auto"/>
          <w:szCs w:val="21"/>
          <w:highlight w:val="none"/>
        </w:rPr>
        <w:t>工程量清单</w:t>
      </w:r>
      <w:r>
        <w:rPr>
          <w:rFonts w:hint="eastAsia" w:ascii="宋体" w:hAnsi="宋体"/>
          <w:color w:val="auto"/>
          <w:szCs w:val="21"/>
          <w:highlight w:val="none"/>
        </w:rPr>
        <w:t>》中项目内容及工程数量；副本可以采用正本复印并逐页加盖法人公章确认。</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供应商</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供应商</w:t>
      </w:r>
      <w:r>
        <w:rPr>
          <w:rFonts w:hint="eastAsia" w:ascii="宋体" w:hAnsi="宋体" w:cs="宋体"/>
          <w:color w:val="auto"/>
          <w:szCs w:val="21"/>
          <w:highlight w:val="none"/>
        </w:rPr>
        <w:t>的风险，有可能导致其报价被拒绝，或被认定为无效响应。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85" w:name="_Toc323110984"/>
      <w:bookmarkStart w:id="86" w:name="_Toc475104476"/>
      <w:bookmarkStart w:id="87" w:name="_Toc315793459"/>
      <w:bookmarkStart w:id="88" w:name="_Toc322680351"/>
      <w:bookmarkStart w:id="89" w:name="_Toc320515074"/>
      <w:bookmarkStart w:id="90" w:name="_Toc363737690"/>
      <w:bookmarkStart w:id="91" w:name="_Toc320515025"/>
      <w:r>
        <w:rPr>
          <w:rFonts w:hint="eastAsia" w:ascii="宋体" w:hAnsi="宋体"/>
          <w:b/>
          <w:bCs/>
          <w:color w:val="auto"/>
          <w:sz w:val="24"/>
          <w:highlight w:val="none"/>
        </w:rPr>
        <w:t>竞争性磋商文件的澄清</w:t>
      </w:r>
      <w:bookmarkEnd w:id="85"/>
      <w:bookmarkEnd w:id="86"/>
      <w:bookmarkEnd w:id="87"/>
      <w:bookmarkEnd w:id="88"/>
      <w:bookmarkEnd w:id="89"/>
      <w:bookmarkEnd w:id="90"/>
      <w:bookmarkEnd w:id="91"/>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供应商</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供应商</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供应商</w:t>
      </w:r>
      <w:r>
        <w:rPr>
          <w:rFonts w:hint="eastAsia" w:ascii="宋体" w:hAnsi="宋体" w:cs="宋体"/>
          <w:color w:val="auto"/>
          <w:szCs w:val="21"/>
          <w:highlight w:val="none"/>
        </w:rPr>
        <w:t>，答复中不包括问题的来源。</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供应商</w:t>
      </w:r>
      <w:r>
        <w:rPr>
          <w:rFonts w:hint="eastAsia" w:ascii="宋体" w:hAnsi="宋体" w:cs="宋体"/>
          <w:color w:val="auto"/>
          <w:szCs w:val="21"/>
          <w:highlight w:val="none"/>
        </w:rPr>
        <w:t>授权代表于上述的时间和地点出席答疑会或现场考察。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供应商</w:t>
      </w:r>
      <w:r>
        <w:rPr>
          <w:rFonts w:hint="eastAsia" w:ascii="宋体" w:hAnsi="宋体" w:cs="宋体"/>
          <w:color w:val="auto"/>
          <w:szCs w:val="21"/>
          <w:highlight w:val="none"/>
        </w:rPr>
        <w:t>如不出席答疑会或现场考察视为对竞争性磋商文件所有内容无任何异议。</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92" w:name="_Toc475104477"/>
      <w:bookmarkStart w:id="93" w:name="_Toc322680352"/>
      <w:bookmarkStart w:id="94" w:name="_Toc363737691"/>
      <w:bookmarkStart w:id="95" w:name="_Toc320515026"/>
      <w:bookmarkStart w:id="96" w:name="_Toc315793460"/>
      <w:bookmarkStart w:id="97" w:name="_Toc320515075"/>
      <w:bookmarkStart w:id="98" w:name="_Toc323110985"/>
      <w:r>
        <w:rPr>
          <w:rFonts w:hint="eastAsia" w:ascii="宋体" w:hAnsi="宋体"/>
          <w:b/>
          <w:bCs/>
          <w:color w:val="auto"/>
          <w:sz w:val="24"/>
          <w:highlight w:val="none"/>
        </w:rPr>
        <w:t>竞争性磋商文件的修改</w:t>
      </w:r>
      <w:bookmarkEnd w:id="92"/>
      <w:bookmarkEnd w:id="93"/>
      <w:bookmarkEnd w:id="94"/>
      <w:bookmarkEnd w:id="95"/>
      <w:bookmarkEnd w:id="96"/>
      <w:bookmarkEnd w:id="97"/>
      <w:bookmarkEnd w:id="98"/>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供应商</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供应商</w:t>
      </w:r>
      <w:r>
        <w:rPr>
          <w:rFonts w:hint="eastAsia" w:ascii="宋体" w:hAnsi="宋体"/>
          <w:bCs/>
          <w:color w:val="auto"/>
          <w:szCs w:val="21"/>
          <w:highlight w:val="none"/>
        </w:rPr>
        <w:t>，</w:t>
      </w:r>
      <w:r>
        <w:rPr>
          <w:rFonts w:hint="eastAsia" w:ascii="宋体" w:hAnsi="宋体"/>
          <w:color w:val="auto"/>
          <w:highlight w:val="none"/>
        </w:rPr>
        <w:t>供应商</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7"/>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供应商</w:t>
      </w:r>
      <w:r>
        <w:rPr>
          <w:rFonts w:hint="eastAsia" w:ascii="宋体" w:hAnsi="宋体"/>
          <w:bCs/>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供应商</w:t>
      </w:r>
      <w:r>
        <w:rPr>
          <w:rFonts w:hint="eastAsia" w:ascii="宋体" w:hAnsi="宋体" w:cs="宋体"/>
          <w:color w:val="auto"/>
          <w:szCs w:val="21"/>
          <w:highlight w:val="none"/>
        </w:rPr>
        <w:t>，并对潜在</w:t>
      </w:r>
      <w:r>
        <w:rPr>
          <w:rFonts w:hint="eastAsia" w:ascii="宋体" w:hAnsi="宋体"/>
          <w:color w:val="auto"/>
          <w:highlight w:val="none"/>
        </w:rPr>
        <w:t>供应商</w:t>
      </w:r>
      <w:r>
        <w:rPr>
          <w:rFonts w:hint="eastAsia" w:ascii="宋体" w:hAnsi="宋体" w:cs="宋体"/>
          <w:color w:val="auto"/>
          <w:szCs w:val="21"/>
          <w:highlight w:val="none"/>
        </w:rPr>
        <w:t>具有约束力。潜在</w:t>
      </w:r>
      <w:r>
        <w:rPr>
          <w:rFonts w:hint="eastAsia" w:ascii="宋体" w:hAnsi="宋体"/>
          <w:color w:val="auto"/>
          <w:highlight w:val="none"/>
        </w:rPr>
        <w:t>供应商</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9" w:name="_Toc475104478"/>
      <w:bookmarkStart w:id="100" w:name="_Toc322680353"/>
      <w:bookmarkStart w:id="101" w:name="_Toc363737692"/>
      <w:bookmarkStart w:id="102" w:name="_Toc320515076"/>
      <w:bookmarkStart w:id="103" w:name="_Toc323110986"/>
      <w:bookmarkStart w:id="104" w:name="_Toc320515027"/>
      <w:bookmarkStart w:id="105" w:name="_Toc315793461"/>
      <w:r>
        <w:rPr>
          <w:rFonts w:hint="eastAsia" w:ascii="宋体" w:hAnsi="宋体"/>
          <w:b/>
          <w:color w:val="auto"/>
          <w:sz w:val="28"/>
          <w:szCs w:val="28"/>
          <w:highlight w:val="none"/>
          <w:lang w:eastAsia="zh-TW"/>
        </w:rPr>
        <w:t>磋商响应文件的编制</w:t>
      </w:r>
      <w:bookmarkEnd w:id="99"/>
      <w:bookmarkEnd w:id="100"/>
      <w:bookmarkEnd w:id="101"/>
      <w:bookmarkEnd w:id="102"/>
      <w:bookmarkEnd w:id="103"/>
      <w:bookmarkEnd w:id="104"/>
      <w:bookmarkEnd w:id="10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06" w:name="_Toc315793462"/>
      <w:bookmarkStart w:id="107" w:name="_Toc320515077"/>
      <w:bookmarkStart w:id="108" w:name="_Toc320515028"/>
      <w:bookmarkStart w:id="109" w:name="_Toc363737693"/>
      <w:bookmarkStart w:id="110" w:name="_Toc322680354"/>
      <w:bookmarkStart w:id="111" w:name="_Toc475104479"/>
      <w:bookmarkStart w:id="112" w:name="_Toc323110987"/>
      <w:r>
        <w:rPr>
          <w:rFonts w:hint="eastAsia" w:ascii="宋体" w:hAnsi="宋体"/>
          <w:b/>
          <w:bCs/>
          <w:color w:val="auto"/>
          <w:sz w:val="24"/>
          <w:highlight w:val="none"/>
        </w:rPr>
        <w:t>响应的语言</w:t>
      </w:r>
      <w:bookmarkEnd w:id="106"/>
      <w:bookmarkEnd w:id="107"/>
      <w:bookmarkEnd w:id="108"/>
      <w:bookmarkEnd w:id="109"/>
      <w:bookmarkEnd w:id="110"/>
      <w:bookmarkEnd w:id="111"/>
      <w:bookmarkEnd w:id="11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提交的磋商响应文件以及</w:t>
      </w:r>
      <w:r>
        <w:rPr>
          <w:rFonts w:hint="eastAsia" w:ascii="宋体" w:hAnsi="宋体"/>
          <w:color w:val="auto"/>
          <w:highlight w:val="none"/>
        </w:rPr>
        <w:t>供应商</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供应商</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13" w:name="_Toc322680355"/>
      <w:bookmarkStart w:id="114" w:name="_Toc320515078"/>
      <w:bookmarkStart w:id="115" w:name="_Toc315793463"/>
      <w:bookmarkStart w:id="116" w:name="_Toc323110988"/>
      <w:bookmarkStart w:id="117" w:name="_Toc475104480"/>
      <w:bookmarkStart w:id="118" w:name="_Toc363737694"/>
      <w:bookmarkStart w:id="119" w:name="_Toc320515029"/>
      <w:r>
        <w:rPr>
          <w:rFonts w:hint="eastAsia" w:ascii="宋体" w:hAnsi="宋体"/>
          <w:b/>
          <w:bCs/>
          <w:color w:val="auto"/>
          <w:sz w:val="24"/>
          <w:highlight w:val="none"/>
        </w:rPr>
        <w:t>磋商响应文件的构成</w:t>
      </w:r>
      <w:bookmarkEnd w:id="113"/>
      <w:bookmarkEnd w:id="114"/>
      <w:bookmarkEnd w:id="115"/>
      <w:bookmarkEnd w:id="116"/>
      <w:bookmarkEnd w:id="117"/>
      <w:bookmarkEnd w:id="118"/>
      <w:bookmarkEnd w:id="119"/>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①按规定填写的竞争性磋商函、资格声明函、同意竞争性磋商文件条款说明、《工程量清单》；</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供应商</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供应商</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供应商</w:t>
      </w:r>
      <w:r>
        <w:rPr>
          <w:rFonts w:hint="eastAsia" w:ascii="宋体" w:hAnsi="宋体" w:cs="宋体"/>
          <w:color w:val="auto"/>
          <w:szCs w:val="21"/>
          <w:highlight w:val="none"/>
        </w:rPr>
        <w:t>认为须提交与评审内容相关的其他资料。</w:t>
      </w:r>
    </w:p>
    <w:p>
      <w:pPr>
        <w:pStyle w:val="178"/>
        <w:numPr>
          <w:ilvl w:val="1"/>
          <w:numId w:val="5"/>
        </w:numPr>
        <w:tabs>
          <w:tab w:val="left" w:pos="360"/>
          <w:tab w:val="left" w:pos="709"/>
        </w:tabs>
        <w:adjustRightInd w:val="0"/>
        <w:spacing w:line="360" w:lineRule="auto"/>
        <w:textAlignment w:val="baseline"/>
        <w:outlineLvl w:val="9"/>
        <w:rPr>
          <w:rFonts w:cs="宋体"/>
          <w:color w:val="auto"/>
          <w:sz w:val="21"/>
          <w:szCs w:val="21"/>
          <w:highlight w:val="none"/>
        </w:rPr>
      </w:pPr>
      <w:bookmarkStart w:id="120" w:name="_Toc475104481"/>
      <w:r>
        <w:rPr>
          <w:rFonts w:hint="eastAsia" w:cs="宋体"/>
          <w:color w:val="auto"/>
          <w:sz w:val="21"/>
          <w:szCs w:val="21"/>
          <w:highlight w:val="none"/>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2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1" w:name="_Toc320515079"/>
      <w:bookmarkStart w:id="122" w:name="_Toc315793464"/>
      <w:bookmarkStart w:id="123" w:name="_Toc322680356"/>
      <w:bookmarkStart w:id="124" w:name="_Toc323110989"/>
      <w:bookmarkStart w:id="125" w:name="_Toc320515030"/>
      <w:bookmarkStart w:id="126" w:name="_Toc363737695"/>
      <w:bookmarkStart w:id="127" w:name="_Toc475104482"/>
      <w:r>
        <w:rPr>
          <w:rFonts w:hint="eastAsia" w:ascii="宋体" w:hAnsi="宋体"/>
          <w:b/>
          <w:bCs/>
          <w:color w:val="auto"/>
          <w:sz w:val="24"/>
          <w:highlight w:val="none"/>
        </w:rPr>
        <w:t>磋商响应文件的编写</w:t>
      </w:r>
      <w:bookmarkEnd w:id="121"/>
      <w:bookmarkEnd w:id="122"/>
      <w:bookmarkEnd w:id="123"/>
      <w:bookmarkEnd w:id="124"/>
      <w:bookmarkEnd w:id="125"/>
      <w:bookmarkEnd w:id="126"/>
      <w:bookmarkEnd w:id="127"/>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供应商</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供应商</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供应商</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8" w:name="_Toc475104483"/>
      <w:bookmarkStart w:id="129" w:name="_Toc323110990"/>
      <w:bookmarkStart w:id="130" w:name="_Toc363737696"/>
      <w:r>
        <w:rPr>
          <w:rFonts w:hint="eastAsia" w:ascii="宋体" w:hAnsi="宋体"/>
          <w:b/>
          <w:bCs/>
          <w:color w:val="auto"/>
          <w:sz w:val="24"/>
          <w:highlight w:val="none"/>
        </w:rPr>
        <w:t>竞争性磋商报价</w:t>
      </w:r>
      <w:bookmarkEnd w:id="128"/>
      <w:bookmarkEnd w:id="129"/>
      <w:bookmarkEnd w:id="13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31" w:name="_Toc320515081"/>
      <w:bookmarkStart w:id="132" w:name="_Toc322680358"/>
      <w:bookmarkStart w:id="133" w:name="_Toc315793468"/>
      <w:bookmarkStart w:id="134" w:name="_Toc323110991"/>
      <w:bookmarkStart w:id="135" w:name="_Toc320515032"/>
      <w:r>
        <w:rPr>
          <w:rFonts w:hint="eastAsia" w:cs="宋体"/>
          <w:color w:val="auto"/>
          <w:szCs w:val="21"/>
          <w:highlight w:val="none"/>
        </w:rPr>
        <w:t>供应商</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供应商</w:t>
      </w:r>
      <w:r>
        <w:rPr>
          <w:rFonts w:hint="eastAsia" w:ascii="宋体" w:hAnsi="宋体" w:cs="宋体"/>
          <w:color w:val="auto"/>
          <w:szCs w:val="21"/>
          <w:highlight w:val="none"/>
        </w:rPr>
        <w:t>作出书面说明并提供相关证明材料。</w:t>
      </w:r>
      <w:r>
        <w:rPr>
          <w:rFonts w:hint="eastAsia" w:cs="宋体"/>
          <w:color w:val="auto"/>
          <w:szCs w:val="21"/>
          <w:highlight w:val="none"/>
        </w:rPr>
        <w:t>供应商</w:t>
      </w:r>
      <w:r>
        <w:rPr>
          <w:rFonts w:hint="eastAsia" w:ascii="宋体" w:hAnsi="宋体" w:cs="宋体"/>
          <w:color w:val="auto"/>
          <w:szCs w:val="21"/>
          <w:highlight w:val="none"/>
        </w:rPr>
        <w:t>不能合理说明或者不能提供相关证明材料的，由磋商小组认定该供应商以低于成本报价竞标其报价应作无效竞标处理。</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报价为本次采购内容的综合单价包干响应报价即为合同价，不得在成交后提出任何增加费用要求，</w:t>
      </w:r>
      <w:r>
        <w:rPr>
          <w:rFonts w:hint="eastAsia" w:cs="宋体"/>
          <w:color w:val="auto"/>
          <w:szCs w:val="21"/>
          <w:highlight w:val="none"/>
        </w:rPr>
        <w:t>供应商</w:t>
      </w:r>
      <w:r>
        <w:rPr>
          <w:rFonts w:hint="eastAsia" w:ascii="宋体" w:hAnsi="宋体" w:cs="宋体"/>
          <w:color w:val="auto"/>
          <w:szCs w:val="21"/>
          <w:highlight w:val="none"/>
        </w:rPr>
        <w:t>在报价时应充分考虑相关风险性因素。</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供应商</w:t>
      </w:r>
      <w:r>
        <w:rPr>
          <w:rFonts w:hint="eastAsia" w:ascii="宋体" w:hAnsi="宋体" w:cs="宋体"/>
          <w:color w:val="auto"/>
          <w:szCs w:val="21"/>
          <w:highlight w:val="none"/>
        </w:rPr>
        <w:t>在获得成交资格并签署合同后，服务期限内出现的任何遗漏，均由成交供应商负责，采购人将不再支付任何费用。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投标报价应为包括设计图纸和工程量清单项目所发生的人工费、材料费、机械费、管理费、利润、项目措施费、规费、税金、配合费、预留金以及施工合同包含的所有风险、责任等全部费用。</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6" w:name="_Toc475104484"/>
      <w:bookmarkStart w:id="137" w:name="_Toc363737697"/>
      <w:r>
        <w:rPr>
          <w:rFonts w:hint="eastAsia" w:ascii="宋体" w:hAnsi="宋体"/>
          <w:b/>
          <w:bCs/>
          <w:color w:val="auto"/>
          <w:sz w:val="24"/>
          <w:highlight w:val="none"/>
        </w:rPr>
        <w:t>证明供应商合格和资格的文件</w:t>
      </w:r>
      <w:bookmarkEnd w:id="131"/>
      <w:bookmarkEnd w:id="132"/>
      <w:bookmarkEnd w:id="133"/>
      <w:bookmarkEnd w:id="134"/>
      <w:bookmarkEnd w:id="135"/>
      <w:bookmarkEnd w:id="136"/>
      <w:bookmarkEnd w:id="137"/>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供应商</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供应商提交的资格证明文件应证明其满足本须知定义的合格</w:t>
      </w:r>
      <w:r>
        <w:rPr>
          <w:rFonts w:hint="eastAsia" w:cs="宋体"/>
          <w:color w:val="auto"/>
          <w:szCs w:val="21"/>
          <w:highlight w:val="none"/>
        </w:rPr>
        <w:t>供应商</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8" w:name="_Toc333236642"/>
      <w:bookmarkStart w:id="139" w:name="_Toc363737698"/>
      <w:bookmarkStart w:id="140" w:name="_Toc320515082"/>
      <w:bookmarkStart w:id="141" w:name="_Toc315793469"/>
      <w:bookmarkStart w:id="142" w:name="_Toc475104485"/>
      <w:bookmarkStart w:id="143" w:name="_Toc320515033"/>
      <w:bookmarkStart w:id="144" w:name="_Toc323110993"/>
      <w:r>
        <w:rPr>
          <w:rFonts w:hint="eastAsia" w:ascii="宋体" w:hAnsi="宋体"/>
          <w:b/>
          <w:bCs/>
          <w:color w:val="auto"/>
          <w:sz w:val="24"/>
          <w:highlight w:val="none"/>
        </w:rPr>
        <w:t>证明服务的合格性和符合磋商文件规定的文件</w:t>
      </w:r>
      <w:bookmarkEnd w:id="138"/>
      <w:bookmarkEnd w:id="139"/>
      <w:bookmarkEnd w:id="140"/>
      <w:bookmarkEnd w:id="141"/>
      <w:bookmarkEnd w:id="142"/>
      <w:bookmarkEnd w:id="143"/>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TW"/>
        </w:rPr>
        <w:t>供应商应提交证明文件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供应商</w:t>
      </w:r>
      <w:r>
        <w:rPr>
          <w:rFonts w:hint="eastAsia" w:ascii="宋体" w:hAnsi="宋体" w:cs="宋体"/>
          <w:color w:val="auto"/>
          <w:szCs w:val="21"/>
          <w:highlight w:val="none"/>
        </w:rPr>
        <w:t>须提供所投服务的具体参数值。</w:t>
      </w:r>
      <w:r>
        <w:rPr>
          <w:rFonts w:hint="eastAsia" w:cs="宋体"/>
          <w:color w:val="auto"/>
          <w:szCs w:val="21"/>
          <w:highlight w:val="none"/>
        </w:rPr>
        <w:t>供应商</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供应商</w:t>
      </w:r>
      <w:r>
        <w:rPr>
          <w:rFonts w:hint="eastAsia" w:ascii="宋体" w:hAnsi="宋体" w:cs="宋体"/>
          <w:color w:val="auto"/>
          <w:szCs w:val="21"/>
          <w:highlight w:val="none"/>
        </w:rPr>
        <w:t>在报价中要实质上满足或超过竞争性磋商文件的要求。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5" w:name="_Toc363737699"/>
      <w:r>
        <w:rPr>
          <w:rFonts w:hint="eastAsia" w:ascii="宋体" w:hAnsi="宋体"/>
          <w:b/>
          <w:bCs/>
          <w:color w:val="auto"/>
          <w:sz w:val="24"/>
          <w:highlight w:val="none"/>
        </w:rPr>
        <w:t>磋商保证金</w:t>
      </w:r>
    </w:p>
    <w:bookmarkEnd w:id="145"/>
    <w:p>
      <w:pPr>
        <w:numPr>
          <w:ilvl w:val="1"/>
          <w:numId w:val="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44"/>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6" w:name="_Toc351550769"/>
      <w:bookmarkStart w:id="147" w:name="_Toc475104487"/>
      <w:bookmarkStart w:id="148" w:name="_Toc394926941"/>
      <w:bookmarkStart w:id="149" w:name="_Toc320515084"/>
      <w:bookmarkStart w:id="150" w:name="_Toc320515035"/>
      <w:bookmarkStart w:id="151" w:name="_Toc322680361"/>
      <w:bookmarkStart w:id="152" w:name="_Toc315793471"/>
      <w:bookmarkStart w:id="153" w:name="_Toc323110994"/>
      <w:bookmarkStart w:id="154" w:name="_Toc363737700"/>
      <w:r>
        <w:rPr>
          <w:rFonts w:hint="eastAsia" w:ascii="宋体" w:hAnsi="宋体"/>
          <w:b/>
          <w:bCs/>
          <w:color w:val="auto"/>
          <w:sz w:val="24"/>
          <w:highlight w:val="none"/>
        </w:rPr>
        <w:t>政府采购信用担保</w:t>
      </w:r>
      <w:bookmarkEnd w:id="146"/>
      <w:bookmarkEnd w:id="147"/>
      <w:bookmarkEnd w:id="148"/>
    </w:p>
    <w:bookmarkEnd w:id="149"/>
    <w:bookmarkEnd w:id="150"/>
    <w:bookmarkEnd w:id="151"/>
    <w:bookmarkEnd w:id="152"/>
    <w:bookmarkEnd w:id="153"/>
    <w:bookmarkEnd w:id="154"/>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5" w:name="_Toc475104489"/>
      <w:r>
        <w:rPr>
          <w:rFonts w:hint="eastAsia" w:ascii="宋体" w:hAnsi="宋体"/>
          <w:color w:val="auto"/>
          <w:szCs w:val="21"/>
          <w:highlight w:val="none"/>
        </w:rPr>
        <w:t>履约担保，是指由专业担保机构为</w:t>
      </w:r>
      <w:r>
        <w:rPr>
          <w:rFonts w:hint="eastAsia" w:cs="宋体"/>
          <w:color w:val="auto"/>
          <w:szCs w:val="21"/>
          <w:highlight w:val="none"/>
        </w:rPr>
        <w:t>供应商</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供应商</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供应商</w:t>
      </w:r>
      <w:r>
        <w:rPr>
          <w:rFonts w:hint="eastAsia" w:ascii="宋体" w:hAnsi="宋体"/>
          <w:color w:val="auto"/>
          <w:szCs w:val="21"/>
          <w:highlight w:val="none"/>
        </w:rPr>
        <w:t>可以自行选择是否采取履约担保函的形式交纳履约保证金。</w:t>
      </w:r>
      <w:bookmarkEnd w:id="155"/>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6" w:name="_Toc315793300"/>
      <w:bookmarkStart w:id="157" w:name="_Toc475104490"/>
      <w:r>
        <w:rPr>
          <w:rFonts w:hint="eastAsia"/>
          <w:color w:val="auto"/>
          <w:szCs w:val="21"/>
          <w:highlight w:val="none"/>
        </w:rPr>
        <w:t>融资担保，是指由专业担保机构为</w:t>
      </w:r>
      <w:r>
        <w:rPr>
          <w:rFonts w:hint="eastAsia" w:cs="宋体"/>
          <w:color w:val="auto"/>
          <w:szCs w:val="21"/>
          <w:highlight w:val="none"/>
        </w:rPr>
        <w:t>供应商</w:t>
      </w:r>
      <w:r>
        <w:rPr>
          <w:rFonts w:hint="eastAsia"/>
          <w:color w:val="auto"/>
          <w:szCs w:val="21"/>
          <w:highlight w:val="none"/>
        </w:rPr>
        <w:t>向银行融资提供的保证担保。</w:t>
      </w:r>
      <w:r>
        <w:rPr>
          <w:rFonts w:hint="eastAsia" w:cs="宋体"/>
          <w:color w:val="auto"/>
          <w:szCs w:val="21"/>
          <w:highlight w:val="none"/>
        </w:rPr>
        <w:t>供应商</w:t>
      </w:r>
      <w:r>
        <w:rPr>
          <w:rFonts w:hint="eastAsia"/>
          <w:color w:val="auto"/>
          <w:szCs w:val="21"/>
          <w:highlight w:val="none"/>
        </w:rPr>
        <w:t>可以自愿选择是否采取融资担保的形式为政府采购履约进行融资。</w:t>
      </w:r>
      <w:bookmarkEnd w:id="156"/>
      <w:bookmarkEnd w:id="157"/>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8" w:name="_Toc475104493"/>
      <w:r>
        <w:rPr>
          <w:rFonts w:hint="eastAsia" w:ascii="宋体" w:hAnsi="宋体"/>
          <w:color w:val="auto"/>
          <w:szCs w:val="21"/>
          <w:highlight w:val="none"/>
        </w:rPr>
        <w:t>专业担保机构的选择。</w:t>
      </w:r>
      <w:r>
        <w:rPr>
          <w:rFonts w:hint="eastAsia" w:cs="宋体"/>
          <w:color w:val="auto"/>
          <w:szCs w:val="21"/>
          <w:highlight w:val="none"/>
        </w:rPr>
        <w:t>供应商</w:t>
      </w:r>
      <w:r>
        <w:rPr>
          <w:rFonts w:hint="eastAsia" w:ascii="宋体" w:hAnsi="宋体"/>
          <w:color w:val="auto"/>
          <w:szCs w:val="21"/>
          <w:highlight w:val="none"/>
        </w:rPr>
        <w:t>必须选定有合法资质的担保公司任一家作为专业担保机构。</w:t>
      </w:r>
    </w:p>
    <w:bookmarkEnd w:id="158"/>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供应商</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供应商</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供应商</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59" w:name="_Toc475104494"/>
      <w:bookmarkStart w:id="160" w:name="_Toc363737701"/>
      <w:bookmarkStart w:id="161" w:name="_Toc320515036"/>
      <w:bookmarkStart w:id="162" w:name="_Toc315793472"/>
      <w:bookmarkStart w:id="163" w:name="_Toc320515085"/>
      <w:bookmarkStart w:id="164" w:name="_Toc320515086"/>
      <w:bookmarkStart w:id="165" w:name="_Toc315793473"/>
      <w:bookmarkStart w:id="166" w:name="_Toc323110996"/>
      <w:bookmarkStart w:id="167" w:name="_Toc322680363"/>
      <w:bookmarkStart w:id="168" w:name="_Toc320515037"/>
      <w:r>
        <w:rPr>
          <w:rFonts w:hint="eastAsia" w:ascii="宋体" w:hAnsi="宋体"/>
          <w:b/>
          <w:bCs/>
          <w:color w:val="auto"/>
          <w:sz w:val="24"/>
          <w:highlight w:val="none"/>
        </w:rPr>
        <w:t>磋商响应文件的式样和签署</w:t>
      </w:r>
      <w:bookmarkEnd w:id="159"/>
      <w:bookmarkEnd w:id="160"/>
      <w:bookmarkEnd w:id="161"/>
      <w:bookmarkEnd w:id="162"/>
      <w:bookmarkEnd w:id="16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供应商</w:t>
      </w:r>
      <w:r>
        <w:rPr>
          <w:rFonts w:hint="eastAsia" w:ascii="宋体" w:hAnsi="宋体" w:cs="宋体"/>
          <w:color w:val="auto"/>
          <w:szCs w:val="21"/>
          <w:highlight w:val="none"/>
        </w:rPr>
        <w:t>的全部磋商响应文件均不退回。</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投标人《工程量清单》须用采购人提供的电子版填写（含封面），并逐页加盖法人公章确认，投标人不得修改《工程量清单》中项目内容及工程数量。</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磋商响应文件正本每一页均要求加盖供应商公章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9" w:name="_Toc475104495"/>
      <w:bookmarkStart w:id="170" w:name="_Toc363737702"/>
      <w:r>
        <w:rPr>
          <w:rFonts w:hint="eastAsia" w:ascii="宋体" w:hAnsi="宋体"/>
          <w:b/>
          <w:color w:val="auto"/>
          <w:sz w:val="28"/>
          <w:szCs w:val="28"/>
          <w:highlight w:val="none"/>
          <w:lang w:eastAsia="zh-TW"/>
        </w:rPr>
        <w:t>磋商响应文件的递交</w:t>
      </w:r>
      <w:bookmarkEnd w:id="164"/>
      <w:bookmarkEnd w:id="165"/>
      <w:bookmarkEnd w:id="166"/>
      <w:bookmarkEnd w:id="167"/>
      <w:bookmarkEnd w:id="168"/>
      <w:bookmarkEnd w:id="169"/>
      <w:bookmarkEnd w:id="170"/>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1" w:name="_Toc320515087"/>
      <w:bookmarkStart w:id="172" w:name="_Toc363737703"/>
      <w:bookmarkStart w:id="173" w:name="_Toc475104496"/>
      <w:bookmarkStart w:id="174" w:name="_Toc320515038"/>
      <w:bookmarkStart w:id="175" w:name="_Toc315793474"/>
      <w:r>
        <w:rPr>
          <w:rFonts w:hint="eastAsia" w:ascii="宋体" w:hAnsi="宋体"/>
          <w:b/>
          <w:bCs/>
          <w:color w:val="auto"/>
          <w:sz w:val="24"/>
          <w:highlight w:val="none"/>
        </w:rPr>
        <w:t>磋商响应文件的密封和标记</w:t>
      </w:r>
      <w:bookmarkEnd w:id="171"/>
      <w:bookmarkEnd w:id="172"/>
      <w:bookmarkEnd w:id="173"/>
      <w:bookmarkEnd w:id="174"/>
      <w:bookmarkEnd w:id="175"/>
    </w:p>
    <w:p>
      <w:pPr>
        <w:numPr>
          <w:ilvl w:val="1"/>
          <w:numId w:val="5"/>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5"/>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在规定的磋商时间2020</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6" w:name="_Toc320515040"/>
      <w:bookmarkStart w:id="177" w:name="_Toc320515089"/>
      <w:bookmarkStart w:id="178" w:name="_Toc322680366"/>
      <w:bookmarkStart w:id="179" w:name="_Toc323110999"/>
      <w:bookmarkStart w:id="180" w:name="_Toc315793476"/>
      <w:r>
        <w:rPr>
          <w:rFonts w:hint="eastAsia" w:ascii="宋体" w:hAnsi="宋体"/>
          <w:b/>
          <w:bCs/>
          <w:color w:val="auto"/>
          <w:sz w:val="24"/>
          <w:highlight w:val="none"/>
        </w:rPr>
        <w:t>磋商响应文件递交截止期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6"/>
    <w:bookmarkEnd w:id="177"/>
    <w:bookmarkEnd w:id="178"/>
    <w:bookmarkEnd w:id="179"/>
    <w:bookmarkEnd w:id="180"/>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1" w:name="_Toc475104498"/>
      <w:bookmarkStart w:id="182" w:name="_Toc363737705"/>
      <w:bookmarkStart w:id="183" w:name="_Toc323111000"/>
      <w:r>
        <w:rPr>
          <w:rFonts w:hint="eastAsia" w:ascii="宋体" w:hAnsi="宋体"/>
          <w:b/>
          <w:bCs/>
          <w:color w:val="auto"/>
          <w:sz w:val="24"/>
          <w:highlight w:val="none"/>
        </w:rPr>
        <w:t>磋商响应文件的修改和撤回</w:t>
      </w:r>
      <w:bookmarkEnd w:id="181"/>
      <w:bookmarkEnd w:id="18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供应商</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84" w:name="_Toc475104499"/>
      <w:bookmarkStart w:id="185" w:name="_Toc363737706"/>
      <w:r>
        <w:rPr>
          <w:rFonts w:hint="eastAsia" w:ascii="宋体" w:hAnsi="宋体"/>
          <w:b/>
          <w:color w:val="auto"/>
          <w:sz w:val="28"/>
          <w:szCs w:val="28"/>
          <w:highlight w:val="none"/>
        </w:rPr>
        <w:t>竞争性磋商流程</w:t>
      </w:r>
      <w:bookmarkEnd w:id="183"/>
      <w:bookmarkEnd w:id="184"/>
      <w:bookmarkEnd w:id="18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6" w:name="_Toc323111001"/>
      <w:bookmarkStart w:id="187" w:name="_Toc475104500"/>
      <w:bookmarkStart w:id="188" w:name="_Toc363737707"/>
      <w:r>
        <w:rPr>
          <w:rFonts w:hint="eastAsia" w:ascii="宋体" w:hAnsi="宋体"/>
          <w:b/>
          <w:bCs/>
          <w:color w:val="auto"/>
          <w:sz w:val="24"/>
          <w:highlight w:val="none"/>
        </w:rPr>
        <w:t>磋商及抽取磋商顺序</w:t>
      </w:r>
      <w:bookmarkEnd w:id="186"/>
      <w:bookmarkEnd w:id="187"/>
      <w:bookmarkEnd w:id="18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邀请所有供应商代表持本人身份证原件</w:t>
      </w:r>
      <w:r>
        <w:rPr>
          <w:rFonts w:hint="eastAsia" w:ascii="宋体" w:hAnsi="宋体" w:cs="宋体"/>
          <w:b/>
          <w:color w:val="auto"/>
          <w:szCs w:val="21"/>
          <w:highlight w:val="none"/>
        </w:rPr>
        <w:t>、法定代表人证明书、法定代表人授权书（如适用）参加。</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供应商</w:t>
      </w:r>
      <w:r>
        <w:rPr>
          <w:rFonts w:hint="eastAsia" w:ascii="宋体" w:hAnsi="宋体" w:cs="宋体"/>
          <w:color w:val="auto"/>
          <w:kern w:val="0"/>
          <w:szCs w:val="21"/>
          <w:highlight w:val="none"/>
        </w:rPr>
        <w:t>授权代表作为全体</w:t>
      </w:r>
      <w:r>
        <w:rPr>
          <w:rFonts w:hint="eastAsia" w:cs="宋体"/>
          <w:color w:val="auto"/>
          <w:szCs w:val="21"/>
          <w:highlight w:val="none"/>
        </w:rPr>
        <w:t>供应商</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供应商</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供应商</w:t>
      </w:r>
      <w:r>
        <w:rPr>
          <w:rFonts w:hint="eastAsia" w:ascii="宋体" w:hAnsi="宋体" w:cs="宋体"/>
          <w:color w:val="auto"/>
          <w:szCs w:val="21"/>
          <w:highlight w:val="none"/>
        </w:rPr>
        <w:t>抽签决定磋商顺序。</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9" w:name="_Toc323111002"/>
      <w:bookmarkStart w:id="190" w:name="_Toc475104501"/>
      <w:bookmarkStart w:id="191" w:name="_Toc363737708"/>
      <w:r>
        <w:rPr>
          <w:rFonts w:hint="eastAsia" w:ascii="宋体" w:hAnsi="宋体"/>
          <w:b/>
          <w:bCs/>
          <w:color w:val="auto"/>
          <w:sz w:val="24"/>
          <w:highlight w:val="none"/>
        </w:rPr>
        <w:t>磋商小组</w:t>
      </w:r>
      <w:bookmarkEnd w:id="189"/>
      <w:bookmarkEnd w:id="190"/>
      <w:bookmarkEnd w:id="191"/>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92" w:name="_Toc322680370"/>
      <w:bookmarkStart w:id="193" w:name="_Toc363737709"/>
      <w:bookmarkStart w:id="194" w:name="_Toc320515093"/>
      <w:bookmarkStart w:id="195" w:name="_Toc320515044"/>
      <w:bookmarkStart w:id="196" w:name="_Toc323111003"/>
      <w:bookmarkStart w:id="197" w:name="_Toc315793480"/>
      <w:bookmarkStart w:id="198"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供应商</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供应商</w:t>
      </w:r>
      <w:r>
        <w:rPr>
          <w:rFonts w:hint="eastAsia" w:ascii="宋体" w:hAnsi="宋体" w:cs="宋体"/>
          <w:color w:val="auto"/>
          <w:szCs w:val="21"/>
          <w:highlight w:val="none"/>
        </w:rPr>
        <w:t>发生过法律纠纷；</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供应商</w:t>
      </w:r>
      <w:r>
        <w:rPr>
          <w:rFonts w:hint="eastAsia" w:ascii="宋体" w:hAnsi="宋体" w:cs="宋体"/>
          <w:color w:val="auto"/>
          <w:szCs w:val="21"/>
          <w:highlight w:val="none"/>
        </w:rPr>
        <w:t>存在行政隶属关系；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供应商</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供应商</w:t>
      </w:r>
      <w:r>
        <w:rPr>
          <w:rFonts w:hint="eastAsia" w:ascii="宋体" w:hAnsi="宋体" w:cs="宋体"/>
          <w:color w:val="auto"/>
          <w:szCs w:val="21"/>
          <w:highlight w:val="none"/>
        </w:rPr>
        <w:t>存在其他经济利益关系；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供应商</w:t>
      </w:r>
      <w:r>
        <w:rPr>
          <w:rFonts w:hint="eastAsia" w:ascii="宋体" w:hAnsi="宋体" w:cs="宋体"/>
          <w:color w:val="auto"/>
          <w:szCs w:val="21"/>
          <w:highlight w:val="none"/>
        </w:rPr>
        <w:t>的法定代表人或者负责人有夫妻、直系血亲、三代以内旁系血亲或者近姻亲关系；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92"/>
      <w:bookmarkEnd w:id="193"/>
      <w:bookmarkEnd w:id="194"/>
      <w:bookmarkEnd w:id="195"/>
      <w:bookmarkEnd w:id="196"/>
      <w:bookmarkEnd w:id="197"/>
      <w:r>
        <w:rPr>
          <w:rFonts w:hint="eastAsia" w:ascii="宋体" w:hAnsi="宋体"/>
          <w:b/>
          <w:bCs/>
          <w:color w:val="auto"/>
          <w:sz w:val="24"/>
          <w:highlight w:val="none"/>
        </w:rPr>
        <w:t>资格性审查及符合性检查</w:t>
      </w:r>
      <w:bookmarkEnd w:id="19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供应商</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供应商</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供应商</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供应商</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供应商</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供应商</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9" w:name="_Toc323111004"/>
      <w:bookmarkStart w:id="200" w:name="_Toc351716665"/>
      <w:bookmarkStart w:id="201" w:name="_Toc475104503"/>
      <w:bookmarkStart w:id="202" w:name="_Toc363737710"/>
      <w:bookmarkStart w:id="203" w:name="_Toc320515047"/>
      <w:bookmarkStart w:id="204" w:name="_Toc322680372"/>
      <w:bookmarkStart w:id="205" w:name="_Toc323111005"/>
      <w:bookmarkStart w:id="206" w:name="_Toc320515096"/>
      <w:bookmarkStart w:id="207" w:name="_Toc315793483"/>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供应商</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供应商</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9"/>
      <w:r>
        <w:rPr>
          <w:rFonts w:hint="eastAsia" w:ascii="宋体" w:hAnsi="宋体"/>
          <w:b/>
          <w:bCs/>
          <w:color w:val="auto"/>
          <w:sz w:val="24"/>
          <w:highlight w:val="none"/>
        </w:rPr>
        <w:t>及谈判</w:t>
      </w:r>
      <w:bookmarkEnd w:id="200"/>
      <w:bookmarkEnd w:id="201"/>
      <w:bookmarkEnd w:id="202"/>
    </w:p>
    <w:p>
      <w:pPr>
        <w:numPr>
          <w:ilvl w:val="1"/>
          <w:numId w:val="5"/>
        </w:numPr>
        <w:autoSpaceDE w:val="0"/>
        <w:autoSpaceDN w:val="0"/>
        <w:adjustRightInd w:val="0"/>
        <w:snapToGrid w:val="0"/>
        <w:spacing w:line="360" w:lineRule="auto"/>
        <w:jc w:val="left"/>
        <w:rPr>
          <w:rFonts w:ascii="宋体" w:hAnsi="宋体"/>
          <w:color w:val="auto"/>
          <w:szCs w:val="21"/>
          <w:highlight w:val="none"/>
        </w:rPr>
      </w:pPr>
      <w:bookmarkStart w:id="208" w:name="_Toc475104505"/>
      <w:bookmarkStart w:id="209"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供应商</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供应商</w:t>
      </w:r>
      <w:r>
        <w:rPr>
          <w:rFonts w:hint="eastAsia" w:ascii="宋体" w:hAnsi="宋体"/>
          <w:color w:val="auto"/>
          <w:szCs w:val="21"/>
          <w:highlight w:val="none"/>
        </w:rPr>
        <w:t>应实行现场告知，以让其核证、澄清事实。</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供应商</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供应商</w:t>
      </w:r>
      <w:r>
        <w:rPr>
          <w:rFonts w:hint="eastAsia" w:ascii="宋体" w:hAnsi="宋体"/>
          <w:color w:val="auto"/>
          <w:szCs w:val="21"/>
          <w:highlight w:val="none"/>
        </w:rPr>
        <w:t>的服务、价格和其他任何信息。</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供应商</w:t>
      </w:r>
      <w:r>
        <w:rPr>
          <w:rFonts w:hint="eastAsia" w:ascii="宋体" w:hAnsi="宋体"/>
          <w:color w:val="auto"/>
          <w:szCs w:val="21"/>
          <w:highlight w:val="none"/>
        </w:rPr>
        <w:t>。但任何形式的决定须以符合公平、公正原则和有利于项目的顺利实施为前提。</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供应商</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供应商</w:t>
      </w:r>
      <w:r>
        <w:rPr>
          <w:rFonts w:hint="eastAsia" w:ascii="宋体" w:hAnsi="宋体"/>
          <w:color w:val="auto"/>
          <w:szCs w:val="21"/>
          <w:highlight w:val="none"/>
        </w:rPr>
        <w:t>提交的澄清文件和最后报价文件，由</w:t>
      </w:r>
      <w:r>
        <w:rPr>
          <w:rFonts w:hint="eastAsia" w:cs="宋体"/>
          <w:color w:val="auto"/>
          <w:szCs w:val="21"/>
          <w:highlight w:val="none"/>
        </w:rPr>
        <w:t>供应商</w:t>
      </w:r>
      <w:r>
        <w:rPr>
          <w:rFonts w:hint="eastAsia" w:ascii="宋体" w:hAnsi="宋体"/>
          <w:color w:val="auto"/>
          <w:szCs w:val="21"/>
          <w:highlight w:val="none"/>
        </w:rPr>
        <w:t>法人代表或其授权代表签字或加盖公章后生效。供应商为自然人的，应当由本人签字并附身份证明。</w:t>
      </w:r>
      <w:r>
        <w:rPr>
          <w:rFonts w:hint="eastAsia" w:cs="宋体"/>
          <w:color w:val="auto"/>
          <w:szCs w:val="21"/>
          <w:highlight w:val="none"/>
        </w:rPr>
        <w:t>供应商</w:t>
      </w:r>
      <w:r>
        <w:rPr>
          <w:rFonts w:hint="eastAsia" w:ascii="宋体" w:hAnsi="宋体"/>
          <w:color w:val="auto"/>
          <w:szCs w:val="21"/>
          <w:highlight w:val="none"/>
        </w:rPr>
        <w:t>应受其约束。</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0" w:name="_Toc351716666"/>
      <w:bookmarkStart w:id="211" w:name="_Toc363737711"/>
      <w:bookmarkStart w:id="212" w:name="_Toc475104504"/>
      <w:r>
        <w:rPr>
          <w:rFonts w:hint="eastAsia" w:ascii="宋体" w:hAnsi="宋体"/>
          <w:b/>
          <w:bCs/>
          <w:color w:val="auto"/>
          <w:sz w:val="24"/>
          <w:highlight w:val="none"/>
        </w:rPr>
        <w:t>评定成交的评审方法和标准</w:t>
      </w:r>
      <w:bookmarkEnd w:id="210"/>
      <w:bookmarkEnd w:id="211"/>
      <w:bookmarkEnd w:id="212"/>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8"/>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8%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13" w:name="_Toc475104506"/>
      <w:r>
        <w:rPr>
          <w:rFonts w:hint="eastAsia" w:ascii="宋体" w:hAnsi="宋体"/>
          <w:color w:val="auto"/>
          <w:szCs w:val="21"/>
          <w:highlight w:val="none"/>
        </w:rPr>
        <w:t>27.11</w:t>
      </w:r>
      <w:r>
        <w:rPr>
          <w:rFonts w:hint="eastAsia" w:ascii="宋体" w:hAnsi="宋体"/>
          <w:bCs/>
          <w:color w:val="auto"/>
          <w:highlight w:val="none"/>
        </w:rPr>
        <w:t>供应商</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13"/>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4" w:name="_Toc475104507"/>
      <w:r>
        <w:rPr>
          <w:rFonts w:hint="eastAsia" w:ascii="宋体" w:hAnsi="宋体"/>
          <w:b/>
          <w:bCs/>
          <w:color w:val="auto"/>
          <w:sz w:val="24"/>
          <w:highlight w:val="none"/>
        </w:rPr>
        <w:t>定标原则与授标</w:t>
      </w:r>
      <w:bookmarkEnd w:id="203"/>
      <w:bookmarkEnd w:id="204"/>
      <w:bookmarkEnd w:id="205"/>
      <w:bookmarkEnd w:id="206"/>
      <w:bookmarkEnd w:id="207"/>
      <w:bookmarkEnd w:id="209"/>
      <w:bookmarkEnd w:id="214"/>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15" w:name="_Toc475104508"/>
      <w:bookmarkStart w:id="216" w:name="_Toc315793484"/>
      <w:bookmarkStart w:id="217" w:name="_Toc320515097"/>
      <w:bookmarkStart w:id="218" w:name="_Toc363737713"/>
      <w:bookmarkStart w:id="219" w:name="_Toc320515048"/>
      <w:bookmarkStart w:id="220" w:name="_Toc323111007"/>
      <w:bookmarkStart w:id="221" w:name="_Toc322680374"/>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5"/>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供应商</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5"/>
      <w:bookmarkEnd w:id="216"/>
      <w:bookmarkEnd w:id="217"/>
      <w:bookmarkEnd w:id="218"/>
      <w:bookmarkEnd w:id="219"/>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供应商的姓名或者名称、地址、邮编、联系人及联系电话；</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供应商</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供应商</w:t>
      </w:r>
      <w:r>
        <w:rPr>
          <w:rFonts w:hint="eastAsia" w:ascii="宋体" w:hAnsi="宋体"/>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供应商</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供应商</w:t>
      </w:r>
      <w:r>
        <w:rPr>
          <w:rFonts w:hint="eastAsia" w:ascii="宋体" w:hAnsi="宋体" w:cs="黑体"/>
          <w:bCs/>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供应商</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供应商</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供应商</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供应商</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20"/>
    <w:bookmarkEnd w:id="221"/>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22" w:name="_Toc363737714"/>
      <w:bookmarkStart w:id="223" w:name="_Toc475104509"/>
      <w:r>
        <w:rPr>
          <w:rFonts w:hint="eastAsia" w:ascii="宋体" w:hAnsi="宋体" w:cs="宋体"/>
          <w:b/>
          <w:bCs/>
          <w:color w:val="auto"/>
          <w:sz w:val="24"/>
          <w:highlight w:val="none"/>
        </w:rPr>
        <w:t>供应商询问的途径、接收质疑函的方式</w:t>
      </w:r>
      <w:r>
        <w:rPr>
          <w:rFonts w:hint="eastAsia" w:ascii="宋体" w:hAnsi="宋体"/>
          <w:b/>
          <w:bCs/>
          <w:color w:val="auto"/>
          <w:sz w:val="24"/>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询问和质疑接收机构名称：广州市信怡招标代理有限公司</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询问和质疑接收机构地址：广州市海珠区红卫新村西路29号UP智谷D栋503房</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询问和质疑接收部门联系人：胡先生</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询问和质疑接收机构电话：020-89001296（工作/接收时间：9：00-17：00）</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质疑接收机构传真：020-89001292</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22"/>
      <w:bookmarkEnd w:id="22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成交供应商确定后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，并向成交供应商发出《成交通知书》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《成交通知书》对成交供应商和采购人具有同等法律效力。</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24" w:name="_Toc320515050"/>
      <w:bookmarkStart w:id="225" w:name="_Toc475104510"/>
      <w:bookmarkStart w:id="226" w:name="_Toc320515099"/>
      <w:bookmarkStart w:id="227" w:name="_Toc315793486"/>
      <w:bookmarkStart w:id="228" w:name="_Toc363737715"/>
      <w:bookmarkStart w:id="229" w:name="_Toc28489462"/>
      <w:bookmarkStart w:id="230" w:name="_Toc14450813"/>
      <w:r>
        <w:rPr>
          <w:rFonts w:hint="eastAsia" w:ascii="宋体" w:hAnsi="宋体"/>
          <w:b/>
          <w:color w:val="auto"/>
          <w:sz w:val="28"/>
          <w:szCs w:val="28"/>
          <w:highlight w:val="none"/>
          <w:lang w:eastAsia="zh-TW"/>
        </w:rPr>
        <w:t>授予合同</w:t>
      </w:r>
      <w:bookmarkEnd w:id="224"/>
      <w:bookmarkEnd w:id="225"/>
      <w:bookmarkEnd w:id="226"/>
      <w:bookmarkEnd w:id="227"/>
      <w:bookmarkEnd w:id="228"/>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31" w:name="_Toc315793487"/>
      <w:bookmarkStart w:id="232" w:name="_Toc475104511"/>
      <w:bookmarkStart w:id="233" w:name="_Toc363737716"/>
      <w:bookmarkStart w:id="234" w:name="_Toc320515100"/>
      <w:bookmarkStart w:id="235" w:name="_Toc320515051"/>
      <w:r>
        <w:rPr>
          <w:rFonts w:hint="eastAsia" w:ascii="宋体" w:hAnsi="宋体"/>
          <w:b/>
          <w:bCs/>
          <w:color w:val="auto"/>
          <w:sz w:val="24"/>
          <w:highlight w:val="none"/>
        </w:rPr>
        <w:t>合同的订立</w:t>
      </w:r>
      <w:bookmarkEnd w:id="231"/>
      <w:bookmarkEnd w:id="232"/>
      <w:bookmarkEnd w:id="233"/>
      <w:bookmarkEnd w:id="234"/>
      <w:bookmarkEnd w:id="235"/>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36" w:name="_Toc315793488"/>
      <w:bookmarkStart w:id="237" w:name="_Toc320515101"/>
      <w:bookmarkStart w:id="238" w:name="_Toc320515052"/>
      <w:bookmarkStart w:id="239" w:name="_Toc363737717"/>
      <w:bookmarkStart w:id="240" w:name="_Toc475104512"/>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响应文件的约定，与成交供应商签订书面合同。所签订的合同不得对竞争性磋商文件和成交供应商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6"/>
      <w:bookmarkEnd w:id="237"/>
      <w:bookmarkEnd w:id="238"/>
      <w:bookmarkEnd w:id="239"/>
      <w:bookmarkEnd w:id="240"/>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1" w:name="_Toc363737720"/>
      <w:bookmarkStart w:id="242" w:name="_Toc475104515"/>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41"/>
      <w:bookmarkEnd w:id="242"/>
    </w:p>
    <w:p>
      <w:pPr>
        <w:numPr>
          <w:ilvl w:val="0"/>
          <w:numId w:val="5"/>
        </w:numPr>
        <w:autoSpaceDE w:val="0"/>
        <w:autoSpaceDN w:val="0"/>
        <w:adjustRightInd w:val="0"/>
        <w:snapToGrid w:val="0"/>
        <w:spacing w:line="360" w:lineRule="auto"/>
        <w:outlineLvl w:val="0"/>
        <w:rPr>
          <w:rFonts w:ascii="宋体" w:hAnsi="宋体" w:cs="宋体"/>
          <w:b/>
          <w:color w:val="auto"/>
          <w:sz w:val="24"/>
          <w:highlight w:val="none"/>
        </w:rPr>
      </w:pPr>
      <w:bookmarkStart w:id="243" w:name="_Toc363737723"/>
      <w:bookmarkStart w:id="244" w:name="_Toc475104518"/>
      <w:r>
        <w:rPr>
          <w:rFonts w:hint="eastAsia" w:ascii="宋体" w:hAnsi="宋体" w:cs="宋体"/>
          <w:b/>
          <w:color w:val="auto"/>
          <w:sz w:val="24"/>
          <w:highlight w:val="none"/>
        </w:rPr>
        <w:t>其他</w:t>
      </w:r>
      <w:bookmarkEnd w:id="243"/>
      <w:bookmarkEnd w:id="244"/>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5" w:name="_Toc475104519"/>
      <w:bookmarkStart w:id="246" w:name="_Toc363737724"/>
      <w:r>
        <w:rPr>
          <w:rFonts w:hint="eastAsia" w:ascii="宋体" w:hAnsi="宋体" w:cs="宋体"/>
          <w:color w:val="auto"/>
          <w:szCs w:val="21"/>
          <w:highlight w:val="none"/>
        </w:rPr>
        <w:t>本项目相关公告在以下媒体发布：中国政府采购网（网址：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"http://www.chinabidding.com.cn）、广州市信怡招标代理有限公司网站（www.gzxyzb.com）和广东省前沿动物保健有限公司网站（"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www.ccgp.gov.cn/）、广州市信怡招标代理有限公司网站（网址：www.gzxyzb.com）</w:t>
      </w:r>
      <w:r>
        <w:rPr>
          <w:rFonts w:hint="eastAsia" w:ascii="宋体" w:hAnsi="宋体" w:cs="宋体"/>
          <w:color w:val="auto"/>
          <w:szCs w:val="21"/>
          <w:highlight w:val="none"/>
        </w:rPr>
        <w:fldChar w:fldCharType="end"/>
      </w:r>
      <w:r>
        <w:rPr>
          <w:rFonts w:hint="eastAsia" w:ascii="宋体" w:hAnsi="宋体" w:cs="宋体"/>
          <w:color w:val="auto"/>
          <w:szCs w:val="21"/>
          <w:highlight w:val="none"/>
        </w:rPr>
        <w:t>。相关公告在法定媒体上公布之日即视为有效送达，不再另行通知。</w:t>
      </w:r>
      <w:bookmarkEnd w:id="245"/>
      <w:bookmarkEnd w:id="246"/>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7" w:name="_Toc475104520"/>
      <w:bookmarkStart w:id="248" w:name="_Toc363737725"/>
      <w:r>
        <w:rPr>
          <w:rFonts w:hint="eastAsia" w:ascii="宋体" w:hAnsi="宋体" w:cs="宋体"/>
          <w:color w:val="auto"/>
          <w:szCs w:val="21"/>
          <w:highlight w:val="none"/>
        </w:rPr>
        <w:t>其他未尽事宜，依照《中华人民共和国政府采购法》、《政府采购竞争性磋商采购方式管理暂行办法》和省市相关法律、法规执行。</w:t>
      </w:r>
      <w:bookmarkEnd w:id="247"/>
      <w:bookmarkEnd w:id="248"/>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说明：本部分格式为投标人提交询问函、质疑函时使用，不属于响应文件格式的组成部分。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日组织的政府采购活动。根据《政府采购法》和《政府采购供应商投诉处理办法》等规定，我公司认为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（竞争性磋商文件、采购过程、中标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（竞争性磋商文件、采购过程、中标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质疑竞争性磋商文件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．质疑内容竞争性磋商文件页，内容“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我方请求竞争性磋商文件做如下修改：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我方对竞争性磋商文件其他内容无质疑。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日，在进行的（收取竞争性磋商文件（样品）、开标、谈判）过程，发生损害了我公司权益的事项，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供应商质疑、投诉应当有明确的请求和必要的证明材料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9"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50" w:name="_Toc475104521"/>
      <w:r>
        <w:rPr>
          <w:rFonts w:cs="ZWAdobeF"/>
          <w:b w:val="0"/>
          <w:color w:val="auto"/>
          <w:sz w:val="2"/>
          <w:szCs w:val="2"/>
          <w:highlight w:val="none"/>
        </w:rPr>
        <w:t>2B2B</w:t>
      </w:r>
      <w:r>
        <w:rPr>
          <w:rFonts w:hint="eastAsia"/>
          <w:color w:val="auto"/>
          <w:sz w:val="44"/>
          <w:highlight w:val="none"/>
        </w:rPr>
        <w:t>第三章</w:t>
      </w:r>
      <w:bookmarkStart w:id="251" w:name="_Toc10525517"/>
      <w:r>
        <w:rPr>
          <w:rFonts w:hint="eastAsia"/>
          <w:color w:val="auto"/>
          <w:sz w:val="44"/>
          <w:highlight w:val="none"/>
        </w:rPr>
        <w:t xml:space="preserve"> 采购人需求书</w:t>
      </w:r>
      <w:bookmarkEnd w:id="229"/>
      <w:bookmarkEnd w:id="230"/>
      <w:bookmarkEnd w:id="249"/>
      <w:bookmarkEnd w:id="250"/>
      <w:bookmarkEnd w:id="251"/>
    </w:p>
    <w:p>
      <w:pPr>
        <w:spacing w:line="360" w:lineRule="auto"/>
        <w:rPr>
          <w:rFonts w:ascii="宋体" w:hAnsi="宋体"/>
          <w:color w:val="auto"/>
          <w:highlight w:val="none"/>
        </w:rPr>
      </w:pPr>
      <w:bookmarkStart w:id="252" w:name="_Toc28489480"/>
      <w:bookmarkStart w:id="253" w:name="_Toc14450822"/>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4" w:name="_Toc321815813"/>
      <w:bookmarkEnd w:id="254"/>
      <w:bookmarkStart w:id="255" w:name="_Toc321815805"/>
      <w:bookmarkEnd w:id="255"/>
      <w:bookmarkStart w:id="256" w:name="_Toc321815815"/>
      <w:bookmarkEnd w:id="256"/>
      <w:bookmarkStart w:id="257" w:name="_Toc321815808"/>
      <w:bookmarkEnd w:id="257"/>
      <w:bookmarkStart w:id="258" w:name="_Toc321815804"/>
      <w:bookmarkEnd w:id="258"/>
      <w:bookmarkStart w:id="259" w:name="_Toc321815818"/>
      <w:bookmarkEnd w:id="259"/>
      <w:bookmarkStart w:id="260" w:name="_Toc321815810"/>
      <w:bookmarkEnd w:id="260"/>
      <w:bookmarkStart w:id="261" w:name="_Toc321815814"/>
      <w:bookmarkEnd w:id="261"/>
      <w:bookmarkStart w:id="262" w:name="_Toc321815816"/>
      <w:bookmarkEnd w:id="262"/>
      <w:bookmarkStart w:id="263" w:name="_Toc321815801"/>
      <w:bookmarkEnd w:id="263"/>
      <w:bookmarkStart w:id="264" w:name="_Toc321815802"/>
      <w:bookmarkEnd w:id="264"/>
      <w:bookmarkStart w:id="265" w:name="_Toc321815812"/>
      <w:bookmarkEnd w:id="265"/>
      <w:bookmarkStart w:id="266" w:name="_Toc321815807"/>
      <w:bookmarkEnd w:id="266"/>
      <w:bookmarkStart w:id="267" w:name="_Toc321815822"/>
      <w:bookmarkEnd w:id="267"/>
      <w:bookmarkStart w:id="268" w:name="_Toc321815825"/>
      <w:bookmarkEnd w:id="268"/>
      <w:bookmarkStart w:id="269" w:name="_Toc321815811"/>
      <w:bookmarkEnd w:id="269"/>
      <w:bookmarkStart w:id="270" w:name="_Toc321815823"/>
      <w:bookmarkEnd w:id="270"/>
      <w:bookmarkStart w:id="271" w:name="_Toc321815806"/>
      <w:bookmarkEnd w:id="271"/>
      <w:bookmarkStart w:id="272" w:name="_Toc321815819"/>
      <w:bookmarkEnd w:id="272"/>
      <w:bookmarkStart w:id="273" w:name="_Toc321815824"/>
      <w:bookmarkEnd w:id="273"/>
      <w:bookmarkStart w:id="274" w:name="_Toc321815809"/>
      <w:bookmarkEnd w:id="274"/>
      <w:bookmarkStart w:id="275" w:name="_Toc321815817"/>
      <w:bookmarkEnd w:id="275"/>
      <w:bookmarkStart w:id="276" w:name="_Toc321815826"/>
      <w:bookmarkEnd w:id="276"/>
      <w:bookmarkStart w:id="277" w:name="_Toc321815820"/>
      <w:bookmarkEnd w:id="277"/>
      <w:bookmarkStart w:id="278" w:name="_Toc321815821"/>
      <w:bookmarkEnd w:id="278"/>
      <w:bookmarkStart w:id="279"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52"/>
    <w:bookmarkEnd w:id="253"/>
    <w:bookmarkEnd w:id="279"/>
    <w:p>
      <w:pPr>
        <w:pStyle w:val="46"/>
        <w:tabs>
          <w:tab w:val="left" w:pos="7740"/>
        </w:tabs>
        <w:adjustRightInd w:val="0"/>
        <w:snapToGrid w:val="0"/>
        <w:spacing w:beforeLines="50" w:line="360" w:lineRule="auto"/>
        <w:outlineLvl w:val="1"/>
        <w:rPr>
          <w:rFonts w:hAnsi="宋体"/>
          <w:b/>
          <w:color w:val="auto"/>
          <w:highlight w:val="none"/>
          <w:lang w:val="zh-CN"/>
        </w:rPr>
      </w:pPr>
      <w:bookmarkStart w:id="280" w:name="_Toc483158260"/>
      <w:r>
        <w:rPr>
          <w:rFonts w:hint="eastAsia" w:hAnsi="宋体"/>
          <w:b/>
          <w:color w:val="auto"/>
          <w:highlight w:val="none"/>
          <w:lang w:val="zh-CN"/>
        </w:rPr>
        <w:t>一、工程概况</w:t>
      </w:r>
    </w:p>
    <w:p>
      <w:pPr>
        <w:spacing w:line="360" w:lineRule="auto"/>
        <w:ind w:firstLine="420" w:firstLineChars="200"/>
        <w:rPr>
          <w:color w:val="auto"/>
          <w:highlight w:val="none"/>
          <w:lang w:val="zh-CN"/>
        </w:rPr>
      </w:pPr>
      <w:r>
        <w:rPr>
          <w:rFonts w:hint="eastAsia"/>
          <w:color w:val="auto"/>
          <w:highlight w:val="none"/>
          <w:lang w:val="zh-CN"/>
        </w:rPr>
        <w:t>（一）项目名称：东晋企业生产人员排水排污管道整改工程</w:t>
      </w:r>
    </w:p>
    <w:p>
      <w:pPr>
        <w:spacing w:line="360" w:lineRule="auto"/>
        <w:ind w:firstLine="420" w:firstLineChars="200"/>
        <w:rPr>
          <w:color w:val="auto"/>
          <w:highlight w:val="none"/>
          <w:lang w:val="zh-CN"/>
        </w:rPr>
      </w:pPr>
      <w:r>
        <w:rPr>
          <w:rFonts w:hint="eastAsia"/>
          <w:color w:val="auto"/>
          <w:highlight w:val="none"/>
          <w:lang w:val="zh-CN"/>
        </w:rPr>
        <w:t>（二）采购人：广州市东晋企业发展公司</w:t>
      </w:r>
    </w:p>
    <w:p>
      <w:pPr>
        <w:spacing w:line="360" w:lineRule="auto"/>
        <w:ind w:firstLine="420" w:firstLineChars="200"/>
        <w:rPr>
          <w:color w:val="auto"/>
          <w:highlight w:val="none"/>
          <w:lang w:val="zh-CN"/>
        </w:rPr>
      </w:pPr>
      <w:r>
        <w:rPr>
          <w:rFonts w:hint="eastAsia"/>
          <w:color w:val="auto"/>
          <w:highlight w:val="none"/>
          <w:lang w:val="zh-CN"/>
        </w:rPr>
        <w:t>（三）采购预算：人民币</w:t>
      </w:r>
      <w:r>
        <w:rPr>
          <w:rFonts w:hint="eastAsia"/>
          <w:color w:val="auto"/>
          <w:highlight w:val="none"/>
          <w:lang w:eastAsia="zh-CN"/>
        </w:rPr>
        <w:t>419615.90</w:t>
      </w:r>
      <w:r>
        <w:rPr>
          <w:rFonts w:hint="eastAsia"/>
          <w:color w:val="auto"/>
          <w:highlight w:val="none"/>
          <w:lang w:val="zh-CN"/>
        </w:rPr>
        <w:t>元</w:t>
      </w:r>
    </w:p>
    <w:p>
      <w:pPr>
        <w:spacing w:line="360" w:lineRule="auto"/>
        <w:ind w:firstLine="420" w:firstLineChars="200"/>
        <w:rPr>
          <w:color w:val="auto"/>
          <w:highlight w:val="none"/>
          <w:lang w:val="zh-CN"/>
        </w:rPr>
      </w:pPr>
      <w:r>
        <w:rPr>
          <w:rFonts w:hint="eastAsia"/>
          <w:color w:val="auto"/>
          <w:highlight w:val="none"/>
          <w:lang w:val="zh-CN"/>
        </w:rPr>
        <w:t>（</w:t>
      </w:r>
      <w:r>
        <w:rPr>
          <w:rFonts w:hint="eastAsia"/>
          <w:color w:val="auto"/>
          <w:highlight w:val="none"/>
        </w:rPr>
        <w:t>四</w:t>
      </w:r>
      <w:r>
        <w:rPr>
          <w:rFonts w:hint="eastAsia"/>
          <w:color w:val="auto"/>
          <w:highlight w:val="none"/>
          <w:lang w:val="zh-CN"/>
        </w:rPr>
        <w:t>）承包方式：总价包干。报价人应按竞争性磋商文件及施工规范等文件资料，结合现场实际情况进行响应，包工、包料、包质量、包工期、包安全文明施工、包调试、包验收。报价人报价是全部费用，包括分部分项工程费、措施项目费、其他项目费、规费、利润和税金、材料设备的市场涨价风险等。</w:t>
      </w:r>
    </w:p>
    <w:p>
      <w:pPr>
        <w:tabs>
          <w:tab w:val="left" w:pos="840"/>
        </w:tabs>
        <w:spacing w:line="440" w:lineRule="exact"/>
        <w:rPr>
          <w:rFonts w:ascii="宋体" w:hAnsi="宋体"/>
          <w:b/>
          <w:color w:val="auto"/>
          <w:highlight w:val="none"/>
        </w:rPr>
      </w:pPr>
      <w:r>
        <w:rPr>
          <w:rFonts w:hint="eastAsia" w:ascii="宋体" w:hAnsi="宋体"/>
          <w:b/>
          <w:color w:val="auto"/>
          <w:highlight w:val="none"/>
          <w:lang w:val="zh-CN"/>
        </w:rPr>
        <w:t>二、</w:t>
      </w:r>
      <w:r>
        <w:rPr>
          <w:rFonts w:hint="eastAsia" w:ascii="宋体" w:hAnsi="宋体"/>
          <w:b/>
          <w:color w:val="auto"/>
          <w:highlight w:val="none"/>
        </w:rPr>
        <w:t>现场踏勘</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本项目不集中组织</w:t>
      </w:r>
      <w:r>
        <w:rPr>
          <w:rFonts w:hint="eastAsia" w:ascii="宋体" w:hAnsi="宋体"/>
          <w:b/>
          <w:color w:val="auto"/>
          <w:highlight w:val="none"/>
        </w:rPr>
        <w:t>现场踏勘</w:t>
      </w:r>
      <w:r>
        <w:rPr>
          <w:rFonts w:hint="eastAsia" w:ascii="宋体" w:hAnsi="宋体"/>
          <w:color w:val="auto"/>
          <w:highlight w:val="none"/>
          <w:lang w:val="zh-CN"/>
        </w:rPr>
        <w:t>，由供应商自行踏勘；供应商应充分重视和仔细地进行这种考察，以便供应商获取那些须供应商自己负责的有关编制投标文件和签署合同所涉及现场所有的资料，供应商不进行踏勘的，视为已熟知现场条件，自行承担相关风险。一旦中标，这种考察即被认为其结果已在中标文件中得到充分反映。考察现场的费用由供应商自己承担。</w:t>
      </w:r>
    </w:p>
    <w:p>
      <w:pPr>
        <w:tabs>
          <w:tab w:val="left" w:pos="840"/>
        </w:tabs>
        <w:spacing w:line="440" w:lineRule="exact"/>
        <w:rPr>
          <w:rFonts w:ascii="宋体" w:hAnsi="宋体"/>
          <w:b/>
          <w:color w:val="auto"/>
          <w:szCs w:val="21"/>
          <w:highlight w:val="none"/>
        </w:rPr>
      </w:pPr>
      <w:r>
        <w:rPr>
          <w:rFonts w:hint="eastAsia" w:ascii="宋体" w:hAnsi="宋体"/>
          <w:b/>
          <w:color w:val="auto"/>
          <w:szCs w:val="21"/>
          <w:highlight w:val="none"/>
        </w:rPr>
        <w:t>三、报价要求</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rPr>
        <w:t>1.</w:t>
      </w:r>
      <w:r>
        <w:rPr>
          <w:rFonts w:hint="eastAsia" w:ascii="宋体" w:hAnsi="宋体"/>
          <w:color w:val="auto"/>
          <w:highlight w:val="none"/>
          <w:lang w:val="zh-CN"/>
        </w:rPr>
        <w:t>报价为报价人在响应文件中提出的各项支付金额的总和。</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rPr>
        <w:t>2.</w:t>
      </w:r>
      <w:r>
        <w:rPr>
          <w:rFonts w:hint="eastAsia" w:ascii="宋体" w:hAnsi="宋体"/>
          <w:color w:val="auto"/>
          <w:highlight w:val="none"/>
          <w:lang w:val="zh-CN"/>
        </w:rPr>
        <w:t>报价人的报价，应是完成本竞争性磋商文件项目工程量清单及图纸所列全部内容，不得以任何理由予以重复，作为报价人计算单价或总价的依据。</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rPr>
        <w:t>3.</w:t>
      </w:r>
      <w:r>
        <w:rPr>
          <w:rFonts w:hint="eastAsia" w:ascii="宋体" w:hAnsi="宋体"/>
          <w:color w:val="auto"/>
          <w:highlight w:val="none"/>
          <w:lang w:val="zh-CN"/>
        </w:rPr>
        <w:t>除非采购人对竞争性磋商文件予以修改，报价人应按采购人提供的项目清单中列出的工程项目和工程量填报单价和合价。每一项目只允许有一个报价。任何有选择的报价将不予接受。报价人未填单价或合价的工程项目，在实施后，用户将不予以支付，并视为该项费用已包括在其他有价款的单价或合价内。</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rPr>
        <w:t>4.</w:t>
      </w:r>
      <w:r>
        <w:rPr>
          <w:rFonts w:hint="eastAsia" w:ascii="宋体" w:hAnsi="宋体"/>
          <w:color w:val="auto"/>
          <w:highlight w:val="none"/>
          <w:lang w:val="zh-CN"/>
        </w:rPr>
        <w:t>除非合同中另有规定，报价人在报价中具有标价的工程量清单中所报的单价和合价，以及报价汇总表中的价格均包括完成该工程项目的成本、利润、税金、开办费、技术措施费、大型机械进出场费、风险费、政策性文件规定费用等所有费用。</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rPr>
        <w:t>5.</w:t>
      </w:r>
      <w:r>
        <w:rPr>
          <w:rFonts w:hint="eastAsia" w:ascii="宋体" w:hAnsi="宋体"/>
          <w:color w:val="auto"/>
          <w:highlight w:val="none"/>
          <w:lang w:val="zh-CN"/>
        </w:rPr>
        <w:t>报价人按本竞争性磋商文件充分了解工地位置、情况、道路、储存空间、装卸限制及任何其他足以影响承包价的情况，任何因忽视或误解工地情况而导致的索赔或工期延长申请将不被批准。</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rPr>
        <w:t>6.</w:t>
      </w:r>
      <w:r>
        <w:rPr>
          <w:rFonts w:hint="eastAsia" w:ascii="宋体" w:hAnsi="宋体"/>
          <w:color w:val="auto"/>
          <w:highlight w:val="none"/>
          <w:lang w:val="zh-CN"/>
        </w:rPr>
        <w:t>报价人应根据采购人提供的项目清单等资料，按照项目清单详细列出报价表。</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rPr>
        <w:t>7.</w:t>
      </w:r>
      <w:r>
        <w:rPr>
          <w:rFonts w:hint="eastAsia" w:ascii="宋体" w:hAnsi="宋体"/>
          <w:color w:val="auto"/>
          <w:highlight w:val="none"/>
          <w:lang w:val="zh-CN"/>
        </w:rPr>
        <w:t>报价人除按有关规定报价外，主要材料设备应选用采购人所提供的主要材料设备参考表中的品牌或同等或优于档次的其它品牌。报价书中应注明报价人所选用的材料设备的产地、生产厂家、品牌、规格、型号、等级、单价等。如非采购人原因确需更换，由采购人确定，且价格不予调整。</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rPr>
        <w:t>8.</w:t>
      </w:r>
      <w:r>
        <w:rPr>
          <w:rFonts w:hint="eastAsia" w:ascii="宋体" w:hAnsi="宋体"/>
          <w:color w:val="auto"/>
          <w:highlight w:val="none"/>
          <w:lang w:val="zh-CN"/>
        </w:rPr>
        <w:t>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rPr>
        <w:t>9.</w:t>
      </w:r>
      <w:r>
        <w:rPr>
          <w:rFonts w:hint="eastAsia" w:ascii="宋体" w:hAnsi="宋体"/>
          <w:color w:val="auto"/>
          <w:highlight w:val="none"/>
          <w:lang w:val="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p>
      <w:pPr>
        <w:tabs>
          <w:tab w:val="left" w:pos="840"/>
        </w:tabs>
        <w:spacing w:line="440" w:lineRule="exact"/>
        <w:rPr>
          <w:rFonts w:ascii="宋体" w:hAnsi="宋体"/>
          <w:b/>
          <w:color w:val="auto"/>
          <w:szCs w:val="21"/>
          <w:highlight w:val="none"/>
        </w:rPr>
      </w:pPr>
      <w:r>
        <w:rPr>
          <w:rFonts w:hint="eastAsia" w:ascii="宋体" w:hAnsi="宋体"/>
          <w:b/>
          <w:color w:val="auto"/>
          <w:szCs w:val="21"/>
          <w:highlight w:val="none"/>
        </w:rPr>
        <w:t>四、工程质量保修期及保证金</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w:t>
      </w:r>
      <w:r>
        <w:rPr>
          <w:rFonts w:hint="eastAsia" w:ascii="宋体" w:hAnsi="宋体"/>
          <w:color w:val="auto"/>
          <w:highlight w:val="none"/>
        </w:rPr>
        <w:t>1</w:t>
      </w:r>
      <w:r>
        <w:rPr>
          <w:rFonts w:hint="eastAsia" w:ascii="宋体" w:hAnsi="宋体"/>
          <w:color w:val="auto"/>
          <w:highlight w:val="none"/>
          <w:lang w:val="zh-CN"/>
        </w:rPr>
        <w:t>）质量要求：按国家相关规范规程一次性验收达到合格标准。</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w:t>
      </w:r>
      <w:r>
        <w:rPr>
          <w:rFonts w:hint="eastAsia" w:ascii="宋体" w:hAnsi="宋体"/>
          <w:color w:val="auto"/>
          <w:highlight w:val="none"/>
        </w:rPr>
        <w:t>2</w:t>
      </w:r>
      <w:r>
        <w:rPr>
          <w:rFonts w:hint="eastAsia" w:ascii="宋体" w:hAnsi="宋体"/>
          <w:color w:val="auto"/>
          <w:highlight w:val="none"/>
          <w:lang w:val="zh-CN"/>
        </w:rPr>
        <w:t>）质量保修期从合同工程实际竣工验收合格之日算起。</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w:t>
      </w:r>
      <w:r>
        <w:rPr>
          <w:rFonts w:hint="eastAsia" w:ascii="宋体" w:hAnsi="宋体"/>
          <w:color w:val="auto"/>
          <w:highlight w:val="none"/>
        </w:rPr>
        <w:t>3</w:t>
      </w:r>
      <w:r>
        <w:rPr>
          <w:rFonts w:hint="eastAsia" w:ascii="宋体" w:hAnsi="宋体"/>
          <w:color w:val="auto"/>
          <w:highlight w:val="none"/>
          <w:lang w:val="zh-CN"/>
        </w:rPr>
        <w:t>）合同工程质量保修期，约定如下：</w:t>
      </w:r>
    </w:p>
    <w:p>
      <w:pPr>
        <w:spacing w:line="440" w:lineRule="exact"/>
        <w:ind w:firstLine="420" w:firstLineChars="200"/>
        <w:rPr>
          <w:rFonts w:ascii="宋体" w:hAnsi="宋体"/>
          <w:color w:val="auto"/>
          <w:highlight w:val="none"/>
          <w:lang w:val="zh-CN"/>
        </w:rPr>
      </w:pPr>
      <w:r>
        <w:rPr>
          <w:rFonts w:ascii="宋体" w:hAnsi="宋体"/>
          <w:color w:val="auto"/>
          <w:highlight w:val="none"/>
          <w:lang w:val="zh-CN"/>
        </w:rPr>
        <w:t>①</w:t>
      </w:r>
      <w:r>
        <w:rPr>
          <w:rFonts w:hint="eastAsia" w:ascii="宋体" w:hAnsi="宋体"/>
          <w:color w:val="auto"/>
          <w:highlight w:val="none"/>
          <w:lang w:val="zh-CN"/>
        </w:rPr>
        <w:t>基础设施工程、房屋建筑的地基基础工程和主体结构工程，为设计文件规定的该工程的合理使用年限；</w:t>
      </w:r>
    </w:p>
    <w:p>
      <w:pPr>
        <w:spacing w:line="440" w:lineRule="exact"/>
        <w:ind w:firstLine="420" w:firstLineChars="200"/>
        <w:rPr>
          <w:rFonts w:ascii="宋体" w:hAnsi="宋体"/>
          <w:color w:val="auto"/>
          <w:highlight w:val="none"/>
          <w:lang w:val="zh-CN"/>
        </w:rPr>
      </w:pPr>
      <w:r>
        <w:rPr>
          <w:rFonts w:ascii="宋体" w:hAnsi="宋体"/>
          <w:color w:val="auto"/>
          <w:highlight w:val="none"/>
          <w:lang w:val="zh-CN"/>
        </w:rPr>
        <w:t>②</w:t>
      </w:r>
      <w:r>
        <w:rPr>
          <w:rFonts w:hint="eastAsia" w:ascii="宋体" w:hAnsi="宋体"/>
          <w:color w:val="auto"/>
          <w:highlight w:val="none"/>
          <w:lang w:val="zh-CN"/>
        </w:rPr>
        <w:t>屋面防水工程、有防水要求的卫生间、房间和外墙面的防渗漏，为５年；</w:t>
      </w:r>
    </w:p>
    <w:p>
      <w:pPr>
        <w:spacing w:line="440" w:lineRule="exact"/>
        <w:ind w:firstLine="420" w:firstLineChars="200"/>
        <w:rPr>
          <w:rFonts w:ascii="宋体" w:hAnsi="宋体"/>
          <w:color w:val="auto"/>
          <w:highlight w:val="none"/>
          <w:lang w:val="zh-CN"/>
        </w:rPr>
      </w:pPr>
      <w:r>
        <w:rPr>
          <w:rFonts w:ascii="宋体" w:hAnsi="宋体"/>
          <w:color w:val="auto"/>
          <w:highlight w:val="none"/>
          <w:lang w:val="zh-CN"/>
        </w:rPr>
        <w:t>③</w:t>
      </w:r>
      <w:r>
        <w:rPr>
          <w:rFonts w:hint="eastAsia" w:ascii="宋体" w:hAnsi="宋体"/>
          <w:color w:val="auto"/>
          <w:highlight w:val="none"/>
          <w:lang w:val="zh-CN"/>
        </w:rPr>
        <w:t>供热与供冷系统，为２个采暖期、供冷期；</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fldChar w:fldCharType="begin"/>
      </w:r>
      <w:r>
        <w:rPr>
          <w:rFonts w:hint="eastAsia" w:ascii="宋体" w:hAnsi="宋体"/>
          <w:color w:val="auto"/>
          <w:highlight w:val="none"/>
          <w:lang w:val="zh-CN"/>
        </w:rPr>
        <w:instrText xml:space="preserve"> = 4 \* GB3 \* MERGEFORMAT </w:instrText>
      </w:r>
      <w:r>
        <w:rPr>
          <w:rFonts w:hint="eastAsia" w:ascii="宋体" w:hAnsi="宋体"/>
          <w:color w:val="auto"/>
          <w:highlight w:val="none"/>
          <w:lang w:val="zh-CN"/>
        </w:rPr>
        <w:fldChar w:fldCharType="separate"/>
      </w:r>
      <w:r>
        <w:rPr>
          <w:rFonts w:hint="eastAsia" w:ascii="宋体" w:hAnsi="宋体"/>
          <w:color w:val="auto"/>
          <w:highlight w:val="none"/>
          <w:lang w:val="zh-CN"/>
        </w:rPr>
        <w:t>④</w:t>
      </w:r>
      <w:r>
        <w:rPr>
          <w:rFonts w:hint="eastAsia" w:ascii="宋体" w:hAnsi="宋体"/>
          <w:color w:val="auto"/>
          <w:highlight w:val="none"/>
          <w:lang w:val="zh-CN"/>
        </w:rPr>
        <w:fldChar w:fldCharType="end"/>
      </w:r>
      <w:r>
        <w:rPr>
          <w:rFonts w:hint="eastAsia" w:ascii="宋体" w:hAnsi="宋体"/>
          <w:color w:val="auto"/>
          <w:highlight w:val="none"/>
          <w:lang w:val="zh-CN"/>
        </w:rPr>
        <w:t>电气管线、给排水管道、设备安装和装修、修缮工程，为２年。</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w:t>
      </w:r>
      <w:r>
        <w:rPr>
          <w:rFonts w:hint="eastAsia" w:ascii="宋体" w:hAnsi="宋体"/>
          <w:color w:val="auto"/>
          <w:highlight w:val="none"/>
        </w:rPr>
        <w:t>4</w:t>
      </w:r>
      <w:r>
        <w:rPr>
          <w:rFonts w:hint="eastAsia" w:ascii="宋体" w:hAnsi="宋体"/>
          <w:color w:val="auto"/>
          <w:highlight w:val="none"/>
          <w:lang w:val="zh-CN"/>
        </w:rPr>
        <w:t>）质量保修责任</w:t>
      </w:r>
    </w:p>
    <w:p>
      <w:pPr>
        <w:spacing w:line="440" w:lineRule="exact"/>
        <w:ind w:firstLine="420" w:firstLineChars="200"/>
        <w:rPr>
          <w:rFonts w:ascii="宋体" w:hAnsi="宋体"/>
          <w:color w:val="auto"/>
          <w:highlight w:val="none"/>
          <w:lang w:val="zh-CN"/>
        </w:rPr>
      </w:pPr>
      <w:r>
        <w:rPr>
          <w:rFonts w:ascii="宋体" w:hAnsi="宋体"/>
          <w:color w:val="auto"/>
          <w:highlight w:val="none"/>
          <w:lang w:val="zh-CN"/>
        </w:rPr>
        <w:t>①</w:t>
      </w:r>
      <w:r>
        <w:rPr>
          <w:rFonts w:hint="eastAsia" w:ascii="宋体" w:hAnsi="宋体"/>
          <w:color w:val="auto"/>
          <w:highlight w:val="none"/>
          <w:lang w:val="zh-CN"/>
        </w:rPr>
        <w:t>属于保修范围的项目，成交人应在接到采购人通知后的3天内派人保修。成交人未能在规定时间内派人保修的，采购人可自行或委托第三方维修，所需费用在质保金中扣除或由成交人偿还采购人已支付的维修费。</w:t>
      </w:r>
    </w:p>
    <w:p>
      <w:pPr>
        <w:spacing w:line="440" w:lineRule="exact"/>
        <w:ind w:firstLine="420" w:firstLineChars="200"/>
        <w:rPr>
          <w:rFonts w:ascii="宋体" w:hAnsi="宋体"/>
          <w:color w:val="auto"/>
          <w:highlight w:val="none"/>
          <w:lang w:val="zh-CN"/>
        </w:rPr>
      </w:pPr>
      <w:r>
        <w:rPr>
          <w:rFonts w:ascii="宋体" w:hAnsi="宋体"/>
          <w:color w:val="auto"/>
          <w:highlight w:val="none"/>
          <w:lang w:val="zh-CN"/>
        </w:rPr>
        <w:t>②</w:t>
      </w:r>
      <w:r>
        <w:rPr>
          <w:rFonts w:hint="eastAsia" w:ascii="宋体" w:hAnsi="宋体"/>
          <w:color w:val="auto"/>
          <w:highlight w:val="none"/>
          <w:lang w:val="zh-CN"/>
        </w:rPr>
        <w:t>发生紧急抢修事故的，成交人在接到通知后，应立即赶赴现场进行抢修。</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w:t>
      </w:r>
      <w:r>
        <w:rPr>
          <w:rFonts w:hint="eastAsia" w:ascii="宋体" w:hAnsi="宋体"/>
          <w:color w:val="auto"/>
          <w:highlight w:val="none"/>
        </w:rPr>
        <w:t>4</w:t>
      </w:r>
      <w:r>
        <w:rPr>
          <w:rFonts w:hint="eastAsia" w:ascii="宋体" w:hAnsi="宋体"/>
          <w:color w:val="auto"/>
          <w:highlight w:val="none"/>
          <w:lang w:val="zh-CN"/>
        </w:rPr>
        <w:t>）质量保证金</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留结算款的</w:t>
      </w:r>
      <w:r>
        <w:rPr>
          <w:rFonts w:hint="eastAsia" w:ascii="宋体" w:hAnsi="宋体"/>
          <w:color w:val="auto"/>
          <w:highlight w:val="none"/>
        </w:rPr>
        <w:t>3</w:t>
      </w:r>
      <w:r>
        <w:rPr>
          <w:rFonts w:hint="eastAsia" w:ascii="宋体" w:hAnsi="宋体"/>
          <w:color w:val="auto"/>
          <w:highlight w:val="none"/>
          <w:lang w:val="zh-CN"/>
        </w:rPr>
        <w:t>%作为质量保证金。质保期满后，采购人收到成交人的支付工程款项申请，经审核后10个工作日内无息支付。在保修期内因施工质量而造成返修，其费用由成交人负责，若成交人在质量保证期内未完全履行缺陷保修义务的，采购人有权扣除质量保证金，并保留进一步索赔的权利。</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rPr>
        <w:t>5.</w:t>
      </w:r>
      <w:r>
        <w:rPr>
          <w:rFonts w:hint="eastAsia" w:ascii="宋体" w:hAnsi="宋体"/>
          <w:color w:val="auto"/>
          <w:highlight w:val="none"/>
          <w:lang w:val="zh-CN"/>
        </w:rPr>
        <w:t>付款方式：采用银行转账、银行汇付（含电汇）等形式。</w:t>
      </w:r>
    </w:p>
    <w:p>
      <w:pPr>
        <w:spacing w:line="440" w:lineRule="exact"/>
        <w:ind w:firstLine="420" w:firstLineChars="200"/>
        <w:rPr>
          <w:rFonts w:ascii="宋体" w:hAnsi="宋体"/>
          <w:color w:val="auto"/>
          <w:szCs w:val="21"/>
          <w:highlight w:val="none"/>
        </w:rPr>
      </w:pPr>
      <w:r>
        <w:rPr>
          <w:rFonts w:hint="eastAsia" w:ascii="宋体" w:hAnsi="宋体"/>
          <w:color w:val="auto"/>
          <w:highlight w:val="none"/>
        </w:rPr>
        <w:t>6.</w:t>
      </w:r>
      <w:r>
        <w:rPr>
          <w:rFonts w:hint="eastAsia" w:ascii="宋体" w:hAnsi="宋体"/>
          <w:color w:val="auto"/>
          <w:highlight w:val="none"/>
          <w:lang w:val="zh-CN"/>
        </w:rPr>
        <w:t>每期支付合同款项时，成交人需提前 5天向采购人提供与当期支付款项金额等值的中国大陆地区合法有效发票。</w:t>
      </w:r>
    </w:p>
    <w:p>
      <w:pPr>
        <w:tabs>
          <w:tab w:val="left" w:pos="840"/>
        </w:tabs>
        <w:spacing w:line="440" w:lineRule="exact"/>
        <w:rPr>
          <w:rFonts w:hint="eastAsia" w:ascii="宋体" w:hAnsi="宋体" w:eastAsia="宋体" w:cs="宋体"/>
          <w:color w:val="auto"/>
          <w:szCs w:val="21"/>
          <w:highlight w:val="none"/>
          <w:u w:val="single"/>
          <w:lang w:eastAsia="zh-CN"/>
        </w:rPr>
      </w:pPr>
      <w:r>
        <w:rPr>
          <w:rFonts w:hint="eastAsia" w:ascii="宋体" w:hAnsi="宋体"/>
          <w:b/>
          <w:color w:val="auto"/>
          <w:szCs w:val="21"/>
          <w:highlight w:val="none"/>
        </w:rPr>
        <w:t>五、</w:t>
      </w:r>
      <w:r>
        <w:rPr>
          <w:rFonts w:hint="eastAsia" w:ascii="宋体" w:hAnsi="宋体"/>
          <w:b/>
          <w:color w:val="auto"/>
          <w:szCs w:val="21"/>
          <w:highlight w:val="none"/>
          <w:lang w:eastAsia="zh-CN"/>
        </w:rPr>
        <w:t>履约担保</w:t>
      </w:r>
    </w:p>
    <w:p>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本项目履约担保为</w:t>
      </w:r>
      <w:r>
        <w:rPr>
          <w:rFonts w:hint="eastAsia" w:ascii="宋体" w:hAnsi="宋体"/>
          <w:color w:val="auto"/>
          <w:szCs w:val="21"/>
          <w:highlight w:val="none"/>
          <w:lang w:val="en-US" w:eastAsia="zh-CN"/>
        </w:rPr>
        <w:t>贰</w:t>
      </w:r>
      <w:r>
        <w:rPr>
          <w:rFonts w:hint="eastAsia" w:ascii="宋体" w:hAnsi="宋体"/>
          <w:color w:val="auto"/>
          <w:szCs w:val="21"/>
          <w:highlight w:val="none"/>
          <w:lang w:eastAsia="zh-CN"/>
        </w:rPr>
        <w:t>万元人民币。</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在签订合同后的15日内，</w:t>
      </w:r>
      <w:r>
        <w:rPr>
          <w:rFonts w:hint="eastAsia" w:ascii="宋体" w:hAnsi="宋体"/>
          <w:color w:val="auto"/>
          <w:szCs w:val="21"/>
          <w:highlight w:val="none"/>
          <w:lang w:eastAsia="zh-CN"/>
        </w:rPr>
        <w:t>成交人</w:t>
      </w:r>
      <w:r>
        <w:rPr>
          <w:rFonts w:hint="eastAsia" w:ascii="宋体" w:hAnsi="宋体"/>
          <w:color w:val="auto"/>
          <w:szCs w:val="21"/>
          <w:highlight w:val="none"/>
        </w:rPr>
        <w:t>应向</w:t>
      </w:r>
      <w:r>
        <w:rPr>
          <w:rFonts w:hint="eastAsia" w:ascii="宋体" w:hAnsi="宋体"/>
          <w:color w:val="auto"/>
          <w:szCs w:val="21"/>
          <w:highlight w:val="none"/>
          <w:lang w:eastAsia="zh-CN"/>
        </w:rPr>
        <w:t>采购人</w:t>
      </w:r>
      <w:r>
        <w:rPr>
          <w:rFonts w:hint="eastAsia" w:ascii="宋体" w:hAnsi="宋体"/>
          <w:color w:val="auto"/>
          <w:szCs w:val="21"/>
          <w:highlight w:val="none"/>
        </w:rPr>
        <w:t>提交履约担保；履约担保</w:t>
      </w:r>
      <w:r>
        <w:rPr>
          <w:rFonts w:hint="eastAsia" w:ascii="宋体" w:hAnsi="宋体"/>
          <w:color w:val="auto"/>
          <w:szCs w:val="21"/>
          <w:highlight w:val="none"/>
          <w:lang w:eastAsia="zh-CN"/>
        </w:rPr>
        <w:t>应</w:t>
      </w:r>
      <w:r>
        <w:rPr>
          <w:rFonts w:hint="eastAsia" w:ascii="宋体" w:hAnsi="宋体"/>
          <w:color w:val="auto"/>
          <w:szCs w:val="21"/>
          <w:highlight w:val="none"/>
        </w:rPr>
        <w:t>以银行保函的形式提供，该银行保函应由在中国注册且营业地点在广州行政辖区内的银行开具。</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在签订合同后的15日后，</w:t>
      </w:r>
      <w:r>
        <w:rPr>
          <w:rFonts w:hint="eastAsia" w:ascii="宋体" w:hAnsi="宋体"/>
          <w:color w:val="auto"/>
          <w:szCs w:val="21"/>
          <w:highlight w:val="none"/>
          <w:lang w:eastAsia="zh-CN"/>
        </w:rPr>
        <w:t>成交人</w:t>
      </w:r>
      <w:r>
        <w:rPr>
          <w:rFonts w:hint="eastAsia" w:ascii="宋体" w:hAnsi="宋体"/>
          <w:color w:val="auto"/>
          <w:szCs w:val="21"/>
          <w:highlight w:val="none"/>
        </w:rPr>
        <w:t>未按上款的规定提交履约担保，</w:t>
      </w:r>
      <w:r>
        <w:rPr>
          <w:rFonts w:hint="eastAsia" w:ascii="宋体" w:hAnsi="宋体"/>
          <w:color w:val="auto"/>
          <w:szCs w:val="21"/>
          <w:highlight w:val="none"/>
          <w:lang w:eastAsia="zh-CN"/>
        </w:rPr>
        <w:t>采购人</w:t>
      </w:r>
      <w:r>
        <w:rPr>
          <w:rFonts w:hint="eastAsia" w:ascii="宋体" w:hAnsi="宋体"/>
          <w:color w:val="auto"/>
          <w:szCs w:val="21"/>
          <w:highlight w:val="none"/>
        </w:rPr>
        <w:t>将解除</w:t>
      </w:r>
      <w:r>
        <w:rPr>
          <w:rFonts w:hint="eastAsia" w:ascii="宋体" w:hAnsi="宋体"/>
          <w:color w:val="auto"/>
          <w:szCs w:val="21"/>
          <w:highlight w:val="none"/>
          <w:lang w:eastAsia="zh-CN"/>
        </w:rPr>
        <w:t>成交通知书</w:t>
      </w:r>
      <w:r>
        <w:rPr>
          <w:rFonts w:hint="eastAsia" w:ascii="宋体" w:hAnsi="宋体"/>
          <w:color w:val="auto"/>
          <w:szCs w:val="21"/>
          <w:highlight w:val="none"/>
        </w:rPr>
        <w:t>，且依法承担相应法律责任。原</w:t>
      </w:r>
      <w:r>
        <w:rPr>
          <w:rFonts w:hint="eastAsia" w:ascii="宋体" w:hAnsi="宋体"/>
          <w:color w:val="auto"/>
          <w:szCs w:val="21"/>
          <w:highlight w:val="none"/>
          <w:lang w:eastAsia="zh-CN"/>
        </w:rPr>
        <w:t>成交人</w:t>
      </w:r>
      <w:r>
        <w:rPr>
          <w:rFonts w:hint="eastAsia" w:ascii="宋体" w:hAnsi="宋体"/>
          <w:color w:val="auto"/>
          <w:szCs w:val="21"/>
          <w:highlight w:val="none"/>
        </w:rPr>
        <w:t>有异议的，可以向人民法院起诉。</w:t>
      </w:r>
    </w:p>
    <w:p>
      <w:pPr>
        <w:spacing w:line="44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采购人在对履约担保提出索赔要求之前，应书面通知成交人，说明导致此项索赔的原因，并及时向担保人提出索赔文件。担保人根据担保合同的约定在担保范围内承担担保责任，并无须征得成交人的同意，直接向采购人支付索赔价款。</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成交人</w:t>
      </w:r>
      <w:r>
        <w:rPr>
          <w:rFonts w:hint="eastAsia" w:ascii="宋体" w:hAnsi="宋体" w:eastAsia="宋体" w:cs="宋体"/>
          <w:color w:val="auto"/>
          <w:szCs w:val="21"/>
          <w:highlight w:val="none"/>
        </w:rPr>
        <w:t>对于所提供的</w:t>
      </w:r>
      <w:r>
        <w:rPr>
          <w:rFonts w:hint="eastAsia" w:ascii="宋体" w:hAnsi="宋体" w:eastAsia="宋体" w:cs="宋体"/>
          <w:color w:val="auto"/>
          <w:szCs w:val="21"/>
          <w:highlight w:val="none"/>
          <w:lang w:eastAsia="zh-CN"/>
        </w:rPr>
        <w:t>工程质量</w:t>
      </w:r>
      <w:r>
        <w:rPr>
          <w:rFonts w:hint="eastAsia" w:ascii="宋体" w:hAnsi="宋体" w:eastAsia="宋体" w:cs="宋体"/>
          <w:color w:val="auto"/>
          <w:szCs w:val="21"/>
          <w:highlight w:val="none"/>
        </w:rPr>
        <w:t>与本项目的</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及合同要求不相符，</w:t>
      </w:r>
      <w:r>
        <w:rPr>
          <w:rFonts w:hint="eastAsia" w:ascii="宋体" w:hAnsi="宋体" w:eastAsia="宋体" w:cs="宋体"/>
          <w:color w:val="auto"/>
          <w:szCs w:val="21"/>
          <w:highlight w:val="none"/>
          <w:lang w:eastAsia="zh-CN"/>
        </w:rPr>
        <w:t>成交人</w:t>
      </w:r>
      <w:r>
        <w:rPr>
          <w:rFonts w:hint="eastAsia" w:ascii="宋体" w:hAnsi="宋体" w:eastAsia="宋体" w:cs="宋体"/>
          <w:color w:val="auto"/>
          <w:szCs w:val="21"/>
          <w:highlight w:val="none"/>
        </w:rPr>
        <w:t>同意采购人</w:t>
      </w:r>
      <w:r>
        <w:rPr>
          <w:rFonts w:hint="eastAsia" w:ascii="宋体" w:hAnsi="宋体" w:eastAsia="宋体" w:cs="宋体"/>
          <w:color w:val="auto"/>
          <w:szCs w:val="21"/>
          <w:highlight w:val="none"/>
          <w:lang w:eastAsia="zh-CN"/>
        </w:rPr>
        <w:t>拒绝验收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成交人</w:t>
      </w:r>
      <w:r>
        <w:rPr>
          <w:rFonts w:hint="eastAsia" w:ascii="宋体" w:hAnsi="宋体" w:eastAsia="宋体" w:cs="宋体"/>
          <w:color w:val="auto"/>
          <w:szCs w:val="21"/>
          <w:highlight w:val="none"/>
        </w:rPr>
        <w:t>负担由此发生的一切损失和费用。包括银行利息、运输和保险费、检验费、仓储和装卸费等必要的费用。</w:t>
      </w:r>
      <w:r>
        <w:rPr>
          <w:rFonts w:hint="eastAsia" w:ascii="宋体" w:hAnsi="宋体" w:eastAsia="宋体" w:cs="宋体"/>
          <w:color w:val="auto"/>
          <w:szCs w:val="21"/>
          <w:highlight w:val="none"/>
          <w:lang w:eastAsia="zh-CN"/>
        </w:rPr>
        <w:t>成交人</w:t>
      </w:r>
      <w:r>
        <w:rPr>
          <w:rFonts w:hint="eastAsia" w:ascii="宋体" w:hAnsi="宋体" w:eastAsia="宋体" w:cs="宋体"/>
          <w:color w:val="auto"/>
          <w:szCs w:val="21"/>
          <w:highlight w:val="none"/>
        </w:rPr>
        <w:t>将有权从货款或从</w:t>
      </w:r>
      <w:r>
        <w:rPr>
          <w:rFonts w:hint="eastAsia" w:ascii="宋体" w:hAnsi="宋体" w:eastAsia="宋体" w:cs="宋体"/>
          <w:color w:val="auto"/>
          <w:szCs w:val="21"/>
          <w:highlight w:val="none"/>
          <w:lang w:eastAsia="zh-CN"/>
        </w:rPr>
        <w:t>成交人</w:t>
      </w:r>
      <w:r>
        <w:rPr>
          <w:rFonts w:hint="eastAsia" w:ascii="宋体" w:hAnsi="宋体" w:eastAsia="宋体" w:cs="宋体"/>
          <w:color w:val="auto"/>
          <w:szCs w:val="21"/>
          <w:highlight w:val="none"/>
        </w:rPr>
        <w:t>开具的履约</w:t>
      </w:r>
      <w:r>
        <w:rPr>
          <w:rFonts w:hint="eastAsia" w:ascii="宋体" w:hAnsi="宋体" w:eastAsia="宋体" w:cs="宋体"/>
          <w:color w:val="auto"/>
          <w:szCs w:val="21"/>
          <w:highlight w:val="none"/>
          <w:lang w:eastAsia="zh-CN"/>
        </w:rPr>
        <w:t>担保</w:t>
      </w:r>
      <w:r>
        <w:rPr>
          <w:rFonts w:hint="eastAsia" w:ascii="宋体" w:hAnsi="宋体" w:eastAsia="宋体" w:cs="宋体"/>
          <w:color w:val="auto"/>
          <w:szCs w:val="21"/>
          <w:highlight w:val="none"/>
        </w:rPr>
        <w:t>中扣回索赔金额，同时保留进一步要求索赔的权力。</w:t>
      </w:r>
    </w:p>
    <w:p>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履约担保</w:t>
      </w:r>
      <w:r>
        <w:rPr>
          <w:rFonts w:hint="default" w:ascii="宋体" w:hAnsi="宋体" w:eastAsia="宋体" w:cs="宋体"/>
          <w:color w:val="auto"/>
          <w:szCs w:val="21"/>
          <w:highlight w:val="none"/>
        </w:rPr>
        <w:t>有效期截止时间为工程建设合同约定的</w:t>
      </w:r>
      <w:r>
        <w:rPr>
          <w:rFonts w:hint="default" w:ascii="宋体" w:hAnsi="宋体" w:eastAsia="宋体" w:cs="宋体"/>
          <w:color w:val="auto"/>
          <w:szCs w:val="21"/>
          <w:highlight w:val="none"/>
        </w:rPr>
        <w:fldChar w:fldCharType="begin"/>
      </w:r>
      <w:r>
        <w:rPr>
          <w:rFonts w:hint="default" w:ascii="宋体" w:hAnsi="宋体" w:eastAsia="宋体" w:cs="宋体"/>
          <w:color w:val="auto"/>
          <w:szCs w:val="21"/>
          <w:highlight w:val="none"/>
        </w:rPr>
        <w:instrText xml:space="preserve"> HYPERLINK "https://wenwen.sogou.com/s/?w=%E5%B7%A5%E7%A8%8B%E7%AB%A3%E5%B7%A5%E9%AA%8C%E6%94%B6&amp;ch=ww.xqy.chain" \t "https://wenwen.sogou.com/z/_blank" </w:instrText>
      </w:r>
      <w:r>
        <w:rPr>
          <w:rFonts w:hint="default" w:ascii="宋体" w:hAnsi="宋体" w:eastAsia="宋体" w:cs="宋体"/>
          <w:color w:val="auto"/>
          <w:szCs w:val="21"/>
          <w:highlight w:val="none"/>
        </w:rPr>
        <w:fldChar w:fldCharType="separate"/>
      </w:r>
      <w:r>
        <w:rPr>
          <w:rFonts w:hint="default" w:ascii="宋体" w:hAnsi="宋体" w:eastAsia="宋体" w:cs="宋体"/>
          <w:color w:val="auto"/>
          <w:szCs w:val="21"/>
          <w:highlight w:val="none"/>
        </w:rPr>
        <w:t>工程竣工验收</w:t>
      </w:r>
      <w:r>
        <w:rPr>
          <w:rFonts w:hint="default" w:ascii="宋体" w:hAnsi="宋体" w:eastAsia="宋体" w:cs="宋体"/>
          <w:color w:val="auto"/>
          <w:szCs w:val="21"/>
          <w:highlight w:val="none"/>
        </w:rPr>
        <w:fldChar w:fldCharType="end"/>
      </w:r>
      <w:r>
        <w:rPr>
          <w:rFonts w:hint="default" w:ascii="宋体" w:hAnsi="宋体" w:eastAsia="宋体" w:cs="宋体"/>
          <w:color w:val="auto"/>
          <w:szCs w:val="21"/>
          <w:highlight w:val="none"/>
        </w:rPr>
        <w:t>合格之日后</w:t>
      </w:r>
      <w:r>
        <w:rPr>
          <w:rFonts w:hint="eastAsia" w:ascii="宋体" w:hAnsi="宋体" w:eastAsia="宋体" w:cs="宋体"/>
          <w:color w:val="auto"/>
          <w:szCs w:val="21"/>
          <w:highlight w:val="none"/>
        </w:rPr>
        <w:t>10个工作日内</w:t>
      </w:r>
      <w:r>
        <w:rPr>
          <w:rFonts w:hint="eastAsia" w:ascii="宋体" w:hAnsi="宋体" w:eastAsia="宋体" w:cs="宋体"/>
          <w:color w:val="auto"/>
          <w:szCs w:val="21"/>
          <w:highlight w:val="none"/>
          <w:lang w:eastAsia="zh-CN"/>
        </w:rPr>
        <w:t>。</w:t>
      </w:r>
    </w:p>
    <w:p>
      <w:pPr>
        <w:tabs>
          <w:tab w:val="left" w:pos="840"/>
        </w:tabs>
        <w:spacing w:line="440" w:lineRule="exact"/>
        <w:rPr>
          <w:rFonts w:ascii="宋体" w:hAnsi="宋体"/>
          <w:b/>
          <w:color w:val="auto"/>
          <w:szCs w:val="21"/>
          <w:highlight w:val="none"/>
        </w:rPr>
      </w:pPr>
      <w:r>
        <w:rPr>
          <w:rFonts w:hint="eastAsia" w:ascii="宋体" w:hAnsi="宋体"/>
          <w:b/>
          <w:color w:val="auto"/>
          <w:szCs w:val="21"/>
          <w:highlight w:val="none"/>
          <w:lang w:eastAsia="zh-CN"/>
        </w:rPr>
        <w:t>六</w:t>
      </w:r>
      <w:r>
        <w:rPr>
          <w:rFonts w:hint="eastAsia" w:ascii="宋体" w:hAnsi="宋体"/>
          <w:b/>
          <w:color w:val="auto"/>
          <w:szCs w:val="21"/>
          <w:highlight w:val="none"/>
        </w:rPr>
        <w:t>、付款方式</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（1）</w:t>
      </w:r>
      <w:r>
        <w:rPr>
          <w:rFonts w:hint="eastAsia" w:ascii="宋体" w:hAnsi="宋体"/>
          <w:color w:val="auto"/>
          <w:szCs w:val="21"/>
          <w:highlight w:val="none"/>
        </w:rPr>
        <w:t>合同签订生效后，采购人支付成交人合同金额30%预付款</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w:t>
      </w:r>
      <w:r>
        <w:rPr>
          <w:rFonts w:hint="eastAsia" w:ascii="宋体" w:hAnsi="宋体"/>
          <w:color w:val="auto"/>
          <w:szCs w:val="21"/>
          <w:highlight w:val="none"/>
        </w:rPr>
        <w:t>项目完工并经采购人</w:t>
      </w:r>
      <w:r>
        <w:rPr>
          <w:rFonts w:hint="eastAsia" w:ascii="宋体" w:hAnsi="宋体"/>
          <w:color w:val="auto"/>
          <w:szCs w:val="21"/>
          <w:highlight w:val="none"/>
          <w:lang w:eastAsia="zh-CN"/>
        </w:rPr>
        <w:t>竣工</w:t>
      </w:r>
      <w:r>
        <w:rPr>
          <w:rFonts w:hint="eastAsia" w:ascii="宋体" w:hAnsi="宋体"/>
          <w:color w:val="auto"/>
          <w:szCs w:val="21"/>
          <w:highlight w:val="none"/>
        </w:rPr>
        <w:t>验收合格，采购人按合同金额向成交人支付至80%的款项；</w:t>
      </w:r>
    </w:p>
    <w:p>
      <w:pPr>
        <w:spacing w:line="440" w:lineRule="exact"/>
        <w:ind w:firstLine="420" w:firstLineChars="200"/>
        <w:rPr>
          <w:rFonts w:ascii="宋体" w:hAnsi="宋体"/>
          <w:color w:val="auto"/>
          <w:highlight w:val="none"/>
          <w:lang w:val="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）项目完成结算确认手续后10个工作日内，</w:t>
      </w:r>
      <w:r>
        <w:rPr>
          <w:rFonts w:hint="eastAsia" w:ascii="宋体" w:hAnsi="宋体"/>
          <w:color w:val="auto"/>
          <w:szCs w:val="21"/>
          <w:highlight w:val="none"/>
          <w:lang w:eastAsia="zh-CN"/>
        </w:rPr>
        <w:t>成交人</w:t>
      </w:r>
      <w:r>
        <w:rPr>
          <w:rFonts w:hint="eastAsia" w:ascii="宋体" w:hAnsi="宋体"/>
          <w:color w:val="auto"/>
          <w:szCs w:val="21"/>
          <w:highlight w:val="none"/>
        </w:rPr>
        <w:t>应向</w:t>
      </w:r>
      <w:r>
        <w:rPr>
          <w:rFonts w:hint="eastAsia" w:ascii="宋体" w:hAnsi="宋体"/>
          <w:color w:val="auto"/>
          <w:szCs w:val="21"/>
          <w:highlight w:val="none"/>
          <w:lang w:eastAsia="zh-CN"/>
        </w:rPr>
        <w:t>采购人</w:t>
      </w:r>
      <w:r>
        <w:rPr>
          <w:rFonts w:hint="eastAsia" w:ascii="宋体" w:hAnsi="宋体"/>
          <w:color w:val="auto"/>
          <w:szCs w:val="21"/>
          <w:highlight w:val="none"/>
        </w:rPr>
        <w:t>提交</w:t>
      </w:r>
      <w:r>
        <w:rPr>
          <w:rFonts w:hint="eastAsia" w:ascii="宋体" w:hAnsi="宋体"/>
          <w:color w:val="auto"/>
          <w:szCs w:val="21"/>
          <w:highlight w:val="none"/>
          <w:lang w:eastAsia="zh-CN"/>
        </w:rPr>
        <w:t>合同金额的</w:t>
      </w:r>
      <w:r>
        <w:rPr>
          <w:rFonts w:hint="eastAsia" w:ascii="宋体" w:hAnsi="宋体"/>
          <w:color w:val="auto"/>
          <w:szCs w:val="21"/>
          <w:highlight w:val="none"/>
          <w:lang w:val="en-US" w:eastAsia="zh-CN"/>
        </w:rPr>
        <w:t>3%作为本项目</w:t>
      </w:r>
      <w:r>
        <w:rPr>
          <w:rFonts w:hint="eastAsia" w:ascii="宋体" w:hAnsi="宋体"/>
          <w:color w:val="auto"/>
          <w:szCs w:val="21"/>
          <w:highlight w:val="none"/>
        </w:rPr>
        <w:t>质保金</w:t>
      </w:r>
      <w:r>
        <w:rPr>
          <w:rFonts w:hint="eastAsia" w:ascii="宋体" w:hAnsi="宋体"/>
          <w:color w:val="auto"/>
          <w:szCs w:val="21"/>
          <w:highlight w:val="none"/>
          <w:lang w:eastAsia="zh-CN"/>
        </w:rPr>
        <w:t>，</w:t>
      </w:r>
      <w:r>
        <w:rPr>
          <w:rFonts w:hint="eastAsia" w:ascii="宋体" w:hAnsi="宋体"/>
          <w:color w:val="auto"/>
          <w:szCs w:val="21"/>
          <w:highlight w:val="none"/>
        </w:rPr>
        <w:t>质保金</w:t>
      </w:r>
      <w:r>
        <w:rPr>
          <w:rFonts w:hint="eastAsia" w:ascii="宋体" w:hAnsi="宋体"/>
          <w:color w:val="auto"/>
          <w:szCs w:val="21"/>
          <w:highlight w:val="none"/>
          <w:lang w:eastAsia="zh-CN"/>
        </w:rPr>
        <w:t>应</w:t>
      </w:r>
      <w:r>
        <w:rPr>
          <w:rFonts w:hint="eastAsia" w:ascii="宋体" w:hAnsi="宋体"/>
          <w:color w:val="auto"/>
          <w:szCs w:val="21"/>
          <w:highlight w:val="none"/>
        </w:rPr>
        <w:t>以银行保函的形式提供</w:t>
      </w:r>
      <w:r>
        <w:rPr>
          <w:rFonts w:hint="eastAsia" w:ascii="宋体" w:hAnsi="宋体"/>
          <w:color w:val="auto"/>
          <w:szCs w:val="21"/>
          <w:highlight w:val="none"/>
          <w:lang w:eastAsia="zh-CN"/>
        </w:rPr>
        <w:t>（</w:t>
      </w:r>
      <w:r>
        <w:rPr>
          <w:rFonts w:hint="eastAsia" w:ascii="宋体" w:hAnsi="宋体"/>
          <w:color w:val="auto"/>
          <w:szCs w:val="21"/>
          <w:highlight w:val="none"/>
        </w:rPr>
        <w:t>该银行保函应由在中国注册且营业地点在广州行政辖区内的银行开具</w:t>
      </w:r>
      <w:r>
        <w:rPr>
          <w:rFonts w:hint="eastAsia" w:ascii="宋体" w:hAnsi="宋体"/>
          <w:color w:val="auto"/>
          <w:szCs w:val="21"/>
          <w:highlight w:val="none"/>
          <w:lang w:eastAsia="zh-CN"/>
        </w:rPr>
        <w:t>），</w:t>
      </w:r>
      <w:r>
        <w:rPr>
          <w:rFonts w:hint="eastAsia" w:ascii="宋体" w:hAnsi="宋体"/>
          <w:color w:val="auto"/>
          <w:szCs w:val="21"/>
          <w:highlight w:val="none"/>
        </w:rPr>
        <w:t>质保期到期后质保金</w:t>
      </w:r>
      <w:r>
        <w:rPr>
          <w:rFonts w:hint="eastAsia" w:ascii="宋体" w:hAnsi="宋体"/>
          <w:color w:val="auto"/>
          <w:szCs w:val="21"/>
          <w:highlight w:val="none"/>
          <w:lang w:eastAsia="zh-CN"/>
        </w:rPr>
        <w:t>自动失效</w:t>
      </w:r>
      <w:r>
        <w:rPr>
          <w:rFonts w:hint="eastAsia" w:ascii="宋体" w:hAnsi="宋体"/>
          <w:color w:val="auto"/>
          <w:szCs w:val="21"/>
          <w:highlight w:val="none"/>
        </w:rPr>
        <w:t>。</w:t>
      </w:r>
      <w:r>
        <w:rPr>
          <w:rFonts w:hint="eastAsia" w:ascii="宋体" w:hAnsi="宋体"/>
          <w:color w:val="auto"/>
          <w:szCs w:val="21"/>
          <w:highlight w:val="none"/>
          <w:lang w:eastAsia="zh-CN"/>
        </w:rPr>
        <w:t>采购人</w:t>
      </w:r>
      <w:r>
        <w:rPr>
          <w:rFonts w:hint="eastAsia" w:ascii="宋体" w:hAnsi="宋体" w:cs="宋体"/>
          <w:color w:val="auto"/>
          <w:szCs w:val="21"/>
          <w:highlight w:val="none"/>
        </w:rPr>
        <w:t>支付至结算金额</w:t>
      </w:r>
      <w:r>
        <w:rPr>
          <w:rFonts w:hint="eastAsia" w:ascii="宋体" w:hAnsi="宋体"/>
          <w:color w:val="auto"/>
          <w:szCs w:val="21"/>
          <w:highlight w:val="none"/>
        </w:rPr>
        <w:t>的</w:t>
      </w:r>
      <w:r>
        <w:rPr>
          <w:rFonts w:hint="eastAsia" w:ascii="宋体" w:hAnsi="宋体"/>
          <w:color w:val="auto"/>
          <w:szCs w:val="21"/>
          <w:highlight w:val="none"/>
          <w:lang w:val="en-US" w:eastAsia="zh-CN"/>
        </w:rPr>
        <w:t>100</w:t>
      </w:r>
      <w:r>
        <w:rPr>
          <w:rFonts w:hint="eastAsia" w:ascii="宋体" w:hAnsi="宋体"/>
          <w:color w:val="auto"/>
          <w:szCs w:val="21"/>
          <w:highlight w:val="none"/>
        </w:rPr>
        <w:t>%</w:t>
      </w:r>
      <w:r>
        <w:rPr>
          <w:rFonts w:hint="eastAsia" w:ascii="宋体" w:hAnsi="宋体"/>
          <w:color w:val="auto"/>
          <w:szCs w:val="21"/>
          <w:highlight w:val="none"/>
          <w:lang w:eastAsia="zh-CN"/>
        </w:rPr>
        <w:t>。</w:t>
      </w:r>
    </w:p>
    <w:p>
      <w:pPr>
        <w:tabs>
          <w:tab w:val="left" w:pos="840"/>
        </w:tabs>
        <w:spacing w:line="440" w:lineRule="exact"/>
        <w:rPr>
          <w:rFonts w:ascii="宋体" w:hAnsi="宋体"/>
          <w:b/>
          <w:color w:val="auto"/>
          <w:szCs w:val="21"/>
          <w:highlight w:val="none"/>
        </w:rPr>
      </w:pPr>
      <w:r>
        <w:rPr>
          <w:rFonts w:hint="eastAsia" w:ascii="宋体" w:hAnsi="宋体"/>
          <w:b/>
          <w:color w:val="auto"/>
          <w:szCs w:val="21"/>
          <w:highlight w:val="none"/>
          <w:lang w:eastAsia="zh-CN"/>
        </w:rPr>
        <w:t>七</w:t>
      </w:r>
      <w:r>
        <w:rPr>
          <w:rFonts w:hint="eastAsia" w:ascii="宋体" w:hAnsi="宋体"/>
          <w:b/>
          <w:color w:val="auto"/>
          <w:szCs w:val="21"/>
          <w:highlight w:val="none"/>
        </w:rPr>
        <w:t>、其他说明</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一）成交人须按《广东省建设领域工人工资支付分账管理暂行办法》(粤人社规〔2015〕3号)、《关于印发广州市建设领域工人工资支付分账管理实施细则的通知》（穗建规字〔2017〕10号）有关规定在商业银行设立建设领域工人工资支付专用账户，用于支付工人工资。</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（二）合同约定的工程项目，成交人不得转包。否则，采购人有权单方面终止合同，并责令其立即退场，由此造成的经济损失由成交人负责赔偿。</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三）不许随意更换报价文件中所报的项目负责人，如确须更换，则事前须征得采购人同意，如有违反，一经发现取消成交资格，并赔偿由此造成的一切损失(包含质量安全事故、拖延工期、增加投资等损失)。在施工过程中，项目负责人如不到位，则在工程款中扣除2%作为处罚，造成损失的，按实际发生额赔偿。</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（四）在工程进行中，成交人要注意保护场内的各种管线和设施。若有任何损坏，须立即通知有关部门和采购人，并由损坏单位承担损失和修复费用。</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（五）成交人应承担所有与编写和提交报价文件有关的费用，不论报价的结果如何，采购代理机构、采购人在任何情况下均无义务和责任承担这些费用。</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（六）报价人（成交人）一旦签订了施工合同后，由于采购人原因停止建设的，报价人（成交人）应无条件服从，不得以任何理由向采购人提出任何形式索赔。</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七）成交人一旦进场施工，应认真做好施工组织计划，按合同约定的总工期和阶段性工期完成施工。因成交人原因造成总工期逾期的，逾期一天，成交人向采购人按工程合同总价千分之三支付违约金，逾期超过30天的采购人有权终止合同，并保留有追究成交人违约责任的权利。</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八）成交人不得私自变更工程量清单中的内容，如确须变更，则事前须征得采购人同意，如有违反，一经发现取消成交资格，并赔偿由此造成的一切损失(包含质量安全事故、拖延工期、增加投资等损失)。在施工过程中发现私自变更工程量清单内容的，则在工程款中扣除2%作为处罚，造成损失的，按实际发生额赔偿。</w:t>
      </w:r>
    </w:p>
    <w:bookmarkEnd w:id="280"/>
    <w:p>
      <w:pPr>
        <w:tabs>
          <w:tab w:val="left" w:pos="840"/>
        </w:tabs>
        <w:spacing w:line="440" w:lineRule="exact"/>
        <w:rPr>
          <w:rFonts w:ascii="宋体" w:hAnsi="宋体"/>
          <w:b/>
          <w:color w:val="auto"/>
          <w:highlight w:val="none"/>
          <w:lang w:val="zh-CN"/>
        </w:rPr>
      </w:pPr>
      <w:bookmarkStart w:id="281" w:name="_Toc317609046"/>
      <w:r>
        <w:rPr>
          <w:rFonts w:hint="eastAsia" w:ascii="宋体" w:hAnsi="宋体"/>
          <w:b/>
          <w:color w:val="auto"/>
          <w:highlight w:val="none"/>
          <w:lang w:eastAsia="zh-CN"/>
        </w:rPr>
        <w:t>八</w:t>
      </w:r>
      <w:r>
        <w:rPr>
          <w:rFonts w:hint="eastAsia" w:ascii="宋体" w:hAnsi="宋体"/>
          <w:b/>
          <w:color w:val="auto"/>
          <w:highlight w:val="none"/>
        </w:rPr>
        <w:t>、相关图纸</w:t>
      </w:r>
      <w:r>
        <w:rPr>
          <w:rFonts w:hint="eastAsia" w:ascii="宋体" w:hAnsi="宋体"/>
          <w:b/>
          <w:color w:val="auto"/>
          <w:highlight w:val="none"/>
          <w:lang w:val="zh-CN"/>
        </w:rPr>
        <w:t>（另册）和工程量清单（另册）</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w:t>
      </w:r>
      <w:r>
        <w:rPr>
          <w:rFonts w:hint="eastAsia" w:ascii="宋体" w:hAnsi="宋体" w:cs="宋体"/>
          <w:color w:val="auto"/>
          <w:szCs w:val="21"/>
          <w:highlight w:val="none"/>
        </w:rPr>
        <w:t>工程量清单</w:t>
      </w:r>
      <w:r>
        <w:rPr>
          <w:rFonts w:hint="eastAsia" w:ascii="宋体" w:hAnsi="宋体"/>
          <w:color w:val="auto"/>
          <w:highlight w:val="none"/>
          <w:lang w:val="zh-CN"/>
        </w:rPr>
        <w:t>（含封面）采用采购人提供的电子版填写。投标人不得修改《</w:t>
      </w:r>
      <w:r>
        <w:rPr>
          <w:rFonts w:hint="eastAsia" w:ascii="宋体" w:hAnsi="宋体" w:cs="宋体"/>
          <w:color w:val="auto"/>
          <w:szCs w:val="21"/>
          <w:highlight w:val="none"/>
        </w:rPr>
        <w:t>工程量清单</w:t>
      </w:r>
      <w:r>
        <w:rPr>
          <w:rFonts w:hint="eastAsia" w:ascii="宋体" w:hAnsi="宋体"/>
          <w:color w:val="auto"/>
          <w:highlight w:val="none"/>
          <w:lang w:val="zh-CN"/>
        </w:rPr>
        <w:t>》中项目内容及工程数量；</w:t>
      </w:r>
    </w:p>
    <w:p>
      <w:pPr>
        <w:numPr>
          <w:ilvl w:val="0"/>
          <w:numId w:val="7"/>
        </w:numPr>
        <w:spacing w:line="440" w:lineRule="exact"/>
        <w:ind w:firstLine="420" w:firstLineChars="200"/>
        <w:rPr>
          <w:rFonts w:ascii="宋体" w:hAnsi="宋体"/>
          <w:color w:val="auto"/>
          <w:highlight w:val="none"/>
          <w:lang w:val="zh-CN"/>
        </w:rPr>
      </w:pPr>
      <w:r>
        <w:rPr>
          <w:rFonts w:hint="eastAsia" w:ascii="宋体" w:hAnsi="宋体" w:cs="宋体"/>
          <w:color w:val="auto"/>
          <w:szCs w:val="21"/>
          <w:highlight w:val="none"/>
        </w:rPr>
        <w:t>工程量清单</w:t>
      </w:r>
      <w:r>
        <w:rPr>
          <w:rFonts w:hint="eastAsia" w:ascii="宋体" w:hAnsi="宋体"/>
          <w:color w:val="auto"/>
          <w:highlight w:val="none"/>
          <w:lang w:val="zh-CN"/>
        </w:rPr>
        <w:t>（含封面）需提交一正二副，正本需在封面、骑缝及逐页加盖公章确认，若有修改的地方应在相应的地方加盖公章，副本可以采用正本复印并在封面及骑缝加盖公章确认；</w:t>
      </w:r>
    </w:p>
    <w:p>
      <w:pPr>
        <w:numPr>
          <w:ilvl w:val="0"/>
          <w:numId w:val="7"/>
        </w:numPr>
        <w:spacing w:line="440" w:lineRule="exact"/>
        <w:ind w:firstLine="420" w:firstLineChars="200"/>
        <w:rPr>
          <w:color w:val="auto"/>
          <w:highlight w:val="none"/>
        </w:rPr>
      </w:pPr>
      <w:r>
        <w:rPr>
          <w:rFonts w:hint="eastAsia" w:ascii="宋体" w:hAnsi="宋体"/>
          <w:color w:val="auto"/>
          <w:highlight w:val="none"/>
          <w:lang w:val="zh-CN"/>
        </w:rPr>
        <w:t>具体工程范围和内容以图纸和清单为准,如两者有差异,以清单为准。</w:t>
      </w:r>
      <w:bookmarkEnd w:id="281"/>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施工合同（样本）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highlight w:val="none"/>
        </w:rPr>
        <w:br w:type="page"/>
      </w:r>
      <w:bookmarkStart w:id="282" w:name="_Toc293341641"/>
      <w:bookmarkStart w:id="283" w:name="_Toc303110406"/>
      <w:r>
        <w:rPr>
          <w:rFonts w:hint="eastAsia" w:ascii="宋体" w:hAnsi="宋体"/>
          <w:color w:val="auto"/>
          <w:szCs w:val="21"/>
          <w:highlight w:val="none"/>
        </w:rPr>
        <w:t>注：本合同条款仅供参考，甲乙双方可根据实际情况进行补充，但不得对竞争性磋商文件作实质性修改。</w:t>
      </w:r>
    </w:p>
    <w:p>
      <w:pPr>
        <w:ind w:firstLine="562" w:firstLineChars="200"/>
        <w:jc w:val="center"/>
        <w:rPr>
          <w:rFonts w:asciiTheme="minorEastAsia" w:hAnsiTheme="minorEastAsia" w:eastAsiaTheme="minorEastAsia" w:cstheme="minorEastAsia"/>
          <w:b/>
          <w:color w:val="auto"/>
          <w:sz w:val="28"/>
          <w:szCs w:val="28"/>
          <w:highlight w:val="none"/>
        </w:rPr>
      </w:pPr>
    </w:p>
    <w:p>
      <w:pPr>
        <w:ind w:firstLine="562" w:firstLineChars="200"/>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工程施工合同</w:t>
      </w:r>
    </w:p>
    <w:p>
      <w:pPr>
        <w:spacing w:line="360" w:lineRule="auto"/>
        <w:rPr>
          <w:rFonts w:asciiTheme="minorEastAsia" w:hAnsiTheme="minorEastAsia" w:eastAsiaTheme="minorEastAsia" w:cstheme="minorEastAsia"/>
          <w:color w:val="auto"/>
          <w:szCs w:val="21"/>
          <w:highlight w:val="none"/>
        </w:rPr>
      </w:pP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 (全称)：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(以下简称：甲方)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成交人</w:t>
      </w:r>
      <w:r>
        <w:rPr>
          <w:rFonts w:hint="eastAsia" w:asciiTheme="minorEastAsia" w:hAnsiTheme="minorEastAsia" w:eastAsiaTheme="minorEastAsia" w:cstheme="minorEastAsia"/>
          <w:color w:val="auto"/>
          <w:szCs w:val="21"/>
          <w:highlight w:val="none"/>
        </w:rPr>
        <w:t>（全称）：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（以下简称：乙方）</w:t>
      </w:r>
    </w:p>
    <w:p>
      <w:pPr>
        <w:pStyle w:val="83"/>
        <w:spacing w:beforeLines="50" w:beforeAutospacing="0" w:afterLines="50" w:afterAutospacing="0" w:line="360" w:lineRule="auto"/>
        <w:ind w:firstLine="420" w:firstLineChars="200"/>
        <w:jc w:val="both"/>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甲乙双方根据《中华人民共和国合同法》、《建筑安装工程承包协议条例》、及其他相关法律、行政法规之规定，遵循平等、自愿、公平和诚实信用的原则，合同双方当事人就合同工程施工有关事项达成一致意见，特订立本合同，双方共同遵守。</w:t>
      </w:r>
    </w:p>
    <w:p>
      <w:pPr>
        <w:autoSpaceDE w:val="0"/>
        <w:autoSpaceDN w:val="0"/>
        <w:adjustRightInd w:val="0"/>
        <w:spacing w:line="360" w:lineRule="auto"/>
        <w:ind w:left="101"/>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rPr>
        <w:t>第一条  工程项目概况</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（一）工程名称：</w:t>
      </w:r>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（二）工程地点：</w:t>
      </w:r>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（三）工程内容：</w:t>
      </w:r>
      <w:r>
        <w:rPr>
          <w:rFonts w:hint="eastAsia" w:asciiTheme="minorEastAsia" w:hAnsiTheme="minorEastAsia" w:eastAsiaTheme="minorEastAsia" w:cstheme="minorEastAsia"/>
          <w:color w:val="auto"/>
          <w:szCs w:val="21"/>
          <w:highlight w:val="none"/>
          <w:u w:val="single"/>
        </w:rPr>
        <w:t xml:space="preserve">                                     。详见施工图纸及工程量清单。</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（四）承包方式：</w:t>
      </w:r>
      <w:r>
        <w:rPr>
          <w:rFonts w:hint="eastAsia" w:asciiTheme="minorEastAsia" w:hAnsiTheme="minorEastAsia" w:eastAsiaTheme="minorEastAsia" w:cstheme="minorEastAsia"/>
          <w:color w:val="auto"/>
          <w:szCs w:val="21"/>
          <w:highlight w:val="none"/>
          <w:u w:val="single"/>
        </w:rPr>
        <w:t>包工、包料、包质量、包工期、包安全文明施工、包调试、包验收；总价包干。</w:t>
      </w:r>
    </w:p>
    <w:p>
      <w:pPr>
        <w:autoSpaceDE w:val="0"/>
        <w:autoSpaceDN w:val="0"/>
        <w:adjustRightInd w:val="0"/>
        <w:spacing w:line="360" w:lineRule="auto"/>
        <w:ind w:left="101" w:leftChars="48" w:firstLine="308" w:firstLineChars="147"/>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（五）工程承包范围：</w:t>
      </w:r>
      <w:r>
        <w:rPr>
          <w:rFonts w:hint="eastAsia" w:asciiTheme="minorEastAsia" w:hAnsiTheme="minorEastAsia" w:eastAsiaTheme="minorEastAsia" w:cstheme="minorEastAsia"/>
          <w:color w:val="auto"/>
          <w:szCs w:val="21"/>
          <w:highlight w:val="none"/>
          <w:u w:val="single"/>
        </w:rPr>
        <w:t>按照甲方提供的设计图纸、工程量清单和有关资料及说明的范围内的所有项目。</w:t>
      </w:r>
    </w:p>
    <w:p>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第二条   合同价款</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kern w:val="0"/>
          <w:szCs w:val="21"/>
          <w:highlight w:val="none"/>
        </w:rPr>
        <w:t>合同总</w:t>
      </w:r>
      <w:r>
        <w:rPr>
          <w:rFonts w:hint="eastAsia" w:asciiTheme="minorEastAsia" w:hAnsiTheme="minorEastAsia" w:eastAsiaTheme="minorEastAsia" w:cstheme="minorEastAsia"/>
          <w:color w:val="auto"/>
          <w:spacing w:val="-70"/>
          <w:kern w:val="0"/>
          <w:szCs w:val="21"/>
          <w:highlight w:val="none"/>
        </w:rPr>
        <w:t>价</w:t>
      </w:r>
      <w:r>
        <w:rPr>
          <w:rFonts w:hint="eastAsia" w:asciiTheme="minorEastAsia" w:hAnsiTheme="minorEastAsia" w:eastAsiaTheme="minorEastAsia" w:cstheme="minorEastAsia"/>
          <w:color w:val="auto"/>
          <w:kern w:val="0"/>
          <w:szCs w:val="21"/>
          <w:highlight w:val="none"/>
        </w:rPr>
        <w:t>（大写</w:t>
      </w:r>
      <w:r>
        <w:rPr>
          <w:rFonts w:hint="eastAsia" w:asciiTheme="minorEastAsia" w:hAnsiTheme="minorEastAsia" w:eastAsiaTheme="minorEastAsia" w:cstheme="minorEastAsia"/>
          <w:color w:val="auto"/>
          <w:spacing w:val="-120"/>
          <w:kern w:val="0"/>
          <w:szCs w:val="21"/>
          <w:highlight w:val="none"/>
        </w:rPr>
        <w:t>）</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w:t>
      </w:r>
    </w:p>
    <w:p>
      <w:pPr>
        <w:tabs>
          <w:tab w:val="left" w:pos="6620"/>
        </w:tabs>
        <w:autoSpaceDE w:val="0"/>
        <w:autoSpaceDN w:val="0"/>
        <w:adjustRightInd w:val="0"/>
        <w:spacing w:line="360" w:lineRule="auto"/>
        <w:ind w:left="624" w:right="3289" w:firstLine="958"/>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（小写</w:t>
      </w:r>
      <w:r>
        <w:rPr>
          <w:rFonts w:hint="eastAsia" w:asciiTheme="minorEastAsia" w:hAnsiTheme="minorEastAsia" w:eastAsiaTheme="minorEastAsia" w:cstheme="minorEastAsia"/>
          <w:color w:val="auto"/>
          <w:spacing w:val="-120"/>
          <w:kern w:val="0"/>
          <w:szCs w:val="21"/>
          <w:highlight w:val="none"/>
        </w:rPr>
        <w:t>）</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rPr>
        <w:tab/>
      </w:r>
      <w:r>
        <w:rPr>
          <w:rFonts w:hint="eastAsia" w:asciiTheme="minorEastAsia" w:hAnsiTheme="minorEastAsia" w:eastAsiaTheme="minorEastAsia" w:cstheme="minorEastAsia"/>
          <w:color w:val="auto"/>
          <w:kern w:val="0"/>
          <w:szCs w:val="21"/>
          <w:highlight w:val="none"/>
        </w:rPr>
        <w:t xml:space="preserve">。 </w:t>
      </w:r>
    </w:p>
    <w:p>
      <w:pPr>
        <w:spacing w:line="360" w:lineRule="auto"/>
        <w:ind w:firstLine="396"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Cs w:val="21"/>
          <w:highlight w:val="none"/>
        </w:rPr>
        <w:t>本合同属于固定单价合同，合同在执行期间内，乙方投标文件中的综合单价不作任何调整；除</w:t>
      </w:r>
      <w:r>
        <w:rPr>
          <w:rFonts w:hint="eastAsia" w:asciiTheme="minorEastAsia" w:hAnsiTheme="minorEastAsia" w:eastAsiaTheme="minorEastAsia" w:cstheme="minorEastAsia"/>
          <w:color w:val="auto"/>
          <w:szCs w:val="21"/>
          <w:highlight w:val="none"/>
        </w:rPr>
        <w:t>甲方提供的设计图纸、</w:t>
      </w:r>
      <w:r>
        <w:rPr>
          <w:rFonts w:hint="eastAsia" w:asciiTheme="minorEastAsia" w:hAnsiTheme="minorEastAsia" w:eastAsiaTheme="minorEastAsia" w:cstheme="minorEastAsia"/>
          <w:color w:val="auto"/>
          <w:spacing w:val="-6"/>
          <w:szCs w:val="21"/>
          <w:highlight w:val="none"/>
        </w:rPr>
        <w:t>工程量清单和有关资料及说明的范围内的所有项目外新增加的签证工程量，以总监理工程师、甲方签认的现场签证为依据，按照进度款同期支付。</w:t>
      </w:r>
      <w:r>
        <w:rPr>
          <w:rFonts w:hint="eastAsia" w:asciiTheme="minorEastAsia" w:hAnsiTheme="minorEastAsia" w:eastAsiaTheme="minorEastAsia" w:cstheme="minorEastAsia"/>
          <w:color w:val="auto"/>
          <w:szCs w:val="21"/>
          <w:highlight w:val="none"/>
        </w:rPr>
        <w:t>合同工程的暂列金额，由甲方视项目具体情况自行支配及使用。</w:t>
      </w:r>
    </w:p>
    <w:p>
      <w:pPr>
        <w:spacing w:line="360" w:lineRule="auto"/>
        <w:ind w:firstLine="396" w:firstLineChars="200"/>
        <w:rPr>
          <w:rFonts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2、甲方每次向乙方支付工程款，乙方向甲方开具增值税普通发票。</w:t>
      </w:r>
    </w:p>
    <w:p>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第三条   工期   </w:t>
      </w:r>
    </w:p>
    <w:p>
      <w:pPr>
        <w:spacing w:line="360" w:lineRule="auto"/>
        <w:ind w:left="281" w:leftChars="134" w:firstLine="315" w:firstLineChars="150"/>
        <w:outlineLvl w:val="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总工期为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个日历天。由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日开工，</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月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日竣工完成；在履行过程中，如因甲方原因或遇不可抗力因素造成工程无法施工的，工期由双方协商顺延，但不得超过30个日历天。</w:t>
      </w:r>
    </w:p>
    <w:p>
      <w:pPr>
        <w:spacing w:line="36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 xml:space="preserve">第四条   工程质量标准和保修期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（1）质量要求：按国家相关规范规程一次性验收达到合格标准。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（2）质量保修期从合同工程实际竣工验收合格之日算起。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（3）合同工程质量保修期，约定如下：</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①基础设施工程、房屋建筑的地基基础工程和主体结构工程，为设计文件规定的该工程的合理使用年限；</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②屋面防水工程、有防水要求的卫生间、房间和外墙面的防渗漏，为５年；</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③供热与供冷系统，为２个采暖期、供冷期；</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④电气管线、给排水管道、设备安装和装修工程，为２年。</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①属于保修范围的项目，乙方应在接到甲方通知后的3天内派人保修。乙方未能在规定时间内派人保修的，甲方可自行或委托第三方维修，所需费用在质保金中扣除或由乙方偿还甲方已支付的维修费。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②发生紧急抢修事故的，乙方在接到通知后，应立即赶赴现场进行抢修。</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（4）质量保证金</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留结算款的</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作为质量保证金。质保期满后，甲方收到乙方的支付工程款项申请，经审核后10个工作日内无息支付。在保修期内因施工质量而造成返修，其费用由乙方负责，若乙方在质量保证期内未完全履行缺陷保修义务的，甲方有权扣除质量保证金，并保留进一步索赔的权利。</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5.付款方式：采用银行转账、银行汇付（含电汇）等形式。</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6.每期支付合同款项时，乙方需提前 5天向甲方提供与当期支付款项金额等值的中国大陆地区合法有效发票。</w:t>
      </w:r>
    </w:p>
    <w:p>
      <w:pPr>
        <w:spacing w:line="360" w:lineRule="auto"/>
        <w:outlineLvl w:val="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第五条</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color w:val="auto"/>
          <w:szCs w:val="21"/>
          <w:highlight w:val="none"/>
        </w:rPr>
        <w:t>材料设备</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本工程由乙方根据甲方确定的材料表及样板自行采购供应全部材料设备，并由乙方负责运至施工现场；乙方必须提供所有材料生产厂家的合格证书及材质检验报告；乙方供应的材料设备，由乙方妥善保管，因乙方原因发生丢失损坏，由乙方负责赔偿。</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（二）材料设备需附有合格证明，如一方对材料设备有异议需进行检验，如检验合格，检验相关费用由持有异议一方承担，否则由采购方承担责任，并将全部材料立即退场，不得用于本工程。</w:t>
      </w:r>
    </w:p>
    <w:p>
      <w:pPr>
        <w:spacing w:line="360" w:lineRule="auto"/>
        <w:outlineLvl w:val="0"/>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rPr>
        <w:t xml:space="preserve">第六条  </w:t>
      </w:r>
      <w:r>
        <w:rPr>
          <w:rFonts w:hint="eastAsia" w:asciiTheme="minorEastAsia" w:hAnsiTheme="minorEastAsia" w:eastAsiaTheme="minorEastAsia" w:cstheme="minorEastAsia"/>
          <w:b/>
          <w:color w:val="auto"/>
          <w:szCs w:val="21"/>
          <w:highlight w:val="none"/>
          <w:lang w:eastAsia="zh-CN"/>
        </w:rPr>
        <w:t>履约担保</w:t>
      </w:r>
    </w:p>
    <w:p>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本项目履约担保为</w:t>
      </w:r>
      <w:r>
        <w:rPr>
          <w:rFonts w:hint="eastAsia" w:ascii="宋体" w:hAnsi="宋体"/>
          <w:color w:val="auto"/>
          <w:szCs w:val="21"/>
          <w:highlight w:val="none"/>
          <w:lang w:val="en-US" w:eastAsia="zh-CN"/>
        </w:rPr>
        <w:t>贰</w:t>
      </w:r>
      <w:r>
        <w:rPr>
          <w:rFonts w:hint="eastAsia" w:ascii="宋体" w:hAnsi="宋体"/>
          <w:color w:val="auto"/>
          <w:szCs w:val="21"/>
          <w:highlight w:val="none"/>
          <w:lang w:eastAsia="zh-CN"/>
        </w:rPr>
        <w:t>万元人民币。</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在签订合同后的15日内，</w:t>
      </w:r>
      <w:r>
        <w:rPr>
          <w:rFonts w:hint="eastAsia" w:ascii="宋体" w:hAnsi="宋体"/>
          <w:color w:val="auto"/>
          <w:szCs w:val="21"/>
          <w:highlight w:val="none"/>
          <w:lang w:eastAsia="zh-CN"/>
        </w:rPr>
        <w:t>乙方</w:t>
      </w:r>
      <w:r>
        <w:rPr>
          <w:rFonts w:hint="eastAsia" w:ascii="宋体" w:hAnsi="宋体"/>
          <w:color w:val="auto"/>
          <w:szCs w:val="21"/>
          <w:highlight w:val="none"/>
        </w:rPr>
        <w:t>应向</w:t>
      </w:r>
      <w:r>
        <w:rPr>
          <w:rFonts w:hint="eastAsia" w:ascii="宋体" w:hAnsi="宋体"/>
          <w:color w:val="auto"/>
          <w:szCs w:val="21"/>
          <w:highlight w:val="none"/>
          <w:lang w:eastAsia="zh-CN"/>
        </w:rPr>
        <w:t>甲方</w:t>
      </w:r>
      <w:r>
        <w:rPr>
          <w:rFonts w:hint="eastAsia" w:ascii="宋体" w:hAnsi="宋体"/>
          <w:color w:val="auto"/>
          <w:szCs w:val="21"/>
          <w:highlight w:val="none"/>
        </w:rPr>
        <w:t>提交履约担保；履约担保</w:t>
      </w:r>
      <w:r>
        <w:rPr>
          <w:rFonts w:hint="eastAsia" w:ascii="宋体" w:hAnsi="宋体"/>
          <w:color w:val="auto"/>
          <w:szCs w:val="21"/>
          <w:highlight w:val="none"/>
          <w:lang w:eastAsia="zh-CN"/>
        </w:rPr>
        <w:t>应</w:t>
      </w:r>
      <w:r>
        <w:rPr>
          <w:rFonts w:hint="eastAsia" w:ascii="宋体" w:hAnsi="宋体"/>
          <w:color w:val="auto"/>
          <w:szCs w:val="21"/>
          <w:highlight w:val="none"/>
        </w:rPr>
        <w:t>以银行保函的形式提供，该银行保函应由在中国注册且营业地点在广州行政辖区内的银行开具。</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在签订合同后的15日后，</w:t>
      </w:r>
      <w:r>
        <w:rPr>
          <w:rFonts w:hint="eastAsia" w:ascii="宋体" w:hAnsi="宋体"/>
          <w:color w:val="auto"/>
          <w:szCs w:val="21"/>
          <w:highlight w:val="none"/>
          <w:lang w:eastAsia="zh-CN"/>
        </w:rPr>
        <w:t>乙方</w:t>
      </w:r>
      <w:r>
        <w:rPr>
          <w:rFonts w:hint="eastAsia" w:ascii="宋体" w:hAnsi="宋体"/>
          <w:color w:val="auto"/>
          <w:szCs w:val="21"/>
          <w:highlight w:val="none"/>
        </w:rPr>
        <w:t>未按上款的规定提交履约担保，</w:t>
      </w:r>
      <w:r>
        <w:rPr>
          <w:rFonts w:hint="eastAsia" w:ascii="宋体" w:hAnsi="宋体"/>
          <w:color w:val="auto"/>
          <w:szCs w:val="21"/>
          <w:highlight w:val="none"/>
          <w:lang w:eastAsia="zh-CN"/>
        </w:rPr>
        <w:t>甲方</w:t>
      </w:r>
      <w:r>
        <w:rPr>
          <w:rFonts w:hint="eastAsia" w:ascii="宋体" w:hAnsi="宋体"/>
          <w:color w:val="auto"/>
          <w:szCs w:val="21"/>
          <w:highlight w:val="none"/>
        </w:rPr>
        <w:t>将解除</w:t>
      </w:r>
      <w:r>
        <w:rPr>
          <w:rFonts w:hint="eastAsia" w:ascii="宋体" w:hAnsi="宋体"/>
          <w:color w:val="auto"/>
          <w:szCs w:val="21"/>
          <w:highlight w:val="none"/>
          <w:lang w:eastAsia="zh-CN"/>
        </w:rPr>
        <w:t>成交通知书</w:t>
      </w:r>
      <w:r>
        <w:rPr>
          <w:rFonts w:hint="eastAsia" w:ascii="宋体" w:hAnsi="宋体"/>
          <w:color w:val="auto"/>
          <w:szCs w:val="21"/>
          <w:highlight w:val="none"/>
        </w:rPr>
        <w:t>，且依法承担相应法律责任。原</w:t>
      </w:r>
      <w:r>
        <w:rPr>
          <w:rFonts w:hint="eastAsia" w:ascii="宋体" w:hAnsi="宋体"/>
          <w:color w:val="auto"/>
          <w:szCs w:val="21"/>
          <w:highlight w:val="none"/>
          <w:lang w:eastAsia="zh-CN"/>
        </w:rPr>
        <w:t>乙方</w:t>
      </w:r>
      <w:r>
        <w:rPr>
          <w:rFonts w:hint="eastAsia" w:ascii="宋体" w:hAnsi="宋体"/>
          <w:color w:val="auto"/>
          <w:szCs w:val="21"/>
          <w:highlight w:val="none"/>
        </w:rPr>
        <w:t>有异议的，可以向人民法院起诉。</w:t>
      </w:r>
    </w:p>
    <w:p>
      <w:pPr>
        <w:spacing w:line="44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甲方在对履约担保提出索赔要求之前，应书面通知乙方，说明导致此项索赔的原因，并及时向担保人提出索赔文件。担保人根据担保合同的约定在担保范围内承担担保责任，并无须征得乙方的同意，直接向甲方支付索赔价款。</w:t>
      </w:r>
    </w:p>
    <w:p>
      <w:pPr>
        <w:spacing w:line="44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对于所提供的货物与本项目的</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及合同要求不相符，</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同意</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拒收货物，</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负担由此发生的一切损失和费用。包括银行利息、运输和保险费、检验费、仓储和装卸费等必要的费用。</w:t>
      </w:r>
      <w:r>
        <w:rPr>
          <w:rFonts w:hint="eastAsia" w:ascii="宋体" w:hAnsi="宋体"/>
          <w:color w:val="auto"/>
          <w:szCs w:val="21"/>
          <w:highlight w:val="none"/>
          <w:lang w:eastAsia="zh-CN"/>
        </w:rPr>
        <w:t>乙方</w:t>
      </w:r>
      <w:r>
        <w:rPr>
          <w:rFonts w:hint="eastAsia" w:ascii="宋体" w:hAnsi="宋体"/>
          <w:color w:val="auto"/>
          <w:szCs w:val="21"/>
          <w:highlight w:val="none"/>
        </w:rPr>
        <w:t>将有权从货款或从</w:t>
      </w:r>
      <w:r>
        <w:rPr>
          <w:rFonts w:hint="eastAsia" w:ascii="宋体" w:hAnsi="宋体"/>
          <w:color w:val="auto"/>
          <w:szCs w:val="21"/>
          <w:highlight w:val="none"/>
          <w:lang w:eastAsia="zh-CN"/>
        </w:rPr>
        <w:t>乙方</w:t>
      </w:r>
      <w:r>
        <w:rPr>
          <w:rFonts w:hint="eastAsia" w:ascii="宋体" w:hAnsi="宋体"/>
          <w:color w:val="auto"/>
          <w:szCs w:val="21"/>
          <w:highlight w:val="none"/>
        </w:rPr>
        <w:t>开具的履约</w:t>
      </w:r>
      <w:r>
        <w:rPr>
          <w:rFonts w:hint="eastAsia" w:ascii="宋体" w:hAnsi="宋体"/>
          <w:color w:val="auto"/>
          <w:szCs w:val="21"/>
          <w:highlight w:val="none"/>
          <w:lang w:eastAsia="zh-CN"/>
        </w:rPr>
        <w:t>担保</w:t>
      </w:r>
      <w:r>
        <w:rPr>
          <w:rFonts w:hint="eastAsia" w:ascii="宋体" w:hAnsi="宋体"/>
          <w:color w:val="auto"/>
          <w:szCs w:val="21"/>
          <w:highlight w:val="none"/>
        </w:rPr>
        <w:t>中扣回索赔金额，同时保留进一步要求索赔的权力。</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履约担保</w:t>
      </w:r>
      <w:r>
        <w:rPr>
          <w:rFonts w:hint="default" w:ascii="宋体" w:hAnsi="宋体" w:eastAsia="宋体" w:cs="宋体"/>
          <w:color w:val="auto"/>
          <w:szCs w:val="21"/>
          <w:highlight w:val="none"/>
        </w:rPr>
        <w:t>有效期截止时间为工程建设合同约定的</w:t>
      </w:r>
      <w:r>
        <w:rPr>
          <w:rFonts w:hint="default" w:ascii="宋体" w:hAnsi="宋体" w:eastAsia="宋体" w:cs="宋体"/>
          <w:color w:val="auto"/>
          <w:szCs w:val="21"/>
          <w:highlight w:val="none"/>
        </w:rPr>
        <w:fldChar w:fldCharType="begin"/>
      </w:r>
      <w:r>
        <w:rPr>
          <w:rFonts w:hint="default" w:ascii="宋体" w:hAnsi="宋体" w:eastAsia="宋体" w:cs="宋体"/>
          <w:color w:val="auto"/>
          <w:szCs w:val="21"/>
          <w:highlight w:val="none"/>
        </w:rPr>
        <w:instrText xml:space="preserve"> HYPERLINK "https://wenwen.sogou.com/s/?w=%E5%B7%A5%E7%A8%8B%E7%AB%A3%E5%B7%A5%E9%AA%8C%E6%94%B6&amp;ch=ww.xqy.chain" \t "https://wenwen.sogou.com/z/_blank" </w:instrText>
      </w:r>
      <w:r>
        <w:rPr>
          <w:rFonts w:hint="default" w:ascii="宋体" w:hAnsi="宋体" w:eastAsia="宋体" w:cs="宋体"/>
          <w:color w:val="auto"/>
          <w:szCs w:val="21"/>
          <w:highlight w:val="none"/>
        </w:rPr>
        <w:fldChar w:fldCharType="separate"/>
      </w:r>
      <w:r>
        <w:rPr>
          <w:rFonts w:hint="default" w:ascii="宋体" w:hAnsi="宋体" w:eastAsia="宋体" w:cs="宋体"/>
          <w:color w:val="auto"/>
          <w:szCs w:val="21"/>
          <w:highlight w:val="none"/>
        </w:rPr>
        <w:t>工程竣工验收</w:t>
      </w:r>
      <w:r>
        <w:rPr>
          <w:rFonts w:hint="default" w:ascii="宋体" w:hAnsi="宋体" w:eastAsia="宋体" w:cs="宋体"/>
          <w:color w:val="auto"/>
          <w:szCs w:val="21"/>
          <w:highlight w:val="none"/>
        </w:rPr>
        <w:fldChar w:fldCharType="end"/>
      </w:r>
      <w:r>
        <w:rPr>
          <w:rFonts w:hint="default" w:ascii="宋体" w:hAnsi="宋体" w:eastAsia="宋体" w:cs="宋体"/>
          <w:color w:val="auto"/>
          <w:szCs w:val="21"/>
          <w:highlight w:val="none"/>
        </w:rPr>
        <w:t>合格之日后</w:t>
      </w:r>
      <w:r>
        <w:rPr>
          <w:rFonts w:hint="eastAsia" w:ascii="宋体" w:hAnsi="宋体" w:eastAsia="宋体" w:cs="宋体"/>
          <w:color w:val="auto"/>
          <w:szCs w:val="21"/>
          <w:highlight w:val="none"/>
        </w:rPr>
        <w:t>10个工作日内</w:t>
      </w:r>
      <w:r>
        <w:rPr>
          <w:rFonts w:hint="eastAsia" w:ascii="宋体" w:hAnsi="宋体" w:eastAsia="宋体" w:cs="宋体"/>
          <w:color w:val="auto"/>
          <w:szCs w:val="21"/>
          <w:highlight w:val="none"/>
          <w:lang w:eastAsia="zh-CN"/>
        </w:rPr>
        <w:t>。</w:t>
      </w:r>
    </w:p>
    <w:p>
      <w:pPr>
        <w:spacing w:line="360" w:lineRule="auto"/>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w:t>
      </w:r>
      <w:r>
        <w:rPr>
          <w:rFonts w:hint="eastAsia" w:asciiTheme="minorEastAsia" w:hAnsiTheme="minorEastAsia" w:eastAsiaTheme="minorEastAsia" w:cstheme="minorEastAsia"/>
          <w:b/>
          <w:color w:val="auto"/>
          <w:szCs w:val="21"/>
          <w:highlight w:val="none"/>
          <w:lang w:eastAsia="zh-CN"/>
        </w:rPr>
        <w:t>七</w:t>
      </w:r>
      <w:r>
        <w:rPr>
          <w:rFonts w:hint="eastAsia" w:asciiTheme="minorEastAsia" w:hAnsiTheme="minorEastAsia" w:eastAsiaTheme="minorEastAsia" w:cstheme="minorEastAsia"/>
          <w:b/>
          <w:color w:val="auto"/>
          <w:szCs w:val="21"/>
          <w:highlight w:val="none"/>
        </w:rPr>
        <w:t>条  合同</w:t>
      </w:r>
      <w:r>
        <w:rPr>
          <w:rFonts w:hint="eastAsia" w:asciiTheme="minorEastAsia" w:hAnsiTheme="minorEastAsia" w:eastAsiaTheme="minorEastAsia" w:cstheme="minorEastAsia"/>
          <w:b/>
          <w:color w:val="auto"/>
          <w:szCs w:val="21"/>
          <w:highlight w:val="none"/>
          <w:lang w:eastAsia="zh-CN"/>
        </w:rPr>
        <w:t>付款</w:t>
      </w:r>
      <w:r>
        <w:rPr>
          <w:rFonts w:hint="eastAsia" w:asciiTheme="minorEastAsia" w:hAnsiTheme="minorEastAsia" w:eastAsiaTheme="minorEastAsia" w:cstheme="minorEastAsia"/>
          <w:b/>
          <w:color w:val="auto"/>
          <w:szCs w:val="21"/>
          <w:highlight w:val="none"/>
        </w:rPr>
        <w:t>方式</w:t>
      </w:r>
    </w:p>
    <w:p>
      <w:pPr>
        <w:numPr>
          <w:ilvl w:val="0"/>
          <w:numId w:val="8"/>
        </w:num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付款方式</w:t>
      </w:r>
    </w:p>
    <w:p>
      <w:pPr>
        <w:tabs>
          <w:tab w:val="left" w:pos="1800"/>
          <w:tab w:val="left" w:pos="7740"/>
        </w:tabs>
        <w:spacing w:line="360" w:lineRule="auto"/>
        <w:ind w:left="562" w:right="14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（1）合同签订生效后，甲方支付乙方合同金额30%预付款</w:t>
      </w:r>
    </w:p>
    <w:p>
      <w:pPr>
        <w:tabs>
          <w:tab w:val="left" w:pos="1800"/>
          <w:tab w:val="left" w:pos="7740"/>
        </w:tabs>
        <w:spacing w:line="360" w:lineRule="auto"/>
        <w:ind w:left="562" w:right="14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（2）项目完工并经甲方竣工验收合格，甲方按合同金额向乙方支付至80%的款项；</w:t>
      </w:r>
    </w:p>
    <w:p>
      <w:pPr>
        <w:tabs>
          <w:tab w:val="left" w:pos="1800"/>
          <w:tab w:val="left" w:pos="7740"/>
        </w:tabs>
        <w:spacing w:line="360" w:lineRule="auto"/>
        <w:ind w:left="562" w:right="14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项目完成结算确认手续后10个工作日内，乙方应向甲方提交合同金额的3%作为本项目质保金，质保金应以银行保函的形式提供（该银行保函应由在中国注册且营业地点在广州行政辖区内的银行开具），质保期到期后质保金自动失效。甲方支付至结算金额的100%。</w:t>
      </w:r>
    </w:p>
    <w:p>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w:t>
      </w:r>
      <w:r>
        <w:rPr>
          <w:rFonts w:hint="eastAsia" w:asciiTheme="minorEastAsia" w:hAnsiTheme="minorEastAsia" w:eastAsiaTheme="minorEastAsia" w:cstheme="minorEastAsia"/>
          <w:b/>
          <w:color w:val="auto"/>
          <w:szCs w:val="21"/>
          <w:highlight w:val="none"/>
          <w:lang w:eastAsia="zh-CN"/>
        </w:rPr>
        <w:t>八</w:t>
      </w:r>
      <w:r>
        <w:rPr>
          <w:rFonts w:hint="eastAsia" w:asciiTheme="minorEastAsia" w:hAnsiTheme="minorEastAsia" w:eastAsiaTheme="minorEastAsia" w:cstheme="minorEastAsia"/>
          <w:b/>
          <w:color w:val="auto"/>
          <w:szCs w:val="21"/>
          <w:highlight w:val="none"/>
        </w:rPr>
        <w:t>条</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color w:val="auto"/>
          <w:szCs w:val="21"/>
          <w:highlight w:val="none"/>
        </w:rPr>
        <w:t xml:space="preserve"> 双方责任</w:t>
      </w:r>
    </w:p>
    <w:p>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（一）甲方责任：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1、开工前 2天与乙方共同对施工图进行会审。</w:t>
      </w:r>
    </w:p>
    <w:p>
      <w:pPr>
        <w:spacing w:line="360" w:lineRule="auto"/>
        <w:ind w:left="424" w:leftChars="202" w:firstLine="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2、为乙方提供有利的施工场地并提供施工用水、用电接驳点，乙方装表单独计量水电费，  用电1.2元/度，用水5元/度。</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3、委派</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为现场管理代表，负责：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①、监督、检查乙方的工程质量、进度；</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②、负责中途设计图纸的变更、工程量变更等变更事项的书面通知和签证；</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③、工程完工，负责组织甲方相关人员对工程质量进行验收；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④、负责办理竣工结算及其他工作衔接事宜。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4、对乙方在施工过程中“发现甲方设计不完善”而提出的意见，甲方须在收到乙方的书面通知后</w:t>
      </w:r>
      <w:r>
        <w:rPr>
          <w:rFonts w:hint="eastAsia" w:asciiTheme="minorEastAsia" w:hAnsiTheme="minorEastAsia" w:eastAsiaTheme="minorEastAsia" w:cstheme="minorEastAsia"/>
          <w:color w:val="auto"/>
          <w:szCs w:val="21"/>
          <w:highlight w:val="none"/>
          <w:u w:val="single"/>
        </w:rPr>
        <w:t xml:space="preserve"> 1 </w:t>
      </w:r>
      <w:r>
        <w:rPr>
          <w:rFonts w:hint="eastAsia" w:asciiTheme="minorEastAsia" w:hAnsiTheme="minorEastAsia" w:eastAsiaTheme="minorEastAsia" w:cstheme="minorEastAsia"/>
          <w:color w:val="auto"/>
          <w:szCs w:val="21"/>
          <w:highlight w:val="none"/>
        </w:rPr>
        <w:t>天内进行处理。如需变更图纸或变更已施工的工程，甲方应以书面形式通知乙方，如现场临时变更的，须在</w:t>
      </w:r>
      <w:r>
        <w:rPr>
          <w:rFonts w:hint="eastAsia" w:asciiTheme="minorEastAsia" w:hAnsiTheme="minorEastAsia" w:eastAsiaTheme="minorEastAsia" w:cstheme="minorEastAsia"/>
          <w:color w:val="auto"/>
          <w:szCs w:val="21"/>
          <w:highlight w:val="none"/>
          <w:u w:val="single"/>
        </w:rPr>
        <w:t>2</w:t>
      </w:r>
      <w:r>
        <w:rPr>
          <w:rFonts w:hint="eastAsia" w:asciiTheme="minorEastAsia" w:hAnsiTheme="minorEastAsia" w:eastAsiaTheme="minorEastAsia" w:cstheme="minorEastAsia"/>
          <w:color w:val="auto"/>
          <w:szCs w:val="21"/>
          <w:highlight w:val="none"/>
        </w:rPr>
        <w:t>天内补办“书面通知”并签认。</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5、对因甲方原因要求材料变更，或乙方已安装完的工程材料甲方需要变更的，甲方须委派专人对新增加的工程数量及单价给予书面确认，以便竣工结算</w:t>
      </w:r>
      <w:r>
        <w:rPr>
          <w:rFonts w:hint="eastAsia" w:asciiTheme="minorEastAsia" w:hAnsiTheme="minorEastAsia" w:eastAsiaTheme="minorEastAsia" w:cstheme="minorEastAsia"/>
          <w:color w:val="auto"/>
          <w:szCs w:val="21"/>
          <w:highlight w:val="none"/>
          <w:u w:val="single"/>
        </w:rPr>
        <w:t>（由于甲方原因造成误工/停工，由甲方签证推迟竣工日期；客户进场使用视为工程竣工）</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6、对因甲方原因导致工程中途停建、缓建或设计错误造成返工的，经有关部门审定后，甲方须负责赔偿由此造成的乙方停工、窝工、返工、倒运、人员和材料积压等损失。</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7、甲方应保证非乙方承包范围但与消防设施检测相关的设施、设备能满足检测要求。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8、甲方装修施工所需的材料必需是达到消防验收标准的合格产品，应附有相关的合格证和检验报告并按时提交给乙方以便整理竣工资料。</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9、如因甲方原因导致工程中途停建、缓建或无法向乙方提供验收资料办理验收手续的，自乙方发联系函通知之日起60日历天止，甲方无法明确重新开展工作的，应按工程进度给乙方办理结算。</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10、按时向乙方支付进度款，否则，乙方有权利停工并要求甲方按进度款的5‰支付滞纳金，直至甲方付清款项为止。</w:t>
      </w:r>
    </w:p>
    <w:p>
      <w:pPr>
        <w:spacing w:line="360" w:lineRule="auto"/>
        <w:ind w:firstLine="422"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
          <w:color w:val="auto"/>
          <w:szCs w:val="21"/>
          <w:highlight w:val="none"/>
        </w:rPr>
        <w:t>（二）乙方责任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1、开工前完成施工图会审，办理开工手续。</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必须接受甲方和监理人员的全面监督，遵守工地规章制度，严格按照施工图纸和国家现行施工、验收规范进行施工，确保质量和工期；乙方自行做好材料、设备的保管和保护工作；已竣工工程未交付甲方之前，乙方负责已完工程的保护工作；在本合同实施过程中，全面负责施工场地的清洁和现场施工管理；施工中因乙方原因造成的停工、返工、成品损坏、安全生产事故等原因造成的一切经济损失和法律责任由乙方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3、乙方必须服从甲方的管理、指挥；在施工期间，乙方必须采取切实可行的措施确保施工安全，保证原建筑物不受到任何破坏和损伤，属不可抗力的除外。</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4、乙方负责编制施工计划和材料、设备进场计划并送两份给甲方。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5、乙方须按施工安全规范做好施工质量、安全管理，确保物件堆放整齐，道路畅通。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6、乙方负责施工所需的工具、设备、机械运输，并设置安全施工标志。</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乙方须严格按照施工图与说明书以及施工技术规范和操作规程进行施工，须确保人员、设备设施等各项安全，并接受甲方和质监部门的监督，凡施工期间发生的施工质量、安全事故均由乙方自负，如工程上存在问题，经质监部门确认后，须及时采取纠正措施，否则甲方有权采取措施直至终止合同。</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8、做好施工原始记录，按时向甲方报送进度和完工报表。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9、工程竣工验收合格后向甲方移交工程相关的资料、附件及备用件，并拆除相关施工和生活设施，验收合格后</w:t>
      </w:r>
      <w:r>
        <w:rPr>
          <w:rFonts w:hint="eastAsia" w:asciiTheme="minorEastAsia" w:hAnsiTheme="minorEastAsia" w:eastAsiaTheme="minorEastAsia" w:cstheme="minorEastAsia"/>
          <w:color w:val="auto"/>
          <w:szCs w:val="21"/>
          <w:highlight w:val="none"/>
          <w:u w:val="single"/>
        </w:rPr>
        <w:t xml:space="preserve"> 2 </w:t>
      </w:r>
      <w:r>
        <w:rPr>
          <w:rFonts w:hint="eastAsia" w:asciiTheme="minorEastAsia" w:hAnsiTheme="minorEastAsia" w:eastAsiaTheme="minorEastAsia" w:cstheme="minorEastAsia"/>
          <w:color w:val="auto"/>
          <w:szCs w:val="21"/>
          <w:highlight w:val="none"/>
        </w:rPr>
        <w:t>天内施工人员撤离施工现场。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10、施工中如发现设计错误或严重不合理时，应立即以书面通知甲方。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11、工程竣工验收后，施工单位人员、机械及时撤离施工现场。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12、提供竣工图和竣工资料（含电子文档）一式三份给甲方。</w:t>
      </w:r>
    </w:p>
    <w:p>
      <w:pPr>
        <w:adjustRightInd w:val="0"/>
        <w:spacing w:line="360" w:lineRule="auto"/>
        <w:textAlignment w:val="baseline"/>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w:t>
      </w:r>
      <w:r>
        <w:rPr>
          <w:rFonts w:hint="eastAsia" w:asciiTheme="minorEastAsia" w:hAnsiTheme="minorEastAsia" w:eastAsiaTheme="minorEastAsia" w:cstheme="minorEastAsia"/>
          <w:b/>
          <w:color w:val="auto"/>
          <w:szCs w:val="21"/>
          <w:highlight w:val="none"/>
          <w:lang w:eastAsia="zh-CN"/>
        </w:rPr>
        <w:t>九</w:t>
      </w:r>
      <w:r>
        <w:rPr>
          <w:rFonts w:hint="eastAsia" w:asciiTheme="minorEastAsia" w:hAnsiTheme="minorEastAsia" w:eastAsiaTheme="minorEastAsia" w:cstheme="minorEastAsia"/>
          <w:b/>
          <w:color w:val="auto"/>
          <w:szCs w:val="21"/>
          <w:highlight w:val="none"/>
        </w:rPr>
        <w:t xml:space="preserve">条  工程验收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1、由甲乙双方根据施工图纸及说明书、图纸会审记录、有关变更的书面文件、国家施工验收规范和质量检验标准为依据进行验收，并达到国家规定的</w:t>
      </w:r>
      <w:r>
        <w:rPr>
          <w:rFonts w:hint="eastAsia" w:asciiTheme="minorEastAsia" w:hAnsiTheme="minorEastAsia" w:eastAsiaTheme="minorEastAsia" w:cstheme="minorEastAsia"/>
          <w:color w:val="auto"/>
          <w:szCs w:val="21"/>
          <w:highlight w:val="none"/>
          <w:u w:val="single"/>
        </w:rPr>
        <w:t xml:space="preserve"> 合格 </w:t>
      </w:r>
      <w:r>
        <w:rPr>
          <w:rFonts w:hint="eastAsia" w:asciiTheme="minorEastAsia" w:hAnsiTheme="minorEastAsia" w:eastAsiaTheme="minorEastAsia" w:cstheme="minorEastAsia"/>
          <w:color w:val="auto"/>
          <w:szCs w:val="21"/>
          <w:highlight w:val="none"/>
        </w:rPr>
        <w:t>标准。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2、隐蔽工程在乙方自检后填制记录表，待甲方检查，甲方接通知后</w:t>
      </w:r>
      <w:r>
        <w:rPr>
          <w:rFonts w:hint="eastAsia" w:asciiTheme="minorEastAsia" w:hAnsiTheme="minorEastAsia" w:eastAsiaTheme="minorEastAsia" w:cstheme="minorEastAsia"/>
          <w:color w:val="auto"/>
          <w:szCs w:val="21"/>
          <w:highlight w:val="none"/>
          <w:u w:val="single"/>
        </w:rPr>
        <w:t>2</w:t>
      </w:r>
      <w:r>
        <w:rPr>
          <w:rFonts w:hint="eastAsia" w:asciiTheme="minorEastAsia" w:hAnsiTheme="minorEastAsia" w:eastAsiaTheme="minorEastAsia" w:cstheme="minorEastAsia"/>
          <w:color w:val="auto"/>
          <w:szCs w:val="21"/>
          <w:highlight w:val="none"/>
        </w:rPr>
        <w:t>天内到场验收，经检验合格由双方签字确认进行下一工序的施工，如甲方不按时验收，乙方自检确认合格后可隐蔽，甲方应予以承认；若事后甲方提出复查，相关费用由甲方承担；复查结果不合格，返修费由乙方承担，工期顺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3、工程竣工前</w:t>
      </w:r>
      <w:r>
        <w:rPr>
          <w:rFonts w:hint="eastAsia" w:asciiTheme="minorEastAsia" w:hAnsiTheme="minorEastAsia" w:eastAsiaTheme="minorEastAsia" w:cstheme="minorEastAsia"/>
          <w:color w:val="auto"/>
          <w:szCs w:val="21"/>
          <w:highlight w:val="none"/>
          <w:u w:val="single"/>
        </w:rPr>
        <w:t>5</w:t>
      </w:r>
      <w:r>
        <w:rPr>
          <w:rFonts w:hint="eastAsia" w:asciiTheme="minorEastAsia" w:hAnsiTheme="minorEastAsia" w:eastAsiaTheme="minorEastAsia" w:cstheme="minorEastAsia"/>
          <w:color w:val="auto"/>
          <w:szCs w:val="21"/>
          <w:highlight w:val="none"/>
        </w:rPr>
        <w:t>天，由乙方通知甲方组织有关人员验收，甲方应在接通知</w:t>
      </w:r>
      <w:r>
        <w:rPr>
          <w:rFonts w:hint="eastAsia" w:asciiTheme="minorEastAsia" w:hAnsiTheme="minorEastAsia" w:eastAsiaTheme="minorEastAsia" w:cstheme="minorEastAsia"/>
          <w:color w:val="auto"/>
          <w:szCs w:val="21"/>
          <w:highlight w:val="none"/>
          <w:u w:val="single"/>
        </w:rPr>
        <w:t>5</w:t>
      </w:r>
      <w:r>
        <w:rPr>
          <w:rFonts w:hint="eastAsia" w:asciiTheme="minorEastAsia" w:hAnsiTheme="minorEastAsia" w:eastAsiaTheme="minorEastAsia" w:cstheme="minorEastAsia"/>
          <w:color w:val="auto"/>
          <w:szCs w:val="21"/>
          <w:highlight w:val="none"/>
        </w:rPr>
        <w:t>天内验收完毕；工程内容及质量符合要求的，双方签字确认，同时乙方将全部图纸资料交给甲方；如质量不合格，乙方在限期内返修后进行验收，直至合格，由此发生的费用由乙方承担；验收合格日为竣工日期，工程未经验收，甲方提前使用或擅自动用，视为合格，由此发生的质量或其他问题由甲方负责。</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w:t>
      </w:r>
      <w:r>
        <w:rPr>
          <w:rFonts w:hint="eastAsia" w:asciiTheme="minorEastAsia" w:hAnsiTheme="minorEastAsia" w:eastAsiaTheme="minorEastAsia" w:cstheme="minorEastAsia"/>
          <w:b/>
          <w:color w:val="auto"/>
          <w:szCs w:val="21"/>
          <w:highlight w:val="none"/>
          <w:lang w:eastAsia="zh-CN"/>
        </w:rPr>
        <w:t>十</w:t>
      </w:r>
      <w:r>
        <w:rPr>
          <w:rFonts w:hint="eastAsia" w:asciiTheme="minorEastAsia" w:hAnsiTheme="minorEastAsia" w:eastAsiaTheme="minorEastAsia" w:cstheme="minorEastAsia"/>
          <w:b/>
          <w:color w:val="auto"/>
          <w:szCs w:val="21"/>
          <w:highlight w:val="none"/>
        </w:rPr>
        <w:t>条  违约责任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（一）合同签订后，任何一方终止合同的按工程总造价的</w:t>
      </w:r>
      <w:r>
        <w:rPr>
          <w:rFonts w:hint="eastAsia" w:asciiTheme="minorEastAsia" w:hAnsiTheme="minorEastAsia" w:eastAsiaTheme="minorEastAsia" w:cstheme="minorEastAsia"/>
          <w:color w:val="auto"/>
          <w:szCs w:val="21"/>
          <w:highlight w:val="none"/>
          <w:u w:val="single"/>
        </w:rPr>
        <w:t xml:space="preserve"> 3 </w:t>
      </w:r>
      <w:r>
        <w:rPr>
          <w:rFonts w:hint="eastAsia" w:asciiTheme="minorEastAsia" w:hAnsiTheme="minorEastAsia" w:eastAsiaTheme="minorEastAsia" w:cstheme="minorEastAsia"/>
          <w:color w:val="auto"/>
          <w:szCs w:val="21"/>
          <w:highlight w:val="none"/>
        </w:rPr>
        <w:t>%向对方偿付违约金。</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（二）甲方未能履行合同，出现以下情形的，其损失由甲方承担，工期顺延：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1、不按期提供施工场地、材料、设备，水、电源接驳点；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2、图纸变更未能及时送达乙方；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3、不按期支付工程款（含进度款）；</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4、因设计变更，使已完成的工程拆改；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5、逾期验收；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6、因其他甲方原因造成的情况。</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（三）甲方不按期支付工程款或逾期验收，从逾期次日起，按拖欠数额，依照银行有关延期付款规定向乙方偿付违约金，同时，乙方有权停止施工，直至结清款项。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（四）因乙方原因任造成的停工、返工、材料、器材损失均由乙方承担。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（五）因乙方原因逾期竣工的，从逾期次日起，每逾期一天，按</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向甲方偿付违约金。</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（六）遇不可抗力的损失，报有关部门裁定。</w:t>
      </w:r>
    </w:p>
    <w:p>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第十</w:t>
      </w:r>
      <w:r>
        <w:rPr>
          <w:rFonts w:hint="eastAsia" w:asciiTheme="minorEastAsia" w:hAnsiTheme="minorEastAsia" w:eastAsiaTheme="minorEastAsia" w:cstheme="minorEastAsia"/>
          <w:b/>
          <w:color w:val="auto"/>
          <w:szCs w:val="21"/>
          <w:highlight w:val="none"/>
          <w:lang w:eastAsia="zh-CN"/>
        </w:rPr>
        <w:t>一</w:t>
      </w:r>
      <w:r>
        <w:rPr>
          <w:rFonts w:hint="eastAsia" w:asciiTheme="minorEastAsia" w:hAnsiTheme="minorEastAsia" w:eastAsiaTheme="minorEastAsia" w:cstheme="minorEastAsia"/>
          <w:b/>
          <w:color w:val="auto"/>
          <w:szCs w:val="21"/>
          <w:highlight w:val="none"/>
        </w:rPr>
        <w:t xml:space="preserve">条    争议解决方式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合作过程中发生纠纷的，甲乙双方协商或调解解决；协商或协调不成的，可向广州市有管辖权的人民法院提起诉讼解决。</w:t>
      </w:r>
    </w:p>
    <w:p>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第十</w:t>
      </w:r>
      <w:r>
        <w:rPr>
          <w:rFonts w:hint="eastAsia" w:asciiTheme="minorEastAsia" w:hAnsiTheme="minorEastAsia" w:eastAsiaTheme="minorEastAsia" w:cstheme="minorEastAsia"/>
          <w:b/>
          <w:color w:val="auto"/>
          <w:szCs w:val="21"/>
          <w:highlight w:val="none"/>
          <w:lang w:eastAsia="zh-CN"/>
        </w:rPr>
        <w:t>二</w:t>
      </w:r>
      <w:r>
        <w:rPr>
          <w:rFonts w:hint="eastAsia" w:asciiTheme="minorEastAsia" w:hAnsiTheme="minorEastAsia" w:eastAsiaTheme="minorEastAsia" w:cstheme="minorEastAsia"/>
          <w:b/>
          <w:color w:val="auto"/>
          <w:szCs w:val="21"/>
          <w:highlight w:val="none"/>
        </w:rPr>
        <w:t>条   其他约定条款</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（一）施工过程中，如甲方要求提前竣工，由双方另行签订协议。</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（二）双方签字确认的与本工程相关的：工程质量保修书、施工图纸及说明书、图纸会审记录、有关变更的书面文件等资料均属于本合同的附件，与本合同具有同等法律效力。</w:t>
      </w:r>
    </w:p>
    <w:p>
      <w:pPr>
        <w:autoSpaceDE w:val="0"/>
        <w:autoSpaceDN w:val="0"/>
        <w:adjustRightInd w:val="0"/>
        <w:spacing w:line="360" w:lineRule="auto"/>
        <w:ind w:left="101" w:leftChars="48" w:firstLine="315" w:firstLineChars="1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（三）其他未尽事宜，经甲乙双方协商一致，以附件的方式双方另行签订补充协议，补充协议与本合同具有同等法律效力。</w:t>
      </w:r>
      <w:bookmarkStart w:id="284" w:name="_Toc286907073"/>
      <w:bookmarkStart w:id="285" w:name="_Toc286948114"/>
    </w:p>
    <w:p>
      <w:pPr>
        <w:autoSpaceDE w:val="0"/>
        <w:autoSpaceDN w:val="0"/>
        <w:adjustRightInd w:val="0"/>
        <w:spacing w:line="360" w:lineRule="auto"/>
        <w:ind w:left="101"/>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八、乙方承诺</w:t>
      </w:r>
      <w:bookmarkEnd w:id="284"/>
      <w:bookmarkEnd w:id="285"/>
    </w:p>
    <w:p>
      <w:pPr>
        <w:autoSpaceDE w:val="0"/>
        <w:autoSpaceDN w:val="0"/>
        <w:adjustRightInd w:val="0"/>
        <w:spacing w:line="360" w:lineRule="auto"/>
        <w:ind w:left="101" w:right="184" w:firstLine="48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（四）乙方向甲方承诺已阅读、理解并接受本合同所有条款，按照本合同约定实施、完成并 保修合同工程，履行本合同所约定的全部义务。</w:t>
      </w:r>
    </w:p>
    <w:p>
      <w:pPr>
        <w:autoSpaceDE w:val="0"/>
        <w:autoSpaceDN w:val="0"/>
        <w:adjustRightInd w:val="0"/>
        <w:spacing w:line="360" w:lineRule="auto"/>
        <w:ind w:left="101" w:right="184" w:firstLine="48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（五）甲方向乙方承诺已阅读、理解并接受本合同所有条款，按照本合同约定的时限和方法 支付工程款及其他应当支付的款项，履行本合同所约定的全部义务。</w:t>
      </w:r>
    </w:p>
    <w:p>
      <w:pPr>
        <w:spacing w:line="360" w:lineRule="auto"/>
        <w:ind w:firstLine="420"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（六）本合同壹式伍份，双方各执贰份，招标代理机构壹份，经双方签字盖章后生效。</w:t>
      </w:r>
    </w:p>
    <w:p>
      <w:pPr>
        <w:spacing w:line="360" w:lineRule="auto"/>
        <w:ind w:firstLine="422" w:firstLineChars="200"/>
        <w:rPr>
          <w:color w:val="auto"/>
          <w:highlight w:val="none"/>
        </w:rPr>
      </w:pPr>
      <w:r>
        <w:rPr>
          <w:rFonts w:hint="eastAsia" w:asciiTheme="minorEastAsia" w:hAnsiTheme="minorEastAsia" w:eastAsiaTheme="minorEastAsia" w:cstheme="minorEastAsia"/>
          <w:b/>
          <w:color w:val="auto"/>
          <w:szCs w:val="21"/>
          <w:highlight w:val="none"/>
        </w:rPr>
        <w:t>（以下无正文）</w:t>
      </w:r>
    </w:p>
    <w:tbl>
      <w:tblPr>
        <w:tblStyle w:val="9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19"/>
        <w:gridCol w:w="1172"/>
        <w:gridCol w:w="693"/>
        <w:gridCol w:w="1285"/>
        <w:gridCol w:w="1392"/>
        <w:gridCol w:w="1366"/>
        <w:gridCol w:w="618"/>
        <w:gridCol w:w="1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19" w:type="dxa"/>
            <w:tcBorders>
              <w:top w:val="single" w:color="auto" w:sz="12" w:space="0"/>
              <w:left w:val="single" w:color="auto" w:sz="12" w:space="0"/>
              <w:right w:val="nil"/>
            </w:tcBorders>
            <w:vAlign w:val="center"/>
          </w:tcPr>
          <w:p>
            <w:pPr>
              <w:spacing w:line="48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甲方（章）</w:t>
            </w:r>
          </w:p>
        </w:tc>
        <w:tc>
          <w:tcPr>
            <w:tcW w:w="3150" w:type="dxa"/>
            <w:gridSpan w:val="3"/>
            <w:tcBorders>
              <w:top w:val="single" w:color="auto" w:sz="12" w:space="0"/>
              <w:right w:val="nil"/>
            </w:tcBorders>
          </w:tcPr>
          <w:p>
            <w:pPr>
              <w:spacing w:line="480" w:lineRule="auto"/>
              <w:jc w:val="center"/>
              <w:rPr>
                <w:rFonts w:asciiTheme="minorEastAsia" w:hAnsiTheme="minorEastAsia" w:eastAsiaTheme="minorEastAsia" w:cstheme="minorEastAsia"/>
                <w:color w:val="auto"/>
                <w:szCs w:val="21"/>
                <w:highlight w:val="none"/>
              </w:rPr>
            </w:pPr>
          </w:p>
        </w:tc>
        <w:tc>
          <w:tcPr>
            <w:tcW w:w="1392" w:type="dxa"/>
            <w:tcBorders>
              <w:top w:val="single" w:color="auto" w:sz="12" w:space="0"/>
              <w:right w:val="nil"/>
            </w:tcBorders>
            <w:vAlign w:val="center"/>
          </w:tcPr>
          <w:p>
            <w:pPr>
              <w:spacing w:line="48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 方（章）</w:t>
            </w:r>
          </w:p>
        </w:tc>
        <w:tc>
          <w:tcPr>
            <w:tcW w:w="3544" w:type="dxa"/>
            <w:gridSpan w:val="3"/>
            <w:tcBorders>
              <w:top w:val="single" w:color="auto" w:sz="12" w:space="0"/>
              <w:right w:val="single" w:color="auto" w:sz="12" w:space="0"/>
            </w:tcBorders>
            <w:vAlign w:val="center"/>
          </w:tcPr>
          <w:p>
            <w:pPr>
              <w:spacing w:line="480" w:lineRule="auto"/>
              <w:jc w:val="center"/>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19" w:type="dxa"/>
            <w:tcBorders>
              <w:left w:val="single" w:color="auto" w:sz="12" w:space="0"/>
            </w:tcBorders>
            <w:vAlign w:val="center"/>
          </w:tcPr>
          <w:p>
            <w:pPr>
              <w:spacing w:line="72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签约代表</w:t>
            </w:r>
          </w:p>
        </w:tc>
        <w:tc>
          <w:tcPr>
            <w:tcW w:w="3150" w:type="dxa"/>
            <w:gridSpan w:val="3"/>
            <w:tcBorders>
              <w:top w:val="nil"/>
              <w:bottom w:val="nil"/>
            </w:tcBorders>
            <w:vAlign w:val="center"/>
          </w:tcPr>
          <w:p>
            <w:pPr>
              <w:spacing w:line="720" w:lineRule="auto"/>
              <w:rPr>
                <w:rFonts w:asciiTheme="minorEastAsia" w:hAnsiTheme="minorEastAsia" w:eastAsiaTheme="minorEastAsia" w:cstheme="minorEastAsia"/>
                <w:color w:val="auto"/>
                <w:szCs w:val="21"/>
                <w:highlight w:val="none"/>
              </w:rPr>
            </w:pPr>
          </w:p>
        </w:tc>
        <w:tc>
          <w:tcPr>
            <w:tcW w:w="1392" w:type="dxa"/>
            <w:tcBorders>
              <w:right w:val="single" w:color="auto" w:sz="4" w:space="0"/>
            </w:tcBorders>
            <w:vAlign w:val="center"/>
          </w:tcPr>
          <w:p>
            <w:pPr>
              <w:spacing w:line="72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签约代表</w:t>
            </w:r>
          </w:p>
        </w:tc>
        <w:tc>
          <w:tcPr>
            <w:tcW w:w="3544" w:type="dxa"/>
            <w:gridSpan w:val="3"/>
            <w:tcBorders>
              <w:top w:val="nil"/>
              <w:left w:val="single" w:color="auto" w:sz="4" w:space="0"/>
              <w:bottom w:val="nil"/>
              <w:right w:val="single" w:color="auto" w:sz="12" w:space="0"/>
            </w:tcBorders>
            <w:vAlign w:val="center"/>
          </w:tcPr>
          <w:p>
            <w:pPr>
              <w:spacing w:line="720" w:lineRule="auto"/>
              <w:jc w:val="center"/>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19" w:type="dxa"/>
            <w:tcBorders>
              <w:left w:val="single" w:color="auto" w:sz="12" w:space="0"/>
              <w:right w:val="nil"/>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纳税人类别</w:t>
            </w:r>
          </w:p>
        </w:tc>
        <w:tc>
          <w:tcPr>
            <w:tcW w:w="3150" w:type="dxa"/>
            <w:gridSpan w:val="3"/>
            <w:tcBorders>
              <w:right w:val="nil"/>
            </w:tcBorders>
          </w:tcPr>
          <w:p>
            <w:pPr>
              <w:spacing w:line="480" w:lineRule="auto"/>
              <w:jc w:val="center"/>
              <w:rPr>
                <w:rFonts w:asciiTheme="minorEastAsia" w:hAnsiTheme="minorEastAsia" w:eastAsiaTheme="minorEastAsia" w:cstheme="minorEastAsia"/>
                <w:color w:val="auto"/>
                <w:szCs w:val="21"/>
                <w:highlight w:val="none"/>
              </w:rPr>
            </w:pPr>
          </w:p>
        </w:tc>
        <w:tc>
          <w:tcPr>
            <w:tcW w:w="1392" w:type="dxa"/>
            <w:tcBorders>
              <w:right w:val="single" w:color="auto" w:sz="4" w:space="0"/>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纳税人类别</w:t>
            </w:r>
          </w:p>
        </w:tc>
        <w:tc>
          <w:tcPr>
            <w:tcW w:w="3544" w:type="dxa"/>
            <w:gridSpan w:val="3"/>
            <w:tcBorders>
              <w:left w:val="single" w:color="auto" w:sz="4" w:space="0"/>
              <w:right w:val="single" w:color="auto" w:sz="12" w:space="0"/>
            </w:tcBorders>
            <w:vAlign w:val="center"/>
          </w:tcPr>
          <w:p>
            <w:pPr>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19" w:type="dxa"/>
            <w:tcBorders>
              <w:left w:val="single" w:color="auto" w:sz="12" w:space="0"/>
              <w:right w:val="nil"/>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纳税人</w:t>
            </w:r>
          </w:p>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识别号</w:t>
            </w:r>
          </w:p>
        </w:tc>
        <w:tc>
          <w:tcPr>
            <w:tcW w:w="3150" w:type="dxa"/>
            <w:gridSpan w:val="3"/>
            <w:tcBorders>
              <w:right w:val="nil"/>
            </w:tcBorders>
          </w:tcPr>
          <w:p>
            <w:pPr>
              <w:spacing w:line="480" w:lineRule="auto"/>
              <w:jc w:val="center"/>
              <w:rPr>
                <w:rFonts w:asciiTheme="minorEastAsia" w:hAnsiTheme="minorEastAsia" w:eastAsiaTheme="minorEastAsia" w:cstheme="minorEastAsia"/>
                <w:color w:val="auto"/>
                <w:szCs w:val="21"/>
                <w:highlight w:val="none"/>
              </w:rPr>
            </w:pPr>
          </w:p>
        </w:tc>
        <w:tc>
          <w:tcPr>
            <w:tcW w:w="1392" w:type="dxa"/>
            <w:tcBorders>
              <w:right w:val="single" w:color="auto" w:sz="4" w:space="0"/>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纳税人</w:t>
            </w:r>
          </w:p>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识别号</w:t>
            </w:r>
          </w:p>
        </w:tc>
        <w:tc>
          <w:tcPr>
            <w:tcW w:w="3544" w:type="dxa"/>
            <w:gridSpan w:val="3"/>
            <w:tcBorders>
              <w:left w:val="single" w:color="auto" w:sz="4" w:space="0"/>
              <w:right w:val="single" w:color="auto" w:sz="12" w:space="0"/>
            </w:tcBorders>
            <w:vAlign w:val="center"/>
          </w:tcPr>
          <w:p>
            <w:pPr>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19" w:type="dxa"/>
            <w:tcBorders>
              <w:left w:val="single" w:color="auto" w:sz="12" w:space="0"/>
              <w:right w:val="nil"/>
            </w:tcBorders>
            <w:vAlign w:val="center"/>
          </w:tcPr>
          <w:p>
            <w:pPr>
              <w:spacing w:line="48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开户行</w:t>
            </w:r>
          </w:p>
        </w:tc>
        <w:tc>
          <w:tcPr>
            <w:tcW w:w="3150" w:type="dxa"/>
            <w:gridSpan w:val="3"/>
            <w:tcBorders>
              <w:right w:val="nil"/>
            </w:tcBorders>
          </w:tcPr>
          <w:p>
            <w:pPr>
              <w:spacing w:line="480" w:lineRule="auto"/>
              <w:jc w:val="center"/>
              <w:rPr>
                <w:rFonts w:asciiTheme="minorEastAsia" w:hAnsiTheme="minorEastAsia" w:eastAsiaTheme="minorEastAsia" w:cstheme="minorEastAsia"/>
                <w:color w:val="auto"/>
                <w:szCs w:val="21"/>
                <w:highlight w:val="none"/>
              </w:rPr>
            </w:pPr>
          </w:p>
        </w:tc>
        <w:tc>
          <w:tcPr>
            <w:tcW w:w="1392" w:type="dxa"/>
            <w:tcBorders>
              <w:right w:val="single" w:color="auto" w:sz="4" w:space="0"/>
            </w:tcBorders>
            <w:vAlign w:val="center"/>
          </w:tcPr>
          <w:p>
            <w:pPr>
              <w:spacing w:line="48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开户行</w:t>
            </w:r>
          </w:p>
        </w:tc>
        <w:tc>
          <w:tcPr>
            <w:tcW w:w="3544" w:type="dxa"/>
            <w:gridSpan w:val="3"/>
            <w:tcBorders>
              <w:left w:val="single" w:color="auto" w:sz="4" w:space="0"/>
              <w:right w:val="single" w:color="auto" w:sz="12" w:space="0"/>
            </w:tcBorders>
            <w:vAlign w:val="center"/>
          </w:tcPr>
          <w:p>
            <w:pPr>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19" w:type="dxa"/>
            <w:tcBorders>
              <w:left w:val="single" w:color="auto" w:sz="12" w:space="0"/>
              <w:right w:val="nil"/>
            </w:tcBorders>
            <w:vAlign w:val="center"/>
          </w:tcPr>
          <w:p>
            <w:pPr>
              <w:spacing w:line="48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w:t>
            </w:r>
          </w:p>
        </w:tc>
        <w:tc>
          <w:tcPr>
            <w:tcW w:w="3150" w:type="dxa"/>
            <w:gridSpan w:val="3"/>
            <w:tcBorders>
              <w:right w:val="nil"/>
            </w:tcBorders>
          </w:tcPr>
          <w:p>
            <w:pPr>
              <w:spacing w:line="480" w:lineRule="auto"/>
              <w:jc w:val="center"/>
              <w:rPr>
                <w:rFonts w:asciiTheme="minorEastAsia" w:hAnsiTheme="minorEastAsia" w:eastAsiaTheme="minorEastAsia" w:cstheme="minorEastAsia"/>
                <w:color w:val="auto"/>
                <w:szCs w:val="21"/>
                <w:highlight w:val="none"/>
              </w:rPr>
            </w:pPr>
          </w:p>
        </w:tc>
        <w:tc>
          <w:tcPr>
            <w:tcW w:w="1392" w:type="dxa"/>
            <w:tcBorders>
              <w:right w:val="single" w:color="auto" w:sz="4" w:space="0"/>
            </w:tcBorders>
            <w:vAlign w:val="center"/>
          </w:tcPr>
          <w:p>
            <w:pPr>
              <w:spacing w:line="48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w:t>
            </w:r>
          </w:p>
        </w:tc>
        <w:tc>
          <w:tcPr>
            <w:tcW w:w="3544" w:type="dxa"/>
            <w:gridSpan w:val="3"/>
            <w:tcBorders>
              <w:left w:val="single" w:color="auto" w:sz="4" w:space="0"/>
              <w:right w:val="single" w:color="auto" w:sz="12" w:space="0"/>
            </w:tcBorders>
            <w:vAlign w:val="center"/>
          </w:tcPr>
          <w:p>
            <w:pPr>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19" w:type="dxa"/>
            <w:tcBorders>
              <w:left w:val="single" w:color="auto" w:sz="12" w:space="0"/>
              <w:right w:val="nil"/>
            </w:tcBorders>
            <w:vAlign w:val="center"/>
          </w:tcPr>
          <w:p>
            <w:pPr>
              <w:spacing w:line="48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p>
        </w:tc>
        <w:tc>
          <w:tcPr>
            <w:tcW w:w="3150" w:type="dxa"/>
            <w:gridSpan w:val="3"/>
            <w:tcBorders>
              <w:right w:val="nil"/>
            </w:tcBorders>
          </w:tcPr>
          <w:p>
            <w:pPr>
              <w:spacing w:line="480" w:lineRule="auto"/>
              <w:jc w:val="center"/>
              <w:rPr>
                <w:rFonts w:asciiTheme="minorEastAsia" w:hAnsiTheme="minorEastAsia" w:eastAsiaTheme="minorEastAsia" w:cstheme="minorEastAsia"/>
                <w:color w:val="auto"/>
                <w:szCs w:val="21"/>
                <w:highlight w:val="none"/>
              </w:rPr>
            </w:pPr>
          </w:p>
        </w:tc>
        <w:tc>
          <w:tcPr>
            <w:tcW w:w="1392" w:type="dxa"/>
            <w:tcBorders>
              <w:right w:val="single" w:color="auto" w:sz="4" w:space="0"/>
            </w:tcBorders>
            <w:vAlign w:val="center"/>
          </w:tcPr>
          <w:p>
            <w:pPr>
              <w:spacing w:line="48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p>
        </w:tc>
        <w:tc>
          <w:tcPr>
            <w:tcW w:w="3544" w:type="dxa"/>
            <w:gridSpan w:val="3"/>
            <w:tcBorders>
              <w:left w:val="single" w:color="auto" w:sz="4" w:space="0"/>
              <w:right w:val="single" w:color="auto" w:sz="12" w:space="0"/>
            </w:tcBorders>
            <w:vAlign w:val="center"/>
          </w:tcPr>
          <w:p>
            <w:pPr>
              <w:spacing w:line="480" w:lineRule="auto"/>
              <w:jc w:val="left"/>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19" w:type="dxa"/>
            <w:tcBorders>
              <w:left w:val="single" w:color="auto" w:sz="12" w:space="0"/>
            </w:tcBorders>
            <w:vAlign w:val="center"/>
          </w:tcPr>
          <w:p>
            <w:pPr>
              <w:spacing w:line="48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  话</w:t>
            </w:r>
          </w:p>
        </w:tc>
        <w:tc>
          <w:tcPr>
            <w:tcW w:w="1172" w:type="dxa"/>
            <w:tcBorders>
              <w:top w:val="nil"/>
            </w:tcBorders>
            <w:vAlign w:val="center"/>
          </w:tcPr>
          <w:p>
            <w:pPr>
              <w:spacing w:line="480" w:lineRule="auto"/>
              <w:rPr>
                <w:rFonts w:asciiTheme="minorEastAsia" w:hAnsiTheme="minorEastAsia" w:eastAsiaTheme="minorEastAsia" w:cstheme="minorEastAsia"/>
                <w:color w:val="auto"/>
                <w:szCs w:val="21"/>
                <w:highlight w:val="none"/>
              </w:rPr>
            </w:pPr>
          </w:p>
        </w:tc>
        <w:tc>
          <w:tcPr>
            <w:tcW w:w="693" w:type="dxa"/>
            <w:tcBorders>
              <w:top w:val="nil"/>
            </w:tcBorders>
            <w:vAlign w:val="center"/>
          </w:tcPr>
          <w:p>
            <w:pPr>
              <w:spacing w:line="48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tc>
        <w:tc>
          <w:tcPr>
            <w:tcW w:w="1285" w:type="dxa"/>
            <w:tcBorders>
              <w:top w:val="nil"/>
            </w:tcBorders>
            <w:vAlign w:val="center"/>
          </w:tcPr>
          <w:p>
            <w:pPr>
              <w:spacing w:line="480" w:lineRule="auto"/>
              <w:jc w:val="center"/>
              <w:rPr>
                <w:rFonts w:asciiTheme="minorEastAsia" w:hAnsiTheme="minorEastAsia" w:eastAsiaTheme="minorEastAsia" w:cstheme="minorEastAsia"/>
                <w:color w:val="auto"/>
                <w:szCs w:val="21"/>
                <w:highlight w:val="none"/>
              </w:rPr>
            </w:pPr>
          </w:p>
        </w:tc>
        <w:tc>
          <w:tcPr>
            <w:tcW w:w="1392" w:type="dxa"/>
            <w:vAlign w:val="center"/>
          </w:tcPr>
          <w:p>
            <w:pPr>
              <w:spacing w:line="48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 话</w:t>
            </w:r>
          </w:p>
        </w:tc>
        <w:tc>
          <w:tcPr>
            <w:tcW w:w="1366" w:type="dxa"/>
            <w:tcBorders>
              <w:top w:val="nil"/>
            </w:tcBorders>
            <w:vAlign w:val="center"/>
          </w:tcPr>
          <w:p>
            <w:pPr>
              <w:spacing w:line="480" w:lineRule="auto"/>
              <w:jc w:val="center"/>
              <w:rPr>
                <w:rFonts w:asciiTheme="minorEastAsia" w:hAnsiTheme="minorEastAsia" w:eastAsiaTheme="minorEastAsia" w:cstheme="minorEastAsia"/>
                <w:color w:val="auto"/>
                <w:szCs w:val="21"/>
                <w:highlight w:val="none"/>
              </w:rPr>
            </w:pPr>
          </w:p>
        </w:tc>
        <w:tc>
          <w:tcPr>
            <w:tcW w:w="618" w:type="dxa"/>
            <w:tcBorders>
              <w:top w:val="nil"/>
            </w:tcBorders>
            <w:vAlign w:val="center"/>
          </w:tcPr>
          <w:p>
            <w:pPr>
              <w:spacing w:line="48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tc>
        <w:tc>
          <w:tcPr>
            <w:tcW w:w="1560" w:type="dxa"/>
            <w:tcBorders>
              <w:top w:val="nil"/>
              <w:right w:val="single" w:color="auto" w:sz="12" w:space="0"/>
            </w:tcBorders>
            <w:vAlign w:val="center"/>
          </w:tcPr>
          <w:p>
            <w:pPr>
              <w:spacing w:line="480" w:lineRule="auto"/>
              <w:jc w:val="center"/>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19" w:type="dxa"/>
            <w:tcBorders>
              <w:left w:val="single" w:color="auto" w:sz="12" w:space="0"/>
              <w:right w:val="single" w:color="auto" w:sz="4" w:space="0"/>
            </w:tcBorders>
            <w:vAlign w:val="center"/>
          </w:tcPr>
          <w:p>
            <w:pPr>
              <w:spacing w:line="48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签约日期</w:t>
            </w:r>
          </w:p>
        </w:tc>
        <w:tc>
          <w:tcPr>
            <w:tcW w:w="3150" w:type="dxa"/>
            <w:gridSpan w:val="3"/>
            <w:tcBorders>
              <w:left w:val="single" w:color="auto" w:sz="4" w:space="0"/>
              <w:right w:val="nil"/>
            </w:tcBorders>
          </w:tcPr>
          <w:p>
            <w:pPr>
              <w:spacing w:line="48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  年   月   日</w:t>
            </w:r>
          </w:p>
        </w:tc>
        <w:tc>
          <w:tcPr>
            <w:tcW w:w="1392" w:type="dxa"/>
            <w:tcBorders>
              <w:right w:val="single" w:color="auto" w:sz="4" w:space="0"/>
            </w:tcBorders>
            <w:vAlign w:val="center"/>
          </w:tcPr>
          <w:p>
            <w:pPr>
              <w:spacing w:line="48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签约日期</w:t>
            </w:r>
          </w:p>
        </w:tc>
        <w:tc>
          <w:tcPr>
            <w:tcW w:w="3544" w:type="dxa"/>
            <w:gridSpan w:val="3"/>
            <w:tcBorders>
              <w:left w:val="single" w:color="auto" w:sz="4" w:space="0"/>
              <w:right w:val="single" w:color="auto" w:sz="12" w:space="0"/>
            </w:tcBorders>
          </w:tcPr>
          <w:p>
            <w:pPr>
              <w:spacing w:line="48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19" w:type="dxa"/>
            <w:tcBorders>
              <w:left w:val="single" w:color="auto" w:sz="12" w:space="0"/>
              <w:bottom w:val="single" w:color="auto" w:sz="12" w:space="0"/>
              <w:right w:val="single" w:color="auto" w:sz="4" w:space="0"/>
            </w:tcBorders>
            <w:vAlign w:val="center"/>
          </w:tcPr>
          <w:p>
            <w:pPr>
              <w:spacing w:line="480" w:lineRule="auto"/>
              <w:jc w:val="center"/>
              <w:rPr>
                <w:rFonts w:asciiTheme="minorEastAsia" w:hAnsiTheme="minorEastAsia" w:eastAsiaTheme="minorEastAsia" w:cstheme="minorEastAsia"/>
                <w:color w:val="auto"/>
                <w:szCs w:val="21"/>
                <w:highlight w:val="none"/>
              </w:rPr>
            </w:pPr>
          </w:p>
        </w:tc>
        <w:tc>
          <w:tcPr>
            <w:tcW w:w="3150" w:type="dxa"/>
            <w:gridSpan w:val="3"/>
            <w:tcBorders>
              <w:left w:val="single" w:color="auto" w:sz="4" w:space="0"/>
              <w:bottom w:val="single" w:color="auto" w:sz="12" w:space="0"/>
              <w:right w:val="nil"/>
            </w:tcBorders>
          </w:tcPr>
          <w:p>
            <w:pPr>
              <w:spacing w:line="480" w:lineRule="auto"/>
              <w:jc w:val="center"/>
              <w:rPr>
                <w:rFonts w:asciiTheme="minorEastAsia" w:hAnsiTheme="minorEastAsia" w:eastAsiaTheme="minorEastAsia" w:cstheme="minorEastAsia"/>
                <w:color w:val="auto"/>
                <w:szCs w:val="21"/>
                <w:highlight w:val="none"/>
              </w:rPr>
            </w:pPr>
          </w:p>
        </w:tc>
        <w:tc>
          <w:tcPr>
            <w:tcW w:w="1392" w:type="dxa"/>
            <w:tcBorders>
              <w:bottom w:val="single" w:color="auto" w:sz="12" w:space="0"/>
              <w:right w:val="single" w:color="auto" w:sz="4" w:space="0"/>
            </w:tcBorders>
            <w:vAlign w:val="center"/>
          </w:tcPr>
          <w:p>
            <w:pPr>
              <w:spacing w:line="480" w:lineRule="auto"/>
              <w:jc w:val="center"/>
              <w:rPr>
                <w:rFonts w:asciiTheme="minorEastAsia" w:hAnsiTheme="minorEastAsia" w:eastAsiaTheme="minorEastAsia" w:cstheme="minorEastAsia"/>
                <w:color w:val="auto"/>
                <w:szCs w:val="21"/>
                <w:highlight w:val="none"/>
              </w:rPr>
            </w:pPr>
          </w:p>
        </w:tc>
        <w:tc>
          <w:tcPr>
            <w:tcW w:w="3544" w:type="dxa"/>
            <w:gridSpan w:val="3"/>
            <w:tcBorders>
              <w:left w:val="single" w:color="auto" w:sz="4" w:space="0"/>
              <w:bottom w:val="single" w:color="auto" w:sz="12" w:space="0"/>
              <w:right w:val="single" w:color="auto" w:sz="12" w:space="0"/>
            </w:tcBorders>
          </w:tcPr>
          <w:p>
            <w:pPr>
              <w:spacing w:line="480" w:lineRule="auto"/>
              <w:jc w:val="center"/>
              <w:rPr>
                <w:rFonts w:asciiTheme="minorEastAsia" w:hAnsiTheme="minorEastAsia" w:eastAsiaTheme="minorEastAsia" w:cstheme="minorEastAsia"/>
                <w:color w:val="auto"/>
                <w:szCs w:val="21"/>
                <w:highlight w:val="none"/>
              </w:rPr>
            </w:pPr>
          </w:p>
        </w:tc>
      </w:tr>
    </w:tbl>
    <w:p>
      <w:pPr>
        <w:spacing w:line="360" w:lineRule="auto"/>
        <w:rPr>
          <w:rFonts w:asciiTheme="minorEastAsia" w:hAnsiTheme="minorEastAsia" w:eastAsiaTheme="minorEastAsia" w:cstheme="minorEastAsia"/>
          <w:b/>
          <w:color w:val="auto"/>
          <w:szCs w:val="21"/>
          <w:highlight w:val="none"/>
        </w:rPr>
      </w:pPr>
    </w:p>
    <w:p>
      <w:pPr>
        <w:spacing w:line="360" w:lineRule="auto"/>
        <w:ind w:firstLine="420" w:firstLineChars="200"/>
        <w:jc w:val="left"/>
        <w:rPr>
          <w:rFonts w:asciiTheme="minorEastAsia" w:hAnsiTheme="minorEastAsia" w:eastAsiaTheme="minorEastAsia" w:cstheme="minorEastAsia"/>
          <w:color w:val="auto"/>
          <w:szCs w:val="21"/>
          <w:highlight w:val="none"/>
        </w:rPr>
      </w:pPr>
    </w:p>
    <w:p>
      <w:pPr>
        <w:spacing w:line="360" w:lineRule="auto"/>
        <w:ind w:firstLine="420" w:firstLineChars="200"/>
        <w:jc w:val="left"/>
        <w:rPr>
          <w:rFonts w:asciiTheme="minorEastAsia" w:hAnsiTheme="minorEastAsia" w:eastAsiaTheme="minorEastAsia" w:cstheme="minorEastAsia"/>
          <w:color w:val="auto"/>
          <w:szCs w:val="21"/>
          <w:highlight w:val="none"/>
        </w:rPr>
      </w:pPr>
    </w:p>
    <w:bookmarkEnd w:id="282"/>
    <w:bookmarkEnd w:id="283"/>
    <w:p>
      <w:pPr>
        <w:rPr>
          <w:rFonts w:ascii="宋体" w:hAnsi="宋体" w:cs="宋体"/>
          <w:color w:val="auto"/>
          <w:kern w:val="0"/>
          <w:szCs w:val="21"/>
          <w:highlight w:val="none"/>
        </w:rPr>
      </w:pPr>
    </w:p>
    <w:p>
      <w:pPr>
        <w:pStyle w:val="88"/>
        <w:ind w:firstLine="301"/>
        <w:rPr>
          <w:color w:val="auto"/>
          <w:highlight w:val="none"/>
        </w:rPr>
      </w:pPr>
    </w:p>
    <w:p>
      <w:pPr>
        <w:spacing w:line="360" w:lineRule="auto"/>
        <w:rPr>
          <w:rFonts w:ascii="宋体" w:hAnsi="宋体" w:cs="宋体"/>
          <w:color w:val="auto"/>
          <w:kern w:val="0"/>
          <w:szCs w:val="21"/>
          <w:highlight w:val="none"/>
        </w:rPr>
      </w:pPr>
    </w:p>
    <w:p>
      <w:pPr>
        <w:pStyle w:val="47"/>
        <w:rPr>
          <w:rFonts w:hAnsi="宋体"/>
          <w:color w:val="auto"/>
          <w:szCs w:val="21"/>
          <w:highlight w:val="none"/>
        </w:rPr>
      </w:pPr>
    </w:p>
    <w:p>
      <w:pPr>
        <w:pStyle w:val="47"/>
        <w:rPr>
          <w:rFonts w:hAnsi="宋体"/>
          <w:color w:val="auto"/>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2"/>
        <w:rPr>
          <w:color w:val="auto"/>
          <w:kern w:val="0"/>
          <w:szCs w:val="21"/>
          <w:highlight w:val="none"/>
        </w:rPr>
      </w:pPr>
    </w:p>
    <w:p>
      <w:pPr>
        <w:pStyle w:val="2"/>
        <w:rPr>
          <w:color w:val="auto"/>
          <w:kern w:val="0"/>
          <w:szCs w:val="21"/>
          <w:highlight w:val="none"/>
        </w:rPr>
      </w:pPr>
    </w:p>
    <w:p>
      <w:pPr>
        <w:pStyle w:val="2"/>
        <w:rPr>
          <w:color w:val="auto"/>
          <w:kern w:val="0"/>
          <w:szCs w:val="21"/>
          <w:highlight w:val="none"/>
        </w:rPr>
      </w:pPr>
    </w:p>
    <w:p>
      <w:pPr>
        <w:pStyle w:val="2"/>
        <w:rPr>
          <w:color w:val="auto"/>
          <w:kern w:val="0"/>
          <w:szCs w:val="21"/>
          <w:highlight w:val="none"/>
        </w:rPr>
      </w:pPr>
    </w:p>
    <w:p>
      <w:pPr>
        <w:spacing w:line="360" w:lineRule="auto"/>
        <w:rPr>
          <w:rFonts w:ascii="宋体" w:hAnsi="宋体"/>
          <w:color w:val="auto"/>
          <w:szCs w:val="21"/>
          <w:highlight w:val="none"/>
        </w:rPr>
      </w:pPr>
      <w:bookmarkStart w:id="286" w:name="OLE_LINK4"/>
    </w:p>
    <w:p>
      <w:pPr>
        <w:pStyle w:val="4"/>
        <w:autoSpaceDE w:val="0"/>
        <w:rPr>
          <w:b w:val="0"/>
          <w:bCs w:val="0"/>
          <w:color w:val="auto"/>
          <w:sz w:val="44"/>
          <w:highlight w:val="none"/>
        </w:rPr>
      </w:pPr>
      <w:bookmarkStart w:id="287" w:name="_Toc475104528"/>
      <w:r>
        <w:rPr>
          <w:rFonts w:hint="eastAsia"/>
          <w:color w:val="auto"/>
          <w:sz w:val="44"/>
          <w:highlight w:val="none"/>
        </w:rPr>
        <w:t>第五章 评分体系与标准</w:t>
      </w:r>
      <w:bookmarkEnd w:id="287"/>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9"/>
        </w:numPr>
        <w:autoSpaceDE w:val="0"/>
        <w:autoSpaceDN w:val="0"/>
        <w:adjustRightInd w:val="0"/>
        <w:snapToGrid w:val="0"/>
        <w:spacing w:line="360" w:lineRule="auto"/>
        <w:outlineLvl w:val="0"/>
        <w:rPr>
          <w:rFonts w:ascii="宋体" w:hAnsi="宋体"/>
          <w:bCs/>
          <w:color w:val="auto"/>
          <w:szCs w:val="21"/>
          <w:highlight w:val="none"/>
        </w:rPr>
      </w:pPr>
      <w:bookmarkStart w:id="288" w:name="_Toc475104529"/>
      <w:bookmarkStart w:id="289" w:name="_Toc101843128"/>
      <w:bookmarkStart w:id="290" w:name="_Toc98579606"/>
      <w:bookmarkStart w:id="291" w:name="_Toc101771375"/>
      <w:bookmarkStart w:id="292" w:name="_Toc42394513"/>
      <w:bookmarkStart w:id="293" w:name="_Toc264203535"/>
      <w:bookmarkStart w:id="294" w:name="_Toc101775128"/>
      <w:bookmarkStart w:id="295" w:name="_Toc101951266"/>
      <w:bookmarkStart w:id="296" w:name="_Toc98579007"/>
      <w:bookmarkStart w:id="297" w:name="_Toc42394669"/>
      <w:bookmarkStart w:id="298" w:name="_Toc50276153"/>
      <w:bookmarkStart w:id="299" w:name="_Toc98579065"/>
      <w:bookmarkStart w:id="300" w:name="_Toc98580289"/>
      <w:bookmarkStart w:id="301" w:name="_Toc42313167"/>
      <w:bookmarkStart w:id="302" w:name="_Toc41884701"/>
      <w:bookmarkStart w:id="303" w:name="_Toc41723931"/>
      <w:bookmarkStart w:id="304" w:name="_Toc169334816"/>
      <w:bookmarkStart w:id="305" w:name="_Toc124570687"/>
      <w:bookmarkStart w:id="306" w:name="_Toc67911942"/>
      <w:bookmarkStart w:id="307" w:name="_Toc124646434"/>
      <w:bookmarkStart w:id="308" w:name="_Toc101553556"/>
      <w:bookmarkStart w:id="309" w:name="_Toc66722112"/>
      <w:bookmarkStart w:id="310" w:name="_Toc28489533"/>
      <w:bookmarkStart w:id="311" w:name="_Toc102211724"/>
      <w:bookmarkStart w:id="312" w:name="_Toc125770208"/>
      <w:bookmarkStart w:id="313" w:name="_Toc35834934"/>
      <w:bookmarkStart w:id="314" w:name="_Toc138568672"/>
      <w:bookmarkStart w:id="315" w:name="_Toc148420070"/>
      <w:bookmarkStart w:id="316" w:name="_Toc34535380"/>
      <w:bookmarkStart w:id="317" w:name="_Toc28142601"/>
      <w:bookmarkStart w:id="318" w:name="_Toc108243616"/>
      <w:bookmarkStart w:id="319" w:name="_Toc104874465"/>
      <w:bookmarkStart w:id="320" w:name="_Toc148060906"/>
      <w:bookmarkStart w:id="321" w:name="_Toc104902929"/>
      <w:bookmarkStart w:id="322" w:name="_Toc131922503"/>
      <w:bookmarkStart w:id="323" w:name="_Toc95249607"/>
      <w:bookmarkStart w:id="324" w:name="_Toc150050902"/>
      <w:bookmarkStart w:id="325" w:name="_Toc108001800"/>
      <w:bookmarkStart w:id="326" w:name="_Toc113277292"/>
      <w:bookmarkStart w:id="327" w:name="_Toc68620012"/>
      <w:bookmarkStart w:id="328" w:name="_Toc101553661"/>
      <w:bookmarkStart w:id="329" w:name="_Toc95304223"/>
      <w:bookmarkStart w:id="330" w:name="_Toc131904930"/>
      <w:bookmarkStart w:id="331" w:name="_Toc138506092"/>
      <w:bookmarkStart w:id="332" w:name="_Toc124401382"/>
      <w:r>
        <w:rPr>
          <w:rFonts w:hint="eastAsia" w:ascii="宋体" w:hAnsi="宋体"/>
          <w:bCs/>
          <w:color w:val="auto"/>
          <w:szCs w:val="21"/>
          <w:highlight w:val="none"/>
        </w:rPr>
        <w:t>本评审办法采用综合评分法。</w:t>
      </w:r>
      <w:bookmarkEnd w:id="288"/>
    </w:p>
    <w:p>
      <w:pPr>
        <w:numPr>
          <w:ilvl w:val="0"/>
          <w:numId w:val="9"/>
        </w:numPr>
        <w:autoSpaceDE w:val="0"/>
        <w:autoSpaceDN w:val="0"/>
        <w:adjustRightInd w:val="0"/>
        <w:snapToGrid w:val="0"/>
        <w:spacing w:line="360" w:lineRule="auto"/>
        <w:outlineLvl w:val="0"/>
        <w:rPr>
          <w:rFonts w:ascii="宋体" w:cs="宋体"/>
          <w:color w:val="auto"/>
          <w:highlight w:val="none"/>
        </w:rPr>
      </w:pPr>
      <w:bookmarkStart w:id="333" w:name="_Toc475104530"/>
      <w:bookmarkStart w:id="334"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highlight w:val="none"/>
        </w:rPr>
        <w:t>；</w:t>
      </w:r>
    </w:p>
    <w:p>
      <w:pPr>
        <w:numPr>
          <w:ilvl w:val="0"/>
          <w:numId w:val="9"/>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通过资格性和符合性检查的有效供应商方有资格提交最后报价及进行技术、商务及价格的详细评审，最后磋商小组出具竞争性磋商报告。</w:t>
      </w:r>
      <w:bookmarkEnd w:id="333"/>
    </w:p>
    <w:bookmarkEnd w:id="289"/>
    <w:bookmarkEnd w:id="290"/>
    <w:bookmarkEnd w:id="291"/>
    <w:bookmarkEnd w:id="292"/>
    <w:bookmarkEnd w:id="293"/>
    <w:bookmarkEnd w:id="294"/>
    <w:bookmarkEnd w:id="295"/>
    <w:bookmarkEnd w:id="296"/>
    <w:bookmarkEnd w:id="297"/>
    <w:bookmarkEnd w:id="298"/>
    <w:bookmarkEnd w:id="299"/>
    <w:bookmarkEnd w:id="300"/>
    <w:bookmarkEnd w:id="334"/>
    <w:p>
      <w:pPr>
        <w:numPr>
          <w:ilvl w:val="0"/>
          <w:numId w:val="9"/>
        </w:numPr>
        <w:autoSpaceDE w:val="0"/>
        <w:autoSpaceDN w:val="0"/>
        <w:adjustRightInd w:val="0"/>
        <w:snapToGrid w:val="0"/>
        <w:spacing w:line="360" w:lineRule="auto"/>
        <w:outlineLvl w:val="0"/>
        <w:rPr>
          <w:rFonts w:ascii="宋体" w:hAnsi="宋体"/>
          <w:bCs/>
          <w:color w:val="auto"/>
          <w:szCs w:val="21"/>
          <w:highlight w:val="none"/>
        </w:rPr>
      </w:pPr>
      <w:bookmarkStart w:id="335"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供应商</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9"/>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35"/>
    </w:p>
    <w:tbl>
      <w:tblPr>
        <w:tblStyle w:val="90"/>
        <w:tblpPr w:leftFromText="180" w:rightFromText="180" w:vertAnchor="text" w:tblpXSpec="center" w:tblpY="2"/>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40" w:type="dxa"/>
            <w:vAlign w:val="center"/>
          </w:tcPr>
          <w:p>
            <w:pPr>
              <w:spacing w:line="360" w:lineRule="auto"/>
              <w:jc w:val="center"/>
              <w:rPr>
                <w:rFonts w:ascii="宋体" w:hAnsi="宋体" w:cs="宋体"/>
                <w:color w:val="auto"/>
                <w:highlight w:val="none"/>
              </w:rPr>
            </w:pPr>
            <w:bookmarkStart w:id="336" w:name="_Toc475104533"/>
            <w:bookmarkStart w:id="337" w:name="_Toc333236678"/>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40%</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20%</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40%</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9"/>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36"/>
    <w:bookmarkEnd w:id="337"/>
    <w:p>
      <w:pPr>
        <w:numPr>
          <w:ilvl w:val="0"/>
          <w:numId w:val="9"/>
        </w:numPr>
        <w:autoSpaceDE w:val="0"/>
        <w:autoSpaceDN w:val="0"/>
        <w:adjustRightInd w:val="0"/>
        <w:snapToGrid w:val="0"/>
        <w:spacing w:line="360" w:lineRule="auto"/>
        <w:outlineLvl w:val="0"/>
        <w:rPr>
          <w:rFonts w:ascii="宋体" w:hAnsi="宋体"/>
          <w:color w:val="auto"/>
          <w:szCs w:val="21"/>
          <w:highlight w:val="none"/>
        </w:rPr>
      </w:pPr>
      <w:bookmarkStart w:id="338" w:name="_Toc475104534"/>
      <w:bookmarkStart w:id="339" w:name="_Toc333236680"/>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9"/>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9"/>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磋商小组各成员应当独立对每个有效响应的文件进行评价、打分，然后汇总每个供应商每项评分因素的得分。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01"/>
    <w:bookmarkEnd w:id="302"/>
    <w:bookmarkEnd w:id="303"/>
    <w:bookmarkEnd w:id="338"/>
    <w:bookmarkEnd w:id="339"/>
    <w:p>
      <w:pPr>
        <w:numPr>
          <w:ilvl w:val="0"/>
          <w:numId w:val="9"/>
        </w:numPr>
        <w:autoSpaceDE w:val="0"/>
        <w:autoSpaceDN w:val="0"/>
        <w:adjustRightInd w:val="0"/>
        <w:snapToGrid w:val="0"/>
        <w:spacing w:line="360" w:lineRule="auto"/>
        <w:outlineLvl w:val="0"/>
        <w:rPr>
          <w:rFonts w:ascii="宋体" w:hAnsi="宋体"/>
          <w:color w:val="auto"/>
          <w:szCs w:val="21"/>
          <w:highlight w:val="none"/>
        </w:rPr>
      </w:pPr>
      <w:bookmarkStart w:id="340" w:name="_Toc475104535"/>
      <w:bookmarkStart w:id="341" w:name="_Toc333236685"/>
      <w:r>
        <w:rPr>
          <w:rFonts w:hint="eastAsia" w:ascii="宋体" w:hAnsi="宋体"/>
          <w:color w:val="auto"/>
          <w:szCs w:val="21"/>
          <w:highlight w:val="none"/>
        </w:rPr>
        <w:t>价格评定</w:t>
      </w:r>
    </w:p>
    <w:p>
      <w:pPr>
        <w:numPr>
          <w:ilvl w:val="1"/>
          <w:numId w:val="9"/>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供应商</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9"/>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2"/>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，以供应商第二次报价作为基准，计算价格扣减作为供应商的价格评分，评标价只作为分值的计算，最终成交价格按照供应商第二次响应报价为准。</w:t>
      </w:r>
    </w:p>
    <w:p>
      <w:pPr>
        <w:pStyle w:val="162"/>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2"/>
        <w:widowControl/>
        <w:numPr>
          <w:ilvl w:val="2"/>
          <w:numId w:val="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（1）根据财政部、工业和信息化部印发的《政府采购促进中小企业发展暂行办法》（财库[2011]181号）</w:t>
      </w:r>
      <w:r>
        <w:rPr>
          <w:rFonts w:hint="eastAsia" w:ascii="宋体" w:hAnsi="宋体"/>
          <w:bCs/>
          <w:color w:val="auto"/>
          <w:szCs w:val="21"/>
          <w:highlight w:val="none"/>
        </w:rPr>
        <w:t>和《广州市人民政府办公厅关于印发应对疫情影响进一步支持中小微企业健康发展若干措施的通知》（穗府办规〔2020〕9号）</w:t>
      </w:r>
      <w:r>
        <w:rPr>
          <w:rFonts w:hint="eastAsia" w:ascii="宋体" w:hAnsi="宋体" w:cs="宋体"/>
          <w:bCs/>
          <w:color w:val="auto"/>
          <w:szCs w:val="21"/>
          <w:highlight w:val="none"/>
        </w:rPr>
        <w:t>的规定，对小型和微型企业产品的价格给予8%的扣除，用扣除后的价格参与评审；投标产品中仅有部分小型和微型企业产品的，则按所投小型和微型企业产品的价格予以扣除。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如投标人为非制造商，其代理产品的制造商也应同时提交《中小企业声明函》，否则评审时不能享受相应的价格扣除。</w:t>
      </w:r>
    </w:p>
    <w:p>
      <w:pPr>
        <w:pStyle w:val="162"/>
        <w:widowControl/>
        <w:numPr>
          <w:ilvl w:val="2"/>
          <w:numId w:val="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2"/>
        <w:widowControl/>
        <w:numPr>
          <w:ilvl w:val="2"/>
          <w:numId w:val="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2"/>
        <w:widowControl/>
        <w:numPr>
          <w:ilvl w:val="2"/>
          <w:numId w:val="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2"/>
        <w:widowControl/>
        <w:numPr>
          <w:ilvl w:val="2"/>
          <w:numId w:val="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投标人同时为小型、微型企业、监狱企业、残疾人福利性单位任两种或以上情况的，评审中只享受一次价格扣除，不重复进行价格扣除。</w:t>
      </w:r>
    </w:p>
    <w:p>
      <w:pPr>
        <w:pStyle w:val="162"/>
        <w:widowControl/>
        <w:numPr>
          <w:ilvl w:val="2"/>
          <w:numId w:val="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TW"/>
        </w:rPr>
        <w:t>投标人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9"/>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2"/>
        <w:widowControl/>
        <w:numPr>
          <w:ilvl w:val="2"/>
          <w:numId w:val="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2"/>
        <w:widowControl/>
        <w:numPr>
          <w:ilvl w:val="2"/>
          <w:numId w:val="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2"/>
        <w:widowControl/>
        <w:numPr>
          <w:ilvl w:val="2"/>
          <w:numId w:val="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2"/>
        <w:widowControl/>
        <w:numPr>
          <w:ilvl w:val="2"/>
          <w:numId w:val="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9"/>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9"/>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9"/>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40"/>
      <w:bookmarkEnd w:id="341"/>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42" w:name="_Toc475104536"/>
      <w:r>
        <w:rPr>
          <w:rFonts w:hint="eastAsia"/>
          <w:color w:val="auto"/>
          <w:sz w:val="24"/>
          <w:highlight w:val="none"/>
        </w:rPr>
        <w:t>资格性审查及符合性检查表</w:t>
      </w:r>
      <w:bookmarkEnd w:id="342"/>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90"/>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供应商</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供应商</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附件2   技术部分评分表</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项目名称：                                          项目编号：</w:t>
      </w:r>
    </w:p>
    <w:tbl>
      <w:tblPr>
        <w:tblStyle w:val="90"/>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1752"/>
        <w:gridCol w:w="6845"/>
        <w:gridCol w:w="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733"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序号</w:t>
            </w:r>
          </w:p>
        </w:tc>
        <w:tc>
          <w:tcPr>
            <w:tcW w:w="1752"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评分项目</w:t>
            </w:r>
          </w:p>
        </w:tc>
        <w:tc>
          <w:tcPr>
            <w:tcW w:w="6845"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评分标准</w:t>
            </w:r>
          </w:p>
        </w:tc>
        <w:tc>
          <w:tcPr>
            <w:tcW w:w="890" w:type="dxa"/>
            <w:tcBorders>
              <w:top w:val="single" w:color="auto" w:sz="4" w:space="0"/>
            </w:tcBorders>
            <w:shd w:val="clear" w:color="auto" w:fill="FFFFFF"/>
            <w:vAlign w:val="center"/>
          </w:tcPr>
          <w:p>
            <w:pPr>
              <w:snapToGrid w:val="0"/>
              <w:spacing w:line="360" w:lineRule="auto"/>
              <w:jc w:val="center"/>
              <w:rPr>
                <w:rFonts w:ascii="宋体" w:hAnsi="宋体" w:cs="宋体"/>
                <w:bCs/>
                <w:color w:val="auto"/>
                <w:szCs w:val="21"/>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752"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对竞争性磋商文件的响应程度</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1.总体方案合理，对本项目需求情况熟悉且有针对性得6分；</w:t>
            </w:r>
          </w:p>
          <w:p>
            <w:pPr>
              <w:snapToGrid w:val="0"/>
              <w:rPr>
                <w:rFonts w:ascii="宋体" w:hAnsi="宋体" w:cs="宋体"/>
                <w:color w:val="auto"/>
                <w:highlight w:val="none"/>
              </w:rPr>
            </w:pPr>
            <w:r>
              <w:rPr>
                <w:rFonts w:hint="eastAsia" w:ascii="宋体" w:hAnsi="宋体" w:cs="宋体"/>
                <w:color w:val="auto"/>
                <w:highlight w:val="none"/>
              </w:rPr>
              <w:t>2.总体方案较合理，基本了解本项目需求情况，得3分；</w:t>
            </w:r>
          </w:p>
          <w:p>
            <w:pPr>
              <w:snapToGrid w:val="0"/>
              <w:rPr>
                <w:rFonts w:ascii="宋体" w:hAnsi="宋体" w:cs="宋体"/>
                <w:color w:val="auto"/>
                <w:highlight w:val="none"/>
              </w:rPr>
            </w:pPr>
            <w:r>
              <w:rPr>
                <w:rFonts w:hint="eastAsia" w:ascii="宋体" w:hAnsi="宋体" w:cs="宋体"/>
                <w:color w:val="auto"/>
                <w:highlight w:val="none"/>
              </w:rPr>
              <w:t>3.总体方案不合理，不了解本项目需求情况，得1分。</w:t>
            </w:r>
          </w:p>
        </w:tc>
        <w:tc>
          <w:tcPr>
            <w:tcW w:w="890" w:type="dxa"/>
            <w:tcBorders>
              <w:top w:val="single" w:color="auto" w:sz="4" w:space="0"/>
              <w:bottom w:val="single" w:color="auto" w:sz="4" w:space="0"/>
            </w:tcBorders>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33"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2</w:t>
            </w:r>
          </w:p>
        </w:tc>
        <w:tc>
          <w:tcPr>
            <w:tcW w:w="1752"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项目实施能力</w:t>
            </w: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1.对项目的重点、难点分析准确，采取的措施合理、可靠，得</w:t>
            </w:r>
            <w:r>
              <w:rPr>
                <w:rFonts w:hint="eastAsia" w:ascii="宋体" w:hAnsi="宋体" w:cs="宋体"/>
                <w:color w:val="auto"/>
                <w:highlight w:val="none"/>
                <w:lang w:val="en-US" w:eastAsia="zh-CN"/>
              </w:rPr>
              <w:t>8</w:t>
            </w:r>
            <w:r>
              <w:rPr>
                <w:rFonts w:hint="eastAsia"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2.对项目的重点、难点分析基本准确，采取的措施基本合理、可靠，得4分；</w:t>
            </w:r>
          </w:p>
          <w:p>
            <w:pPr>
              <w:snapToGrid w:val="0"/>
              <w:rPr>
                <w:rFonts w:ascii="宋体" w:hAnsi="宋体" w:cs="宋体"/>
                <w:color w:val="auto"/>
                <w:highlight w:val="none"/>
              </w:rPr>
            </w:pPr>
            <w:r>
              <w:rPr>
                <w:rFonts w:hint="eastAsia" w:ascii="宋体" w:hAnsi="宋体" w:cs="宋体"/>
                <w:color w:val="auto"/>
                <w:highlight w:val="none"/>
              </w:rPr>
              <w:t>3.对项目的重点、难点分析一般，采取的措施不合理，得1分。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1" w:hRule="atLeast"/>
          <w:jc w:val="center"/>
        </w:trPr>
        <w:tc>
          <w:tcPr>
            <w:tcW w:w="733" w:type="dxa"/>
            <w:vMerge w:val="restart"/>
            <w:tcBorders>
              <w:top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w:t>
            </w:r>
          </w:p>
        </w:tc>
        <w:tc>
          <w:tcPr>
            <w:tcW w:w="1752"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项目实施计划</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方案思路清晰，人员结构合理，工作内容切实可行，对工程质量安全监督要点有深入的表述，对重点难点有先进、合理的解决方案，质量服务保证措施具体可行，可操作性强，能提出利于工作有效进行的建议，得8分；</w:t>
            </w:r>
          </w:p>
          <w:p>
            <w:pPr>
              <w:snapToGrid w:val="0"/>
              <w:rPr>
                <w:rFonts w:ascii="宋体" w:hAnsi="宋体" w:cs="宋体"/>
                <w:color w:val="auto"/>
                <w:highlight w:val="none"/>
              </w:rPr>
            </w:pPr>
            <w:r>
              <w:rPr>
                <w:rFonts w:hint="eastAsia" w:ascii="宋体" w:hAnsi="宋体" w:cs="宋体"/>
                <w:color w:val="auto"/>
                <w:highlight w:val="none"/>
              </w:rPr>
              <w:t>2.方案思路较清晰，人员结构较合理，工作内容可行性尚可，对工程质量安全监督要点有表述，对重点难点有解决方案，各项质量服务保证措施和可操作性一般，提出的建议可操作性不强，得4分；</w:t>
            </w:r>
          </w:p>
          <w:p>
            <w:pPr>
              <w:snapToGrid w:val="0"/>
              <w:rPr>
                <w:rFonts w:ascii="宋体" w:hAnsi="宋体" w:cs="宋体"/>
                <w:color w:val="auto"/>
                <w:highlight w:val="none"/>
              </w:rPr>
            </w:pPr>
            <w:r>
              <w:rPr>
                <w:rFonts w:hint="eastAsia" w:ascii="宋体" w:hAnsi="宋体" w:cs="宋体"/>
                <w:color w:val="auto"/>
                <w:highlight w:val="none"/>
              </w:rPr>
              <w:t>3.方案思路混乱、不合理，人员结构不合理，工作内容可行性较差，对工程质量安全监督要点无详细表述，对重点难点无解决方案，各项质量服务保证措施不具体可行，可操作性不强，不能提出有效建议，得1分。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15" w:hRule="atLeast"/>
          <w:jc w:val="center"/>
        </w:trPr>
        <w:tc>
          <w:tcPr>
            <w:tcW w:w="733" w:type="dxa"/>
            <w:vMerge w:val="continue"/>
            <w:tcBorders>
              <w:bottom w:val="single" w:color="auto" w:sz="4" w:space="0"/>
            </w:tcBorders>
            <w:vAlign w:val="center"/>
          </w:tcPr>
          <w:p>
            <w:pPr>
              <w:snapToGrid w:val="0"/>
              <w:jc w:val="center"/>
              <w:rPr>
                <w:rFonts w:hint="eastAsia" w:ascii="宋体" w:hAnsi="宋体" w:cs="宋体"/>
                <w:color w:val="auto"/>
                <w:highlight w:val="none"/>
              </w:rPr>
            </w:pPr>
          </w:p>
        </w:tc>
        <w:tc>
          <w:tcPr>
            <w:tcW w:w="1752" w:type="dxa"/>
            <w:vMerge w:val="continue"/>
            <w:tcBorders>
              <w:bottom w:val="single" w:color="auto" w:sz="4" w:space="0"/>
            </w:tcBorders>
            <w:vAlign w:val="center"/>
          </w:tcPr>
          <w:p>
            <w:pPr>
              <w:snapToGrid w:val="0"/>
              <w:rPr>
                <w:rFonts w:hint="eastAsia" w:ascii="宋体" w:hAnsi="宋体" w:cs="宋体"/>
                <w:color w:val="auto"/>
                <w:highlight w:val="none"/>
              </w:rPr>
            </w:pPr>
          </w:p>
        </w:tc>
        <w:tc>
          <w:tcPr>
            <w:tcW w:w="6845" w:type="dxa"/>
            <w:tcBorders>
              <w:top w:val="single" w:color="auto" w:sz="4" w:space="0"/>
              <w:bottom w:val="single" w:color="auto" w:sz="4" w:space="0"/>
            </w:tcBorders>
            <w:vAlign w:val="center"/>
          </w:tcPr>
          <w:p>
            <w:pPr>
              <w:snapToGrid w:val="0"/>
              <w:rPr>
                <w:rFonts w:hint="default"/>
                <w:color w:val="auto"/>
                <w:highlight w:val="none"/>
                <w:lang w:val="en-US"/>
              </w:rPr>
            </w:pPr>
            <w:r>
              <w:rPr>
                <w:rFonts w:hint="eastAsia"/>
                <w:color w:val="auto"/>
                <w:highlight w:val="none"/>
              </w:rPr>
              <w:t>按照广州市总河长令（第4号）的部署，全市范围开展排水单元达标攻坚工作，建立健全排水单元设施日常管养长效机制，从源头实现雨污分流，形成“排水用户全接管、污水管网全覆盖、污水处理全达标”的国内领先的污水治理体系。项目实施计划有针对本项目特点、根据过往排水排污工程通过区河长办达标验收的成功经验（需提供合同及其竣工验收报告）的，得4分，其他不得分。</w:t>
            </w:r>
          </w:p>
        </w:tc>
        <w:tc>
          <w:tcPr>
            <w:tcW w:w="890" w:type="dxa"/>
            <w:tcBorders>
              <w:top w:val="single" w:color="auto" w:sz="4" w:space="0"/>
              <w:bottom w:val="single" w:color="auto" w:sz="4" w:space="0"/>
            </w:tcBorders>
            <w:vAlign w:val="center"/>
          </w:tcPr>
          <w:p>
            <w:pPr>
              <w:snapToGrid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4</w:t>
            </w:r>
          </w:p>
        </w:tc>
        <w:tc>
          <w:tcPr>
            <w:tcW w:w="1752"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质量控制和保障措施</w:t>
            </w:r>
          </w:p>
        </w:tc>
        <w:tc>
          <w:tcPr>
            <w:tcW w:w="6845" w:type="dxa"/>
            <w:tcBorders>
              <w:top w:val="single" w:color="auto" w:sz="4" w:space="0"/>
              <w:bottom w:val="single" w:color="auto" w:sz="4" w:space="0"/>
            </w:tcBorders>
            <w:vAlign w:val="center"/>
          </w:tcPr>
          <w:p>
            <w:pPr>
              <w:snapToGrid w:val="0"/>
              <w:rPr>
                <w:rFonts w:hint="eastAsia"/>
                <w:color w:val="auto"/>
                <w:highlight w:val="none"/>
              </w:rPr>
            </w:pPr>
            <w:r>
              <w:rPr>
                <w:rFonts w:hint="eastAsia"/>
                <w:color w:val="auto"/>
                <w:highlight w:val="none"/>
              </w:rPr>
              <w:t>1.质量保证体系健全，措施合理，组织管理体系和措施完善，足够满足项目需要，得</w:t>
            </w:r>
            <w:r>
              <w:rPr>
                <w:rFonts w:hint="eastAsia"/>
                <w:color w:val="auto"/>
                <w:highlight w:val="none"/>
                <w:lang w:val="en-US" w:eastAsia="zh-CN"/>
              </w:rPr>
              <w:t>6</w:t>
            </w:r>
            <w:r>
              <w:rPr>
                <w:rFonts w:hint="eastAsia"/>
                <w:color w:val="auto"/>
                <w:highlight w:val="none"/>
              </w:rPr>
              <w:t>分。</w:t>
            </w:r>
          </w:p>
          <w:p>
            <w:pPr>
              <w:snapToGrid w:val="0"/>
              <w:rPr>
                <w:rFonts w:hint="eastAsia"/>
                <w:color w:val="auto"/>
                <w:highlight w:val="none"/>
              </w:rPr>
            </w:pPr>
            <w:r>
              <w:rPr>
                <w:rFonts w:hint="eastAsia"/>
                <w:color w:val="auto"/>
                <w:highlight w:val="none"/>
              </w:rPr>
              <w:t>2.质量保证体系基本健全，措施基本合理，组织管理体系和措施基本完善，基本满足项目需要，得</w:t>
            </w:r>
            <w:r>
              <w:rPr>
                <w:rFonts w:hint="eastAsia"/>
                <w:color w:val="auto"/>
                <w:highlight w:val="none"/>
                <w:lang w:val="en-US" w:eastAsia="zh-CN"/>
              </w:rPr>
              <w:t>3</w:t>
            </w:r>
            <w:r>
              <w:rPr>
                <w:rFonts w:hint="eastAsia"/>
                <w:color w:val="auto"/>
                <w:highlight w:val="none"/>
              </w:rPr>
              <w:t>分。</w:t>
            </w:r>
          </w:p>
          <w:p>
            <w:pPr>
              <w:snapToGrid w:val="0"/>
              <w:rPr>
                <w:rFonts w:hint="eastAsia"/>
                <w:color w:val="auto"/>
                <w:highlight w:val="none"/>
              </w:rPr>
            </w:pPr>
            <w:r>
              <w:rPr>
                <w:rFonts w:hint="eastAsia"/>
                <w:color w:val="auto"/>
                <w:highlight w:val="none"/>
              </w:rPr>
              <w:t>3.质量保证体系不健全，措施不合理，组织管理体系和措施不够完善，难以满足项目需要，得1分。</w:t>
            </w:r>
          </w:p>
          <w:p>
            <w:pPr>
              <w:snapToGrid w:val="0"/>
              <w:rPr>
                <w:rFonts w:hint="eastAsia"/>
                <w:color w:val="auto"/>
                <w:highlight w:val="none"/>
              </w:rPr>
            </w:pPr>
            <w:r>
              <w:rPr>
                <w:rFonts w:hint="eastAsia"/>
                <w:color w:val="auto"/>
                <w:highlight w:val="none"/>
              </w:rPr>
              <w:t>其他不得分。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5</w:t>
            </w:r>
          </w:p>
        </w:tc>
        <w:tc>
          <w:tcPr>
            <w:tcW w:w="1752"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szCs w:val="21"/>
                <w:highlight w:val="none"/>
              </w:rPr>
              <w:t>项目施工组织计划</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施工组织计划合理，</w:t>
            </w:r>
            <w:r>
              <w:rPr>
                <w:rFonts w:hint="eastAsia" w:ascii="宋体" w:hAnsi="宋体" w:cs="宋体"/>
                <w:color w:val="auto"/>
                <w:highlight w:val="none"/>
                <w:lang w:eastAsia="zh-CN"/>
              </w:rPr>
              <w:t>合同履行期限</w:t>
            </w:r>
            <w:r>
              <w:rPr>
                <w:rFonts w:hint="eastAsia" w:ascii="宋体" w:hAnsi="宋体" w:cs="宋体"/>
                <w:color w:val="auto"/>
                <w:highlight w:val="none"/>
              </w:rPr>
              <w:t>最短的得4分；</w:t>
            </w:r>
          </w:p>
          <w:p>
            <w:pPr>
              <w:snapToGrid w:val="0"/>
              <w:rPr>
                <w:rFonts w:ascii="宋体" w:hAnsi="宋体" w:cs="宋体"/>
                <w:color w:val="auto"/>
                <w:highlight w:val="none"/>
              </w:rPr>
            </w:pPr>
            <w:r>
              <w:rPr>
                <w:rFonts w:hint="eastAsia" w:ascii="宋体" w:hAnsi="宋体" w:cs="宋体"/>
                <w:color w:val="auto"/>
                <w:highlight w:val="none"/>
              </w:rPr>
              <w:t>施工组织计划一般，</w:t>
            </w:r>
            <w:r>
              <w:rPr>
                <w:rFonts w:hint="eastAsia" w:ascii="宋体" w:hAnsi="宋体" w:cs="宋体"/>
                <w:color w:val="auto"/>
                <w:highlight w:val="none"/>
                <w:lang w:eastAsia="zh-CN"/>
              </w:rPr>
              <w:t>合同履行期限</w:t>
            </w:r>
            <w:r>
              <w:rPr>
                <w:rFonts w:hint="eastAsia" w:ascii="宋体" w:hAnsi="宋体" w:cs="宋体"/>
                <w:color w:val="auto"/>
                <w:highlight w:val="none"/>
              </w:rPr>
              <w:t>较短的得2分；</w:t>
            </w:r>
          </w:p>
          <w:p>
            <w:pPr>
              <w:snapToGrid w:val="0"/>
              <w:rPr>
                <w:rFonts w:hint="eastAsia" w:ascii="宋体" w:hAnsi="宋体" w:eastAsia="宋体" w:cs="宋体"/>
                <w:color w:val="auto"/>
                <w:highlight w:val="none"/>
                <w:lang w:eastAsia="zh-CN"/>
              </w:rPr>
            </w:pPr>
            <w:r>
              <w:rPr>
                <w:rFonts w:hint="eastAsia" w:ascii="宋体" w:hAnsi="宋体" w:cs="宋体"/>
                <w:color w:val="auto"/>
                <w:highlight w:val="none"/>
              </w:rPr>
              <w:t>施工组织计划不合理，</w:t>
            </w:r>
            <w:r>
              <w:rPr>
                <w:rFonts w:hint="eastAsia" w:ascii="宋体" w:hAnsi="宋体" w:cs="宋体"/>
                <w:color w:val="auto"/>
                <w:highlight w:val="none"/>
                <w:lang w:eastAsia="zh-CN"/>
              </w:rPr>
              <w:t>合同履行期限</w:t>
            </w:r>
            <w:r>
              <w:rPr>
                <w:rFonts w:hint="eastAsia" w:ascii="宋体" w:hAnsi="宋体" w:cs="宋体"/>
                <w:color w:val="auto"/>
                <w:highlight w:val="none"/>
              </w:rPr>
              <w:t>较长的得1分</w:t>
            </w:r>
            <w:r>
              <w:rPr>
                <w:rFonts w:hint="eastAsia" w:ascii="宋体" w:hAnsi="宋体" w:cs="宋体"/>
                <w:color w:val="auto"/>
                <w:highlight w:val="none"/>
                <w:lang w:eastAsia="zh-CN"/>
              </w:rPr>
              <w:t>；</w:t>
            </w:r>
          </w:p>
          <w:p>
            <w:pPr>
              <w:snapToGrid w:val="0"/>
              <w:rPr>
                <w:rFonts w:ascii="宋体" w:hAnsi="宋体" w:cs="宋体"/>
                <w:color w:val="auto"/>
                <w:highlight w:val="none"/>
              </w:rPr>
            </w:pPr>
            <w:r>
              <w:rPr>
                <w:rFonts w:hint="eastAsia" w:ascii="宋体" w:hAnsi="宋体" w:cs="宋体"/>
                <w:color w:val="auto"/>
                <w:highlight w:val="none"/>
              </w:rPr>
              <w:t>其他不得分。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733" w:type="dxa"/>
            <w:tcBorders>
              <w:top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6</w:t>
            </w:r>
          </w:p>
        </w:tc>
        <w:tc>
          <w:tcPr>
            <w:tcW w:w="1752" w:type="dxa"/>
            <w:tcBorders>
              <w:top w:val="single" w:color="auto" w:sz="4" w:space="0"/>
            </w:tcBorders>
            <w:vAlign w:val="center"/>
          </w:tcPr>
          <w:p>
            <w:pPr>
              <w:snapToGrid w:val="0"/>
              <w:rPr>
                <w:rFonts w:ascii="宋体" w:hAnsi="宋体" w:cs="Arial Unicode MS"/>
                <w:color w:val="auto"/>
                <w:szCs w:val="21"/>
                <w:highlight w:val="none"/>
              </w:rPr>
            </w:pPr>
            <w:r>
              <w:rPr>
                <w:rFonts w:hint="eastAsia" w:ascii="宋体" w:hAnsi="宋体" w:cs="宋体"/>
                <w:color w:val="auto"/>
                <w:szCs w:val="21"/>
                <w:highlight w:val="none"/>
              </w:rPr>
              <w:t>机构设立、运作流程、管理计划</w:t>
            </w:r>
          </w:p>
        </w:tc>
        <w:tc>
          <w:tcPr>
            <w:tcW w:w="6845" w:type="dxa"/>
            <w:tcBorders>
              <w:top w:val="single" w:color="auto" w:sz="4" w:space="0"/>
              <w:bottom w:val="single" w:color="auto" w:sz="4" w:space="0"/>
            </w:tcBorders>
            <w:vAlign w:val="center"/>
          </w:tcPr>
          <w:p>
            <w:pPr>
              <w:snapToGrid w:val="0"/>
              <w:rPr>
                <w:color w:val="auto"/>
                <w:highlight w:val="none"/>
              </w:rPr>
            </w:pPr>
            <w:r>
              <w:rPr>
                <w:rFonts w:hint="eastAsia"/>
                <w:color w:val="auto"/>
                <w:highlight w:val="none"/>
              </w:rPr>
              <w:t>管理机构设立方案完善、运作流程清晰、管理计划实施到位的优得</w:t>
            </w:r>
            <w:r>
              <w:rPr>
                <w:rFonts w:hint="eastAsia"/>
                <w:color w:val="auto"/>
                <w:highlight w:val="none"/>
                <w:lang w:val="en-US" w:eastAsia="zh-CN"/>
              </w:rPr>
              <w:t>4</w:t>
            </w:r>
            <w:r>
              <w:rPr>
                <w:rFonts w:hint="eastAsia"/>
                <w:color w:val="auto"/>
                <w:highlight w:val="none"/>
              </w:rPr>
              <w:t>分；</w:t>
            </w:r>
          </w:p>
          <w:p>
            <w:pPr>
              <w:snapToGrid w:val="0"/>
              <w:rPr>
                <w:color w:val="auto"/>
                <w:highlight w:val="none"/>
              </w:rPr>
            </w:pPr>
            <w:r>
              <w:rPr>
                <w:rFonts w:hint="eastAsia"/>
                <w:color w:val="auto"/>
                <w:highlight w:val="none"/>
              </w:rPr>
              <w:t>管理机构设立方案基本完善、运作流程基本清晰、管理计划实施基本到位的良得</w:t>
            </w:r>
            <w:r>
              <w:rPr>
                <w:rFonts w:hint="eastAsia"/>
                <w:color w:val="auto"/>
                <w:highlight w:val="none"/>
                <w:lang w:val="en-US" w:eastAsia="zh-CN"/>
              </w:rPr>
              <w:t>2</w:t>
            </w:r>
            <w:r>
              <w:rPr>
                <w:rFonts w:hint="eastAsia"/>
                <w:color w:val="auto"/>
                <w:highlight w:val="none"/>
              </w:rPr>
              <w:t>分；</w:t>
            </w:r>
          </w:p>
          <w:p>
            <w:pPr>
              <w:snapToGrid w:val="0"/>
              <w:rPr>
                <w:color w:val="auto"/>
                <w:highlight w:val="none"/>
              </w:rPr>
            </w:pPr>
            <w:r>
              <w:rPr>
                <w:rFonts w:hint="eastAsia"/>
                <w:color w:val="auto"/>
                <w:highlight w:val="none"/>
              </w:rPr>
              <w:t>管理机构设立方案不完善、运作流程不清晰、管理计划实施不到位的一般得</w:t>
            </w:r>
            <w:r>
              <w:rPr>
                <w:rFonts w:hint="eastAsia"/>
                <w:color w:val="auto"/>
                <w:highlight w:val="none"/>
                <w:lang w:val="en-US" w:eastAsia="zh-CN"/>
              </w:rPr>
              <w:t>1</w:t>
            </w:r>
            <w:r>
              <w:rPr>
                <w:rFonts w:hint="eastAsia"/>
                <w:color w:val="auto"/>
                <w:highlight w:val="none"/>
              </w:rPr>
              <w:t>分；</w:t>
            </w:r>
          </w:p>
          <w:p>
            <w:pPr>
              <w:snapToGrid w:val="0"/>
              <w:rPr>
                <w:color w:val="auto"/>
                <w:highlight w:val="none"/>
              </w:rPr>
            </w:pPr>
            <w:r>
              <w:rPr>
                <w:rFonts w:hint="eastAsia"/>
                <w:color w:val="auto"/>
                <w:highlight w:val="none"/>
              </w:rPr>
              <w:t>其他不得分。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9330" w:type="dxa"/>
            <w:gridSpan w:val="3"/>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合计</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40分</w:t>
            </w:r>
          </w:p>
        </w:tc>
      </w:tr>
    </w:tbl>
    <w:p>
      <w:pPr>
        <w:snapToGrid w:val="0"/>
        <w:rPr>
          <w:rFonts w:ascii="宋体" w:hAnsi="宋体" w:cs="宋体"/>
          <w:b/>
          <w:bCs/>
          <w:color w:val="auto"/>
          <w:highlight w:val="none"/>
        </w:rPr>
      </w:pP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评委签名：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项目编号：</w:t>
      </w:r>
    </w:p>
    <w:tbl>
      <w:tblPr>
        <w:tblStyle w:val="90"/>
        <w:tblW w:w="89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062"/>
        <w:gridCol w:w="5861"/>
        <w:gridCol w:w="12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blHeader/>
          <w:jc w:val="center"/>
        </w:trPr>
        <w:tc>
          <w:tcPr>
            <w:tcW w:w="718"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序号</w:t>
            </w:r>
          </w:p>
        </w:tc>
        <w:tc>
          <w:tcPr>
            <w:tcW w:w="1062"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评分项目</w:t>
            </w:r>
          </w:p>
        </w:tc>
        <w:tc>
          <w:tcPr>
            <w:tcW w:w="5861"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评分标准</w:t>
            </w:r>
          </w:p>
        </w:tc>
        <w:tc>
          <w:tcPr>
            <w:tcW w:w="1282"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blHeader/>
          <w:jc w:val="center"/>
        </w:trPr>
        <w:tc>
          <w:tcPr>
            <w:tcW w:w="718"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一</w:t>
            </w:r>
          </w:p>
        </w:tc>
        <w:tc>
          <w:tcPr>
            <w:tcW w:w="1062"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商务要求的响应程度</w:t>
            </w:r>
          </w:p>
        </w:tc>
        <w:tc>
          <w:tcPr>
            <w:tcW w:w="5861" w:type="dxa"/>
            <w:tcBorders>
              <w:top w:val="single" w:color="auto" w:sz="4" w:space="0"/>
            </w:tcBorders>
            <w:shd w:val="clear" w:color="auto" w:fill="FFFFFF"/>
            <w:vAlign w:val="center"/>
          </w:tcPr>
          <w:p>
            <w:pPr>
              <w:snapToGrid w:val="0"/>
              <w:rPr>
                <w:color w:val="auto"/>
                <w:highlight w:val="none"/>
              </w:rPr>
            </w:pPr>
            <w:r>
              <w:rPr>
                <w:rFonts w:hint="eastAsia"/>
                <w:color w:val="auto"/>
                <w:highlight w:val="none"/>
              </w:rPr>
              <w:t>考查供应商对商务要求的响应程度：</w:t>
            </w:r>
          </w:p>
          <w:p>
            <w:pPr>
              <w:snapToGrid w:val="0"/>
              <w:rPr>
                <w:color w:val="auto"/>
                <w:highlight w:val="none"/>
              </w:rPr>
            </w:pPr>
            <w:r>
              <w:rPr>
                <w:rFonts w:hint="eastAsia"/>
                <w:color w:val="auto"/>
                <w:highlight w:val="none"/>
              </w:rPr>
              <w:t>1.完全满足并优于竞争性磋商文件要求的，得4分；</w:t>
            </w:r>
          </w:p>
          <w:p>
            <w:pPr>
              <w:snapToGrid w:val="0"/>
              <w:rPr>
                <w:color w:val="auto"/>
                <w:highlight w:val="none"/>
              </w:rPr>
            </w:pPr>
            <w:r>
              <w:rPr>
                <w:rFonts w:hint="eastAsia"/>
                <w:color w:val="auto"/>
                <w:highlight w:val="none"/>
              </w:rPr>
              <w:t>2.部分满足竞争性磋商文件要求的，得2分；</w:t>
            </w:r>
          </w:p>
          <w:p>
            <w:pPr>
              <w:snapToGrid w:val="0"/>
              <w:rPr>
                <w:color w:val="auto"/>
                <w:highlight w:val="none"/>
              </w:rPr>
            </w:pPr>
            <w:r>
              <w:rPr>
                <w:rFonts w:hint="eastAsia"/>
                <w:color w:val="auto"/>
                <w:highlight w:val="none"/>
              </w:rPr>
              <w:t>3.不完全满足竞争性磋商文件要求的，得1分。</w:t>
            </w:r>
          </w:p>
          <w:p>
            <w:pPr>
              <w:snapToGrid w:val="0"/>
              <w:rPr>
                <w:color w:val="auto"/>
                <w:highlight w:val="none"/>
              </w:rPr>
            </w:pPr>
            <w:r>
              <w:rPr>
                <w:rFonts w:hint="eastAsia"/>
                <w:color w:val="auto"/>
                <w:highlight w:val="none"/>
              </w:rPr>
              <w:t>4.其他不得分。</w:t>
            </w:r>
          </w:p>
        </w:tc>
        <w:tc>
          <w:tcPr>
            <w:tcW w:w="1282"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718"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二</w:t>
            </w:r>
          </w:p>
        </w:tc>
        <w:tc>
          <w:tcPr>
            <w:tcW w:w="1062"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业绩</w:t>
            </w:r>
          </w:p>
        </w:tc>
        <w:tc>
          <w:tcPr>
            <w:tcW w:w="586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投标人2018年1月1日至今承担过同类项目业绩的，每个业绩得0.5分，满分5分，其他不得分。</w:t>
            </w:r>
          </w:p>
          <w:p>
            <w:pPr>
              <w:snapToGrid w:val="0"/>
              <w:rPr>
                <w:rFonts w:ascii="宋体" w:hAnsi="宋体" w:cs="宋体"/>
                <w:color w:val="auto"/>
                <w:highlight w:val="none"/>
              </w:rPr>
            </w:pPr>
            <w:r>
              <w:rPr>
                <w:rFonts w:hint="eastAsia" w:ascii="宋体" w:hAnsi="宋体" w:cs="宋体"/>
                <w:color w:val="auto"/>
                <w:highlight w:val="none"/>
              </w:rPr>
              <w:t>（注：业绩需提供中标通知书及合同复印件</w:t>
            </w:r>
            <w:r>
              <w:rPr>
                <w:rFonts w:hint="eastAsia" w:ascii="宋体" w:hAnsi="宋体" w:cs="宋体"/>
                <w:color w:val="auto"/>
                <w:highlight w:val="none"/>
                <w:lang w:eastAsia="zh-CN"/>
              </w:rPr>
              <w:t>，日期以中标通知书上的日期为准</w:t>
            </w:r>
            <w:r>
              <w:rPr>
                <w:rFonts w:hint="eastAsia" w:ascii="宋体" w:hAnsi="宋体" w:cs="宋体"/>
                <w:color w:val="auto"/>
                <w:highlight w:val="none"/>
              </w:rPr>
              <w:t>）</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718" w:type="dxa"/>
            <w:vMerge w:val="restart"/>
            <w:tcBorders>
              <w:top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三</w:t>
            </w:r>
          </w:p>
        </w:tc>
        <w:tc>
          <w:tcPr>
            <w:tcW w:w="1062"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企业信用信誉</w:t>
            </w:r>
          </w:p>
        </w:tc>
        <w:tc>
          <w:tcPr>
            <w:tcW w:w="586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szCs w:val="21"/>
                <w:highlight w:val="none"/>
              </w:rPr>
              <w:t>投标人具有税务局颁发的纳税信用</w:t>
            </w:r>
            <w:r>
              <w:rPr>
                <w:rFonts w:hint="eastAsia" w:ascii="宋体" w:hAnsi="宋体" w:cs="宋体"/>
                <w:color w:val="auto"/>
                <w:highlight w:val="none"/>
              </w:rPr>
              <w:t>A级或以上等级证书的，得3分；具有</w:t>
            </w:r>
            <w:r>
              <w:rPr>
                <w:rFonts w:hint="eastAsia" w:ascii="宋体" w:hAnsi="宋体" w:cs="宋体"/>
                <w:color w:val="auto"/>
                <w:szCs w:val="21"/>
                <w:highlight w:val="none"/>
              </w:rPr>
              <w:t>纳税信用</w:t>
            </w:r>
            <w:r>
              <w:rPr>
                <w:rFonts w:hint="eastAsia" w:ascii="宋体" w:hAnsi="宋体" w:cs="宋体"/>
                <w:color w:val="auto"/>
                <w:highlight w:val="none"/>
              </w:rPr>
              <w:t>B级等级证书得2分；具有</w:t>
            </w:r>
            <w:r>
              <w:rPr>
                <w:rFonts w:hint="eastAsia" w:ascii="宋体" w:hAnsi="宋体" w:cs="宋体"/>
                <w:color w:val="auto"/>
                <w:szCs w:val="21"/>
                <w:highlight w:val="none"/>
              </w:rPr>
              <w:t>纳税信用</w:t>
            </w:r>
            <w:r>
              <w:rPr>
                <w:rFonts w:hint="eastAsia" w:ascii="宋体" w:hAnsi="宋体" w:cs="宋体"/>
                <w:color w:val="auto"/>
                <w:highlight w:val="none"/>
              </w:rPr>
              <w:t>C级等级证书得1分；其他不得分。</w:t>
            </w:r>
          </w:p>
          <w:p>
            <w:pPr>
              <w:snapToGrid w:val="0"/>
              <w:rPr>
                <w:rFonts w:ascii="宋体" w:hAnsi="宋体" w:cs="宋体"/>
                <w:color w:val="auto"/>
                <w:highlight w:val="none"/>
              </w:rPr>
            </w:pPr>
            <w:r>
              <w:rPr>
                <w:rFonts w:hint="eastAsia" w:ascii="宋体" w:hAnsi="宋体" w:cs="宋体"/>
                <w:color w:val="auto"/>
                <w:highlight w:val="none"/>
              </w:rPr>
              <w:t>（提供等级证书</w:t>
            </w:r>
            <w:r>
              <w:rPr>
                <w:rFonts w:hint="eastAsia" w:ascii="宋体" w:hAnsi="宋体" w:cs="宋体"/>
                <w:color w:val="auto"/>
                <w:highlight w:val="none"/>
                <w:lang w:eastAsia="zh-CN"/>
              </w:rPr>
              <w:t>网上截图或证书复印件</w:t>
            </w:r>
            <w:r>
              <w:rPr>
                <w:rFonts w:hint="eastAsia" w:ascii="宋体" w:hAnsi="宋体" w:cs="宋体"/>
                <w:color w:val="auto"/>
                <w:highlight w:val="none"/>
              </w:rPr>
              <w:t>）</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1"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5861" w:type="dxa"/>
            <w:tcBorders>
              <w:top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投标人具有质量管理体系认证、环境管理体系认证、职业健康安全管理体系认证。每提供一个有效的证书得1分，最高3分，</w:t>
            </w:r>
            <w:r>
              <w:rPr>
                <w:rFonts w:hint="eastAsia" w:ascii="宋体" w:hAnsi="宋体" w:cs="宋体"/>
                <w:color w:val="auto"/>
                <w:highlight w:val="none"/>
              </w:rPr>
              <w:t>其他不得分。</w:t>
            </w:r>
          </w:p>
          <w:p>
            <w:pPr>
              <w:snapToGrid w:val="0"/>
              <w:rPr>
                <w:rFonts w:ascii="宋体" w:hAnsi="宋体" w:cs="宋体"/>
                <w:color w:val="auto"/>
                <w:highlight w:val="none"/>
              </w:rPr>
            </w:pPr>
            <w:r>
              <w:rPr>
                <w:rFonts w:hint="eastAsia" w:ascii="宋体" w:hAnsi="宋体" w:cs="宋体"/>
                <w:color w:val="auto"/>
                <w:szCs w:val="21"/>
                <w:highlight w:val="none"/>
              </w:rPr>
              <w:t>（须提供证书复印件且证书须在有效期内）</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1" w:hRule="atLeast"/>
          <w:jc w:val="center"/>
        </w:trPr>
        <w:tc>
          <w:tcPr>
            <w:tcW w:w="718" w:type="dxa"/>
            <w:vAlign w:val="center"/>
          </w:tcPr>
          <w:p>
            <w:pPr>
              <w:snapToGrid w:val="0"/>
              <w:jc w:val="center"/>
              <w:rPr>
                <w:rFonts w:ascii="宋体" w:hAnsi="宋体" w:cs="宋体"/>
                <w:color w:val="auto"/>
                <w:highlight w:val="none"/>
              </w:rPr>
            </w:pPr>
            <w:r>
              <w:rPr>
                <w:rFonts w:hint="eastAsia" w:ascii="宋体" w:hAnsi="宋体" w:cs="宋体"/>
                <w:color w:val="auto"/>
                <w:highlight w:val="none"/>
              </w:rPr>
              <w:t>四</w:t>
            </w:r>
          </w:p>
        </w:tc>
        <w:tc>
          <w:tcPr>
            <w:tcW w:w="1062" w:type="dxa"/>
            <w:vAlign w:val="center"/>
          </w:tcPr>
          <w:p>
            <w:pPr>
              <w:snapToGrid w:val="0"/>
              <w:rPr>
                <w:rFonts w:ascii="宋体" w:hAnsi="宋体" w:cs="宋体"/>
                <w:color w:val="auto"/>
                <w:highlight w:val="none"/>
              </w:rPr>
            </w:pPr>
            <w:r>
              <w:rPr>
                <w:rFonts w:hint="eastAsia" w:ascii="宋体" w:hAnsi="宋体" w:cs="宋体"/>
                <w:color w:val="auto"/>
                <w:szCs w:val="21"/>
                <w:highlight w:val="none"/>
              </w:rPr>
              <w:t>综合诚信评价</w:t>
            </w:r>
          </w:p>
        </w:tc>
        <w:tc>
          <w:tcPr>
            <w:tcW w:w="5861" w:type="dxa"/>
            <w:tcBorders>
              <w:top w:val="single" w:color="auto" w:sz="4" w:space="0"/>
            </w:tcBorders>
            <w:vAlign w:val="center"/>
          </w:tcPr>
          <w:p>
            <w:pPr>
              <w:snapToGrid w:val="0"/>
              <w:rPr>
                <w:rFonts w:ascii="宋体" w:hAnsi="宋体" w:cs="宋体"/>
                <w:color w:val="auto"/>
                <w:szCs w:val="21"/>
                <w:highlight w:val="none"/>
              </w:rPr>
            </w:pPr>
            <w:r>
              <w:rPr>
                <w:rFonts w:hint="eastAsia" w:ascii="宋体" w:hAnsi="宋体"/>
                <w:color w:val="auto"/>
                <w:spacing w:val="-4"/>
                <w:szCs w:val="21"/>
                <w:highlight w:val="none"/>
              </w:rPr>
              <w:t>在所有投标单位中，诚信最高的得5分，评分以1分为级差递减，第六名或第六名以后得分为零分。（诚信排名以开标当日广州市企业诚信综合评价体系的“60日诚信分”排名为准）</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7641" w:type="dxa"/>
            <w:gridSpan w:val="3"/>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合计</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20分</w:t>
            </w:r>
          </w:p>
        </w:tc>
      </w:tr>
    </w:tbl>
    <w:p>
      <w:pPr>
        <w:tabs>
          <w:tab w:val="left" w:pos="720"/>
        </w:tabs>
        <w:snapToGrid w:val="0"/>
        <w:ind w:firstLine="210" w:firstLineChars="100"/>
        <w:rPr>
          <w:rFonts w:ascii="宋体" w:hAnsi="宋体" w:cs="宋体"/>
          <w:bCs/>
          <w:color w:val="auto"/>
          <w:szCs w:val="21"/>
          <w:highlight w:val="none"/>
        </w:rPr>
      </w:pPr>
    </w:p>
    <w:p>
      <w:pPr>
        <w:snapToGrid w:val="0"/>
        <w:rPr>
          <w:rFonts w:hint="eastAsia" w:eastAsia="宋体"/>
          <w:color w:val="auto"/>
          <w:highlight w:val="none"/>
          <w:lang w:eastAsia="zh-CN"/>
        </w:rPr>
      </w:pPr>
      <w:r>
        <w:rPr>
          <w:rFonts w:hint="eastAsia" w:ascii="宋体" w:hAnsi="宋体" w:cs="宋体"/>
          <w:color w:val="auto"/>
          <w:highlight w:val="none"/>
        </w:rPr>
        <w:t xml:space="preserve"> </w:t>
      </w: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r>
        <w:rPr>
          <w:rFonts w:hint="eastAsia" w:ascii="宋体" w:hAnsi="宋体" w:cs="宋体"/>
          <w:b/>
          <w:bCs/>
          <w:color w:val="auto"/>
          <w:highlight w:val="none"/>
          <w:lang w:eastAsia="zh-CN"/>
        </w:rPr>
        <w:t>。</w:t>
      </w:r>
    </w:p>
    <w:p>
      <w:pPr>
        <w:tabs>
          <w:tab w:val="left" w:pos="720"/>
        </w:tabs>
        <w:snapToGrid w:val="0"/>
        <w:ind w:firstLine="210" w:firstLineChars="100"/>
        <w:rPr>
          <w:rFonts w:ascii="宋体" w:hAnsi="宋体" w:cs="宋体"/>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0"/>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有效供应商</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3、磋商报价得分四舍五入后，小数点后保留两位有效数。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43" w:name="_Toc475104537"/>
      <w:bookmarkStart w:id="344" w:name="_Toc320515058"/>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43"/>
      <w:bookmarkEnd w:id="344"/>
    </w:p>
    <w:p>
      <w:pPr>
        <w:spacing w:line="360" w:lineRule="auto"/>
        <w:rPr>
          <w:rFonts w:ascii="宋体" w:hAnsi="宋体"/>
          <w:bCs/>
          <w:color w:val="auto"/>
          <w:sz w:val="28"/>
          <w:highlight w:val="none"/>
        </w:rPr>
      </w:pPr>
      <w:bookmarkStart w:id="345" w:name="_Toc28489496"/>
      <w:bookmarkStart w:id="346" w:name="_Toc109467908"/>
      <w:bookmarkStart w:id="347" w:name="_Toc35834912"/>
      <w:bookmarkStart w:id="348" w:name="_Toc34535358"/>
      <w:bookmarkStart w:id="349" w:name="_Toc1445083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50" w:name="_Toc163481918"/>
      <w:r>
        <w:rPr>
          <w:rFonts w:hint="eastAsia"/>
          <w:color w:val="auto"/>
          <w:szCs w:val="30"/>
          <w:highlight w:val="none"/>
        </w:rPr>
        <w:br w:type="page"/>
      </w:r>
    </w:p>
    <w:p>
      <w:pPr>
        <w:pStyle w:val="5"/>
        <w:numPr>
          <w:ilvl w:val="0"/>
          <w:numId w:val="10"/>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5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pStyle w:val="2"/>
              <w:rPr>
                <w:color w:val="auto"/>
                <w:highlight w:val="none"/>
              </w:rPr>
            </w:pPr>
            <w:r>
              <w:rPr>
                <w:rFonts w:hint="eastAsia" w:cs="Times New Roman"/>
                <w:color w:val="auto"/>
                <w:sz w:val="21"/>
                <w:szCs w:val="21"/>
                <w:highlight w:val="none"/>
              </w:rPr>
              <w:t>★供应商须具有承接本工程所需</w:t>
            </w:r>
            <w:r>
              <w:rPr>
                <w:rFonts w:hint="eastAsia"/>
                <w:color w:val="auto"/>
                <w:sz w:val="21"/>
                <w:szCs w:val="20"/>
                <w:highlight w:val="none"/>
              </w:rPr>
              <w:t>的</w:t>
            </w:r>
            <w:r>
              <w:rPr>
                <w:rFonts w:hint="eastAsia"/>
                <w:color w:val="auto"/>
                <w:sz w:val="21"/>
                <w:szCs w:val="20"/>
                <w:highlight w:val="none"/>
                <w:lang w:eastAsia="zh-CN"/>
              </w:rPr>
              <w:t>市政公用工程</w:t>
            </w:r>
            <w:r>
              <w:rPr>
                <w:rFonts w:hint="eastAsia"/>
                <w:color w:val="auto"/>
                <w:sz w:val="21"/>
                <w:szCs w:val="20"/>
                <w:highlight w:val="none"/>
              </w:rPr>
              <w:t>施工总承包叁级（或以上级别）资质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w:t>
            </w:r>
            <w:r>
              <w:rPr>
                <w:rFonts w:hint="eastAsia" w:ascii="宋体" w:hAnsi="宋体"/>
                <w:color w:val="auto"/>
                <w:highlight w:val="none"/>
                <w:lang w:eastAsia="zh-CN"/>
              </w:rPr>
              <w:t>市政公用工程</w:t>
            </w:r>
            <w:r>
              <w:rPr>
                <w:rFonts w:hint="eastAsia" w:ascii="宋体" w:hAnsi="宋体"/>
                <w:color w:val="auto"/>
                <w:highlight w:val="none"/>
              </w:rPr>
              <w:t>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公平竞争承诺书（附件6)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工程量清单(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▲条款响应一览表（附件21）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供应商认为有必要说明的其他文件(附件2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rPr>
          <w:color w:val="auto"/>
          <w:szCs w:val="30"/>
          <w:highlight w:val="none"/>
        </w:rPr>
      </w:pPr>
    </w:p>
    <w:p>
      <w:pPr>
        <w:pStyle w:val="5"/>
        <w:numPr>
          <w:ilvl w:val="0"/>
          <w:numId w:val="10"/>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keepNext w:val="0"/>
        <w:keepLines w:val="0"/>
        <w:pageBreakBefore w:val="0"/>
        <w:widowControl w:val="0"/>
        <w:kinsoku/>
        <w:wordWrap/>
        <w:overflowPunct/>
        <w:topLinePunct w:val="0"/>
        <w:autoSpaceDN/>
        <w:bidi w:val="0"/>
        <w:adjustRightInd/>
        <w:snapToGrid/>
        <w:spacing w:line="480" w:lineRule="auto"/>
        <w:jc w:val="left"/>
        <w:textAlignment w:val="auto"/>
        <w:rPr>
          <w:rFonts w:hint="eastAsia" w:ascii="宋体" w:hAnsi="宋体"/>
          <w:color w:val="auto"/>
          <w:szCs w:val="21"/>
          <w:highlight w:val="none"/>
        </w:rPr>
      </w:pPr>
    </w:p>
    <w:p>
      <w:pPr>
        <w:keepNext w:val="0"/>
        <w:keepLines w:val="0"/>
        <w:pageBreakBefore w:val="0"/>
        <w:widowControl w:val="0"/>
        <w:kinsoku/>
        <w:wordWrap/>
        <w:overflowPunct/>
        <w:topLinePunct w:val="0"/>
        <w:autoSpaceDN/>
        <w:bidi w:val="0"/>
        <w:adjustRightInd/>
        <w:snapToGrid/>
        <w:spacing w:line="480" w:lineRule="auto"/>
        <w:jc w:val="left"/>
        <w:textAlignment w:val="auto"/>
        <w:rPr>
          <w:rFonts w:ascii="宋体" w:hAnsi="宋体"/>
          <w:color w:val="auto"/>
          <w:szCs w:val="21"/>
          <w:highlight w:val="none"/>
        </w:rPr>
      </w:pPr>
      <w:r>
        <w:rPr>
          <w:rFonts w:hint="eastAsia" w:ascii="宋体" w:hAnsi="宋体"/>
          <w:color w:val="auto"/>
          <w:szCs w:val="21"/>
          <w:highlight w:val="none"/>
        </w:rPr>
        <w:t>致：广州市信怡招标代理有限公司</w:t>
      </w:r>
    </w:p>
    <w:p>
      <w:pPr>
        <w:keepNext w:val="0"/>
        <w:keepLines w:val="0"/>
        <w:pageBreakBefore w:val="0"/>
        <w:widowControl w:val="0"/>
        <w:kinsoku/>
        <w:wordWrap/>
        <w:overflowPunct/>
        <w:topLinePunct w:val="0"/>
        <w:autoSpaceDE w:val="0"/>
        <w:autoSpaceDN/>
        <w:bidi w:val="0"/>
        <w:adjustRightInd/>
        <w:snapToGrid/>
        <w:spacing w:line="480" w:lineRule="auto"/>
        <w:ind w:firstLine="480"/>
        <w:jc w:val="left"/>
        <w:textAlignment w:val="auto"/>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（供应商名称）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keepNext w:val="0"/>
        <w:keepLines w:val="0"/>
        <w:pageBreakBefore w:val="0"/>
        <w:widowControl w:val="0"/>
        <w:kinsoku/>
        <w:wordWrap/>
        <w:overflowPunct/>
        <w:topLinePunct w:val="0"/>
        <w:autoSpaceDN/>
        <w:bidi w:val="0"/>
        <w:adjustRightInd/>
        <w:snapToGrid/>
        <w:spacing w:line="480" w:lineRule="auto"/>
        <w:jc w:val="left"/>
        <w:textAlignment w:val="auto"/>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keepNext w:val="0"/>
        <w:keepLines w:val="0"/>
        <w:pageBreakBefore w:val="0"/>
        <w:widowControl w:val="0"/>
        <w:kinsoku/>
        <w:wordWrap/>
        <w:overflowPunct/>
        <w:topLinePunct w:val="0"/>
        <w:autoSpaceDE w:val="0"/>
        <w:autoSpaceDN/>
        <w:bidi w:val="0"/>
        <w:adjustRightInd/>
        <w:snapToGrid/>
        <w:spacing w:line="480" w:lineRule="auto"/>
        <w:ind w:left="240" w:hanging="240"/>
        <w:jc w:val="left"/>
        <w:textAlignment w:val="auto"/>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天有效，如被确定为供应商成交供应商，有效期将延至合同终止日为止；</w:t>
      </w:r>
    </w:p>
    <w:p>
      <w:pPr>
        <w:keepNext w:val="0"/>
        <w:keepLines w:val="0"/>
        <w:pageBreakBefore w:val="0"/>
        <w:widowControl w:val="0"/>
        <w:kinsoku/>
        <w:wordWrap/>
        <w:overflowPunct/>
        <w:topLinePunct w:val="0"/>
        <w:autoSpaceDN/>
        <w:bidi w:val="0"/>
        <w:adjustRightInd/>
        <w:snapToGrid/>
        <w:spacing w:line="480" w:lineRule="auto"/>
        <w:ind w:left="240" w:hanging="240"/>
        <w:jc w:val="left"/>
        <w:textAlignment w:val="auto"/>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keepNext w:val="0"/>
        <w:keepLines w:val="0"/>
        <w:pageBreakBefore w:val="0"/>
        <w:widowControl w:val="0"/>
        <w:kinsoku/>
        <w:wordWrap/>
        <w:overflowPunct/>
        <w:topLinePunct w:val="0"/>
        <w:autoSpaceDN/>
        <w:bidi w:val="0"/>
        <w:adjustRightInd/>
        <w:snapToGrid/>
        <w:spacing w:line="480" w:lineRule="auto"/>
        <w:jc w:val="left"/>
        <w:textAlignment w:val="auto"/>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keepNext w:val="0"/>
        <w:keepLines w:val="0"/>
        <w:pageBreakBefore w:val="0"/>
        <w:widowControl w:val="0"/>
        <w:kinsoku/>
        <w:wordWrap/>
        <w:overflowPunct/>
        <w:topLinePunct w:val="0"/>
        <w:autoSpaceDN/>
        <w:bidi w:val="0"/>
        <w:adjustRightInd/>
        <w:snapToGrid/>
        <w:spacing w:line="480" w:lineRule="auto"/>
        <w:jc w:val="left"/>
        <w:textAlignment w:val="auto"/>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keepNext w:val="0"/>
        <w:keepLines w:val="0"/>
        <w:pageBreakBefore w:val="0"/>
        <w:widowControl w:val="0"/>
        <w:kinsoku/>
        <w:wordWrap/>
        <w:overflowPunct/>
        <w:topLinePunct w:val="0"/>
        <w:autoSpaceDN/>
        <w:bidi w:val="0"/>
        <w:adjustRightInd/>
        <w:snapToGrid/>
        <w:spacing w:line="480" w:lineRule="auto"/>
        <w:ind w:left="240" w:hanging="240"/>
        <w:jc w:val="left"/>
        <w:textAlignment w:val="auto"/>
        <w:rPr>
          <w:rFonts w:ascii="宋体" w:hAnsi="宋体"/>
          <w:color w:val="auto"/>
          <w:szCs w:val="21"/>
          <w:highlight w:val="none"/>
        </w:rPr>
      </w:pPr>
      <w:r>
        <w:rPr>
          <w:rFonts w:hint="eastAsia" w:ascii="宋体" w:hAnsi="宋体"/>
          <w:color w:val="auto"/>
          <w:szCs w:val="21"/>
          <w:highlight w:val="none"/>
        </w:rPr>
        <w:t>6.我方如被确定为供应商成交供应商，将保证履行竞争性磋商文件以及竞争性磋商文件修改书（如有的话）中的全部责任和义务，按质、按量、按期完成《合同》中的全部任务；</w:t>
      </w:r>
    </w:p>
    <w:p>
      <w:pPr>
        <w:keepNext w:val="0"/>
        <w:keepLines w:val="0"/>
        <w:pageBreakBefore w:val="0"/>
        <w:widowControl w:val="0"/>
        <w:kinsoku/>
        <w:wordWrap/>
        <w:overflowPunct/>
        <w:topLinePunct w:val="0"/>
        <w:autoSpaceDN/>
        <w:bidi w:val="0"/>
        <w:adjustRightInd/>
        <w:snapToGrid/>
        <w:spacing w:line="480" w:lineRule="auto"/>
        <w:jc w:val="left"/>
        <w:textAlignment w:val="auto"/>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keepNext w:val="0"/>
        <w:keepLines w:val="0"/>
        <w:pageBreakBefore w:val="0"/>
        <w:widowControl w:val="0"/>
        <w:kinsoku/>
        <w:wordWrap/>
        <w:overflowPunct/>
        <w:topLinePunct w:val="0"/>
        <w:autoSpaceDN/>
        <w:bidi w:val="0"/>
        <w:adjustRightInd/>
        <w:snapToGrid/>
        <w:spacing w:line="480" w:lineRule="auto"/>
        <w:ind w:left="240" w:hanging="240"/>
        <w:jc w:val="left"/>
        <w:textAlignment w:val="auto"/>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keepNext w:val="0"/>
        <w:keepLines w:val="0"/>
        <w:pageBreakBefore w:val="0"/>
        <w:widowControl w:val="0"/>
        <w:kinsoku/>
        <w:wordWrap/>
        <w:overflowPunct/>
        <w:topLinePunct w:val="0"/>
        <w:autoSpaceDN/>
        <w:bidi w:val="0"/>
        <w:adjustRightInd/>
        <w:snapToGrid/>
        <w:spacing w:line="480" w:lineRule="auto"/>
        <w:jc w:val="left"/>
        <w:textAlignment w:val="auto"/>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keepNext w:val="0"/>
        <w:keepLines w:val="0"/>
        <w:pageBreakBefore w:val="0"/>
        <w:widowControl w:val="0"/>
        <w:kinsoku/>
        <w:wordWrap/>
        <w:overflowPunct/>
        <w:topLinePunct w:val="0"/>
        <w:autoSpaceDN/>
        <w:bidi w:val="0"/>
        <w:adjustRightInd/>
        <w:snapToGrid/>
        <w:spacing w:line="480" w:lineRule="auto"/>
        <w:jc w:val="left"/>
        <w:textAlignment w:val="auto"/>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日    期： 2020年  月  日</w:t>
      </w:r>
      <w:r>
        <w:rPr>
          <w:rFonts w:hint="eastAsia" w:ascii="宋体" w:hAnsi="宋体"/>
          <w:color w:val="auto"/>
          <w:highlight w:val="none"/>
        </w:rPr>
        <w:br w:type="page"/>
      </w:r>
      <w:bookmarkStart w:id="351" w:name="_Toc86065029"/>
      <w:bookmarkStart w:id="352" w:name="_Toc41448359"/>
      <w:bookmarkStart w:id="353" w:name="_Toc25224019"/>
      <w:bookmarkStart w:id="354" w:name="_Toc14450839"/>
      <w:bookmarkStart w:id="355" w:name="_Toc55816096"/>
      <w:bookmarkStart w:id="356" w:name="_Toc34535359"/>
      <w:bookmarkStart w:id="357" w:name="_Toc28489497"/>
      <w:bookmarkStart w:id="358" w:name="_Toc35834913"/>
      <w:bookmarkStart w:id="359" w:name="_Toc10946790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60" w:name="_Toc223939105"/>
      <w:r>
        <w:rPr>
          <w:rFonts w:hint="eastAsia" w:hAnsi="宋体"/>
          <w:color w:val="auto"/>
          <w:szCs w:val="21"/>
          <w:highlight w:val="none"/>
        </w:rPr>
        <w:t>现任我单位职务，为法定代表人，特此证明。</w:t>
      </w:r>
      <w:bookmarkEnd w:id="360"/>
      <w:bookmarkStart w:id="361"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361"/>
      <w:bookmarkStart w:id="362"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362"/>
      <w:bookmarkStart w:id="363"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 xml:space="preserve">                     </w:t>
      </w:r>
      <w:bookmarkEnd w:id="363"/>
      <w:bookmarkStart w:id="364"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364"/>
    </w:p>
    <w:p>
      <w:pPr>
        <w:pStyle w:val="46"/>
        <w:spacing w:line="360" w:lineRule="auto"/>
        <w:jc w:val="center"/>
        <w:rPr>
          <w:rFonts w:hAnsi="宋体"/>
          <w:color w:val="auto"/>
          <w:szCs w:val="21"/>
          <w:highlight w:val="none"/>
        </w:rPr>
      </w:pPr>
    </w:p>
    <w:tbl>
      <w:tblPr>
        <w:tblStyle w:val="90"/>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ascii="ZWAdobeF" w:hAnsi="ZWAdobeF" w:cs="ZWAdobeF"/>
          <w:color w:val="auto"/>
          <w:sz w:val="2"/>
          <w:szCs w:val="2"/>
          <w:highlight w:val="none"/>
          <w:u w:val="single"/>
        </w:rPr>
        <w:t xml:space="preserve">                                 </w:t>
      </w:r>
      <w:r>
        <w:rPr>
          <w:rFonts w:hint="eastAsia" w:ascii="ZWAdobeF" w:hAnsi="ZWAdobeF" w:cs="ZWAdobeF"/>
          <w:color w:val="auto"/>
          <w:sz w:val="2"/>
          <w:szCs w:val="2"/>
          <w:highlight w:val="none"/>
        </w:rPr>
        <w:t xml:space="preserve"> </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w:t>
      </w:r>
      <w:r>
        <w:rPr>
          <w:rFonts w:hint="eastAsia" w:ascii="ZWAdobeF" w:hAnsi="ZWAdobeF" w:cs="ZWAdobeF"/>
          <w:color w:val="auto"/>
          <w:sz w:val="2"/>
          <w:szCs w:val="2"/>
          <w:highlight w:val="none"/>
          <w:u w:val="single"/>
        </w:rPr>
        <w:t xml:space="preserve">                                           </w:t>
      </w:r>
      <w:r>
        <w:rPr>
          <w:rFonts w:ascii="ZWAdobeF" w:hAnsi="ZWAdobeF" w:cs="ZWAdobeF"/>
          <w:color w:val="auto"/>
          <w:sz w:val="2"/>
          <w:szCs w:val="2"/>
          <w:highlight w:val="none"/>
          <w:u w:val="single"/>
        </w:rPr>
        <w:t>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本授权书于  2020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供应商</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0"/>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被授权人(供应商授权代表)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spacing w:line="360" w:lineRule="auto"/>
        <w:jc w:val="left"/>
        <w:rPr>
          <w:rFonts w:ascii="宋体" w:hAnsi="宋体"/>
          <w:color w:val="auto"/>
          <w:szCs w:val="21"/>
          <w:highlight w:val="none"/>
        </w:rPr>
      </w:pPr>
    </w:p>
    <w:p>
      <w:pPr>
        <w:adjustRightInd w:val="0"/>
        <w:snapToGrid w:val="0"/>
        <w:spacing w:line="360" w:lineRule="auto"/>
        <w:ind w:left="-2" w:leftChars="-1"/>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2020年  月  日</w:t>
      </w:r>
    </w:p>
    <w:p>
      <w:pPr>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90"/>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供应商单位名称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3"/>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ascii="宋体" w:hAnsi="宋体"/>
          <w:b/>
          <w:color w:val="auto"/>
          <w:szCs w:val="21"/>
          <w:highlight w:val="none"/>
        </w:rPr>
      </w:pPr>
      <w:r>
        <w:rPr>
          <w:rFonts w:hint="eastAsia" w:ascii="宋体" w:hAnsi="宋体"/>
          <w:b/>
          <w:color w:val="auto"/>
          <w:szCs w:val="21"/>
          <w:highlight w:val="none"/>
        </w:rPr>
        <w:t>2.供应商报价高于采购项目预算金额的报价响应无效；</w:t>
      </w:r>
    </w:p>
    <w:p>
      <w:pPr>
        <w:snapToGrid w:val="0"/>
        <w:spacing w:line="360" w:lineRule="auto"/>
        <w:ind w:left="515" w:leftChars="150" w:hanging="200" w:hangingChars="95"/>
        <w:rPr>
          <w:rFonts w:ascii="宋体" w:hAnsi="宋体" w:cs="宋体"/>
          <w:b/>
          <w:color w:val="auto"/>
          <w:szCs w:val="21"/>
          <w:highlight w:val="none"/>
        </w:rPr>
      </w:pPr>
      <w:r>
        <w:rPr>
          <w:rFonts w:hint="eastAsia" w:ascii="宋体" w:hAnsi="宋体" w:cs="宋体"/>
          <w:b/>
          <w:color w:val="auto"/>
          <w:szCs w:val="21"/>
          <w:highlight w:val="none"/>
        </w:rPr>
        <w:t>3.中文大写金额用汉字，如壹、贰、叁、肆、伍、陆、柒、捌、玖、拾、佰、仟、万、亿、元、角、分、零、整（正）等。如：小写： 1230000，大写：</w:t>
      </w:r>
      <w:r>
        <w:rPr>
          <w:rFonts w:hint="eastAsia" w:ascii="宋体" w:hAnsi="宋体" w:cs="宋体"/>
          <w:b/>
          <w:color w:val="auto"/>
          <w:szCs w:val="21"/>
          <w:highlight w:val="none"/>
          <w:u w:val="single"/>
        </w:rPr>
        <w:t>壹佰贰拾叁万元整</w:t>
      </w:r>
      <w:r>
        <w:rPr>
          <w:rFonts w:hint="eastAsia" w:ascii="宋体" w:hAnsi="宋体" w:cs="宋体"/>
          <w:b/>
          <w:color w:val="auto"/>
          <w:szCs w:val="21"/>
          <w:highlight w:val="none"/>
        </w:rPr>
        <w:t>。</w:t>
      </w:r>
    </w:p>
    <w:p>
      <w:pPr>
        <w:snapToGrid w:val="0"/>
        <w:spacing w:line="360" w:lineRule="auto"/>
        <w:ind w:left="512" w:leftChars="195" w:hanging="103" w:hangingChars="49"/>
        <w:rPr>
          <w:rFonts w:ascii="宋体" w:hAnsi="宋体" w:cs="宋体"/>
          <w:b/>
          <w:color w:val="auto"/>
          <w:szCs w:val="21"/>
          <w:highlight w:val="none"/>
        </w:rPr>
      </w:pPr>
      <w:r>
        <w:rPr>
          <w:rFonts w:hint="eastAsia" w:ascii="宋体" w:hAnsi="宋体" w:cs="宋体"/>
          <w:b/>
          <w:color w:val="auto"/>
          <w:szCs w:val="21"/>
          <w:highlight w:val="none"/>
        </w:rPr>
        <w:t>4.投标总报价应包含采购项目的全部费用，投标人不得再向采购人收取任何费用；</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5.报价以人民币元为单位，保留小数点后两位；</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6.投标报价要求具体见第二章“投标报价”及采购人需求要求；</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7.本表格须附在正副的投标文件中，并另封装一份在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工程量清单</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项目编号：</w:t>
      </w:r>
    </w:p>
    <w:p>
      <w:pPr>
        <w:pStyle w:val="47"/>
        <w:jc w:val="center"/>
        <w:rPr>
          <w:rFonts w:hAnsi="宋体"/>
          <w:color w:val="auto"/>
          <w:highlight w:val="none"/>
        </w:rPr>
      </w:pPr>
    </w:p>
    <w:p>
      <w:pPr>
        <w:pStyle w:val="47"/>
        <w:jc w:val="center"/>
        <w:rPr>
          <w:rFonts w:hAnsi="宋体"/>
          <w:color w:val="auto"/>
          <w:sz w:val="32"/>
          <w:szCs w:val="32"/>
          <w:highlight w:val="none"/>
        </w:rPr>
      </w:pPr>
      <w:r>
        <w:rPr>
          <w:rFonts w:hint="eastAsia" w:hAnsi="宋体"/>
          <w:color w:val="auto"/>
          <w:sz w:val="32"/>
          <w:szCs w:val="32"/>
          <w:highlight w:val="none"/>
        </w:rPr>
        <w:t>（请附上工程量清单）</w:t>
      </w:r>
    </w:p>
    <w:p>
      <w:pPr>
        <w:pStyle w:val="47"/>
        <w:jc w:val="center"/>
        <w:rPr>
          <w:rFonts w:hAnsi="宋体"/>
          <w:color w:val="auto"/>
          <w:highlight w:val="none"/>
        </w:rPr>
      </w:pPr>
    </w:p>
    <w:p>
      <w:pPr>
        <w:spacing w:line="360" w:lineRule="auto"/>
        <w:ind w:left="753" w:hanging="753" w:hangingChars="357"/>
        <w:jc w:val="left"/>
        <w:rPr>
          <w:rFonts w:ascii="宋体" w:hAnsi="宋体"/>
          <w:b/>
          <w:color w:val="auto"/>
          <w:szCs w:val="21"/>
          <w:highlight w:val="none"/>
        </w:rPr>
      </w:pPr>
    </w:p>
    <w:p>
      <w:pPr>
        <w:spacing w:line="360" w:lineRule="auto"/>
        <w:ind w:left="753" w:hanging="753" w:hangingChars="357"/>
        <w:jc w:val="left"/>
        <w:rPr>
          <w:rFonts w:ascii="宋体" w:hAnsi="宋体"/>
          <w:b/>
          <w:color w:val="auto"/>
          <w:szCs w:val="21"/>
          <w:highlight w:val="none"/>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pStyle w:val="46"/>
        <w:tabs>
          <w:tab w:val="left" w:pos="3960"/>
        </w:tabs>
        <w:spacing w:line="360" w:lineRule="auto"/>
        <w:ind w:firstLine="4330" w:firstLineChars="2062"/>
        <w:jc w:val="left"/>
        <w:rPr>
          <w:rFonts w:hAnsi="宋体"/>
          <w:color w:val="auto"/>
          <w:highlight w:val="none"/>
        </w:rPr>
      </w:pPr>
    </w:p>
    <w:p>
      <w:pPr>
        <w:pStyle w:val="47"/>
        <w:rPr>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13" w:type="default"/>
          <w:footerReference r:id="rId14" w:type="default"/>
          <w:pgSz w:w="11906" w:h="16838"/>
          <w:pgMar w:top="1134" w:right="1134" w:bottom="1134" w:left="1134" w:header="567" w:footer="737" w:gutter="0"/>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tabs>
          <w:tab w:val="left" w:pos="0"/>
        </w:tabs>
        <w:spacing w:line="360" w:lineRule="auto"/>
        <w:ind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6"/>
          <w:rFonts w:hint="eastAsia" w:ascii="宋体" w:hAnsi="宋体"/>
          <w:color w:val="auto"/>
          <w:szCs w:val="21"/>
          <w:highlight w:val="none"/>
        </w:rPr>
        <w:t>http://hzs.nd</w:t>
      </w:r>
      <w:r>
        <w:rPr>
          <w:rStyle w:val="96"/>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供应商</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供应商</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日    期： 2020年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供应商</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供应商</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供应商</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供应商</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rPr>
        <w:t>供应商</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说明：监狱企业参加政府采购活动时，应当提供由省级以上监狱管理局、戒毒管理局（含新疆生产建设兵团）出具的属于监狱企业的证明文件。</w:t>
      </w:r>
    </w:p>
    <w:p>
      <w:pPr>
        <w:pStyle w:val="6"/>
        <w:ind w:firstLine="422" w:firstLineChars="200"/>
        <w:rPr>
          <w:color w:val="auto"/>
          <w:sz w:val="21"/>
          <w:szCs w:val="21"/>
          <w:highlight w:val="none"/>
        </w:rPr>
      </w:pPr>
      <w:bookmarkStart w:id="365" w:name="OLE_LINK14"/>
      <w:bookmarkStart w:id="366" w:name="OLE_LINK13"/>
    </w:p>
    <w:p>
      <w:pPr>
        <w:pStyle w:val="6"/>
        <w:rPr>
          <w:color w:val="auto"/>
          <w:sz w:val="21"/>
          <w:szCs w:val="21"/>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6"/>
        <w:rPr>
          <w:color w:val="auto"/>
          <w:sz w:val="24"/>
          <w:szCs w:val="24"/>
          <w:highlight w:val="none"/>
        </w:rPr>
      </w:pPr>
      <w:r>
        <w:rPr>
          <w:rFonts w:hint="eastAsia"/>
          <w:b w:val="0"/>
          <w:bCs/>
          <w:color w:val="auto"/>
          <w:sz w:val="21"/>
          <w:szCs w:val="21"/>
          <w:highlight w:val="none"/>
        </w:rPr>
        <w:t>日    期： 2020年  月  日</w:t>
      </w:r>
      <w:r>
        <w:rPr>
          <w:rFonts w:hint="eastAsia"/>
          <w:color w:val="auto"/>
          <w:sz w:val="21"/>
          <w:szCs w:val="21"/>
          <w:highlight w:val="none"/>
        </w:rPr>
        <w:br w:type="page"/>
      </w:r>
      <w:bookmarkStart w:id="367" w:name="_Toc512331248"/>
    </w:p>
    <w:p>
      <w:pPr>
        <w:pStyle w:val="6"/>
        <w:rPr>
          <w:bCs/>
          <w:color w:val="auto"/>
          <w:szCs w:val="28"/>
          <w:highlight w:val="none"/>
        </w:rPr>
      </w:pPr>
      <w:r>
        <w:rPr>
          <w:rFonts w:hint="eastAsia"/>
          <w:bCs/>
          <w:color w:val="auto"/>
          <w:szCs w:val="28"/>
          <w:highlight w:val="none"/>
        </w:rPr>
        <w:t>附件12 残疾人福利性单位声明函（如适用）</w:t>
      </w:r>
      <w:bookmarkEnd w:id="367"/>
    </w:p>
    <w:p>
      <w:pPr>
        <w:rPr>
          <w:color w:val="auto"/>
          <w:highlight w:val="none"/>
        </w:rPr>
      </w:pPr>
    </w:p>
    <w:bookmarkEnd w:id="365"/>
    <w:bookmarkEnd w:id="366"/>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Cs w:val="21"/>
          <w:highlight w:val="none"/>
        </w:rPr>
      </w:pPr>
    </w:p>
    <w:p>
      <w:pPr>
        <w:spacing w:line="360" w:lineRule="auto"/>
        <w:ind w:firstLine="444" w:firstLineChars="200"/>
        <w:rPr>
          <w:rFonts w:ascii="宋体" w:hAnsi="宋体"/>
          <w:color w:val="auto"/>
          <w:spacing w:val="6"/>
          <w:szCs w:val="21"/>
          <w:highlight w:val="none"/>
        </w:rPr>
      </w:pPr>
    </w:p>
    <w:p>
      <w:pPr>
        <w:tabs>
          <w:tab w:val="left" w:pos="4860"/>
        </w:tabs>
        <w:spacing w:line="360" w:lineRule="auto"/>
        <w:ind w:firstLine="3996" w:firstLineChars="1800"/>
        <w:jc w:val="left"/>
        <w:rPr>
          <w:rFonts w:ascii="宋体" w:hAnsi="宋体"/>
          <w:color w:val="auto"/>
          <w:spacing w:val="6"/>
          <w:szCs w:val="21"/>
          <w:highlight w:val="none"/>
        </w:rPr>
      </w:pPr>
      <w:r>
        <w:rPr>
          <w:rFonts w:hint="eastAsia" w:ascii="宋体" w:hAnsi="宋体"/>
          <w:color w:val="auto"/>
          <w:spacing w:val="6"/>
          <w:szCs w:val="21"/>
          <w:highlight w:val="none"/>
        </w:rPr>
        <w:t>单位名称（盖章）：</w:t>
      </w:r>
      <w:r>
        <w:rPr>
          <w:rFonts w:hint="eastAsia" w:ascii="宋体" w:hAnsi="宋体"/>
          <w:color w:val="auto"/>
          <w:spacing w:val="6"/>
          <w:szCs w:val="21"/>
          <w:highlight w:val="none"/>
          <w:u w:val="single"/>
        </w:rPr>
        <w:t xml:space="preserve">                     </w:t>
      </w:r>
    </w:p>
    <w:p>
      <w:pPr>
        <w:tabs>
          <w:tab w:val="left" w:pos="4860"/>
        </w:tabs>
        <w:ind w:firstLine="3996" w:firstLineChars="1800"/>
        <w:jc w:val="left"/>
        <w:rPr>
          <w:rFonts w:ascii="宋体" w:hAnsi="宋体"/>
          <w:color w:val="auto"/>
          <w:spacing w:val="6"/>
          <w:szCs w:val="21"/>
          <w:highlight w:val="none"/>
        </w:rPr>
      </w:pPr>
      <w:r>
        <w:rPr>
          <w:rFonts w:hint="eastAsia" w:ascii="宋体" w:hAnsi="宋体"/>
          <w:color w:val="auto"/>
          <w:spacing w:val="6"/>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供应商基本情况表</w:t>
      </w:r>
    </w:p>
    <w:p>
      <w:pPr>
        <w:pStyle w:val="145"/>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5"/>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供应商</w:t>
      </w:r>
      <w:r>
        <w:rPr>
          <w:rFonts w:hint="eastAsia" w:ascii="宋体" w:hAnsi="宋体"/>
          <w:color w:val="auto"/>
          <w:szCs w:val="21"/>
          <w:highlight w:val="none"/>
        </w:rPr>
        <w:t>获得资质和荣誉证书复印件一览表（后附相关证书复印件加盖公章）</w:t>
      </w:r>
    </w:p>
    <w:tbl>
      <w:tblPr>
        <w:tblStyle w:val="9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368" w:name="_Toc109467914"/>
      <w:bookmarkStart w:id="369" w:name="_Toc81142098"/>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5"/>
        <w:rPr>
          <w:color w:val="auto"/>
          <w:sz w:val="21"/>
          <w:szCs w:val="21"/>
          <w:highlight w:val="none"/>
        </w:rPr>
      </w:pPr>
    </w:p>
    <w:tbl>
      <w:tblPr>
        <w:tblStyle w:val="90"/>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r>
        <w:rPr>
          <w:rFonts w:hint="eastAsia" w:ascii="宋体" w:hAnsi="宋体" w:cs="Arial"/>
          <w:b/>
          <w:color w:val="auto"/>
          <w:szCs w:val="21"/>
          <w:highlight w:val="none"/>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5"/>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供应商</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0"/>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7"/>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注：供应商对竞争性磋商文件的合同（样本）不允许实质性偏离，否则将视为不响应。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368"/>
    <w:bookmarkEnd w:id="369"/>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0"/>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注：请附上中标通知书及合同复印件作为同类业绩证明资料。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[说明]供应商应按照竞争性磋商文件的要求，根据采购人需求要求内容做出全面响应并编制服务方案。其内容应包括但不限于：</w:t>
      </w:r>
    </w:p>
    <w:p>
      <w:pPr>
        <w:spacing w:line="360" w:lineRule="auto"/>
        <w:ind w:left="420" w:leftChars="200" w:firstLine="105" w:firstLineChars="50"/>
        <w:rPr>
          <w:rFonts w:ascii="宋体" w:hAnsi="宋体"/>
          <w:bCs/>
          <w:color w:val="auto"/>
          <w:szCs w:val="21"/>
          <w:highlight w:val="none"/>
        </w:rPr>
      </w:pP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（1）对竞争性磋商文件的响应程度；</w:t>
      </w:r>
    </w:p>
    <w:p>
      <w:pPr>
        <w:spacing w:line="360" w:lineRule="auto"/>
        <w:ind w:left="420" w:leftChars="200" w:firstLine="105" w:firstLineChars="50"/>
        <w:rPr>
          <w:color w:val="auto"/>
          <w:highlight w:val="none"/>
        </w:rPr>
      </w:pPr>
      <w:r>
        <w:rPr>
          <w:rFonts w:hint="eastAsia" w:ascii="宋体" w:hAnsi="宋体"/>
          <w:bCs/>
          <w:color w:val="auto"/>
          <w:szCs w:val="21"/>
          <w:highlight w:val="none"/>
        </w:rPr>
        <w:t>（3）项目实施能力；</w:t>
      </w: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（4）项目实施计划</w:t>
      </w:r>
      <w:r>
        <w:rPr>
          <w:rFonts w:hint="eastAsia" w:ascii="宋体" w:hAnsi="宋体"/>
          <w:bCs/>
          <w:color w:val="auto"/>
          <w:szCs w:val="21"/>
          <w:highlight w:val="none"/>
          <w:lang w:eastAsia="zh-CN"/>
        </w:rPr>
        <w:t>和过往排水排污工程通过区河长办达标验收的成功经验</w:t>
      </w:r>
      <w:r>
        <w:rPr>
          <w:rFonts w:hint="eastAsia"/>
          <w:color w:val="auto"/>
          <w:highlight w:val="none"/>
          <w:lang w:eastAsia="zh-CN"/>
        </w:rPr>
        <w:t>及其竣工验收报告</w:t>
      </w:r>
      <w:r>
        <w:rPr>
          <w:rFonts w:hint="eastAsia" w:cs="宋体"/>
          <w:color w:val="auto"/>
          <w:kern w:val="0"/>
          <w:sz w:val="22"/>
          <w:szCs w:val="22"/>
          <w:highlight w:val="none"/>
        </w:rPr>
        <w:t>；</w:t>
      </w: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（5）质量控制和保障措施；</w:t>
      </w: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（6）项目施工组织计划；</w:t>
      </w: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（7）机构设立、运作流程、管理计划。</w:t>
      </w:r>
    </w:p>
    <w:p>
      <w:pPr>
        <w:pStyle w:val="2"/>
        <w:rPr>
          <w:b/>
          <w:color w:val="auto"/>
          <w:sz w:val="24"/>
          <w:highlight w:val="none"/>
        </w:rPr>
      </w:pPr>
    </w:p>
    <w:p>
      <w:pPr>
        <w:pStyle w:val="2"/>
        <w:rPr>
          <w:b/>
          <w:color w:val="auto"/>
          <w:sz w:val="24"/>
          <w:highlight w:val="none"/>
        </w:rPr>
      </w:pPr>
    </w:p>
    <w:p>
      <w:pPr>
        <w:pStyle w:val="2"/>
        <w:rPr>
          <w:b/>
          <w:color w:val="auto"/>
          <w:sz w:val="24"/>
          <w:highlight w:val="none"/>
        </w:rPr>
      </w:pPr>
    </w:p>
    <w:p>
      <w:pPr>
        <w:pStyle w:val="2"/>
        <w:rPr>
          <w:b/>
          <w:color w:val="auto"/>
          <w:sz w:val="24"/>
          <w:highlight w:val="none"/>
        </w:rPr>
      </w:pPr>
    </w:p>
    <w:p>
      <w:pPr>
        <w:pStyle w:val="2"/>
        <w:rPr>
          <w:b/>
          <w:color w:val="auto"/>
          <w:sz w:val="24"/>
          <w:highlight w:val="none"/>
        </w:rPr>
      </w:pPr>
    </w:p>
    <w:p>
      <w:pPr>
        <w:pStyle w:val="2"/>
        <w:rPr>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我方如违约，愿凭贵公司开出的违约通知，按上述承诺金额的200％在采购人与我方签订的采购合同款项中扣付，并在此同意和要求采购人（应广州市信怡招标代理有限公司的要求）办理支付手续。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rPr>
        <w:t>2020年  月  日</w:t>
      </w:r>
    </w:p>
    <w:p>
      <w:pPr>
        <w:pStyle w:val="46"/>
        <w:spacing w:line="360" w:lineRule="auto"/>
        <w:jc w:val="right"/>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附件19 拟派本项目负责人及主要人员情况表</w:t>
      </w:r>
    </w:p>
    <w:p>
      <w:pPr>
        <w:spacing w:line="360" w:lineRule="auto"/>
        <w:rPr>
          <w:rFonts w:ascii="宋体" w:hAnsi="宋体" w:cs="Tahoma"/>
          <w:color w:val="auto"/>
          <w:kern w:val="28"/>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 xml:space="preserve">：                                         </w:t>
      </w:r>
    </w:p>
    <w:p>
      <w:pPr>
        <w:spacing w:line="360" w:lineRule="auto"/>
        <w:rPr>
          <w:bCs/>
          <w:color w:val="auto"/>
          <w:szCs w:val="21"/>
          <w:highlight w:val="none"/>
        </w:rPr>
      </w:pPr>
      <w:r>
        <w:rPr>
          <w:rFonts w:hint="eastAsia" w:cs="Tahoma"/>
          <w:color w:val="auto"/>
          <w:szCs w:val="21"/>
          <w:highlight w:val="none"/>
        </w:rPr>
        <w:t>项目编号：</w:t>
      </w:r>
    </w:p>
    <w:tbl>
      <w:tblPr>
        <w:tblStyle w:val="9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9"/>
              <w:widowControl w:val="0"/>
              <w:pBdr>
                <w:bottom w:val="none" w:color="auto" w:sz="0" w:space="0"/>
                <w:right w:val="none" w:color="auto" w:sz="0" w:space="0"/>
              </w:pBdr>
              <w:spacing w:before="0" w:beforeAutospacing="0" w:after="0" w:afterAutospacing="0" w:line="360" w:lineRule="auto"/>
              <w:jc w:val="both"/>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从事</w:t>
            </w:r>
            <w:r>
              <w:rPr>
                <w:rFonts w:asciiTheme="minorEastAsia" w:hAnsiTheme="minorEastAsia" w:eastAsiaTheme="minorEastAsia" w:cstheme="minorEastAsia"/>
                <w:color w:val="auto"/>
                <w:sz w:val="21"/>
                <w:szCs w:val="21"/>
                <w:highlight w:val="none"/>
              </w:rPr>
              <w:t>同类</w:t>
            </w:r>
            <w:r>
              <w:rPr>
                <w:rFonts w:asciiTheme="minorEastAsia" w:hAnsiTheme="minorEastAsia" w:eastAsiaTheme="minorEastAsia" w:cstheme="min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成果质量</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注：1.在合同执行期间，成交供应商须设立项目负责人和专业专职的主要技术及服务人员，并在上表中列明；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2.需附上上表所列人员的证明材料文件。</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附件20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7</w:t>
            </w:r>
          </w:p>
        </w:tc>
        <w:tc>
          <w:tcPr>
            <w:tcW w:w="4952" w:type="dxa"/>
            <w:tcBorders>
              <w:left w:val="single" w:color="000000"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bCs/>
                <w:color w:val="auto"/>
                <w:szCs w:val="20"/>
                <w:highlight w:val="none"/>
              </w:rPr>
              <w:t>供应商须具有承接本工程所需的</w:t>
            </w:r>
            <w:r>
              <w:rPr>
                <w:rFonts w:hint="eastAsia" w:ascii="宋体" w:hAnsi="宋体" w:cs="宋体"/>
                <w:bCs/>
                <w:color w:val="auto"/>
                <w:szCs w:val="20"/>
                <w:highlight w:val="none"/>
                <w:lang w:eastAsia="zh-CN"/>
              </w:rPr>
              <w:t>市政公用工程</w:t>
            </w:r>
            <w:r>
              <w:rPr>
                <w:rFonts w:hint="eastAsia" w:ascii="宋体" w:hAnsi="宋体" w:cs="宋体"/>
                <w:bCs/>
                <w:color w:val="auto"/>
                <w:szCs w:val="20"/>
                <w:highlight w:val="none"/>
              </w:rPr>
              <w:t>施工总承包叁级（或以上级别）资质</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8</w:t>
            </w:r>
          </w:p>
        </w:tc>
        <w:tc>
          <w:tcPr>
            <w:tcW w:w="4952" w:type="dxa"/>
            <w:tcBorders>
              <w:left w:val="single" w:color="000000" w:sz="4" w:space="0"/>
            </w:tcBorders>
            <w:vAlign w:val="center"/>
          </w:tcPr>
          <w:p>
            <w:pPr>
              <w:widowControl/>
              <w:snapToGrid w:val="0"/>
              <w:rPr>
                <w:rFonts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9</w:t>
            </w:r>
          </w:p>
        </w:tc>
        <w:tc>
          <w:tcPr>
            <w:tcW w:w="4952" w:type="dxa"/>
            <w:tcBorders>
              <w:left w:val="single" w:color="000000"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w:t>
            </w:r>
            <w:r>
              <w:rPr>
                <w:rFonts w:hint="eastAsia" w:ascii="宋体" w:hAnsi="宋体"/>
                <w:color w:val="auto"/>
                <w:highlight w:val="none"/>
                <w:lang w:eastAsia="zh-CN"/>
              </w:rPr>
              <w:t>市政公用工程</w:t>
            </w:r>
            <w:r>
              <w:rPr>
                <w:rFonts w:hint="eastAsia" w:ascii="宋体" w:hAnsi="宋体"/>
                <w:color w:val="auto"/>
                <w:highlight w:val="none"/>
              </w:rPr>
              <w:t>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11</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★本项目不接受联合体投标。【提供书面承诺证明材料】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说明：1、供应商必须对应竞争性磋商文件的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286"/>
      <w:bookmarkEnd w:id="345"/>
      <w:bookmarkEnd w:id="346"/>
      <w:bookmarkEnd w:id="347"/>
      <w:bookmarkEnd w:id="348"/>
      <w:bookmarkEnd w:id="349"/>
      <w:bookmarkEnd w:id="351"/>
      <w:bookmarkEnd w:id="352"/>
      <w:bookmarkEnd w:id="353"/>
      <w:bookmarkEnd w:id="354"/>
      <w:bookmarkEnd w:id="355"/>
      <w:bookmarkEnd w:id="356"/>
      <w:bookmarkEnd w:id="357"/>
      <w:bookmarkEnd w:id="358"/>
      <w:bookmarkEnd w:id="359"/>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pStyle w:val="2"/>
        <w:rPr>
          <w:bCs/>
          <w:color w:val="auto"/>
          <w:szCs w:val="21"/>
          <w:highlight w:val="none"/>
        </w:rPr>
      </w:pPr>
    </w:p>
    <w:p>
      <w:pPr>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附件21   ▲条款响应一览表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kern w:val="28"/>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项目编号：</w:t>
      </w:r>
    </w:p>
    <w:tbl>
      <w:tblPr>
        <w:tblStyle w:val="9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996"/>
        <w:gridCol w:w="1729"/>
        <w:gridCol w:w="174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996" w:type="dxa"/>
            <w:tcBorders>
              <w:left w:val="single" w:color="000000" w:sz="4" w:space="0"/>
            </w:tcBorders>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带“▲”号响应内容</w:t>
            </w:r>
          </w:p>
        </w:tc>
        <w:tc>
          <w:tcPr>
            <w:tcW w:w="1729"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749"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偏离说明</w:t>
            </w:r>
          </w:p>
        </w:tc>
        <w:tc>
          <w:tcPr>
            <w:tcW w:w="1253"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1</w:t>
            </w:r>
          </w:p>
        </w:tc>
        <w:tc>
          <w:tcPr>
            <w:tcW w:w="3996" w:type="dxa"/>
            <w:tcBorders>
              <w:left w:val="single" w:color="000000" w:sz="4" w:space="0"/>
            </w:tcBorders>
          </w:tcPr>
          <w:p>
            <w:pPr>
              <w:widowControl/>
              <w:spacing w:line="280" w:lineRule="exact"/>
              <w:jc w:val="left"/>
              <w:rPr>
                <w:rFonts w:ascii="宋体" w:hAnsi="宋体" w:cs="宋体"/>
                <w:color w:val="auto"/>
                <w:szCs w:val="21"/>
                <w:highlight w:val="none"/>
              </w:rPr>
            </w:pPr>
          </w:p>
        </w:tc>
        <w:tc>
          <w:tcPr>
            <w:tcW w:w="1729" w:type="dxa"/>
            <w:vAlign w:val="center"/>
          </w:tcPr>
          <w:p>
            <w:pPr>
              <w:spacing w:before="240" w:line="360" w:lineRule="auto"/>
              <w:ind w:left="902" w:hanging="902"/>
              <w:jc w:val="center"/>
              <w:rPr>
                <w:rFonts w:ascii="宋体" w:hAnsi="宋体" w:cs="宋体"/>
                <w:color w:val="auto"/>
                <w:szCs w:val="21"/>
                <w:highlight w:val="none"/>
              </w:rPr>
            </w:pPr>
          </w:p>
        </w:tc>
        <w:tc>
          <w:tcPr>
            <w:tcW w:w="1749" w:type="dxa"/>
            <w:vAlign w:val="center"/>
          </w:tcPr>
          <w:p>
            <w:pPr>
              <w:spacing w:before="240" w:line="360" w:lineRule="auto"/>
              <w:ind w:left="902" w:hanging="902"/>
              <w:jc w:val="center"/>
              <w:rPr>
                <w:rFonts w:ascii="宋体" w:hAnsi="宋体" w:cs="宋体"/>
                <w:color w:val="auto"/>
                <w:szCs w:val="21"/>
                <w:highlight w:val="none"/>
              </w:rPr>
            </w:pPr>
          </w:p>
        </w:tc>
        <w:tc>
          <w:tcPr>
            <w:tcW w:w="1253"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2</w:t>
            </w:r>
          </w:p>
        </w:tc>
        <w:tc>
          <w:tcPr>
            <w:tcW w:w="3996" w:type="dxa"/>
            <w:tcBorders>
              <w:left w:val="single" w:color="000000" w:sz="4" w:space="0"/>
            </w:tcBorders>
          </w:tcPr>
          <w:p>
            <w:pPr>
              <w:widowControl/>
              <w:spacing w:line="280" w:lineRule="exact"/>
              <w:jc w:val="left"/>
              <w:rPr>
                <w:rFonts w:ascii="宋体" w:hAnsi="宋体" w:cs="宋体"/>
                <w:color w:val="auto"/>
                <w:szCs w:val="21"/>
                <w:highlight w:val="none"/>
              </w:rPr>
            </w:pPr>
          </w:p>
        </w:tc>
        <w:tc>
          <w:tcPr>
            <w:tcW w:w="1729" w:type="dxa"/>
            <w:vAlign w:val="center"/>
          </w:tcPr>
          <w:p>
            <w:pPr>
              <w:spacing w:before="240" w:line="360" w:lineRule="auto"/>
              <w:ind w:left="902" w:hanging="902"/>
              <w:jc w:val="center"/>
              <w:rPr>
                <w:rFonts w:ascii="宋体" w:hAnsi="宋体" w:cs="宋体"/>
                <w:color w:val="auto"/>
                <w:szCs w:val="21"/>
                <w:highlight w:val="none"/>
              </w:rPr>
            </w:pPr>
          </w:p>
        </w:tc>
        <w:tc>
          <w:tcPr>
            <w:tcW w:w="1749" w:type="dxa"/>
            <w:vAlign w:val="center"/>
          </w:tcPr>
          <w:p>
            <w:pPr>
              <w:spacing w:before="240" w:line="360" w:lineRule="auto"/>
              <w:ind w:left="902" w:hanging="902"/>
              <w:jc w:val="center"/>
              <w:rPr>
                <w:rFonts w:ascii="宋体" w:hAnsi="宋体" w:cs="宋体"/>
                <w:color w:val="auto"/>
                <w:szCs w:val="21"/>
                <w:highlight w:val="none"/>
              </w:rPr>
            </w:pPr>
          </w:p>
        </w:tc>
        <w:tc>
          <w:tcPr>
            <w:tcW w:w="1253"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3</w:t>
            </w:r>
          </w:p>
        </w:tc>
        <w:tc>
          <w:tcPr>
            <w:tcW w:w="3996" w:type="dxa"/>
            <w:tcBorders>
              <w:left w:val="single" w:color="000000" w:sz="4" w:space="0"/>
            </w:tcBorders>
          </w:tcPr>
          <w:p>
            <w:pPr>
              <w:widowControl/>
              <w:spacing w:line="280" w:lineRule="exact"/>
              <w:jc w:val="left"/>
              <w:rPr>
                <w:rFonts w:ascii="宋体" w:hAnsi="宋体" w:cs="宋体"/>
                <w:color w:val="auto"/>
                <w:szCs w:val="21"/>
                <w:highlight w:val="none"/>
              </w:rPr>
            </w:pPr>
          </w:p>
        </w:tc>
        <w:tc>
          <w:tcPr>
            <w:tcW w:w="1729" w:type="dxa"/>
            <w:vAlign w:val="center"/>
          </w:tcPr>
          <w:p>
            <w:pPr>
              <w:spacing w:before="240" w:line="360" w:lineRule="auto"/>
              <w:ind w:left="902" w:hanging="902"/>
              <w:jc w:val="center"/>
              <w:rPr>
                <w:rFonts w:ascii="宋体" w:hAnsi="宋体" w:cs="宋体"/>
                <w:color w:val="auto"/>
                <w:szCs w:val="21"/>
                <w:highlight w:val="none"/>
              </w:rPr>
            </w:pPr>
          </w:p>
        </w:tc>
        <w:tc>
          <w:tcPr>
            <w:tcW w:w="1749" w:type="dxa"/>
            <w:vAlign w:val="center"/>
          </w:tcPr>
          <w:p>
            <w:pPr>
              <w:spacing w:before="240" w:line="360" w:lineRule="auto"/>
              <w:ind w:left="902" w:hanging="902"/>
              <w:jc w:val="center"/>
              <w:rPr>
                <w:rFonts w:ascii="宋体" w:hAnsi="宋体" w:cs="宋体"/>
                <w:color w:val="auto"/>
                <w:szCs w:val="21"/>
                <w:highlight w:val="none"/>
              </w:rPr>
            </w:pPr>
          </w:p>
        </w:tc>
        <w:tc>
          <w:tcPr>
            <w:tcW w:w="1253"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4</w:t>
            </w:r>
          </w:p>
        </w:tc>
        <w:tc>
          <w:tcPr>
            <w:tcW w:w="3996" w:type="dxa"/>
            <w:tcBorders>
              <w:left w:val="single" w:color="000000" w:sz="4" w:space="0"/>
            </w:tcBorders>
          </w:tcPr>
          <w:p>
            <w:pPr>
              <w:widowControl/>
              <w:spacing w:line="280" w:lineRule="exact"/>
              <w:jc w:val="left"/>
              <w:rPr>
                <w:rFonts w:ascii="宋体" w:hAnsi="宋体" w:cs="宋体"/>
                <w:color w:val="auto"/>
                <w:szCs w:val="21"/>
                <w:highlight w:val="none"/>
              </w:rPr>
            </w:pPr>
          </w:p>
        </w:tc>
        <w:tc>
          <w:tcPr>
            <w:tcW w:w="1729" w:type="dxa"/>
            <w:vAlign w:val="center"/>
          </w:tcPr>
          <w:p>
            <w:pPr>
              <w:spacing w:before="240" w:line="360" w:lineRule="auto"/>
              <w:ind w:left="902" w:hanging="902"/>
              <w:jc w:val="center"/>
              <w:rPr>
                <w:rFonts w:ascii="宋体" w:hAnsi="宋体" w:cs="宋体"/>
                <w:color w:val="auto"/>
                <w:szCs w:val="21"/>
                <w:highlight w:val="none"/>
              </w:rPr>
            </w:pPr>
          </w:p>
        </w:tc>
        <w:tc>
          <w:tcPr>
            <w:tcW w:w="1749" w:type="dxa"/>
            <w:vAlign w:val="center"/>
          </w:tcPr>
          <w:p>
            <w:pPr>
              <w:spacing w:before="240" w:line="360" w:lineRule="auto"/>
              <w:ind w:left="902" w:hanging="902"/>
              <w:jc w:val="center"/>
              <w:rPr>
                <w:rFonts w:ascii="宋体" w:hAnsi="宋体" w:cs="宋体"/>
                <w:color w:val="auto"/>
                <w:szCs w:val="21"/>
                <w:highlight w:val="none"/>
              </w:rPr>
            </w:pPr>
          </w:p>
        </w:tc>
        <w:tc>
          <w:tcPr>
            <w:tcW w:w="1253"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5</w:t>
            </w:r>
          </w:p>
        </w:tc>
        <w:tc>
          <w:tcPr>
            <w:tcW w:w="3996" w:type="dxa"/>
            <w:tcBorders>
              <w:left w:val="single" w:color="000000" w:sz="4" w:space="0"/>
            </w:tcBorders>
          </w:tcPr>
          <w:p>
            <w:pPr>
              <w:widowControl/>
              <w:spacing w:line="280" w:lineRule="exact"/>
              <w:jc w:val="left"/>
              <w:rPr>
                <w:rFonts w:ascii="宋体" w:hAnsi="宋体" w:cs="宋体"/>
                <w:color w:val="auto"/>
                <w:szCs w:val="21"/>
                <w:highlight w:val="none"/>
              </w:rPr>
            </w:pPr>
          </w:p>
        </w:tc>
        <w:tc>
          <w:tcPr>
            <w:tcW w:w="1729" w:type="dxa"/>
            <w:vAlign w:val="center"/>
          </w:tcPr>
          <w:p>
            <w:pPr>
              <w:spacing w:before="240" w:line="360" w:lineRule="auto"/>
              <w:ind w:left="902" w:hanging="902"/>
              <w:jc w:val="center"/>
              <w:rPr>
                <w:rFonts w:ascii="宋体" w:hAnsi="宋体" w:cs="宋体"/>
                <w:color w:val="auto"/>
                <w:szCs w:val="21"/>
                <w:highlight w:val="none"/>
              </w:rPr>
            </w:pPr>
          </w:p>
        </w:tc>
        <w:tc>
          <w:tcPr>
            <w:tcW w:w="1749" w:type="dxa"/>
            <w:vAlign w:val="center"/>
          </w:tcPr>
          <w:p>
            <w:pPr>
              <w:spacing w:before="240" w:line="360" w:lineRule="auto"/>
              <w:ind w:left="902" w:hanging="902"/>
              <w:jc w:val="center"/>
              <w:rPr>
                <w:rFonts w:ascii="宋体" w:hAnsi="宋体" w:cs="宋体"/>
                <w:color w:val="auto"/>
                <w:szCs w:val="21"/>
                <w:highlight w:val="none"/>
              </w:rPr>
            </w:pPr>
          </w:p>
        </w:tc>
        <w:tc>
          <w:tcPr>
            <w:tcW w:w="1253"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6</w:t>
            </w:r>
          </w:p>
        </w:tc>
        <w:tc>
          <w:tcPr>
            <w:tcW w:w="3996" w:type="dxa"/>
            <w:tcBorders>
              <w:left w:val="single" w:color="000000" w:sz="4" w:space="0"/>
            </w:tcBorders>
          </w:tcPr>
          <w:p>
            <w:pPr>
              <w:widowControl/>
              <w:spacing w:line="280" w:lineRule="exact"/>
              <w:jc w:val="left"/>
              <w:rPr>
                <w:rFonts w:ascii="宋体" w:hAnsi="宋体" w:cs="宋体"/>
                <w:color w:val="auto"/>
                <w:szCs w:val="21"/>
                <w:highlight w:val="none"/>
              </w:rPr>
            </w:pPr>
          </w:p>
        </w:tc>
        <w:tc>
          <w:tcPr>
            <w:tcW w:w="1729" w:type="dxa"/>
            <w:vAlign w:val="center"/>
          </w:tcPr>
          <w:p>
            <w:pPr>
              <w:spacing w:before="240" w:line="360" w:lineRule="auto"/>
              <w:ind w:left="902" w:hanging="902"/>
              <w:jc w:val="center"/>
              <w:rPr>
                <w:rFonts w:ascii="宋体" w:hAnsi="宋体" w:cs="宋体"/>
                <w:color w:val="auto"/>
                <w:szCs w:val="21"/>
                <w:highlight w:val="none"/>
              </w:rPr>
            </w:pPr>
          </w:p>
        </w:tc>
        <w:tc>
          <w:tcPr>
            <w:tcW w:w="1749" w:type="dxa"/>
            <w:vAlign w:val="center"/>
          </w:tcPr>
          <w:p>
            <w:pPr>
              <w:spacing w:before="240" w:line="360" w:lineRule="auto"/>
              <w:ind w:left="902" w:hanging="902"/>
              <w:jc w:val="center"/>
              <w:rPr>
                <w:rFonts w:ascii="宋体" w:hAnsi="宋体" w:cs="宋体"/>
                <w:color w:val="auto"/>
                <w:szCs w:val="21"/>
                <w:highlight w:val="none"/>
              </w:rPr>
            </w:pPr>
          </w:p>
        </w:tc>
        <w:tc>
          <w:tcPr>
            <w:tcW w:w="1253"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7</w:t>
            </w:r>
          </w:p>
        </w:tc>
        <w:tc>
          <w:tcPr>
            <w:tcW w:w="3996" w:type="dxa"/>
            <w:tcBorders>
              <w:left w:val="single" w:color="000000" w:sz="4" w:space="0"/>
            </w:tcBorders>
          </w:tcPr>
          <w:p>
            <w:pPr>
              <w:widowControl/>
              <w:spacing w:line="280" w:lineRule="exact"/>
              <w:jc w:val="left"/>
              <w:rPr>
                <w:rFonts w:ascii="宋体" w:hAnsi="宋体" w:cs="宋体"/>
                <w:color w:val="auto"/>
                <w:szCs w:val="21"/>
                <w:highlight w:val="none"/>
              </w:rPr>
            </w:pPr>
          </w:p>
        </w:tc>
        <w:tc>
          <w:tcPr>
            <w:tcW w:w="1729" w:type="dxa"/>
            <w:vAlign w:val="center"/>
          </w:tcPr>
          <w:p>
            <w:pPr>
              <w:spacing w:before="240" w:line="360" w:lineRule="auto"/>
              <w:ind w:left="902" w:hanging="902"/>
              <w:jc w:val="center"/>
              <w:rPr>
                <w:rFonts w:ascii="宋体" w:hAnsi="宋体" w:cs="宋体"/>
                <w:color w:val="auto"/>
                <w:szCs w:val="21"/>
                <w:highlight w:val="none"/>
              </w:rPr>
            </w:pPr>
          </w:p>
        </w:tc>
        <w:tc>
          <w:tcPr>
            <w:tcW w:w="1749" w:type="dxa"/>
            <w:vAlign w:val="center"/>
          </w:tcPr>
          <w:p>
            <w:pPr>
              <w:spacing w:before="240" w:line="360" w:lineRule="auto"/>
              <w:ind w:left="902" w:hanging="902"/>
              <w:jc w:val="center"/>
              <w:rPr>
                <w:rFonts w:ascii="宋体" w:hAnsi="宋体" w:cs="宋体"/>
                <w:color w:val="auto"/>
                <w:szCs w:val="21"/>
                <w:highlight w:val="none"/>
              </w:rPr>
            </w:pPr>
          </w:p>
        </w:tc>
        <w:tc>
          <w:tcPr>
            <w:tcW w:w="1253"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8</w:t>
            </w:r>
          </w:p>
        </w:tc>
        <w:tc>
          <w:tcPr>
            <w:tcW w:w="3996" w:type="dxa"/>
            <w:tcBorders>
              <w:left w:val="single" w:color="000000" w:sz="4" w:space="0"/>
            </w:tcBorders>
          </w:tcPr>
          <w:p>
            <w:pPr>
              <w:widowControl/>
              <w:spacing w:line="280" w:lineRule="exact"/>
              <w:jc w:val="left"/>
              <w:rPr>
                <w:rFonts w:ascii="宋体" w:hAnsi="宋体" w:cs="宋体"/>
                <w:color w:val="auto"/>
                <w:szCs w:val="21"/>
                <w:highlight w:val="none"/>
              </w:rPr>
            </w:pPr>
          </w:p>
        </w:tc>
        <w:tc>
          <w:tcPr>
            <w:tcW w:w="1729" w:type="dxa"/>
            <w:vAlign w:val="center"/>
          </w:tcPr>
          <w:p>
            <w:pPr>
              <w:spacing w:before="240" w:line="360" w:lineRule="auto"/>
              <w:ind w:left="902" w:hanging="902"/>
              <w:jc w:val="center"/>
              <w:rPr>
                <w:rFonts w:ascii="宋体" w:hAnsi="宋体" w:cs="宋体"/>
                <w:color w:val="auto"/>
                <w:szCs w:val="21"/>
                <w:highlight w:val="none"/>
              </w:rPr>
            </w:pPr>
          </w:p>
        </w:tc>
        <w:tc>
          <w:tcPr>
            <w:tcW w:w="1749" w:type="dxa"/>
            <w:vAlign w:val="center"/>
          </w:tcPr>
          <w:p>
            <w:pPr>
              <w:spacing w:before="240" w:line="360" w:lineRule="auto"/>
              <w:ind w:left="902" w:hanging="902"/>
              <w:jc w:val="center"/>
              <w:rPr>
                <w:rFonts w:ascii="宋体" w:hAnsi="宋体" w:cs="宋体"/>
                <w:color w:val="auto"/>
                <w:szCs w:val="21"/>
                <w:highlight w:val="none"/>
              </w:rPr>
            </w:pPr>
          </w:p>
        </w:tc>
        <w:tc>
          <w:tcPr>
            <w:tcW w:w="1253" w:type="dxa"/>
            <w:vAlign w:val="center"/>
          </w:tcPr>
          <w:p>
            <w:pPr>
              <w:spacing w:before="240" w:line="360" w:lineRule="auto"/>
              <w:ind w:left="902" w:hanging="902"/>
              <w:jc w:val="center"/>
              <w:rPr>
                <w:rFonts w:ascii="宋体" w:hAnsi="宋体" w:cs="宋体"/>
                <w:color w:val="auto"/>
                <w:szCs w:val="21"/>
                <w:highlight w:val="none"/>
              </w:rPr>
            </w:pPr>
          </w:p>
        </w:tc>
      </w:tr>
    </w:tbl>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说明：1、投标人必须对应竞争性磋商文件的 “</w:t>
      </w:r>
      <w:r>
        <w:rPr>
          <w:rFonts w:hint="eastAsia" w:ascii="宋体" w:hAnsi="宋体" w:cs="宋体"/>
          <w:color w:val="auto"/>
          <w:szCs w:val="21"/>
          <w:highlight w:val="none"/>
        </w:rPr>
        <w:t>▲</w:t>
      </w:r>
      <w:r>
        <w:rPr>
          <w:rFonts w:hint="eastAsia" w:ascii="宋体" w:hAnsi="宋体" w:cs="宋体"/>
          <w:b/>
          <w:bCs/>
          <w:color w:val="auto"/>
          <w:szCs w:val="21"/>
          <w:highlight w:val="none"/>
        </w:rPr>
        <w:t>”号条款逐条应答并按要求填写下表。</w:t>
      </w:r>
    </w:p>
    <w:p>
      <w:pPr>
        <w:rPr>
          <w:rFonts w:ascii="宋体" w:hAnsi="宋体" w:cs="宋体"/>
          <w:b/>
          <w:bCs/>
          <w:color w:val="auto"/>
          <w:kern w:val="0"/>
          <w:sz w:val="24"/>
          <w:highlight w:val="none"/>
        </w:rPr>
      </w:pPr>
      <w:r>
        <w:rPr>
          <w:rFonts w:hint="eastAsia" w:ascii="宋体" w:hAnsi="宋体" w:cs="宋体"/>
          <w:b/>
          <w:bCs/>
          <w:color w:val="auto"/>
          <w:szCs w:val="21"/>
          <w:highlight w:val="none"/>
        </w:rPr>
        <w:t>2、对完全响应的条目在下表相应列中标注“○”。对有偏离的条目在下表相应列中标注“×”，并简述偏离内容。</w:t>
      </w: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投标人全称（加盖公章）:</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法定代表或其授权代表(</w:t>
      </w:r>
      <w:r>
        <w:rPr>
          <w:rFonts w:hint="eastAsia" w:ascii="宋体" w:hAnsi="宋体" w:cs="宋体"/>
          <w:color w:val="auto"/>
          <w:szCs w:val="21"/>
          <w:highlight w:val="none"/>
        </w:rPr>
        <w:t>签字或签章</w:t>
      </w:r>
      <w:r>
        <w:rPr>
          <w:rFonts w:hint="eastAsia" w:ascii="宋体" w:hAnsi="宋体" w:cs="宋体"/>
          <w:bCs/>
          <w:color w:val="auto"/>
          <w:szCs w:val="21"/>
          <w:highlight w:val="none"/>
        </w:rPr>
        <w:t>)：</w:t>
      </w:r>
    </w:p>
    <w:p>
      <w:pPr>
        <w:rPr>
          <w:rFonts w:ascii="宋体" w:hAnsi="宋体"/>
          <w:b/>
          <w:bCs/>
          <w:color w:val="auto"/>
          <w:kern w:val="0"/>
          <w:sz w:val="28"/>
          <w:szCs w:val="28"/>
          <w:highlight w:val="none"/>
        </w:rPr>
      </w:pPr>
      <w:r>
        <w:rPr>
          <w:rFonts w:hint="eastAsia" w:ascii="宋体" w:hAnsi="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附件22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供应商</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3</w:t>
      </w:r>
      <w:r>
        <w:rPr>
          <w:rFonts w:hint="eastAsia" w:ascii="宋体" w:hAnsi="宋体"/>
          <w:b/>
          <w:bCs/>
          <w:color w:val="auto"/>
          <w:kern w:val="0"/>
          <w:sz w:val="28"/>
          <w:szCs w:val="28"/>
          <w:highlight w:val="none"/>
        </w:rPr>
        <w:t xml:space="preserve">  供应商认为有必要说明的其他文件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bookmarkEnd w:id="370"/>
    <w:sectPr>
      <w:pgSz w:w="11906" w:h="16838"/>
      <w:pgMar w:top="567" w:right="1304" w:bottom="567" w:left="1361"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mACgsCAAAWBAAADgAAAGRycy9lMm9Eb2MueG1srVNLbtswEN0X6B0I&#10;7mvZRhEYguUgieGiQPoB0h6AoiiLqMghhrQl9wDtDbrqpvuey+fIkLKcNN1kkQ0xnM+beY/D5WVv&#10;WrZX6DXYgs8mU86UlVBpuy341y+bNwvOfBC2Ei1YVfCD8vxy9frVsnO5mkMDbaWQEYj1eecK3oTg&#10;8izzslFG+Ak4ZSlYAxoR6IrbrELREbpps/l0epF1gJVDkMp78q6HID8h4nMAoa61VGuQO6NsGFBR&#10;tSIQJd9o5/kqTVvXSoZPde1VYG3BiWlIJzUhu4xntlqKfIvCNVqeRhDPGeEJJyO0paZnqLUIgu1Q&#10;/wdltETwUIeJBJMNRJIixGI2faLNXSOcSlxIau/OovuXg5Uf95+R6argb2cXnFlh6MmPv34ef/89&#10;/vnBopMk6pzPKfPOUW7or6GnxUl0vbsF+c0zCzeNsFt1hQhdo0RFI85iZfaodMDxEaTsPkBFncQu&#10;QALqazRRP1KEETo9z+H8PKoPTMaWi/liMaWQpNh4iT1EPpY79OGdAsOiUXCk90/wYn/rw5A6psRu&#10;Fja6bckv8tb+4yDMwaPSEp2qI5k4/8Ak9GVPtdFZQnUgWgjDgtH3IqMB/M5ZR8tVcEt/ibP2vSVh&#10;4h6OBo5GORrCSioseOBsMG/CsK87h3rbEO4o/RWJt9GJ1sMMJ8lpXZIwp9WO+/j4nrIevvPq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BlKYAKCwIAABYEAAAOAAAAAAAAAAEAIAAAAB4BAABk&#10;cnMvZTJvRG9jLnhtbFBLBQYAAAAABgAGAFkBAACb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Bo31yEAIAABQEAAAOAAAAZHJzL2Uyb0RvYy54bWytU82O0zAQviPx&#10;DpbvNOmyRShqulq2KkJafqSFB3Adp7GIPdbYbVIeAN6AExfuPFefg7GTlGW57IFLNLFnvpnvm8/L&#10;q9607KDQa7Aln89yzpSVUGm7K/mnj5tnLznzQdhKtGBVyY/K86vV0yfLzhXqAhpoK4WMQKwvOlfy&#10;JgRXZJmXjTLCz8ApS5c1oBGBfnGXVSg6QjdtdpHnL7IOsHIIUnlPp+vhko+I+BhAqGst1Rrk3igb&#10;BlRUrQhEyTfaeb5K09a1kuF9XXsVWFtyYhrSl5pQvI3fbLUUxQ6Fa7QcRxCPGeEBJyO0paZnqLUI&#10;gu1R/wNltETwUIeZBJMNRJIixGKeP9DmrhFOJS4ktXdn0f3/g5XvDh+Q6arkl/MFZ1YYWvnp+7fT&#10;j1+nn19ZPCSJOucLyrxzlBv6V9CTcRJd725BfvbMwk0j7E5dI0LXKFHRiPNYmd0rHXB8BNl2b6Gi&#10;TmIfIAH1NZqoHynCCJ3WczyvR/WBydgyf77IaUhJV/PFxWWe1peJYip26MNrBYbFoORI20/g4nDr&#10;QxxGFFNK7GVho9s2OaC1fx1Q4nCikoXG6kglTj/wCP22H6XZQnUkUgiDvehxUdAAfuGsI2uV3NJL&#10;4qx9Y0mW6MIpwCnYToGwkgpLHjgbwpswuHXvUO8awp2EvybpNjrRioMNM4yCk1kS29HY0Y33/1PW&#10;n8e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VaaY0QAAAAMBAAAPAAAAAAAAAAEAIAAAACIA&#10;AABkcnMvZG93bnJldi54bWxQSwECFAAUAAAACACHTuJAQaN9chACAAAUBAAADgAAAAAAAAABACAA&#10;AAAgAQAAZHJzL2Uyb0RvYy54bWxQSwUGAAAAAAYABgBZAQAAogU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EJ8d5EAIAABQEAAAOAAAAZHJzL2Uyb0RvYy54bWytU82O0zAQviPx&#10;DpbvNGlpEYqarpatipCWH2nhAVzHSSwSjzV2m5QHgDfgxIU7z9XnYOwkZVkue+ASTeyZb+b75vP6&#10;qm8bdlToNJicz2cpZ8pIKLSpcv7p4+7ZS86cF6YQDRiV85Ny/Grz9Mm6s5laQA1NoZARiHFZZ3Ne&#10;e2+zJHGyVq1wM7DK0GUJ2ApPv1glBYqO0NsmWaTpi6QDLCyCVM7R6Xa45CMiPgYQylJLtQV5aJXx&#10;AyqqRnii5GptHd/EactSSf++LJ3yrMk5MfXxS00o3odvslmLrEJhay3HEcRjRnjAqRXaUNML1FZ4&#10;wQ6o/4FqtURwUPqZhDYZiERFiMU8faDNXS2silxIamcvorv/ByvfHT8g00XOl/MlZ0a0tPLz92/n&#10;H7/OP7+ycEgSddZllHlnKdf3r6An40S6zt6C/OyYgZtamEpdI0JXK1HQiPNQmdwrHXBcANl3b6Gg&#10;TuLgIQL1JbZBP1KEETqt53RZj+o9k6Fl+nyVrjiTdDVfLZZpXF8isqnYovOvFbQsBDlH2n4EF8db&#10;58MwIptSQi8DO9000QGN+euAEocTFS00VgcqYfqBh+/3/SjNHooTkUIY7EWPi4Ia8AtnHVkr54Ze&#10;EmfNG0OyBBdOAU7BfgqEkVSYc8/ZEN74wa0Hi7qqCXcS/pqk2+lIKww2zDAKTmaJbEdjBzfe/49Z&#10;fx7z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VaaY0QAAAAMBAAAPAAAAAAAAAAEAIAAAACIA&#10;AABkcnMvZG93bnJldi54bWxQSwECFAAUAAAACACHTuJAxCfHeRACAAAUBAAADgAAAAAAAAABACAA&#10;AAAgAQAAZHJzL2Uyb0RvYy54bWxQSwUGAAAAAAYABgBZAQAAogU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4G2ewsCAAAWBAAADgAAAGRycy9lMm9Eb2MueG1srVNLbtswEN0X6B0I&#10;7mvZblEYguUgjeGiQPoB0h6ApiiLqMghhrQl9wDtDbrqpvucy+fokJKcNNlkkQ0xnM+beY/D5UVn&#10;GnZQ6DXYgs8mU86UlVBquyv4t6+bVwvOfBC2FA1YVfCj8vxi9fLFsnW5mkMNTamQEYj1eesKXofg&#10;8izzslZG+Ak4ZSlYARoR6Iq7rETRErppsvl0+jZrAUuHIJX35F33QT4g4lMAoaq0VGuQe6Ns6FFR&#10;NSIQJV9r5/kqTVtVSobPVeVVYE3BiWlIJzUhexvPbLUU+Q6Fq7UcRhBPGeEBJyO0paZnqLUIgu1R&#10;P4IyWiJ4qMJEgsl6IkkRYjGbPtDmphZOJS4ktXdn0f3zwcpPhy/IdFnwN7PXnFlh6MlPv3+d/tye&#10;/v5k0UkStc7nlHnjKDd076CjxUl0vbsG+d0zC1e1sDt1iQhtrURJI85iZXavtMfxEWTbfoSSOol9&#10;gATUVWiifqQII3R6nuP5eVQXmIwtF/PFYkohSbHxEnuIfCx36MN7BYZFo+BI75/gxeHahz51TInd&#10;LGx005Bf5I39z0GYvUelJRqqI5k4f88kdNuOaqNzC+WRaCH0C0bfi4wa8AdnLS1XwS39Jc6aD5aE&#10;iXs4Gjga29EQVlJhwQNnvXkV+n3dO9S7mnBH6S9JvI1OtO5mGCSndUnCDKsd9/H+PWXdfefV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AfgbZ7CwIAABYEAAAOAAAAAAAAAAEAIAAAAB4BAABk&#10;cnMvZTJvRG9jLnhtbFBLBQYAAAAABgAGAFkBAACb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34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DZaVC4EAIAABQEAAAOAAAAZHJzL2Uyb0RvYy54bWytU82O0zAQviPx&#10;DpbvNOmy/GzUdLVsVYS0/EgLD+A6TmMRe6yx26Q8ALwBJy7cea4+B2MnKcty2QOXaGLPfDPfN58X&#10;l71p2V6h12BLPp/lnCkrodJ2W/JPH9dPXnLmg7CVaMGqkh+U55fLx48WnSvUGTTQVgoZgVhfdK7k&#10;TQiuyDIvG2WEn4FTli5rQCMC/eI2q1B0hG7a7CzPn2cdYOUQpPKeTlfDJR8R8SGAUNdaqhXInVE2&#10;DKioWhGIkm+083yZpq1rJcP7uvYqsLbkxDSkLzWheBO/2XIhii0K12g5jiAeMsI9TkZoS01PUCsR&#10;BNuh/gfKaIngoQ4zCSYbiCRFiMU8v6fNbSOcSlxIau9Oovv/Byvf7T8g01XJz3NavBWGVn78/u34&#10;49fx51cWD0mizvmCMm8d5Yb+FfRknETXuxuQnz2zcN0Iu1VXiNA1SlQ04jxWZndKBxwfQTbdW6io&#10;k9gFSEB9jSbqR4owQqf1HE7rUX1gMrZ88fTigm4kXc2fnZ3naX2ZKKZihz68VmBYDEqOtP0ELvY3&#10;PsRhRDGlxF4W1rptkwNa+9cBJQ4nKllorI5U4vQDj9Bv+lGaDVQHIoUw2IseFwUN4BfOOrJWyS29&#10;JM7aN5ZkiS6cApyCzRQIK6mw5IGzIbwOg1t3DvW2IdxJ+CuSbq0TrTjYMMMoOJklsR2NHd149z9l&#10;/XnM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hc7u0QAAAAMBAAAPAAAAAAAAAAEAIAAAACIA&#10;AABkcnMvZG93bnJldi54bWxQSwECFAAUAAAACACHTuJA2WlQuBACAAAUBAAADgAAAAAAAAABACAA&#10;AAAgAQAAZHJzL2Uyb0RvYy54bWxQSwUGAAAAAAYABgBZAQAAog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34</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86E8"/>
    <w:multiLevelType w:val="singleLevel"/>
    <w:tmpl w:val="E1F586E8"/>
    <w:lvl w:ilvl="0" w:tentative="0">
      <w:start w:val="1"/>
      <w:numFmt w:val="decimal"/>
      <w:suff w:val="nothing"/>
      <w:lvlText w:val="（%1）"/>
      <w:lvlJc w:val="left"/>
      <w:pPr>
        <w:ind w:left="945" w:firstLine="0"/>
      </w:pPr>
    </w:lvl>
  </w:abstractNum>
  <w:abstractNum w:abstractNumId="1">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3">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4DC73839"/>
    <w:multiLevelType w:val="singleLevel"/>
    <w:tmpl w:val="4DC73839"/>
    <w:lvl w:ilvl="0" w:tentative="0">
      <w:start w:val="2"/>
      <w:numFmt w:val="decimal"/>
      <w:suff w:val="nothing"/>
      <w:lvlText w:val="%1）"/>
      <w:lvlJc w:val="left"/>
    </w:lvl>
  </w:abstractNum>
  <w:abstractNum w:abstractNumId="7">
    <w:nsid w:val="574E0A6A"/>
    <w:multiLevelType w:val="multilevel"/>
    <w:tmpl w:val="574E0A6A"/>
    <w:lvl w:ilvl="0" w:tentative="0">
      <w:start w:val="1"/>
      <w:numFmt w:val="japaneseCounting"/>
      <w:lvlText w:val="（%1）"/>
      <w:lvlJc w:val="left"/>
      <w:pPr>
        <w:tabs>
          <w:tab w:val="left" w:pos="1417"/>
        </w:tabs>
        <w:ind w:left="1417" w:hanging="855"/>
      </w:pPr>
      <w:rPr>
        <w:rFonts w:hint="default"/>
      </w:rPr>
    </w:lvl>
    <w:lvl w:ilvl="1" w:tentative="0">
      <w:start w:val="1"/>
      <w:numFmt w:val="lowerLetter"/>
      <w:lvlText w:val="%2)"/>
      <w:lvlJc w:val="left"/>
      <w:pPr>
        <w:tabs>
          <w:tab w:val="left" w:pos="1402"/>
        </w:tabs>
        <w:ind w:left="1402" w:hanging="420"/>
      </w:pPr>
    </w:lvl>
    <w:lvl w:ilvl="2" w:tentative="0">
      <w:start w:val="1"/>
      <w:numFmt w:val="lowerRoman"/>
      <w:lvlText w:val="%3."/>
      <w:lvlJc w:val="right"/>
      <w:pPr>
        <w:tabs>
          <w:tab w:val="left" w:pos="1822"/>
        </w:tabs>
        <w:ind w:left="1822" w:hanging="420"/>
      </w:pPr>
    </w:lvl>
    <w:lvl w:ilvl="3" w:tentative="0">
      <w:start w:val="1"/>
      <w:numFmt w:val="decimal"/>
      <w:lvlText w:val="%4."/>
      <w:lvlJc w:val="left"/>
      <w:pPr>
        <w:tabs>
          <w:tab w:val="left" w:pos="2242"/>
        </w:tabs>
        <w:ind w:left="2242" w:hanging="420"/>
      </w:pPr>
    </w:lvl>
    <w:lvl w:ilvl="4" w:tentative="0">
      <w:start w:val="1"/>
      <w:numFmt w:val="lowerLetter"/>
      <w:lvlText w:val="%5)"/>
      <w:lvlJc w:val="left"/>
      <w:pPr>
        <w:tabs>
          <w:tab w:val="left" w:pos="2662"/>
        </w:tabs>
        <w:ind w:left="2662" w:hanging="420"/>
      </w:pPr>
    </w:lvl>
    <w:lvl w:ilvl="5" w:tentative="0">
      <w:start w:val="1"/>
      <w:numFmt w:val="lowerRoman"/>
      <w:lvlText w:val="%6."/>
      <w:lvlJc w:val="right"/>
      <w:pPr>
        <w:tabs>
          <w:tab w:val="left" w:pos="3082"/>
        </w:tabs>
        <w:ind w:left="3082" w:hanging="420"/>
      </w:pPr>
    </w:lvl>
    <w:lvl w:ilvl="6" w:tentative="0">
      <w:start w:val="1"/>
      <w:numFmt w:val="decimal"/>
      <w:lvlText w:val="%7."/>
      <w:lvlJc w:val="left"/>
      <w:pPr>
        <w:tabs>
          <w:tab w:val="left" w:pos="3502"/>
        </w:tabs>
        <w:ind w:left="3502" w:hanging="420"/>
      </w:pPr>
    </w:lvl>
    <w:lvl w:ilvl="7" w:tentative="0">
      <w:start w:val="1"/>
      <w:numFmt w:val="lowerLetter"/>
      <w:lvlText w:val="%8)"/>
      <w:lvlJc w:val="left"/>
      <w:pPr>
        <w:tabs>
          <w:tab w:val="left" w:pos="3922"/>
        </w:tabs>
        <w:ind w:left="3922" w:hanging="420"/>
      </w:pPr>
    </w:lvl>
    <w:lvl w:ilvl="8" w:tentative="0">
      <w:start w:val="1"/>
      <w:numFmt w:val="lowerRoman"/>
      <w:lvlText w:val="%9."/>
      <w:lvlJc w:val="right"/>
      <w:pPr>
        <w:tabs>
          <w:tab w:val="left" w:pos="4342"/>
        </w:tabs>
        <w:ind w:left="4342" w:hanging="420"/>
      </w:pPr>
    </w:lvl>
  </w:abstractNum>
  <w:abstractNum w:abstractNumId="8">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lvlOverride w:ilvl="0">
      <w:startOverride w:val="1"/>
    </w:lvlOverride>
  </w:num>
  <w:num w:numId="2">
    <w:abstractNumId w:val="0"/>
  </w:num>
  <w:num w:numId="3">
    <w:abstractNumId w:val="2"/>
  </w:num>
  <w:num w:numId="4">
    <w:abstractNumId w:val="9"/>
  </w:num>
  <w:num w:numId="5">
    <w:abstractNumId w:val="8"/>
  </w:num>
  <w:num w:numId="6">
    <w:abstractNumId w:val="5"/>
  </w:num>
  <w:num w:numId="7">
    <w:abstractNumId w:val="6"/>
  </w:num>
  <w:num w:numId="8">
    <w:abstractNumId w:val="7"/>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31EC6"/>
    <w:rsid w:val="00090FEB"/>
    <w:rsid w:val="000B151E"/>
    <w:rsid w:val="000B73FB"/>
    <w:rsid w:val="00193585"/>
    <w:rsid w:val="001D6D92"/>
    <w:rsid w:val="001F053A"/>
    <w:rsid w:val="002075A9"/>
    <w:rsid w:val="002437D0"/>
    <w:rsid w:val="00422C1A"/>
    <w:rsid w:val="004B069F"/>
    <w:rsid w:val="005054B5"/>
    <w:rsid w:val="00511485"/>
    <w:rsid w:val="00542854"/>
    <w:rsid w:val="00545874"/>
    <w:rsid w:val="00631C08"/>
    <w:rsid w:val="006E4DAE"/>
    <w:rsid w:val="007A5220"/>
    <w:rsid w:val="007C756C"/>
    <w:rsid w:val="00801945"/>
    <w:rsid w:val="00822326"/>
    <w:rsid w:val="008E4121"/>
    <w:rsid w:val="009D227D"/>
    <w:rsid w:val="009F7297"/>
    <w:rsid w:val="00A50D6E"/>
    <w:rsid w:val="00B7118C"/>
    <w:rsid w:val="00C56CAD"/>
    <w:rsid w:val="00C86501"/>
    <w:rsid w:val="00D71D8C"/>
    <w:rsid w:val="00D75658"/>
    <w:rsid w:val="00D908A5"/>
    <w:rsid w:val="00E6627F"/>
    <w:rsid w:val="00EA5994"/>
    <w:rsid w:val="00FA526C"/>
    <w:rsid w:val="00FA5424"/>
    <w:rsid w:val="02652F5D"/>
    <w:rsid w:val="03E73DB4"/>
    <w:rsid w:val="044B3BB7"/>
    <w:rsid w:val="04C33A59"/>
    <w:rsid w:val="05006FA0"/>
    <w:rsid w:val="06D2452B"/>
    <w:rsid w:val="07161791"/>
    <w:rsid w:val="08694ADA"/>
    <w:rsid w:val="0AE11E48"/>
    <w:rsid w:val="0B1E4EB3"/>
    <w:rsid w:val="0B871444"/>
    <w:rsid w:val="0C045CD2"/>
    <w:rsid w:val="0D2737A0"/>
    <w:rsid w:val="0D7356BA"/>
    <w:rsid w:val="0D8152E8"/>
    <w:rsid w:val="0E294FAB"/>
    <w:rsid w:val="0E2C5524"/>
    <w:rsid w:val="0E462DAD"/>
    <w:rsid w:val="0EEF4841"/>
    <w:rsid w:val="0EF709BB"/>
    <w:rsid w:val="11A42212"/>
    <w:rsid w:val="13C42286"/>
    <w:rsid w:val="167654DF"/>
    <w:rsid w:val="16A36F9A"/>
    <w:rsid w:val="189161D3"/>
    <w:rsid w:val="18F10CAD"/>
    <w:rsid w:val="199B7D6D"/>
    <w:rsid w:val="1A251978"/>
    <w:rsid w:val="1B62425E"/>
    <w:rsid w:val="1B9B22B5"/>
    <w:rsid w:val="1BB10FE2"/>
    <w:rsid w:val="1D461912"/>
    <w:rsid w:val="1D603FE9"/>
    <w:rsid w:val="1F1539B4"/>
    <w:rsid w:val="1F9E3FD7"/>
    <w:rsid w:val="20CE5A6D"/>
    <w:rsid w:val="210C2156"/>
    <w:rsid w:val="216E2E07"/>
    <w:rsid w:val="22535329"/>
    <w:rsid w:val="2301305E"/>
    <w:rsid w:val="233D3FD3"/>
    <w:rsid w:val="255A3784"/>
    <w:rsid w:val="28B30944"/>
    <w:rsid w:val="2988523F"/>
    <w:rsid w:val="2A1810D7"/>
    <w:rsid w:val="2A4464A6"/>
    <w:rsid w:val="2B8F5A11"/>
    <w:rsid w:val="2B996E20"/>
    <w:rsid w:val="2C3F15A1"/>
    <w:rsid w:val="2C825794"/>
    <w:rsid w:val="2CC3315B"/>
    <w:rsid w:val="30031F2E"/>
    <w:rsid w:val="32D43E29"/>
    <w:rsid w:val="33A779F4"/>
    <w:rsid w:val="33C85B04"/>
    <w:rsid w:val="348E0D5D"/>
    <w:rsid w:val="354A32AA"/>
    <w:rsid w:val="35BA082D"/>
    <w:rsid w:val="370D4E81"/>
    <w:rsid w:val="379310B2"/>
    <w:rsid w:val="38AF7C5A"/>
    <w:rsid w:val="39144DD2"/>
    <w:rsid w:val="3934375E"/>
    <w:rsid w:val="39C46B8C"/>
    <w:rsid w:val="3B91650A"/>
    <w:rsid w:val="3C25407B"/>
    <w:rsid w:val="3C47493F"/>
    <w:rsid w:val="3C7E432D"/>
    <w:rsid w:val="3CA41E14"/>
    <w:rsid w:val="3E253455"/>
    <w:rsid w:val="407A6BB4"/>
    <w:rsid w:val="40F2232A"/>
    <w:rsid w:val="413E03B5"/>
    <w:rsid w:val="433C464F"/>
    <w:rsid w:val="43E54961"/>
    <w:rsid w:val="45816D95"/>
    <w:rsid w:val="45BC0B50"/>
    <w:rsid w:val="47F7074A"/>
    <w:rsid w:val="483A70FF"/>
    <w:rsid w:val="48F42843"/>
    <w:rsid w:val="4BA44348"/>
    <w:rsid w:val="4BC27EF0"/>
    <w:rsid w:val="4C6D3D00"/>
    <w:rsid w:val="4DBE3804"/>
    <w:rsid w:val="4E5221B2"/>
    <w:rsid w:val="500819AE"/>
    <w:rsid w:val="52A95F17"/>
    <w:rsid w:val="566F2845"/>
    <w:rsid w:val="592B775C"/>
    <w:rsid w:val="5B841AA4"/>
    <w:rsid w:val="5CE9656C"/>
    <w:rsid w:val="5E363818"/>
    <w:rsid w:val="5E421EBB"/>
    <w:rsid w:val="5F9100C4"/>
    <w:rsid w:val="60926C48"/>
    <w:rsid w:val="61C679A6"/>
    <w:rsid w:val="62226958"/>
    <w:rsid w:val="645475E2"/>
    <w:rsid w:val="65B25C36"/>
    <w:rsid w:val="68BC1C18"/>
    <w:rsid w:val="69EB46BE"/>
    <w:rsid w:val="6C3237AC"/>
    <w:rsid w:val="6CF57457"/>
    <w:rsid w:val="6D0C7F81"/>
    <w:rsid w:val="6D757E5C"/>
    <w:rsid w:val="70730C6B"/>
    <w:rsid w:val="70C704EA"/>
    <w:rsid w:val="7151618F"/>
    <w:rsid w:val="72472021"/>
    <w:rsid w:val="73250F8A"/>
    <w:rsid w:val="73E10AC3"/>
    <w:rsid w:val="77D008D6"/>
    <w:rsid w:val="781D5E1A"/>
    <w:rsid w:val="7B2E0E6C"/>
    <w:rsid w:val="7C783AD5"/>
    <w:rsid w:val="7CC65E6E"/>
    <w:rsid w:val="7CE37D39"/>
    <w:rsid w:val="7D8D6193"/>
    <w:rsid w:val="7E7E2AD4"/>
    <w:rsid w:val="7F141DD7"/>
    <w:rsid w:val="7F704D5F"/>
    <w:rsid w:val="7F8D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8"/>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9"/>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100"/>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2"/>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3"/>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4"/>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5"/>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6"/>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1"/>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4"/>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5"/>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1"/>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6"/>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4"/>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2"/>
    <w:qFormat/>
    <w:uiPriority w:val="0"/>
  </w:style>
  <w:style w:type="paragraph" w:styleId="32">
    <w:name w:val="Body Text 3"/>
    <w:basedOn w:val="1"/>
    <w:link w:val="119"/>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3"/>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10"/>
    <w:qFormat/>
    <w:uiPriority w:val="0"/>
    <w:pPr>
      <w:spacing w:after="120"/>
    </w:pPr>
    <w:rPr>
      <w:rFonts w:asciiTheme="minorHAnsi" w:hAnsiTheme="minorHAnsi" w:cstheme="minorBidi"/>
    </w:rPr>
  </w:style>
  <w:style w:type="paragraph" w:styleId="36">
    <w:name w:val="Body Text Indent"/>
    <w:basedOn w:val="1"/>
    <w:link w:val="127"/>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6"/>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9"/>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8"/>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5"/>
    <w:qFormat/>
    <w:uiPriority w:val="0"/>
    <w:pPr>
      <w:spacing w:line="360" w:lineRule="auto"/>
      <w:ind w:left="718" w:leftChars="342"/>
    </w:pPr>
    <w:rPr>
      <w:rFonts w:ascii="宋体" w:hAnsi="宋体"/>
      <w:sz w:val="24"/>
    </w:rPr>
  </w:style>
  <w:style w:type="paragraph" w:styleId="54">
    <w:name w:val="endnote text"/>
    <w:basedOn w:val="1"/>
    <w:link w:val="142"/>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5"/>
    <w:qFormat/>
    <w:uiPriority w:val="0"/>
    <w:rPr>
      <w:rFonts w:asciiTheme="minorHAnsi" w:hAnsiTheme="minorHAnsi" w:eastAsiaTheme="minorEastAsia" w:cstheme="minorBidi"/>
      <w:sz w:val="18"/>
      <w:szCs w:val="18"/>
    </w:rPr>
  </w:style>
  <w:style w:type="paragraph" w:styleId="57">
    <w:name w:val="footer"/>
    <w:basedOn w:val="1"/>
    <w:link w:val="112"/>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7"/>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4"/>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7"/>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8"/>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20"/>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4"/>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7"/>
    <w:qFormat/>
    <w:uiPriority w:val="0"/>
    <w:rPr>
      <w:rFonts w:eastAsiaTheme="minorEastAsia"/>
      <w:b/>
      <w:bCs/>
    </w:rPr>
  </w:style>
  <w:style w:type="paragraph" w:styleId="88">
    <w:name w:val="Body Text First Indent"/>
    <w:basedOn w:val="35"/>
    <w:link w:val="118"/>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8"/>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FollowedHyperlink"/>
    <w:basedOn w:val="92"/>
    <w:unhideWhenUsed/>
    <w:qFormat/>
    <w:uiPriority w:val="99"/>
    <w:rPr>
      <w:color w:val="000000"/>
      <w:u w:val="none"/>
    </w:rPr>
  </w:style>
  <w:style w:type="character" w:styleId="96">
    <w:name w:val="Hyperlink"/>
    <w:qFormat/>
    <w:uiPriority w:val="99"/>
    <w:rPr>
      <w:color w:val="0000FF"/>
      <w:u w:val="single"/>
    </w:rPr>
  </w:style>
  <w:style w:type="character" w:styleId="97">
    <w:name w:val="annotation reference"/>
    <w:qFormat/>
    <w:uiPriority w:val="0"/>
    <w:rPr>
      <w:sz w:val="21"/>
      <w:szCs w:val="21"/>
    </w:rPr>
  </w:style>
  <w:style w:type="character" w:customStyle="1" w:styleId="98">
    <w:name w:val="标题 1 Char"/>
    <w:basedOn w:val="92"/>
    <w:link w:val="4"/>
    <w:qFormat/>
    <w:uiPriority w:val="0"/>
    <w:rPr>
      <w:rFonts w:ascii="宋体" w:hAnsi="宋体" w:eastAsia="宋体" w:cs="Times New Roman"/>
      <w:b/>
      <w:bCs/>
      <w:sz w:val="48"/>
      <w:szCs w:val="24"/>
    </w:rPr>
  </w:style>
  <w:style w:type="character" w:customStyle="1" w:styleId="99">
    <w:name w:val="标题 2 Char"/>
    <w:basedOn w:val="92"/>
    <w:link w:val="5"/>
    <w:qFormat/>
    <w:uiPriority w:val="0"/>
    <w:rPr>
      <w:rFonts w:ascii="宋体" w:hAnsi="宋体" w:eastAsia="宋体" w:cs="Times New Roman"/>
      <w:b/>
      <w:kern w:val="0"/>
      <w:sz w:val="30"/>
      <w:szCs w:val="20"/>
    </w:rPr>
  </w:style>
  <w:style w:type="character" w:customStyle="1" w:styleId="100">
    <w:name w:val="标题 3 Char"/>
    <w:basedOn w:val="92"/>
    <w:link w:val="6"/>
    <w:qFormat/>
    <w:uiPriority w:val="0"/>
    <w:rPr>
      <w:rFonts w:ascii="宋体" w:hAnsi="宋体" w:eastAsia="宋体" w:cs="Times New Roman"/>
      <w:b/>
      <w:kern w:val="0"/>
      <w:sz w:val="28"/>
      <w:szCs w:val="20"/>
    </w:rPr>
  </w:style>
  <w:style w:type="character" w:customStyle="1" w:styleId="101">
    <w:name w:val="标题 4 Char"/>
    <w:basedOn w:val="92"/>
    <w:link w:val="7"/>
    <w:qFormat/>
    <w:uiPriority w:val="0"/>
    <w:rPr>
      <w:rFonts w:ascii="Arial" w:hAnsi="Arial" w:eastAsia="黑体" w:cs="Times New Roman"/>
      <w:b/>
      <w:bCs/>
      <w:sz w:val="28"/>
      <w:szCs w:val="28"/>
    </w:rPr>
  </w:style>
  <w:style w:type="character" w:customStyle="1" w:styleId="102">
    <w:name w:val="标题 5 Char"/>
    <w:basedOn w:val="92"/>
    <w:link w:val="8"/>
    <w:qFormat/>
    <w:uiPriority w:val="0"/>
    <w:rPr>
      <w:rFonts w:ascii="Arial" w:hAnsi="Arial" w:eastAsia="宋体" w:cs="Times New Roman"/>
      <w:kern w:val="0"/>
      <w:sz w:val="22"/>
      <w:szCs w:val="20"/>
    </w:rPr>
  </w:style>
  <w:style w:type="character" w:customStyle="1" w:styleId="103">
    <w:name w:val="标题 6 Char"/>
    <w:basedOn w:val="92"/>
    <w:link w:val="9"/>
    <w:qFormat/>
    <w:uiPriority w:val="0"/>
    <w:rPr>
      <w:rFonts w:ascii="Calibri" w:hAnsi="Arial" w:eastAsia="宋体" w:cs="Times New Roman"/>
      <w:i/>
      <w:kern w:val="0"/>
      <w:sz w:val="22"/>
      <w:szCs w:val="20"/>
    </w:rPr>
  </w:style>
  <w:style w:type="character" w:customStyle="1" w:styleId="104">
    <w:name w:val="标题 7 Char"/>
    <w:basedOn w:val="92"/>
    <w:link w:val="10"/>
    <w:qFormat/>
    <w:uiPriority w:val="0"/>
    <w:rPr>
      <w:rFonts w:ascii="Arial" w:hAnsi="Arial" w:eastAsia="宋体" w:cs="Times New Roman"/>
      <w:kern w:val="0"/>
      <w:sz w:val="20"/>
      <w:szCs w:val="20"/>
    </w:rPr>
  </w:style>
  <w:style w:type="character" w:customStyle="1" w:styleId="105">
    <w:name w:val="标题 8 Char"/>
    <w:basedOn w:val="92"/>
    <w:link w:val="11"/>
    <w:qFormat/>
    <w:uiPriority w:val="0"/>
    <w:rPr>
      <w:rFonts w:ascii="Arial" w:hAnsi="Arial" w:eastAsia="宋体" w:cs="Times New Roman"/>
      <w:i/>
      <w:kern w:val="0"/>
      <w:sz w:val="20"/>
      <w:szCs w:val="20"/>
    </w:rPr>
  </w:style>
  <w:style w:type="character" w:customStyle="1" w:styleId="106">
    <w:name w:val="标题 9 Char"/>
    <w:basedOn w:val="92"/>
    <w:link w:val="12"/>
    <w:qFormat/>
    <w:uiPriority w:val="0"/>
    <w:rPr>
      <w:rFonts w:ascii="Arial" w:hAnsi="Arial" w:eastAsia="宋体" w:cs="Times New Roman"/>
      <w:b/>
      <w:i/>
      <w:kern w:val="0"/>
      <w:sz w:val="18"/>
      <w:szCs w:val="20"/>
    </w:rPr>
  </w:style>
  <w:style w:type="character" w:customStyle="1" w:styleId="107">
    <w:name w:val="页脚2 Char"/>
    <w:link w:val="108"/>
    <w:qFormat/>
    <w:uiPriority w:val="0"/>
    <w:rPr>
      <w:rFonts w:ascii="宋体" w:hAnsi="宋体" w:eastAsia="宋体"/>
      <w:sz w:val="18"/>
      <w:szCs w:val="18"/>
    </w:rPr>
  </w:style>
  <w:style w:type="paragraph" w:customStyle="1" w:styleId="108">
    <w:name w:val="页脚2"/>
    <w:basedOn w:val="1"/>
    <w:link w:val="107"/>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9">
    <w:name w:val="纯文本 Char"/>
    <w:link w:val="46"/>
    <w:qFormat/>
    <w:locked/>
    <w:uiPriority w:val="0"/>
    <w:rPr>
      <w:rFonts w:ascii="宋体" w:hAnsi="Courier New" w:eastAsia="宋体"/>
    </w:rPr>
  </w:style>
  <w:style w:type="character" w:customStyle="1" w:styleId="110">
    <w:name w:val="正文文本 Char"/>
    <w:link w:val="35"/>
    <w:qFormat/>
    <w:uiPriority w:val="0"/>
    <w:rPr>
      <w:rFonts w:eastAsia="宋体"/>
      <w:szCs w:val="24"/>
    </w:rPr>
  </w:style>
  <w:style w:type="character" w:customStyle="1" w:styleId="111">
    <w:name w:val="正文文本缩进 Char"/>
    <w:qFormat/>
    <w:uiPriority w:val="0"/>
    <w:rPr>
      <w:rFonts w:ascii="Arial" w:hAnsi="Arial" w:eastAsia="宋体"/>
      <w:kern w:val="2"/>
      <w:sz w:val="21"/>
      <w:szCs w:val="24"/>
      <w:lang w:val="en-US" w:eastAsia="zh-CN" w:bidi="ar-SA"/>
    </w:rPr>
  </w:style>
  <w:style w:type="character" w:customStyle="1" w:styleId="112">
    <w:name w:val="页脚 Char"/>
    <w:link w:val="57"/>
    <w:qFormat/>
    <w:uiPriority w:val="0"/>
    <w:rPr>
      <w:sz w:val="18"/>
    </w:rPr>
  </w:style>
  <w:style w:type="character" w:customStyle="1" w:styleId="113">
    <w:name w:val="页眉 Char"/>
    <w:link w:val="59"/>
    <w:qFormat/>
    <w:uiPriority w:val="0"/>
    <w:rPr>
      <w:sz w:val="18"/>
      <w:szCs w:val="18"/>
    </w:rPr>
  </w:style>
  <w:style w:type="character" w:customStyle="1" w:styleId="114">
    <w:name w:val="批注文字 Char"/>
    <w:link w:val="29"/>
    <w:semiHidden/>
    <w:qFormat/>
    <w:uiPriority w:val="0"/>
    <w:rPr>
      <w:rFonts w:eastAsia="宋体"/>
      <w:szCs w:val="24"/>
    </w:rPr>
  </w:style>
  <w:style w:type="character" w:customStyle="1" w:styleId="115">
    <w:name w:val="批注框文本 Char"/>
    <w:link w:val="56"/>
    <w:qFormat/>
    <w:uiPriority w:val="0"/>
    <w:rPr>
      <w:sz w:val="18"/>
      <w:szCs w:val="18"/>
    </w:rPr>
  </w:style>
  <w:style w:type="character" w:customStyle="1" w:styleId="116">
    <w:name w:val="文档结构图 Char"/>
    <w:link w:val="27"/>
    <w:qFormat/>
    <w:uiPriority w:val="0"/>
    <w:rPr>
      <w:szCs w:val="24"/>
      <w:shd w:val="clear" w:color="auto" w:fill="000080"/>
    </w:rPr>
  </w:style>
  <w:style w:type="character" w:customStyle="1" w:styleId="117">
    <w:name w:val="批注主题 Char"/>
    <w:link w:val="87"/>
    <w:qFormat/>
    <w:uiPriority w:val="0"/>
    <w:rPr>
      <w:b/>
      <w:bCs/>
      <w:szCs w:val="24"/>
    </w:rPr>
  </w:style>
  <w:style w:type="character" w:customStyle="1" w:styleId="118">
    <w:name w:val="正文首行缩进 Char"/>
    <w:link w:val="88"/>
    <w:qFormat/>
    <w:uiPriority w:val="0"/>
    <w:rPr>
      <w:rFonts w:ascii="楷体_GB2312" w:eastAsia="楷体_GB2312"/>
      <w:b/>
      <w:sz w:val="30"/>
      <w:szCs w:val="24"/>
    </w:rPr>
  </w:style>
  <w:style w:type="character" w:customStyle="1" w:styleId="119">
    <w:name w:val="正文文本 3 Char"/>
    <w:link w:val="32"/>
    <w:qFormat/>
    <w:uiPriority w:val="0"/>
    <w:rPr>
      <w:sz w:val="24"/>
    </w:rPr>
  </w:style>
  <w:style w:type="character" w:customStyle="1" w:styleId="120">
    <w:name w:val="正文文本 2 Char"/>
    <w:link w:val="78"/>
    <w:qFormat/>
    <w:uiPriority w:val="0"/>
    <w:rPr>
      <w:sz w:val="18"/>
      <w:szCs w:val="24"/>
    </w:rPr>
  </w:style>
  <w:style w:type="character" w:customStyle="1" w:styleId="121">
    <w:name w:val="正文缩进 Char"/>
    <w:link w:val="22"/>
    <w:qFormat/>
    <w:uiPriority w:val="0"/>
  </w:style>
  <w:style w:type="character" w:customStyle="1" w:styleId="122">
    <w:name w:val="列出段落 Char"/>
    <w:link w:val="123"/>
    <w:qFormat/>
    <w:uiPriority w:val="0"/>
    <w:rPr>
      <w:rFonts w:ascii="Calibri" w:hAnsi="Calibri"/>
    </w:rPr>
  </w:style>
  <w:style w:type="paragraph" w:customStyle="1" w:styleId="123">
    <w:name w:val="列出段落1"/>
    <w:basedOn w:val="1"/>
    <w:link w:val="122"/>
    <w:qFormat/>
    <w:uiPriority w:val="0"/>
    <w:pPr>
      <w:ind w:firstLine="420" w:firstLineChars="200"/>
    </w:pPr>
    <w:rPr>
      <w:rFonts w:eastAsiaTheme="minorEastAsia" w:cstheme="minorBidi"/>
      <w:szCs w:val="22"/>
    </w:rPr>
  </w:style>
  <w:style w:type="character" w:customStyle="1" w:styleId="124">
    <w:name w:val="标题 Char"/>
    <w:link w:val="86"/>
    <w:qFormat/>
    <w:uiPriority w:val="0"/>
    <w:rPr>
      <w:rFonts w:ascii="Arial" w:hAnsi="Arial"/>
      <w:b/>
      <w:bCs/>
      <w:sz w:val="32"/>
      <w:szCs w:val="32"/>
    </w:rPr>
  </w:style>
  <w:style w:type="character" w:customStyle="1" w:styleId="125">
    <w:name w:val="页眉 Char1"/>
    <w:basedOn w:val="92"/>
    <w:semiHidden/>
    <w:qFormat/>
    <w:uiPriority w:val="99"/>
    <w:rPr>
      <w:rFonts w:ascii="Calibri" w:hAnsi="Calibri" w:eastAsia="宋体" w:cs="Times New Roman"/>
      <w:sz w:val="18"/>
      <w:szCs w:val="18"/>
    </w:rPr>
  </w:style>
  <w:style w:type="character" w:customStyle="1" w:styleId="126">
    <w:name w:val="HTML 预设格式 Char"/>
    <w:basedOn w:val="92"/>
    <w:link w:val="82"/>
    <w:qFormat/>
    <w:uiPriority w:val="0"/>
    <w:rPr>
      <w:rFonts w:ascii="黑体" w:hAnsi="Courier New" w:eastAsia="黑体" w:cs="Courier New"/>
      <w:kern w:val="0"/>
      <w:sz w:val="20"/>
      <w:szCs w:val="20"/>
    </w:rPr>
  </w:style>
  <w:style w:type="character" w:customStyle="1" w:styleId="127">
    <w:name w:val="正文文本缩进 Char1"/>
    <w:basedOn w:val="92"/>
    <w:link w:val="36"/>
    <w:semiHidden/>
    <w:qFormat/>
    <w:uiPriority w:val="99"/>
    <w:rPr>
      <w:rFonts w:ascii="Calibri" w:hAnsi="Calibri" w:eastAsia="宋体" w:cs="Times New Roman"/>
      <w:szCs w:val="24"/>
    </w:rPr>
  </w:style>
  <w:style w:type="character" w:customStyle="1" w:styleId="128">
    <w:name w:val="正文首行缩进 2 Char"/>
    <w:basedOn w:val="127"/>
    <w:link w:val="89"/>
    <w:qFormat/>
    <w:uiPriority w:val="0"/>
    <w:rPr>
      <w:rFonts w:ascii="Times New Roman" w:hAnsi="Times New Roman" w:eastAsia="宋体" w:cs="Times New Roman"/>
      <w:szCs w:val="24"/>
    </w:rPr>
  </w:style>
  <w:style w:type="character" w:customStyle="1" w:styleId="129">
    <w:name w:val="正文文本 3 Char1"/>
    <w:basedOn w:val="92"/>
    <w:semiHidden/>
    <w:qFormat/>
    <w:uiPriority w:val="99"/>
    <w:rPr>
      <w:rFonts w:ascii="Calibri" w:hAnsi="Calibri" w:eastAsia="宋体" w:cs="Times New Roman"/>
      <w:sz w:val="16"/>
      <w:szCs w:val="16"/>
    </w:rPr>
  </w:style>
  <w:style w:type="paragraph" w:customStyle="1" w:styleId="130">
    <w:name w:val="Char Char2 Char1"/>
    <w:basedOn w:val="1"/>
    <w:qFormat/>
    <w:uiPriority w:val="0"/>
  </w:style>
  <w:style w:type="character" w:customStyle="1" w:styleId="131">
    <w:name w:val="正文文本 Char1"/>
    <w:basedOn w:val="92"/>
    <w:semiHidden/>
    <w:qFormat/>
    <w:uiPriority w:val="99"/>
    <w:rPr>
      <w:rFonts w:ascii="Calibri" w:hAnsi="Calibri" w:eastAsia="宋体" w:cs="Times New Roman"/>
      <w:szCs w:val="24"/>
    </w:rPr>
  </w:style>
  <w:style w:type="character" w:customStyle="1" w:styleId="132">
    <w:name w:val="称呼 Char"/>
    <w:basedOn w:val="92"/>
    <w:link w:val="31"/>
    <w:qFormat/>
    <w:uiPriority w:val="0"/>
    <w:rPr>
      <w:rFonts w:ascii="Calibri" w:hAnsi="Calibri" w:eastAsia="宋体" w:cs="Times New Roman"/>
      <w:szCs w:val="24"/>
    </w:rPr>
  </w:style>
  <w:style w:type="character" w:customStyle="1" w:styleId="133">
    <w:name w:val="正文文本 2 Char1"/>
    <w:basedOn w:val="92"/>
    <w:semiHidden/>
    <w:qFormat/>
    <w:uiPriority w:val="99"/>
    <w:rPr>
      <w:rFonts w:ascii="Calibri" w:hAnsi="Calibri" w:eastAsia="宋体" w:cs="Times New Roman"/>
      <w:szCs w:val="24"/>
    </w:rPr>
  </w:style>
  <w:style w:type="character" w:customStyle="1" w:styleId="134">
    <w:name w:val="副标题 Char"/>
    <w:basedOn w:val="92"/>
    <w:link w:val="66"/>
    <w:qFormat/>
    <w:uiPriority w:val="0"/>
    <w:rPr>
      <w:rFonts w:ascii="Arial" w:hAnsi="Arial" w:eastAsia="宋体" w:cs="Arial"/>
      <w:b/>
      <w:bCs/>
      <w:kern w:val="28"/>
      <w:sz w:val="32"/>
      <w:szCs w:val="32"/>
    </w:rPr>
  </w:style>
  <w:style w:type="character" w:customStyle="1" w:styleId="135">
    <w:name w:val="正文文本缩进 2 Char"/>
    <w:basedOn w:val="92"/>
    <w:link w:val="53"/>
    <w:qFormat/>
    <w:uiPriority w:val="0"/>
    <w:rPr>
      <w:rFonts w:ascii="宋体" w:hAnsi="宋体" w:eastAsia="宋体" w:cs="Times New Roman"/>
      <w:sz w:val="24"/>
      <w:szCs w:val="24"/>
    </w:rPr>
  </w:style>
  <w:style w:type="character" w:customStyle="1" w:styleId="136">
    <w:name w:val="HTML 地址 Char"/>
    <w:basedOn w:val="92"/>
    <w:link w:val="42"/>
    <w:qFormat/>
    <w:uiPriority w:val="0"/>
    <w:rPr>
      <w:rFonts w:ascii="Calibri" w:hAnsi="Calibri" w:eastAsia="宋体" w:cs="Times New Roman"/>
      <w:i/>
      <w:iCs/>
      <w:szCs w:val="24"/>
    </w:rPr>
  </w:style>
  <w:style w:type="character" w:customStyle="1" w:styleId="137">
    <w:name w:val="批注文字 Char1"/>
    <w:basedOn w:val="92"/>
    <w:semiHidden/>
    <w:qFormat/>
    <w:uiPriority w:val="99"/>
    <w:rPr>
      <w:rFonts w:ascii="Calibri" w:hAnsi="Calibri" w:eastAsia="宋体" w:cs="Times New Roman"/>
      <w:szCs w:val="24"/>
    </w:rPr>
  </w:style>
  <w:style w:type="character" w:customStyle="1" w:styleId="138">
    <w:name w:val="日期 Char"/>
    <w:basedOn w:val="92"/>
    <w:link w:val="52"/>
    <w:qFormat/>
    <w:uiPriority w:val="0"/>
    <w:rPr>
      <w:rFonts w:ascii="Calibri" w:hAnsi="Calibri" w:eastAsia="宋体" w:cs="Times New Roman"/>
      <w:kern w:val="0"/>
      <w:sz w:val="32"/>
      <w:szCs w:val="20"/>
    </w:rPr>
  </w:style>
  <w:style w:type="paragraph" w:customStyle="1" w:styleId="139">
    <w:name w:val="Char Char Char Char"/>
    <w:basedOn w:val="1"/>
    <w:qFormat/>
    <w:uiPriority w:val="0"/>
    <w:pPr>
      <w:widowControl/>
      <w:spacing w:after="160" w:line="240" w:lineRule="exact"/>
      <w:jc w:val="left"/>
    </w:pPr>
    <w:rPr>
      <w:szCs w:val="20"/>
    </w:rPr>
  </w:style>
  <w:style w:type="character" w:customStyle="1" w:styleId="140">
    <w:name w:val="文档结构图 Char1"/>
    <w:basedOn w:val="92"/>
    <w:semiHidden/>
    <w:qFormat/>
    <w:uiPriority w:val="99"/>
    <w:rPr>
      <w:rFonts w:ascii="宋体" w:hAnsi="Calibri" w:eastAsia="宋体" w:cs="Times New Roman"/>
      <w:sz w:val="18"/>
      <w:szCs w:val="18"/>
    </w:rPr>
  </w:style>
  <w:style w:type="paragraph" w:customStyle="1" w:styleId="141">
    <w:name w:val="Char Char Char Char Char Char Char Char Char Char Char Char Char"/>
    <w:basedOn w:val="27"/>
    <w:qFormat/>
    <w:uiPriority w:val="0"/>
    <w:rPr>
      <w:szCs w:val="20"/>
    </w:rPr>
  </w:style>
  <w:style w:type="character" w:customStyle="1" w:styleId="142">
    <w:name w:val="尾注文本 Char"/>
    <w:basedOn w:val="92"/>
    <w:link w:val="54"/>
    <w:semiHidden/>
    <w:qFormat/>
    <w:uiPriority w:val="0"/>
    <w:rPr>
      <w:rFonts w:ascii="Calibri" w:hAnsi="Calibri" w:eastAsia="宋体" w:cs="Times New Roman"/>
      <w:szCs w:val="24"/>
    </w:rPr>
  </w:style>
  <w:style w:type="character" w:customStyle="1" w:styleId="143">
    <w:name w:val="结束语 Char"/>
    <w:basedOn w:val="92"/>
    <w:link w:val="33"/>
    <w:qFormat/>
    <w:uiPriority w:val="0"/>
    <w:rPr>
      <w:rFonts w:ascii="Calibri" w:hAnsi="Calibri" w:eastAsia="宋体" w:cs="Times New Roman"/>
      <w:szCs w:val="24"/>
    </w:rPr>
  </w:style>
  <w:style w:type="character" w:customStyle="1" w:styleId="144">
    <w:name w:val="注释标题 Char"/>
    <w:basedOn w:val="92"/>
    <w:link w:val="17"/>
    <w:qFormat/>
    <w:uiPriority w:val="0"/>
    <w:rPr>
      <w:rFonts w:ascii="Calibri" w:hAnsi="Calibri" w:eastAsia="宋体" w:cs="Times New Roman"/>
      <w:szCs w:val="24"/>
    </w:rPr>
  </w:style>
  <w:style w:type="paragraph" w:customStyle="1" w:styleId="145">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6">
    <w:name w:val="标题 Char1"/>
    <w:basedOn w:val="92"/>
    <w:qFormat/>
    <w:uiPriority w:val="10"/>
    <w:rPr>
      <w:rFonts w:eastAsia="宋体" w:asciiTheme="majorHAnsi" w:hAnsiTheme="majorHAnsi" w:cstheme="majorBidi"/>
      <w:b/>
      <w:bCs/>
      <w:sz w:val="32"/>
      <w:szCs w:val="32"/>
    </w:rPr>
  </w:style>
  <w:style w:type="character" w:customStyle="1" w:styleId="147">
    <w:name w:val="签名 Char"/>
    <w:basedOn w:val="92"/>
    <w:link w:val="60"/>
    <w:qFormat/>
    <w:uiPriority w:val="0"/>
    <w:rPr>
      <w:rFonts w:ascii="Calibri" w:hAnsi="Calibri" w:eastAsia="宋体" w:cs="Times New Roman"/>
      <w:szCs w:val="24"/>
    </w:rPr>
  </w:style>
  <w:style w:type="character" w:customStyle="1" w:styleId="148">
    <w:name w:val="信息标题 Char"/>
    <w:basedOn w:val="92"/>
    <w:link w:val="81"/>
    <w:qFormat/>
    <w:uiPriority w:val="0"/>
    <w:rPr>
      <w:rFonts w:ascii="Arial" w:hAnsi="Arial" w:eastAsia="宋体" w:cs="Arial"/>
      <w:sz w:val="24"/>
      <w:szCs w:val="24"/>
      <w:shd w:val="pct20" w:color="auto" w:fill="auto"/>
    </w:rPr>
  </w:style>
  <w:style w:type="character" w:customStyle="1" w:styleId="149">
    <w:name w:val="批注框文本 Char1"/>
    <w:basedOn w:val="92"/>
    <w:semiHidden/>
    <w:qFormat/>
    <w:uiPriority w:val="99"/>
    <w:rPr>
      <w:rFonts w:ascii="Calibri" w:hAnsi="Calibri" w:eastAsia="宋体" w:cs="Times New Roman"/>
      <w:sz w:val="18"/>
      <w:szCs w:val="18"/>
    </w:rPr>
  </w:style>
  <w:style w:type="character" w:customStyle="1" w:styleId="150">
    <w:name w:val="正文首行缩进 Char1"/>
    <w:basedOn w:val="131"/>
    <w:semiHidden/>
    <w:qFormat/>
    <w:uiPriority w:val="99"/>
    <w:rPr>
      <w:rFonts w:ascii="Calibri" w:hAnsi="Calibri" w:eastAsia="宋体" w:cs="Times New Roman"/>
      <w:szCs w:val="24"/>
    </w:rPr>
  </w:style>
  <w:style w:type="character" w:customStyle="1" w:styleId="151">
    <w:name w:val="宏文本 Char"/>
    <w:basedOn w:val="92"/>
    <w:link w:val="3"/>
    <w:semiHidden/>
    <w:qFormat/>
    <w:uiPriority w:val="0"/>
    <w:rPr>
      <w:rFonts w:ascii="Courier New" w:hAnsi="Courier New" w:eastAsia="宋体" w:cs="Courier New"/>
      <w:sz w:val="24"/>
      <w:szCs w:val="24"/>
    </w:rPr>
  </w:style>
  <w:style w:type="character" w:customStyle="1" w:styleId="152">
    <w:name w:val="页脚 Char1"/>
    <w:basedOn w:val="92"/>
    <w:semiHidden/>
    <w:qFormat/>
    <w:uiPriority w:val="99"/>
    <w:rPr>
      <w:rFonts w:ascii="Calibri" w:hAnsi="Calibri" w:eastAsia="宋体" w:cs="Times New Roman"/>
      <w:sz w:val="18"/>
      <w:szCs w:val="18"/>
    </w:rPr>
  </w:style>
  <w:style w:type="character" w:customStyle="1" w:styleId="153">
    <w:name w:val="批注主题 Char1"/>
    <w:basedOn w:val="137"/>
    <w:semiHidden/>
    <w:qFormat/>
    <w:uiPriority w:val="99"/>
    <w:rPr>
      <w:rFonts w:ascii="Calibri" w:hAnsi="Calibri" w:eastAsia="宋体" w:cs="Times New Roman"/>
      <w:b/>
      <w:bCs/>
      <w:szCs w:val="24"/>
    </w:rPr>
  </w:style>
  <w:style w:type="character" w:customStyle="1" w:styleId="154">
    <w:name w:val="纯文本 Char1"/>
    <w:basedOn w:val="92"/>
    <w:semiHidden/>
    <w:qFormat/>
    <w:uiPriority w:val="99"/>
    <w:rPr>
      <w:rFonts w:ascii="宋体" w:hAnsi="Courier New" w:eastAsia="宋体" w:cs="Courier New"/>
      <w:szCs w:val="21"/>
    </w:rPr>
  </w:style>
  <w:style w:type="character" w:customStyle="1" w:styleId="155">
    <w:name w:val="电子邮件签名 Char"/>
    <w:basedOn w:val="92"/>
    <w:link w:val="20"/>
    <w:qFormat/>
    <w:uiPriority w:val="0"/>
    <w:rPr>
      <w:rFonts w:ascii="Calibri" w:hAnsi="Calibri" w:eastAsia="宋体" w:cs="Times New Roman"/>
      <w:szCs w:val="24"/>
    </w:rPr>
  </w:style>
  <w:style w:type="paragraph" w:customStyle="1" w:styleId="156">
    <w:name w:val="样式4"/>
    <w:basedOn w:val="1"/>
    <w:qFormat/>
    <w:uiPriority w:val="0"/>
    <w:pPr>
      <w:tabs>
        <w:tab w:val="left" w:pos="2328"/>
      </w:tabs>
      <w:ind w:left="2328" w:hanging="708"/>
    </w:pPr>
  </w:style>
  <w:style w:type="character" w:customStyle="1" w:styleId="157">
    <w:name w:val="脚注文本 Char"/>
    <w:basedOn w:val="92"/>
    <w:link w:val="69"/>
    <w:semiHidden/>
    <w:qFormat/>
    <w:uiPriority w:val="0"/>
    <w:rPr>
      <w:rFonts w:ascii="Calibri" w:hAnsi="Calibri" w:eastAsia="宋体" w:cs="Times New Roman"/>
      <w:sz w:val="18"/>
      <w:szCs w:val="18"/>
    </w:rPr>
  </w:style>
  <w:style w:type="character" w:customStyle="1" w:styleId="158">
    <w:name w:val="正文文本缩进 3 Char"/>
    <w:basedOn w:val="92"/>
    <w:link w:val="72"/>
    <w:qFormat/>
    <w:uiPriority w:val="0"/>
    <w:rPr>
      <w:rFonts w:ascii="宋体" w:hAnsi="宋体" w:eastAsia="宋体" w:cs="Times New Roman"/>
      <w:sz w:val="24"/>
      <w:szCs w:val="24"/>
    </w:rPr>
  </w:style>
  <w:style w:type="paragraph" w:customStyle="1" w:styleId="15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60">
    <w:name w:val="Char2"/>
    <w:basedOn w:val="1"/>
    <w:qFormat/>
    <w:uiPriority w:val="0"/>
    <w:rPr>
      <w:rFonts w:ascii="Tahoma" w:hAnsi="Tahoma"/>
      <w:sz w:val="24"/>
      <w:szCs w:val="20"/>
    </w:rPr>
  </w:style>
  <w:style w:type="paragraph" w:customStyle="1" w:styleId="161">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2">
    <w:name w:val="列出段落112"/>
    <w:basedOn w:val="1"/>
    <w:qFormat/>
    <w:uiPriority w:val="0"/>
    <w:pPr>
      <w:ind w:firstLine="420" w:firstLineChars="200"/>
    </w:pPr>
  </w:style>
  <w:style w:type="paragraph" w:customStyle="1" w:styleId="163">
    <w:name w:val="内正文"/>
    <w:basedOn w:val="1"/>
    <w:qFormat/>
    <w:uiPriority w:val="0"/>
    <w:pPr>
      <w:ind w:firstLine="420"/>
    </w:pPr>
    <w:rPr>
      <w:rFonts w:eastAsia="文鼎CS书宋二"/>
      <w:szCs w:val="20"/>
    </w:rPr>
  </w:style>
  <w:style w:type="paragraph" w:customStyle="1" w:styleId="164">
    <w:name w:val="Char Char Char Char Char Char Char Char Char Char"/>
    <w:basedOn w:val="1"/>
    <w:qFormat/>
    <w:uiPriority w:val="0"/>
    <w:rPr>
      <w:rFonts w:ascii="Tahoma" w:hAnsi="Tahoma"/>
      <w:sz w:val="24"/>
      <w:szCs w:val="20"/>
    </w:rPr>
  </w:style>
  <w:style w:type="paragraph" w:customStyle="1" w:styleId="165">
    <w:name w:val="5"/>
    <w:basedOn w:val="1"/>
    <w:qFormat/>
    <w:uiPriority w:val="0"/>
    <w:rPr>
      <w:rFonts w:ascii="Tahoma" w:hAnsi="Tahoma"/>
      <w:sz w:val="24"/>
      <w:szCs w:val="20"/>
    </w:rPr>
  </w:style>
  <w:style w:type="paragraph" w:customStyle="1" w:styleId="166">
    <w:name w:val="Char"/>
    <w:basedOn w:val="1"/>
    <w:qFormat/>
    <w:uiPriority w:val="0"/>
    <w:pPr>
      <w:adjustRightInd w:val="0"/>
      <w:spacing w:line="360" w:lineRule="auto"/>
    </w:pPr>
    <w:rPr>
      <w:kern w:val="0"/>
      <w:sz w:val="24"/>
      <w:szCs w:val="20"/>
    </w:rPr>
  </w:style>
  <w:style w:type="paragraph" w:customStyle="1" w:styleId="167">
    <w:name w:val="Char Char Char1"/>
    <w:basedOn w:val="1"/>
    <w:qFormat/>
    <w:uiPriority w:val="0"/>
    <w:rPr>
      <w:rFonts w:ascii="宋体" w:hAnsi="宋体"/>
      <w:b/>
      <w:sz w:val="28"/>
      <w:szCs w:val="28"/>
    </w:rPr>
  </w:style>
  <w:style w:type="paragraph" w:customStyle="1" w:styleId="168">
    <w:name w:val="表"/>
    <w:basedOn w:val="1"/>
    <w:qFormat/>
    <w:uiPriority w:val="0"/>
    <w:pPr>
      <w:spacing w:line="460" w:lineRule="exact"/>
    </w:pPr>
    <w:rPr>
      <w:rFonts w:ascii="宋体" w:hAnsi="宋体"/>
      <w:b/>
      <w:bCs/>
      <w:szCs w:val="20"/>
    </w:rPr>
  </w:style>
  <w:style w:type="paragraph" w:customStyle="1" w:styleId="169">
    <w:name w:val="样式"/>
    <w:basedOn w:val="1"/>
    <w:next w:val="36"/>
    <w:qFormat/>
    <w:uiPriority w:val="0"/>
    <w:pPr>
      <w:jc w:val="center"/>
    </w:pPr>
    <w:rPr>
      <w:rFonts w:ascii="宋体" w:hAnsi="宋体"/>
      <w:color w:val="FF0000"/>
      <w:sz w:val="24"/>
    </w:rPr>
  </w:style>
  <w:style w:type="paragraph" w:customStyle="1" w:styleId="170">
    <w:name w:val="Char1 Char Char Char"/>
    <w:basedOn w:val="1"/>
    <w:qFormat/>
    <w:uiPriority w:val="0"/>
    <w:rPr>
      <w:szCs w:val="20"/>
    </w:rPr>
  </w:style>
  <w:style w:type="paragraph" w:customStyle="1" w:styleId="171">
    <w:name w:val="列出段落111"/>
    <w:basedOn w:val="1"/>
    <w:qFormat/>
    <w:uiPriority w:val="0"/>
    <w:pPr>
      <w:ind w:firstLine="420" w:firstLineChars="200"/>
    </w:p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4">
    <w:name w:val="Table Paragraph"/>
    <w:basedOn w:val="1"/>
    <w:qFormat/>
    <w:uiPriority w:val="0"/>
    <w:pPr>
      <w:jc w:val="left"/>
    </w:pPr>
    <w:rPr>
      <w:kern w:val="0"/>
      <w:sz w:val="22"/>
      <w:szCs w:val="22"/>
      <w:lang w:eastAsia="en-US"/>
    </w:rPr>
  </w:style>
  <w:style w:type="paragraph" w:customStyle="1" w:styleId="175">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6">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7">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8">
    <w:name w:val="样式1"/>
    <w:basedOn w:val="1"/>
    <w:qFormat/>
    <w:uiPriority w:val="0"/>
    <w:pPr>
      <w:spacing w:line="440" w:lineRule="atLeast"/>
      <w:outlineLvl w:val="0"/>
    </w:pPr>
    <w:rPr>
      <w:rFonts w:ascii="宋体" w:hAnsi="宋体"/>
      <w:sz w:val="24"/>
    </w:rPr>
  </w:style>
  <w:style w:type="paragraph" w:customStyle="1" w:styleId="179">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1">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3">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5">
    <w:name w:val="列出段落11"/>
    <w:basedOn w:val="1"/>
    <w:qFormat/>
    <w:uiPriority w:val="0"/>
    <w:pPr>
      <w:ind w:firstLine="420" w:firstLineChars="200"/>
    </w:pPr>
    <w:rPr>
      <w:szCs w:val="22"/>
    </w:rPr>
  </w:style>
  <w:style w:type="paragraph" w:customStyle="1" w:styleId="186">
    <w:name w:val="表格和图形名称"/>
    <w:basedOn w:val="1"/>
    <w:next w:val="1"/>
    <w:qFormat/>
    <w:uiPriority w:val="0"/>
    <w:pPr>
      <w:widowControl/>
      <w:spacing w:afterLines="50" w:line="360" w:lineRule="auto"/>
      <w:jc w:val="center"/>
    </w:pPr>
    <w:rPr>
      <w:kern w:val="0"/>
      <w:szCs w:val="20"/>
    </w:rPr>
  </w:style>
  <w:style w:type="paragraph" w:customStyle="1" w:styleId="18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8">
    <w:name w:val="正文1"/>
    <w:basedOn w:val="1"/>
    <w:qFormat/>
    <w:uiPriority w:val="0"/>
    <w:pPr>
      <w:adjustRightInd w:val="0"/>
      <w:spacing w:line="312" w:lineRule="atLeast"/>
    </w:pPr>
    <w:rPr>
      <w:kern w:val="0"/>
      <w:sz w:val="28"/>
      <w:szCs w:val="20"/>
    </w:rPr>
  </w:style>
  <w:style w:type="paragraph" w:customStyle="1" w:styleId="189">
    <w:name w:val="排列"/>
    <w:basedOn w:val="68"/>
    <w:next w:val="68"/>
    <w:qFormat/>
    <w:uiPriority w:val="0"/>
    <w:pPr>
      <w:tabs>
        <w:tab w:val="left" w:pos="1261"/>
        <w:tab w:val="clear" w:pos="360"/>
      </w:tabs>
      <w:ind w:left="1261" w:hanging="420"/>
    </w:pPr>
  </w:style>
  <w:style w:type="paragraph" w:customStyle="1" w:styleId="190">
    <w:name w:val="Char1 Char Char Char1"/>
    <w:basedOn w:val="1"/>
    <w:qFormat/>
    <w:uiPriority w:val="0"/>
    <w:pPr>
      <w:ind w:left="420" w:hanging="420"/>
    </w:pPr>
    <w:rPr>
      <w:sz w:val="24"/>
    </w:rPr>
  </w:style>
  <w:style w:type="paragraph" w:customStyle="1" w:styleId="191">
    <w:name w:val="修订1"/>
    <w:semiHidden/>
    <w:qFormat/>
    <w:uiPriority w:val="0"/>
    <w:rPr>
      <w:rFonts w:ascii="Calibri" w:hAnsi="Calibri" w:eastAsia="宋体" w:cs="Times New Roman"/>
      <w:kern w:val="2"/>
      <w:sz w:val="21"/>
      <w:szCs w:val="24"/>
      <w:lang w:val="en-US" w:eastAsia="zh-CN" w:bidi="ar-SA"/>
    </w:rPr>
  </w:style>
  <w:style w:type="paragraph" w:customStyle="1" w:styleId="192">
    <w:name w:val="Char Char Char Char Char Char Char Char Char Char Char Char Char1"/>
    <w:basedOn w:val="27"/>
    <w:qFormat/>
    <w:uiPriority w:val="0"/>
    <w:rPr>
      <w:szCs w:val="20"/>
    </w:rPr>
  </w:style>
  <w:style w:type="paragraph" w:customStyle="1" w:styleId="193">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4">
    <w:name w:val="封面2"/>
    <w:basedOn w:val="1"/>
    <w:qFormat/>
    <w:uiPriority w:val="0"/>
    <w:pPr>
      <w:spacing w:line="360" w:lineRule="auto"/>
      <w:jc w:val="center"/>
    </w:pPr>
    <w:rPr>
      <w:rFonts w:ascii="黑体" w:hAnsi="宋体" w:eastAsia="黑体"/>
      <w:b/>
      <w:spacing w:val="-30"/>
      <w:sz w:val="96"/>
    </w:rPr>
  </w:style>
  <w:style w:type="paragraph" w:customStyle="1" w:styleId="1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7">
    <w:name w:val="Char Char2 Char"/>
    <w:basedOn w:val="1"/>
    <w:qFormat/>
    <w:uiPriority w:val="0"/>
  </w:style>
  <w:style w:type="paragraph" w:customStyle="1" w:styleId="198">
    <w:name w:val="Char Char Char Char Char Char Char Char Char Char1"/>
    <w:basedOn w:val="1"/>
    <w:qFormat/>
    <w:uiPriority w:val="0"/>
    <w:rPr>
      <w:rFonts w:ascii="Tahoma" w:hAnsi="Tahoma"/>
      <w:sz w:val="24"/>
      <w:szCs w:val="20"/>
    </w:rPr>
  </w:style>
  <w:style w:type="paragraph" w:customStyle="1" w:styleId="199">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20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1">
    <w:name w:val="Char Char Char"/>
    <w:basedOn w:val="1"/>
    <w:qFormat/>
    <w:uiPriority w:val="0"/>
    <w:rPr>
      <w:rFonts w:ascii="宋体" w:hAnsi="宋体"/>
      <w:b/>
      <w:sz w:val="28"/>
      <w:szCs w:val="28"/>
    </w:rPr>
  </w:style>
  <w:style w:type="paragraph" w:customStyle="1" w:styleId="202">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Char Char Char1 Char"/>
    <w:basedOn w:val="1"/>
    <w:qFormat/>
    <w:uiPriority w:val="0"/>
    <w:pPr>
      <w:tabs>
        <w:tab w:val="left" w:pos="425"/>
      </w:tabs>
      <w:ind w:left="425" w:hanging="425"/>
    </w:pPr>
    <w:rPr>
      <w:rFonts w:eastAsia="仿宋_GB2312"/>
      <w:kern w:val="24"/>
      <w:sz w:val="24"/>
    </w:rPr>
  </w:style>
  <w:style w:type="paragraph" w:customStyle="1" w:styleId="204">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5">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8">
    <w:name w:val="网格型1"/>
    <w:basedOn w:val="9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2"/>
    <w:basedOn w:val="90"/>
    <w:qFormat/>
    <w:uiPriority w:val="0"/>
    <w:pPr>
      <w:spacing w:beforeAutospacing="1" w:afterAutospacing="1"/>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0">
    <w:name w:val="修订2"/>
    <w:hidden/>
    <w:semiHidden/>
    <w:qFormat/>
    <w:uiPriority w:val="99"/>
    <w:rPr>
      <w:rFonts w:ascii="Calibri" w:hAnsi="Calibri" w:eastAsia="宋体" w:cs="Times New Roman"/>
      <w:kern w:val="2"/>
      <w:sz w:val="21"/>
      <w:szCs w:val="24"/>
      <w:lang w:val="en-US" w:eastAsia="zh-CN" w:bidi="ar-SA"/>
    </w:rPr>
  </w:style>
  <w:style w:type="paragraph" w:customStyle="1" w:styleId="21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font31"/>
    <w:basedOn w:val="92"/>
    <w:qFormat/>
    <w:uiPriority w:val="0"/>
    <w:rPr>
      <w:rFonts w:hint="eastAsia" w:ascii="宋体" w:hAnsi="宋体" w:eastAsia="宋体" w:cs="宋体"/>
      <w:color w:val="000000"/>
      <w:sz w:val="22"/>
      <w:szCs w:val="22"/>
      <w:u w:val="none"/>
    </w:rPr>
  </w:style>
  <w:style w:type="character" w:customStyle="1" w:styleId="213">
    <w:name w:val="font01"/>
    <w:basedOn w:val="92"/>
    <w:qFormat/>
    <w:uiPriority w:val="0"/>
    <w:rPr>
      <w:rFonts w:hint="eastAsia" w:ascii="宋体" w:hAnsi="宋体" w:eastAsia="宋体" w:cs="宋体"/>
      <w:color w:val="333333"/>
      <w:sz w:val="22"/>
      <w:szCs w:val="22"/>
      <w:u w:val="none"/>
    </w:rPr>
  </w:style>
  <w:style w:type="character" w:customStyle="1" w:styleId="214">
    <w:name w:val="font51"/>
    <w:basedOn w:val="92"/>
    <w:qFormat/>
    <w:uiPriority w:val="0"/>
    <w:rPr>
      <w:rFonts w:hint="eastAsia" w:ascii="宋体" w:hAnsi="宋体" w:eastAsia="宋体" w:cs="宋体"/>
      <w:color w:val="000000"/>
      <w:sz w:val="22"/>
      <w:szCs w:val="22"/>
      <w:u w:val="none"/>
    </w:rPr>
  </w:style>
  <w:style w:type="paragraph" w:customStyle="1" w:styleId="215">
    <w:name w:val="文一"/>
    <w:basedOn w:val="1"/>
    <w:qFormat/>
    <w:uiPriority w:val="0"/>
    <w:pPr>
      <w:topLinePunct/>
      <w:adjustRightInd w:val="0"/>
      <w:snapToGrid w:val="0"/>
      <w:spacing w:line="360" w:lineRule="auto"/>
      <w:ind w:firstLine="200" w:firstLineChars="200"/>
    </w:pPr>
    <w:rPr>
      <w:spacing w:val="4"/>
      <w:kern w:val="0"/>
      <w:sz w:val="24"/>
    </w:rPr>
  </w:style>
  <w:style w:type="character" w:customStyle="1" w:styleId="216">
    <w:name w:val="font41"/>
    <w:basedOn w:val="92"/>
    <w:qFormat/>
    <w:uiPriority w:val="0"/>
    <w:rPr>
      <w:rFonts w:hint="eastAsia" w:ascii="宋体" w:hAnsi="宋体" w:eastAsia="宋体" w:cs="宋体"/>
      <w:color w:val="000000"/>
      <w:sz w:val="22"/>
      <w:szCs w:val="22"/>
      <w:u w:val="none"/>
    </w:rPr>
  </w:style>
  <w:style w:type="character" w:customStyle="1" w:styleId="217">
    <w:name w:val="font61"/>
    <w:basedOn w:val="92"/>
    <w:qFormat/>
    <w:uiPriority w:val="0"/>
    <w:rPr>
      <w:rFonts w:hint="eastAsia" w:ascii="宋体" w:hAnsi="宋体" w:eastAsia="宋体" w:cs="宋体"/>
      <w:color w:val="000000"/>
      <w:sz w:val="22"/>
      <w:szCs w:val="22"/>
      <w:u w:val="none"/>
    </w:rPr>
  </w:style>
  <w:style w:type="character" w:customStyle="1" w:styleId="218">
    <w:name w:val="font21"/>
    <w:basedOn w:val="92"/>
    <w:qFormat/>
    <w:uiPriority w:val="0"/>
    <w:rPr>
      <w:rFonts w:hint="eastAsia" w:ascii="宋体" w:hAnsi="宋体" w:eastAsia="宋体" w:cs="宋体"/>
      <w:color w:val="000000"/>
      <w:sz w:val="22"/>
      <w:szCs w:val="22"/>
      <w:u w:val="none"/>
    </w:rPr>
  </w:style>
  <w:style w:type="character" w:customStyle="1" w:styleId="219">
    <w:name w:val="font151"/>
    <w:basedOn w:val="9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78</Pages>
  <Words>6720</Words>
  <Characters>38309</Characters>
  <Lines>319</Lines>
  <Paragraphs>89</Paragraphs>
  <TotalTime>0</TotalTime>
  <ScaleCrop>false</ScaleCrop>
  <LinksUpToDate>false</LinksUpToDate>
  <CharactersWithSpaces>44940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2020-11-23T02:54:00Z</dcterms:created>
  <dc:creator>LBDZ</dc:creator>
  <cp:lastModifiedBy>小笼包</cp:lastModifiedBy>
  <cp:lastPrinted>2020-08-19T09:18:00Z</cp:lastPrinted>
  <dcterms:modified xsi:type="dcterms:W3CDTF">2020-12-17T08:10:18Z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