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广东省农业科学院领军人才项目微生物实验室通风与洁净系统设备采购及配套服务项目采购</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项目编号：202009-184098-0055</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4"/>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4"/>
          <w:rFonts w:hint="eastAsia" w:ascii="宋体" w:hAnsi="宋体"/>
          <w:b/>
          <w:color w:val="auto"/>
          <w:sz w:val="30"/>
          <w:szCs w:val="30"/>
          <w:highlight w:val="none"/>
          <w:u w:val="none"/>
        </w:rPr>
        <w:t xml:space="preserve"> 二○二○年九月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报价报价人以非独立法人注册的分公司名义代表总公司盖章和签署文件的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投标/报价报价人为中型、小型、微型企业的，请提交《中小企业声明函》。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报价人，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4"/>
          <w:rFonts w:ascii="宋体" w:hAnsi="宋体"/>
          <w:smallCaps/>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4"/>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4"/>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4"/>
          <w:rFonts w:hint="eastAsia"/>
          <w:color w:val="auto"/>
          <w:sz w:val="28"/>
          <w:szCs w:val="28"/>
          <w:highlight w:val="none"/>
        </w:rPr>
        <w:t>第二章 竞争性磋商须</w:t>
      </w:r>
      <w:bookmarkStart w:id="2" w:name="_Hlt509928387"/>
      <w:r>
        <w:rPr>
          <w:rStyle w:val="94"/>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8</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4"/>
          <w:rFonts w:hint="eastAsia"/>
          <w:color w:val="auto"/>
          <w:sz w:val="28"/>
          <w:szCs w:val="28"/>
          <w:highlight w:val="none"/>
        </w:rPr>
        <w:t>第三章 采购人</w:t>
      </w:r>
      <w:bookmarkStart w:id="3" w:name="_Hlt510014101"/>
      <w:r>
        <w:rPr>
          <w:rStyle w:val="94"/>
          <w:rFonts w:hint="eastAsia"/>
          <w:color w:val="auto"/>
          <w:sz w:val="28"/>
          <w:szCs w:val="28"/>
          <w:highlight w:val="none"/>
        </w:rPr>
        <w:t>需</w:t>
      </w:r>
      <w:bookmarkEnd w:id="3"/>
      <w:bookmarkStart w:id="4" w:name="_Hlt510971526"/>
      <w:r>
        <w:rPr>
          <w:rStyle w:val="94"/>
          <w:rFonts w:hint="eastAsia"/>
          <w:color w:val="auto"/>
          <w:sz w:val="28"/>
          <w:szCs w:val="28"/>
          <w:highlight w:val="none"/>
        </w:rPr>
        <w:t>求</w:t>
      </w:r>
      <w:bookmarkEnd w:id="4"/>
      <w:bookmarkStart w:id="5" w:name="_Hlt510014036"/>
      <w:bookmarkStart w:id="6" w:name="_Hlt510014037"/>
      <w:r>
        <w:rPr>
          <w:rStyle w:val="94"/>
          <w:rFonts w:hint="eastAsia"/>
          <w:color w:val="auto"/>
          <w:sz w:val="28"/>
          <w:szCs w:val="28"/>
          <w:highlight w:val="none"/>
        </w:rPr>
        <w:t>书</w:t>
      </w:r>
      <w:bookmarkEnd w:id="5"/>
      <w:bookmarkEnd w:id="6"/>
      <w:bookmarkStart w:id="7" w:name="_Hlt509994711"/>
      <w:bookmarkStart w:id="8" w:name="_Hlt509994710"/>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25</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4"/>
          <w:rFonts w:hint="eastAsia"/>
          <w:color w:val="auto"/>
          <w:sz w:val="28"/>
          <w:szCs w:val="28"/>
          <w:highlight w:val="none"/>
        </w:rPr>
        <w:t xml:space="preserve">第四章 </w:t>
      </w:r>
      <w:bookmarkStart w:id="10" w:name="_Hlt511828826"/>
      <w:r>
        <w:rPr>
          <w:rStyle w:val="94"/>
          <w:rFonts w:hint="eastAsia"/>
          <w:color w:val="auto"/>
          <w:sz w:val="28"/>
          <w:szCs w:val="28"/>
          <w:highlight w:val="none"/>
        </w:rPr>
        <w:t>政府采购合同（</w:t>
      </w:r>
      <w:bookmarkEnd w:id="10"/>
      <w:r>
        <w:rPr>
          <w:rStyle w:val="94"/>
          <w:rFonts w:hint="eastAsia"/>
          <w:color w:val="auto"/>
          <w:sz w:val="28"/>
          <w:szCs w:val="28"/>
          <w:highlight w:val="none"/>
        </w:rPr>
        <w:t>样本）</w:t>
      </w:r>
      <w:r>
        <w:rPr>
          <w:rStyle w:val="94"/>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56</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4"/>
          <w:rFonts w:hint="eastAsia"/>
          <w:color w:val="auto"/>
          <w:sz w:val="28"/>
          <w:szCs w:val="28"/>
          <w:highlight w:val="none"/>
        </w:rPr>
        <w:t>第五章 评分</w:t>
      </w:r>
      <w:bookmarkStart w:id="11" w:name="_Hlt509997395"/>
      <w:r>
        <w:rPr>
          <w:rStyle w:val="94"/>
          <w:rFonts w:hint="eastAsia"/>
          <w:color w:val="auto"/>
          <w:sz w:val="28"/>
          <w:szCs w:val="28"/>
          <w:highlight w:val="none"/>
        </w:rPr>
        <w:t>体</w:t>
      </w:r>
      <w:bookmarkEnd w:id="11"/>
      <w:bookmarkStart w:id="12" w:name="_Hlt475104622"/>
      <w:r>
        <w:rPr>
          <w:rStyle w:val="94"/>
          <w:rFonts w:hint="eastAsia"/>
          <w:color w:val="auto"/>
          <w:sz w:val="28"/>
          <w:szCs w:val="28"/>
          <w:highlight w:val="none"/>
        </w:rPr>
        <w:t>系</w:t>
      </w:r>
      <w:bookmarkEnd w:id="12"/>
      <w:bookmarkStart w:id="13" w:name="_Hlt510014093"/>
      <w:bookmarkStart w:id="14" w:name="_Hlt509932460"/>
      <w:bookmarkStart w:id="15" w:name="_Hlt509932461"/>
      <w:r>
        <w:rPr>
          <w:rStyle w:val="94"/>
          <w:rFonts w:hint="eastAsia"/>
          <w:color w:val="auto"/>
          <w:sz w:val="28"/>
          <w:szCs w:val="28"/>
          <w:highlight w:val="none"/>
        </w:rPr>
        <w:t>与</w:t>
      </w:r>
      <w:bookmarkEnd w:id="13"/>
      <w:bookmarkEnd w:id="14"/>
      <w:bookmarkEnd w:id="15"/>
      <w:bookmarkStart w:id="16" w:name="_Hlt509994748"/>
      <w:r>
        <w:rPr>
          <w:rStyle w:val="94"/>
          <w:rFonts w:hint="eastAsia"/>
          <w:color w:val="auto"/>
          <w:sz w:val="28"/>
          <w:szCs w:val="28"/>
          <w:highlight w:val="none"/>
        </w:rPr>
        <w:t>标</w:t>
      </w:r>
      <w:bookmarkEnd w:id="16"/>
      <w:bookmarkStart w:id="17" w:name="_Hlt509992254"/>
      <w:bookmarkStart w:id="18" w:name="_Hlt510014176"/>
      <w:r>
        <w:rPr>
          <w:rStyle w:val="94"/>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61</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4"/>
          <w:rFonts w:hint="eastAsia"/>
          <w:color w:val="auto"/>
          <w:sz w:val="28"/>
          <w:szCs w:val="28"/>
          <w:highlight w:val="none"/>
        </w:rPr>
        <w:t>第六章 附件（格</w:t>
      </w:r>
      <w:bookmarkStart w:id="22" w:name="_Hlt510014049"/>
      <w:r>
        <w:rPr>
          <w:rStyle w:val="94"/>
          <w:rFonts w:hint="eastAsia"/>
          <w:color w:val="auto"/>
          <w:sz w:val="28"/>
          <w:szCs w:val="28"/>
          <w:highlight w:val="none"/>
        </w:rPr>
        <w:t>式</w:t>
      </w:r>
      <w:bookmarkEnd w:id="22"/>
      <w:r>
        <w:rPr>
          <w:rStyle w:val="94"/>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69</w:t>
      </w:r>
    </w:p>
    <w:p>
      <w:pPr>
        <w:pStyle w:val="60"/>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0"/>
        <w:tabs>
          <w:tab w:val="right" w:leader="dot" w:pos="9231"/>
        </w:tabs>
        <w:spacing w:line="360" w:lineRule="auto"/>
        <w:rPr>
          <w:b w:val="0"/>
          <w:bCs w:val="0"/>
          <w:caps w:val="0"/>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rPr>
        <w:t>公告</w:t>
      </w:r>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广东省农业科学院领军人才项目微生物实验室通风与洁净系统设备采购及配套服务项目采购</w:t>
      </w:r>
      <w:r>
        <w:rPr>
          <w:rFonts w:hint="eastAsia" w:ascii="宋体" w:hAnsi="宋体" w:cs="宋体"/>
          <w:color w:val="auto"/>
          <w:szCs w:val="21"/>
          <w:highlight w:val="none"/>
        </w:rPr>
        <w:t xml:space="preserve"> 招标项目的潜在报价人应在广州市海珠区红卫新村西路29号UP智谷D栋503房获取竞争性磋商文件，并于2020年</w:t>
      </w:r>
      <w:r>
        <w:rPr>
          <w:rFonts w:hint="eastAsia" w:ascii="宋体" w:hAnsi="宋体" w:cs="宋体"/>
          <w:color w:val="auto"/>
          <w:szCs w:val="21"/>
          <w:highlight w:val="none"/>
        </w:rPr>
        <w:t>09月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项目编号：</w:t>
      </w:r>
      <w:r>
        <w:rPr>
          <w:rFonts w:hint="eastAsia" w:ascii="宋体" w:hAnsi="宋体" w:cs="宋体"/>
          <w:bCs/>
          <w:color w:val="auto"/>
          <w:szCs w:val="20"/>
          <w:highlight w:val="none"/>
        </w:rPr>
        <w:t>202009-184098-0055</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广东省农业科学院领军人才项目微生物实验室通风与洁净系统设备采购及配套服务项目采购</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462995.16</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462995.16</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广东省农业科学院领军人才项目微生物实验室通风与洁净系统设备采购及配套服务项目采购</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89"/>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广东省农业科学院领军人才项目微生物实验室通风与洁净系统设备采购及配套服务项目采购</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462995.16</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462995.16</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广东省农业科学院领军人才项目微生物实验室通风与洁净系统设备采购及配套服务项目采购</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rPr>
        <w:t>：35日历天内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提供2018年或2019年的财务状况报告或基本开户行（提供开户许可证）出具的资信证明复印件。如报价人为新注册的，提供成立至今的月或季度财务状况报告复印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（2）报价人《公平竞争承诺书》原件。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w:t>
      </w:r>
      <w:r>
        <w:rPr>
          <w:rFonts w:ascii="宋体" w:hAnsi="宋体" w:cs="宋体"/>
          <w:bCs/>
          <w:color w:val="auto"/>
          <w:szCs w:val="20"/>
          <w:highlight w:val="none"/>
        </w:rPr>
        <w:t>2020年</w:t>
      </w:r>
      <w:r>
        <w:rPr>
          <w:rFonts w:hint="eastAsia" w:ascii="宋体" w:hAnsi="宋体" w:cs="宋体"/>
          <w:bCs/>
          <w:color w:val="auto"/>
          <w:szCs w:val="20"/>
          <w:highlight w:val="none"/>
        </w:rPr>
        <w:t>9</w:t>
      </w:r>
      <w:r>
        <w:rPr>
          <w:rFonts w:ascii="宋体" w:hAnsi="宋体" w:cs="宋体"/>
          <w:bCs/>
          <w:color w:val="auto"/>
          <w:szCs w:val="20"/>
          <w:highlight w:val="none"/>
        </w:rPr>
        <w:t>月</w:t>
      </w:r>
      <w:r>
        <w:rPr>
          <w:rFonts w:hint="eastAsia" w:ascii="宋体" w:hAnsi="宋体" w:cs="宋体"/>
          <w:bCs/>
          <w:color w:val="auto"/>
          <w:szCs w:val="20"/>
          <w:highlight w:val="none"/>
        </w:rPr>
        <w:t>15</w:t>
      </w:r>
      <w:r>
        <w:rPr>
          <w:rFonts w:ascii="宋体" w:hAnsi="宋体" w:cs="宋体"/>
          <w:bCs/>
          <w:color w:val="auto"/>
          <w:szCs w:val="20"/>
          <w:highlight w:val="none"/>
        </w:rPr>
        <w:t>日至2020年</w:t>
      </w:r>
      <w:r>
        <w:rPr>
          <w:rFonts w:hint="eastAsia" w:ascii="宋体" w:hAnsi="宋体" w:cs="宋体"/>
          <w:bCs/>
          <w:color w:val="auto"/>
          <w:szCs w:val="20"/>
          <w:highlight w:val="none"/>
        </w:rPr>
        <w:t>9</w:t>
      </w:r>
      <w:r>
        <w:rPr>
          <w:rFonts w:ascii="宋体" w:hAnsi="宋体" w:cs="宋体"/>
          <w:bCs/>
          <w:color w:val="auto"/>
          <w:szCs w:val="20"/>
          <w:highlight w:val="none"/>
        </w:rPr>
        <w:t>月</w:t>
      </w:r>
      <w:r>
        <w:rPr>
          <w:rFonts w:hint="eastAsia" w:ascii="宋体" w:hAnsi="宋体" w:cs="宋体"/>
          <w:bCs/>
          <w:color w:val="auto"/>
          <w:szCs w:val="20"/>
          <w:highlight w:val="none"/>
        </w:rPr>
        <w:t>21</w:t>
      </w:r>
      <w:r>
        <w:rPr>
          <w:rFonts w:ascii="宋体" w:hAnsi="宋体" w:cs="宋体"/>
          <w:bCs/>
          <w:color w:val="auto"/>
          <w:szCs w:val="20"/>
          <w:highlight w:val="none"/>
        </w:rPr>
        <w:t>日</w:t>
      </w:r>
      <w:r>
        <w:rPr>
          <w:rFonts w:ascii="宋体" w:hAnsi="宋体" w:cs="宋体"/>
          <w:bCs/>
          <w:color w:val="auto"/>
          <w:szCs w:val="20"/>
          <w:highlight w:val="none"/>
        </w:rPr>
        <w:t>（磋商文件的发售期限自开始之日起不得少于5个工作日），每天上午</w:t>
      </w:r>
      <w:r>
        <w:rPr>
          <w:rFonts w:hint="eastAsia" w:ascii="宋体" w:hAnsi="宋体" w:cs="宋体"/>
          <w:bCs/>
          <w:color w:val="auto"/>
          <w:szCs w:val="20"/>
          <w:highlight w:val="none"/>
        </w:rPr>
        <w:t>09</w:t>
      </w:r>
      <w:r>
        <w:rPr>
          <w:rFonts w:ascii="宋体" w:hAnsi="宋体" w:cs="宋体"/>
          <w:bCs/>
          <w:color w:val="auto"/>
          <w:szCs w:val="20"/>
          <w:highlight w:val="none"/>
        </w:rPr>
        <w:t>:</w:t>
      </w:r>
      <w:r>
        <w:rPr>
          <w:rFonts w:hint="eastAsia" w:ascii="宋体" w:hAnsi="宋体" w:cs="宋体"/>
          <w:bCs/>
          <w:color w:val="auto"/>
          <w:szCs w:val="20"/>
          <w:highlight w:val="none"/>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w:t>
      </w:r>
      <w:r>
        <w:rPr>
          <w:rFonts w:ascii="宋体" w:hAnsi="宋体" w:cs="宋体"/>
          <w:bCs/>
          <w:color w:val="auto"/>
          <w:szCs w:val="20"/>
          <w:highlight w:val="none"/>
        </w:rPr>
        <w:t>（北京时间）（从磋商文件开始发出之日起至</w:t>
      </w:r>
      <w:r>
        <w:rPr>
          <w:rFonts w:hint="eastAsia" w:ascii="宋体" w:hAnsi="宋体" w:cs="宋体"/>
          <w:bCs/>
          <w:color w:val="auto"/>
          <w:szCs w:val="20"/>
          <w:highlight w:val="none"/>
        </w:rPr>
        <w:t>报价人</w:t>
      </w:r>
      <w:r>
        <w:rPr>
          <w:rFonts w:ascii="宋体" w:hAnsi="宋体" w:cs="宋体"/>
          <w:bCs/>
          <w:color w:val="auto"/>
          <w:szCs w:val="20"/>
          <w:highlight w:val="none"/>
        </w:rPr>
        <w:t>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28359093"/>
      <w:bookmarkStart w:id="27" w:name="_Toc28359016"/>
      <w:bookmarkStart w:id="28" w:name="_Toc35393633"/>
      <w:bookmarkStart w:id="29" w:name="_Toc35393802"/>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w:t>
      </w:r>
      <w:r>
        <w:rPr>
          <w:rFonts w:hint="eastAsia" w:ascii="宋体" w:hAnsi="宋体" w:cs="宋体"/>
          <w:bCs/>
          <w:color w:val="auto"/>
          <w:szCs w:val="20"/>
          <w:highlight w:val="none"/>
        </w:rPr>
        <w:t>2020年09月</w:t>
      </w:r>
      <w:r>
        <w:rPr>
          <w:rFonts w:hint="eastAsia" w:ascii="宋体" w:hAnsi="宋体" w:cs="宋体"/>
          <w:bCs/>
          <w:color w:val="auto"/>
          <w:szCs w:val="20"/>
          <w:highlight w:val="none"/>
          <w:lang w:val="en-US" w:eastAsia="zh-CN"/>
        </w:rPr>
        <w:t>27</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点30分</w:t>
      </w:r>
      <w:r>
        <w:rPr>
          <w:rFonts w:hint="eastAsia" w:ascii="宋体" w:hAnsi="宋体" w:cs="宋体"/>
          <w:bCs/>
          <w:color w:val="auto"/>
          <w:szCs w:val="20"/>
          <w:highlight w:val="none"/>
        </w:rPr>
        <w:t>（北京时间）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1.只接受登记及领购采购文件的报价人投标。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2.已成功登记及领购采购文件的报价人参加投标的，不代表通过资格性、符合性审查。投标资格最终根据报价人投标文件中的资格审查资料作出的结论为准。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3.若已登记及领购采购文件而决定不参加本项目投标的报价人，应在开标前三日以书面形式（书面材料、信函或传真加盖报价人公章）通知采购代理机构。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采购文件的公示，根据《广东省实施〈中华人民共和国政府采购法〉办法》第三十五条的规定，报价人认为政府采购文件的内容损害其权益的，可以在公示期间或者自期满之日起七个工作日内以书面形式向采购人或者代理机构提出质疑。质疑书应当署名。质疑报价人为自然人的，应当由本人签字；质疑报价人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w:t>
      </w:r>
      <w:r>
        <w:rPr>
          <w:rFonts w:hint="eastAsia" w:ascii="宋体" w:hAnsi="宋体" w:cs="宋体"/>
          <w:bCs/>
          <w:color w:val="auto"/>
          <w:szCs w:val="20"/>
          <w:highlight w:val="none"/>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电话：020-8900129</w:t>
      </w:r>
      <w:r>
        <w:rPr>
          <w:rFonts w:hint="eastAsia" w:ascii="宋体" w:hAnsi="宋体" w:cs="宋体"/>
          <w:bCs/>
          <w:color w:val="auto"/>
          <w:szCs w:val="20"/>
          <w:highlight w:val="none"/>
        </w:rPr>
        <w:t>6</w:t>
      </w:r>
    </w:p>
    <w:p>
      <w:pPr>
        <w:pStyle w:val="46"/>
        <w:rPr>
          <w:rFonts w:hAnsi="宋体" w:cs="宋体"/>
          <w:bCs/>
          <w:color w:val="auto"/>
          <w:szCs w:val="20"/>
          <w:highlight w:val="none"/>
        </w:rPr>
      </w:pPr>
    </w:p>
    <w:p>
      <w:pPr>
        <w:pStyle w:val="96"/>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w:t>
      </w:r>
      <w:r>
        <w:rPr>
          <w:rFonts w:ascii="宋体" w:hAnsi="宋体" w:cs="宋体"/>
          <w:bCs/>
          <w:color w:val="auto"/>
          <w:szCs w:val="20"/>
          <w:highlight w:val="none"/>
        </w:rPr>
        <w:t>2020 年</w:t>
      </w:r>
      <w:r>
        <w:rPr>
          <w:rFonts w:hint="eastAsia" w:ascii="宋体" w:hAnsi="宋体" w:cs="宋体"/>
          <w:bCs/>
          <w:color w:val="auto"/>
          <w:szCs w:val="20"/>
          <w:highlight w:val="none"/>
        </w:rPr>
        <w:t>9</w:t>
      </w:r>
      <w:r>
        <w:rPr>
          <w:rFonts w:ascii="宋体" w:hAnsi="宋体" w:cs="宋体"/>
          <w:bCs/>
          <w:color w:val="auto"/>
          <w:szCs w:val="20"/>
          <w:highlight w:val="none"/>
        </w:rPr>
        <w:t>月</w:t>
      </w:r>
      <w:r>
        <w:rPr>
          <w:rFonts w:hint="eastAsia" w:ascii="宋体" w:hAnsi="宋体" w:cs="宋体"/>
          <w:bCs/>
          <w:color w:val="auto"/>
          <w:szCs w:val="20"/>
          <w:highlight w:val="none"/>
        </w:rPr>
        <w:t>14</w:t>
      </w:r>
      <w:r>
        <w:rPr>
          <w:rFonts w:ascii="宋体" w:hAnsi="宋体" w:cs="宋体"/>
          <w:bCs/>
          <w:color w:val="auto"/>
          <w:szCs w:val="20"/>
          <w:highlight w:val="none"/>
        </w:rPr>
        <w:t>日</w:t>
      </w:r>
      <w:bookmarkStart w:id="30" w:name="_Toc14450807"/>
      <w:bookmarkStart w:id="31" w:name="_Toc28489434"/>
    </w:p>
    <w:p>
      <w:pPr>
        <w:rPr>
          <w:rFonts w:ascii="宋体" w:hAnsi="宋体"/>
          <w:color w:val="auto"/>
          <w:sz w:val="28"/>
          <w:highlight w:val="none"/>
        </w:rPr>
      </w:pPr>
      <w:r>
        <w:rPr>
          <w:rFonts w:ascii="宋体" w:hAnsi="宋体"/>
          <w:color w:val="auto"/>
          <w:sz w:val="28"/>
          <w:highlight w:val="none"/>
        </w:rPr>
        <w:br w:type="page"/>
      </w: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89"/>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成交人在领取《中标通知书》前直接一次性向采购代理机构足额支付招标代理服务费及专家费（专家费按实进行结算）。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自从磋商响应文件递交截止日起90天，成交报价人的响应有效期自动延长至合同终止为止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报价人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详见报价人须知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63737682"/>
      <w:bookmarkStart w:id="36" w:name="_Toc322680342"/>
      <w:bookmarkStart w:id="37" w:name="_Toc315793450"/>
      <w:bookmarkStart w:id="38" w:name="_Toc475104468"/>
      <w:bookmarkStart w:id="39" w:name="_Toc320515016"/>
      <w:bookmarkStart w:id="40" w:name="_Toc320515065"/>
      <w:bookmarkStart w:id="41" w:name="_Toc323110975"/>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15793451"/>
      <w:bookmarkStart w:id="43" w:name="_Toc475104469"/>
      <w:bookmarkStart w:id="44" w:name="_Toc320515066"/>
      <w:bookmarkStart w:id="45" w:name="_Toc323110976"/>
      <w:bookmarkStart w:id="46" w:name="_Toc320515017"/>
      <w:bookmarkStart w:id="47" w:name="_Toc322680343"/>
      <w:bookmarkStart w:id="48" w:name="_Toc36373768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20515018"/>
      <w:bookmarkStart w:id="50" w:name="_Toc323110977"/>
      <w:bookmarkStart w:id="51" w:name="_Toc475104470"/>
      <w:bookmarkStart w:id="52" w:name="_Toc363737684"/>
      <w:bookmarkStart w:id="53" w:name="_Toc322680344"/>
      <w:bookmarkStart w:id="54" w:name="_Toc320515067"/>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“乙方”系指成交报价人。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“成交报价人”系指</w:t>
      </w:r>
      <w:r>
        <w:rPr>
          <w:rFonts w:hint="eastAsia" w:ascii="宋体" w:hAnsi="宋体"/>
          <w:color w:val="auto"/>
          <w:szCs w:val="21"/>
          <w:highlight w:val="none"/>
        </w:rPr>
        <w:t>法定程序确定并授予合同的</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报价人</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20515019"/>
      <w:bookmarkStart w:id="56" w:name="_Toc323110978"/>
      <w:bookmarkStart w:id="57" w:name="_Toc322680345"/>
      <w:bookmarkStart w:id="58" w:name="_Toc315793453"/>
      <w:bookmarkStart w:id="59" w:name="_Toc320515068"/>
      <w:bookmarkStart w:id="60" w:name="_Toc475104471"/>
      <w:bookmarkStart w:id="61" w:name="_Toc36373768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报价人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报价人</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邀请“报价人资格”要求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报价人</w:t>
      </w:r>
      <w:r>
        <w:rPr>
          <w:rFonts w:hint="eastAsia" w:ascii="宋体" w:hAnsi="宋体"/>
          <w:color w:val="auto"/>
          <w:szCs w:val="21"/>
          <w:highlight w:val="none"/>
        </w:rPr>
        <w:t>参加竞争，但只作为一家</w:t>
      </w:r>
      <w:r>
        <w:rPr>
          <w:rFonts w:hint="eastAsia" w:ascii="宋体" w:hAnsi="宋体"/>
          <w:color w:val="auto"/>
          <w:highlight w:val="none"/>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rPr>
        <w:t>报价人</w:t>
      </w:r>
      <w:r>
        <w:rPr>
          <w:rFonts w:hint="eastAsia" w:ascii="宋体" w:hAnsi="宋体"/>
          <w:color w:val="auto"/>
          <w:szCs w:val="21"/>
          <w:highlight w:val="none"/>
        </w:rPr>
        <w:t>参加竞争，作为不同的</w:t>
      </w:r>
      <w:r>
        <w:rPr>
          <w:rFonts w:hint="eastAsia" w:ascii="宋体" w:hAnsi="宋体"/>
          <w:color w:val="auto"/>
          <w:highlight w:val="none"/>
        </w:rPr>
        <w:t>报价人</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63737686"/>
      <w:bookmarkStart w:id="63" w:name="_Toc475104472"/>
      <w:bookmarkStart w:id="64" w:name="_Toc333236630"/>
      <w:bookmarkStart w:id="65" w:name="_Toc320515070"/>
      <w:bookmarkStart w:id="66" w:name="_Toc322680347"/>
      <w:bookmarkStart w:id="67" w:name="_Toc320515021"/>
      <w:bookmarkStart w:id="68" w:name="_Toc323110980"/>
      <w:bookmarkStart w:id="69" w:name="_Toc315793455"/>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报价人</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报价人</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475104473"/>
      <w:bookmarkStart w:id="71" w:name="_Toc363737687"/>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0515022"/>
      <w:bookmarkStart w:id="74" w:name="_Toc320515071"/>
      <w:bookmarkStart w:id="75" w:name="_Toc323110981"/>
      <w:bookmarkStart w:id="76" w:name="_Toc315793456"/>
      <w:r>
        <w:rPr>
          <w:rFonts w:hint="eastAsia" w:ascii="宋体" w:hAnsi="宋体"/>
          <w:color w:val="auto"/>
          <w:highlight w:val="none"/>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15793458"/>
      <w:bookmarkStart w:id="79" w:name="_Toc363737689"/>
      <w:bookmarkStart w:id="80" w:name="_Toc320515073"/>
      <w:bookmarkStart w:id="81" w:name="_Toc322680350"/>
      <w:bookmarkStart w:id="82" w:name="_Toc475104475"/>
      <w:bookmarkStart w:id="83" w:name="_Toc323110983"/>
      <w:bookmarkStart w:id="84" w:name="_Toc320515024"/>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报价人</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0515025"/>
      <w:bookmarkStart w:id="86" w:name="_Toc320515074"/>
      <w:bookmarkStart w:id="87" w:name="_Toc323110984"/>
      <w:bookmarkStart w:id="88" w:name="_Toc322680351"/>
      <w:bookmarkStart w:id="89" w:name="_Toc475104476"/>
      <w:bookmarkStart w:id="90" w:name="_Toc315793459"/>
      <w:bookmarkStart w:id="91" w:name="_Toc363737690"/>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报价人</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报价人</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3110985"/>
      <w:bookmarkStart w:id="93" w:name="_Toc320515075"/>
      <w:bookmarkStart w:id="94" w:name="_Toc363737691"/>
      <w:bookmarkStart w:id="95" w:name="_Toc315793460"/>
      <w:bookmarkStart w:id="96" w:name="_Toc475104477"/>
      <w:bookmarkStart w:id="97" w:name="_Toc320515026"/>
      <w:bookmarkStart w:id="98" w:name="_Toc322680352"/>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报价人</w:t>
      </w:r>
      <w:r>
        <w:rPr>
          <w:rFonts w:hint="eastAsia" w:ascii="宋体" w:hAnsi="宋体"/>
          <w:bCs/>
          <w:color w:val="auto"/>
          <w:szCs w:val="21"/>
          <w:highlight w:val="none"/>
        </w:rPr>
        <w:t>，</w:t>
      </w:r>
      <w:r>
        <w:rPr>
          <w:rFonts w:hint="eastAsia" w:ascii="宋体" w:hAnsi="宋体"/>
          <w:color w:val="auto"/>
          <w:highlight w:val="none"/>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5"/>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报价人</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报价人</w:t>
      </w:r>
      <w:r>
        <w:rPr>
          <w:rFonts w:hint="eastAsia" w:ascii="宋体" w:hAnsi="宋体" w:cs="宋体"/>
          <w:color w:val="auto"/>
          <w:szCs w:val="21"/>
          <w:highlight w:val="none"/>
        </w:rPr>
        <w:t>，并对潜在</w:t>
      </w:r>
      <w:r>
        <w:rPr>
          <w:rFonts w:hint="eastAsia" w:ascii="宋体" w:hAnsi="宋体"/>
          <w:color w:val="auto"/>
          <w:highlight w:val="none"/>
        </w:rPr>
        <w:t>报价人</w:t>
      </w:r>
      <w:r>
        <w:rPr>
          <w:rFonts w:hint="eastAsia" w:ascii="宋体" w:hAnsi="宋体" w:cs="宋体"/>
          <w:color w:val="auto"/>
          <w:szCs w:val="21"/>
          <w:highlight w:val="none"/>
        </w:rPr>
        <w:t>具有约束力。潜在</w:t>
      </w:r>
      <w:r>
        <w:rPr>
          <w:rFonts w:hint="eastAsia" w:ascii="宋体" w:hAnsi="宋体"/>
          <w:color w:val="auto"/>
          <w:highlight w:val="none"/>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0515027"/>
      <w:bookmarkStart w:id="101" w:name="_Toc315793461"/>
      <w:bookmarkStart w:id="102" w:name="_Toc363737692"/>
      <w:bookmarkStart w:id="103" w:name="_Toc322680353"/>
      <w:bookmarkStart w:id="104" w:name="_Toc323110986"/>
      <w:bookmarkStart w:id="105" w:name="_Toc320515076"/>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63737693"/>
      <w:bookmarkStart w:id="107" w:name="_Toc322680354"/>
      <w:bookmarkStart w:id="108" w:name="_Toc475104479"/>
      <w:bookmarkStart w:id="109" w:name="_Toc323110987"/>
      <w:bookmarkStart w:id="110" w:name="_Toc320515077"/>
      <w:bookmarkStart w:id="111" w:name="_Toc315793462"/>
      <w:bookmarkStart w:id="112" w:name="_Toc320515028"/>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提交的磋商响应文件以及</w:t>
      </w:r>
      <w:r>
        <w:rPr>
          <w:rFonts w:hint="eastAsia" w:ascii="宋体" w:hAnsi="宋体"/>
          <w:color w:val="auto"/>
          <w:highlight w:val="none"/>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15793463"/>
      <w:bookmarkStart w:id="114" w:name="_Toc320515029"/>
      <w:bookmarkStart w:id="115" w:name="_Toc320515078"/>
      <w:bookmarkStart w:id="116" w:name="_Toc323110988"/>
      <w:bookmarkStart w:id="117" w:name="_Toc322680355"/>
      <w:bookmarkStart w:id="118" w:name="_Toc363737694"/>
      <w:bookmarkStart w:id="119" w:name="_Toc475104480"/>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报价人</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商务部分文件是指报价人提交的证明报价人的资格合格，且获得成交资格后有能力履行合同的文件。服务部分文件是指证明报价人提供的服务和货物是合格的，而且符合本竞争性磋商文件规定的文件。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79"/>
      <w:bookmarkStart w:id="122" w:name="_Toc320515030"/>
      <w:bookmarkStart w:id="123" w:name="_Toc475104482"/>
      <w:bookmarkStart w:id="124" w:name="_Toc322680356"/>
      <w:bookmarkStart w:id="125" w:name="_Toc315793464"/>
      <w:bookmarkStart w:id="126" w:name="_Toc363737695"/>
      <w:bookmarkStart w:id="127" w:name="_Toc323110989"/>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475104483"/>
      <w:bookmarkStart w:id="129" w:name="_Toc363737696"/>
      <w:bookmarkStart w:id="130" w:name="_Toc323110990"/>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3110991"/>
      <w:bookmarkStart w:id="132" w:name="_Toc320515032"/>
      <w:bookmarkStart w:id="133" w:name="_Toc320515081"/>
      <w:bookmarkStart w:id="134" w:name="_Toc322680358"/>
      <w:bookmarkStart w:id="135" w:name="_Toc315793468"/>
      <w:r>
        <w:rPr>
          <w:rFonts w:hint="eastAsia" w:cs="宋体"/>
          <w:color w:val="auto"/>
          <w:szCs w:val="21"/>
          <w:highlight w:val="none"/>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报价人</w:t>
      </w:r>
      <w:r>
        <w:rPr>
          <w:rFonts w:hint="eastAsia" w:ascii="宋体" w:hAnsi="宋体" w:cs="宋体"/>
          <w:color w:val="auto"/>
          <w:szCs w:val="21"/>
          <w:highlight w:val="none"/>
        </w:rPr>
        <w:t>作出书面说明并提供相关证明材料。</w:t>
      </w:r>
      <w:r>
        <w:rPr>
          <w:rFonts w:hint="eastAsia" w:cs="宋体"/>
          <w:color w:val="auto"/>
          <w:szCs w:val="21"/>
          <w:highlight w:val="none"/>
        </w:rPr>
        <w:t>报价人</w:t>
      </w:r>
      <w:r>
        <w:rPr>
          <w:rFonts w:hint="eastAsia" w:ascii="宋体" w:hAnsi="宋体" w:cs="宋体"/>
          <w:color w:val="auto"/>
          <w:szCs w:val="21"/>
          <w:highlight w:val="none"/>
        </w:rPr>
        <w:t>不能合理说明或者不能提供相关证明材料的，由磋商小组认定该报价人以低于成本报价竞标其报价应作无效竞标处理。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报价人</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报价人</w:t>
      </w:r>
      <w:r>
        <w:rPr>
          <w:rFonts w:hint="eastAsia" w:ascii="宋体" w:hAnsi="宋体" w:cs="宋体"/>
          <w:color w:val="auto"/>
          <w:szCs w:val="21"/>
          <w:highlight w:val="none"/>
        </w:rPr>
        <w:t>在获得成交资格并签署合同后，服务期限内出现的任何遗漏，均由成交报价人负责，采购人将不再支付任何费用。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证明报价人合格和资格的文件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报价人提交的资格证明文件应证明其满足本须知定义的合格</w:t>
      </w:r>
      <w:r>
        <w:rPr>
          <w:rFonts w:hint="eastAsia" w:cs="宋体"/>
          <w:color w:val="auto"/>
          <w:szCs w:val="21"/>
          <w:highlight w:val="none"/>
        </w:rPr>
        <w:t>报价人</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475104485"/>
      <w:bookmarkStart w:id="139" w:name="_Toc320515033"/>
      <w:bookmarkStart w:id="140" w:name="_Toc315793469"/>
      <w:bookmarkStart w:id="141" w:name="_Toc333236642"/>
      <w:bookmarkStart w:id="142" w:name="_Toc363737698"/>
      <w:bookmarkStart w:id="143" w:name="_Toc320515082"/>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报价人</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394926941"/>
      <w:bookmarkStart w:id="148" w:name="_Toc475104487"/>
      <w:bookmarkStart w:id="149" w:name="_Toc315793471"/>
      <w:bookmarkStart w:id="150" w:name="_Toc322680361"/>
      <w:bookmarkStart w:id="151" w:name="_Toc323110994"/>
      <w:bookmarkStart w:id="152" w:name="_Toc363737700"/>
      <w:bookmarkStart w:id="153" w:name="_Toc320515084"/>
      <w:bookmarkStart w:id="154" w:name="_Toc320515035"/>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报价人</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报价人</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475104490"/>
      <w:bookmarkStart w:id="157" w:name="_Toc315793300"/>
      <w:r>
        <w:rPr>
          <w:rFonts w:hint="eastAsia"/>
          <w:color w:val="auto"/>
          <w:szCs w:val="21"/>
          <w:highlight w:val="none"/>
        </w:rPr>
        <w:t>融资担保，是指由专业担保机构为</w:t>
      </w:r>
      <w:r>
        <w:rPr>
          <w:rFonts w:hint="eastAsia" w:cs="宋体"/>
          <w:color w:val="auto"/>
          <w:szCs w:val="21"/>
          <w:highlight w:val="none"/>
        </w:rPr>
        <w:t>报价人</w:t>
      </w:r>
      <w:r>
        <w:rPr>
          <w:rFonts w:hint="eastAsia"/>
          <w:color w:val="auto"/>
          <w:szCs w:val="21"/>
          <w:highlight w:val="none"/>
        </w:rPr>
        <w:t>向银行融资提供的保证担保。</w:t>
      </w:r>
      <w:r>
        <w:rPr>
          <w:rFonts w:hint="eastAsia" w:cs="宋体"/>
          <w:color w:val="auto"/>
          <w:szCs w:val="21"/>
          <w:highlight w:val="none"/>
        </w:rPr>
        <w:t>报价人</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报价人</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36"/>
      <w:bookmarkStart w:id="160" w:name="_Toc320515085"/>
      <w:bookmarkStart w:id="161" w:name="_Toc363737701"/>
      <w:bookmarkStart w:id="162" w:name="_Toc475104494"/>
      <w:bookmarkStart w:id="163" w:name="_Toc315793472"/>
      <w:bookmarkStart w:id="164" w:name="_Toc323110996"/>
      <w:bookmarkStart w:id="165" w:name="_Toc322680363"/>
      <w:bookmarkStart w:id="166" w:name="_Toc315793473"/>
      <w:bookmarkStart w:id="167" w:name="_Toc320515037"/>
      <w:bookmarkStart w:id="168" w:name="_Toc320515086"/>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报价人</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磋商响应文件正本每一页均要求加盖报价人公章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20515038"/>
      <w:bookmarkStart w:id="172" w:name="_Toc315793474"/>
      <w:bookmarkStart w:id="173" w:name="_Toc363737703"/>
      <w:bookmarkStart w:id="174" w:name="_Toc320515087"/>
      <w:bookmarkStart w:id="175" w:name="_Toc475104496"/>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89"/>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年月日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15793476"/>
      <w:bookmarkStart w:id="177" w:name="_Toc320515040"/>
      <w:bookmarkStart w:id="178" w:name="_Toc323110999"/>
      <w:bookmarkStart w:id="179" w:name="_Toc322680366"/>
      <w:bookmarkStart w:id="180" w:name="_Toc320515089"/>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475104499"/>
      <w:bookmarkStart w:id="185" w:name="_Toc363737706"/>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475104500"/>
      <w:bookmarkStart w:id="187" w:name="_Toc363737707"/>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报价人</w:t>
      </w:r>
      <w:r>
        <w:rPr>
          <w:rFonts w:hint="eastAsia" w:ascii="宋体" w:hAnsi="宋体" w:cs="宋体"/>
          <w:color w:val="auto"/>
          <w:kern w:val="0"/>
          <w:szCs w:val="21"/>
          <w:highlight w:val="none"/>
        </w:rPr>
        <w:t>授权代表作为全体</w:t>
      </w:r>
      <w:r>
        <w:rPr>
          <w:rFonts w:hint="eastAsia" w:cs="宋体"/>
          <w:color w:val="auto"/>
          <w:szCs w:val="21"/>
          <w:highlight w:val="none"/>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报价人</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475104501"/>
      <w:bookmarkStart w:id="190" w:name="_Toc323111002"/>
      <w:bookmarkStart w:id="191" w:name="_Toc363737708"/>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0515044"/>
      <w:bookmarkStart w:id="193" w:name="_Toc320515093"/>
      <w:bookmarkStart w:id="194" w:name="_Toc322680370"/>
      <w:bookmarkStart w:id="195" w:name="_Toc323111003"/>
      <w:bookmarkStart w:id="196" w:name="_Toc315793480"/>
      <w:bookmarkStart w:id="197" w:name="_Toc363737709"/>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报价人</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报价人</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报价人</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报价人</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475104503"/>
      <w:bookmarkStart w:id="201" w:name="_Toc363737710"/>
      <w:bookmarkStart w:id="202" w:name="_Toc351716665"/>
      <w:bookmarkStart w:id="203" w:name="_Toc320515096"/>
      <w:bookmarkStart w:id="204" w:name="_Toc320515047"/>
      <w:bookmarkStart w:id="205" w:name="_Toc322680372"/>
      <w:bookmarkStart w:id="206" w:name="_Toc315793483"/>
      <w:bookmarkStart w:id="207" w:name="_Toc323111005"/>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报价人</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报价人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报价人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报价人</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报价人</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报价人</w:t>
      </w:r>
      <w:r>
        <w:rPr>
          <w:rFonts w:hint="eastAsia" w:ascii="宋体" w:hAnsi="宋体"/>
          <w:color w:val="auto"/>
          <w:szCs w:val="21"/>
          <w:highlight w:val="none"/>
        </w:rPr>
        <w:t>提交的澄清文件和最后报价文件，由</w:t>
      </w:r>
      <w:r>
        <w:rPr>
          <w:rFonts w:hint="eastAsia" w:cs="宋体"/>
          <w:color w:val="auto"/>
          <w:szCs w:val="21"/>
          <w:highlight w:val="none"/>
        </w:rPr>
        <w:t>报价人</w:t>
      </w:r>
      <w:r>
        <w:rPr>
          <w:rFonts w:hint="eastAsia" w:ascii="宋体" w:hAnsi="宋体"/>
          <w:color w:val="auto"/>
          <w:szCs w:val="21"/>
          <w:highlight w:val="none"/>
        </w:rPr>
        <w:t>法人代表或其授权代表签字或加盖公章后生效。报价人为自然人的，应当由本人签字并附身份证明。</w:t>
      </w:r>
      <w:r>
        <w:rPr>
          <w:rFonts w:hint="eastAsia" w:cs="宋体"/>
          <w:color w:val="auto"/>
          <w:szCs w:val="21"/>
          <w:highlight w:val="none"/>
        </w:rPr>
        <w:t>报价人</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经磋商确定最终采购需求和提交最后报价的报价人后，由磋商小组采用综合评分法对提交最后报价的报价人的响应文件和最后报价进行综合评分。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51716666"/>
      <w:bookmarkStart w:id="211" w:name="_Toc475104504"/>
      <w:bookmarkStart w:id="212" w:name="_Toc363737711"/>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27.9报价人同时为小型、微型企业和监狱企业的，评审中只享受一次价格扣除。不重复进行价格扣除。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报价人</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20515048"/>
      <w:bookmarkStart w:id="217" w:name="_Toc315793484"/>
      <w:bookmarkStart w:id="218" w:name="_Toc363737713"/>
      <w:bookmarkStart w:id="219" w:name="_Toc320515097"/>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报价人，也可以事先授权磋商小组直接确定成交报价人。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布成交公告。不在成交名单之列者即为未成交报价人，政府采购代理机构不再以其他方式另行通知。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报价人</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报价人放弃成交、成交资格被依法确认无效的，采购人可以与排位在成交报价人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报价人的姓名或者名称、地址、邮编、联系人及联系电话；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质疑书应当署名。报价人为自然人的，应当由本人签字；报价人为法人或者其他组织的，应当由法定代表人、主要负责人，或者其授权代表签字或者盖章，并加盖公章。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报价人</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报价人</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22" w:name="_Toc475104509"/>
      <w:bookmarkStart w:id="223" w:name="_Toc363737714"/>
      <w:r>
        <w:rPr>
          <w:rFonts w:hint="eastAsia" w:ascii="宋体" w:hAnsi="宋体" w:cs="宋体"/>
          <w:b/>
          <w:bCs/>
          <w:color w:val="auto"/>
          <w:sz w:val="24"/>
          <w:highlight w:val="none"/>
        </w:rPr>
        <w:t>报价人询问的途径、接收质疑函的方式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询问和质疑接收机构名称：广州市信怡招标代理有限公司</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询问和质疑接收机构地址：广州市海珠区红卫新村西路29号UP智谷D栋503房</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询问和质疑接收部门联系人：胡先生</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询问和质疑接收机构电话：020-89001296（工作/接收时间：9：00-17：00）</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质疑接收机构传真：020-89001292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475104510"/>
      <w:bookmarkStart w:id="225" w:name="_Toc320515099"/>
      <w:bookmarkStart w:id="226" w:name="_Toc315793486"/>
      <w:bookmarkStart w:id="227" w:name="_Toc363737715"/>
      <w:bookmarkStart w:id="228" w:name="_Toc32051505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475104511"/>
      <w:bookmarkStart w:id="233" w:name="_Toc320515051"/>
      <w:bookmarkStart w:id="234" w:name="_Toc363737716"/>
      <w:bookmarkStart w:id="235" w:name="_Toc320515100"/>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15793488"/>
      <w:bookmarkStart w:id="238" w:name="_Toc320515052"/>
      <w:bookmarkStart w:id="239" w:name="_Toc363737717"/>
      <w:bookmarkStart w:id="240"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签订书面合同。所签订的合同不得对竞争性磋商文件和成交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招标采购单位不得向成交报价人提出任何不合理的要求，作为签订合同的条件，不得与成交报价人私下订立背离合同实质性内容的协议。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成交报价人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0"/>
      <w:bookmarkStart w:id="242"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说明：本部分格式为报价人提交询问函、质疑函时使用，不属于响应文件格式的组成部分。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询问函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于年月日组织的政府采购活动。根据《政府采购法》和《政府采购报价人投诉处理办法》等规定，我公司认为</w:t>
      </w:r>
      <w:r>
        <w:rPr>
          <w:rFonts w:hint="eastAsia" w:ascii="宋体" w:hAnsi="宋体"/>
          <w:color w:val="auto"/>
          <w:szCs w:val="21"/>
          <w:highlight w:val="none"/>
          <w:u w:val="single"/>
        </w:rPr>
        <w:t>（采购项目名称）（采购项目编号：）</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质疑报价人</w:t>
      </w:r>
      <w:r>
        <w:rPr>
          <w:rFonts w:hint="eastAsia" w:ascii="宋体" w:hAnsi="宋体"/>
          <w:color w:val="auto"/>
          <w:szCs w:val="21"/>
          <w:highlight w:val="none"/>
          <w:u w:val="single"/>
        </w:rPr>
        <w:t>：（签章）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报价人质疑、投诉应当有明确的请求和必要的证明材料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报价人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21"/>
      <w:bookmarkEnd w:id="254"/>
      <w:bookmarkStart w:id="255" w:name="_Toc321815819"/>
      <w:bookmarkEnd w:id="255"/>
      <w:bookmarkStart w:id="256" w:name="_Toc321815825"/>
      <w:bookmarkEnd w:id="256"/>
      <w:bookmarkStart w:id="257" w:name="_Toc321815807"/>
      <w:bookmarkEnd w:id="257"/>
      <w:bookmarkStart w:id="258" w:name="_Toc321815820"/>
      <w:bookmarkEnd w:id="258"/>
      <w:bookmarkStart w:id="259" w:name="_Toc321815805"/>
      <w:bookmarkEnd w:id="259"/>
      <w:bookmarkStart w:id="260" w:name="_Toc321815824"/>
      <w:bookmarkEnd w:id="260"/>
      <w:bookmarkStart w:id="261" w:name="_Toc321815826"/>
      <w:bookmarkEnd w:id="261"/>
      <w:bookmarkStart w:id="262" w:name="_Toc321815815"/>
      <w:bookmarkEnd w:id="262"/>
      <w:bookmarkStart w:id="263" w:name="_Toc321815816"/>
      <w:bookmarkEnd w:id="263"/>
      <w:bookmarkStart w:id="264" w:name="_Toc321815810"/>
      <w:bookmarkEnd w:id="264"/>
      <w:bookmarkStart w:id="265" w:name="_Toc321815808"/>
      <w:bookmarkEnd w:id="265"/>
      <w:bookmarkStart w:id="266" w:name="_Toc321815818"/>
      <w:bookmarkEnd w:id="266"/>
      <w:bookmarkStart w:id="267" w:name="_Toc321815822"/>
      <w:bookmarkEnd w:id="267"/>
      <w:bookmarkStart w:id="268" w:name="_Toc321815817"/>
      <w:bookmarkEnd w:id="268"/>
      <w:bookmarkStart w:id="269" w:name="_Toc321815812"/>
      <w:bookmarkEnd w:id="269"/>
      <w:bookmarkStart w:id="270" w:name="_Toc321815814"/>
      <w:bookmarkEnd w:id="270"/>
      <w:bookmarkStart w:id="271" w:name="_Toc321815804"/>
      <w:bookmarkEnd w:id="271"/>
      <w:bookmarkStart w:id="272" w:name="_Toc321815811"/>
      <w:bookmarkEnd w:id="272"/>
      <w:bookmarkStart w:id="273" w:name="_Toc321815806"/>
      <w:bookmarkEnd w:id="273"/>
      <w:bookmarkStart w:id="274" w:name="_Toc321815802"/>
      <w:bookmarkEnd w:id="274"/>
      <w:bookmarkStart w:id="275" w:name="_Toc321815823"/>
      <w:bookmarkEnd w:id="275"/>
      <w:bookmarkStart w:id="276" w:name="_Toc321815801"/>
      <w:bookmarkEnd w:id="276"/>
      <w:bookmarkStart w:id="277" w:name="_Toc321815813"/>
      <w:bookmarkEnd w:id="277"/>
      <w:bookmarkStart w:id="278" w:name="_Toc321815809"/>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 供应商须对所响应项目进行整体响应，任何只对其中一部分内容进行的响应都被视为无效响应。</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 标有“★”的条款为实质性响应条款，供应商如有任何一条未完全响应，则将导致其响应无效。</w:t>
      </w:r>
    </w:p>
    <w:p>
      <w:pPr>
        <w:pStyle w:val="2"/>
        <w:rPr>
          <w:color w:val="auto"/>
          <w:highlight w:val="none"/>
        </w:rPr>
      </w:pPr>
    </w:p>
    <w:bookmarkEnd w:id="252"/>
    <w:bookmarkEnd w:id="253"/>
    <w:bookmarkEnd w:id="279"/>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80" w:name="_Toc483158260"/>
      <w:r>
        <w:rPr>
          <w:rFonts w:hint="eastAsia" w:asciiTheme="minorEastAsia" w:hAnsiTheme="minorEastAsia" w:eastAsiaTheme="minorEastAsia" w:cstheme="minorEastAsia"/>
          <w:b/>
          <w:color w:val="auto"/>
          <w:sz w:val="21"/>
          <w:szCs w:val="21"/>
          <w:highlight w:val="none"/>
          <w:lang w:val="zh-CN"/>
        </w:rPr>
        <w:t>一、项目情况介绍</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（一）项目名称：广东省农业科学院领军人才项目微生物实验室通风与洁净系统设备采购及配套服务项目采购</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（二）采购人：广东省农业科学院动物科学研究所</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（三）项目实施地点：天河区大丰一街1号动科所内</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（四）采购预算：人民币462995.16元</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二、商务要求</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bookmarkStart w:id="281" w:name="_Toc317609047"/>
      <w:r>
        <w:rPr>
          <w:rFonts w:hint="eastAsia" w:asciiTheme="minorEastAsia" w:hAnsiTheme="minorEastAsia" w:eastAsiaTheme="minorEastAsia" w:cstheme="minorEastAsia"/>
          <w:color w:val="auto"/>
          <w:sz w:val="21"/>
          <w:szCs w:val="21"/>
          <w:highlight w:val="none"/>
          <w:lang w:val="zh-CN"/>
        </w:rPr>
        <w:t>1</w:t>
      </w:r>
      <w:bookmarkEnd w:id="281"/>
      <w:r>
        <w:rPr>
          <w:rFonts w:hint="eastAsia" w:asciiTheme="minorEastAsia" w:hAnsiTheme="minorEastAsia" w:eastAsiaTheme="minorEastAsia" w:cstheme="minorEastAsia"/>
          <w:color w:val="auto"/>
          <w:sz w:val="21"/>
          <w:szCs w:val="21"/>
          <w:highlight w:val="none"/>
          <w:lang w:val="zh-CN"/>
        </w:rPr>
        <w:t>、合同履行期限：</w:t>
      </w:r>
      <w:r>
        <w:rPr>
          <w:rFonts w:hint="eastAsia" w:asciiTheme="minorEastAsia" w:hAnsiTheme="minorEastAsia" w:eastAsiaTheme="minorEastAsia" w:cstheme="minorEastAsia"/>
          <w:color w:val="auto"/>
          <w:sz w:val="21"/>
          <w:szCs w:val="21"/>
          <w:highlight w:val="none"/>
        </w:rPr>
        <w:t>35</w:t>
      </w:r>
      <w:r>
        <w:rPr>
          <w:rFonts w:hint="eastAsia" w:asciiTheme="minorEastAsia" w:hAnsiTheme="minorEastAsia" w:eastAsiaTheme="minorEastAsia" w:cstheme="minorEastAsia"/>
          <w:color w:val="auto"/>
          <w:sz w:val="21"/>
          <w:szCs w:val="21"/>
          <w:highlight w:val="none"/>
          <w:lang w:val="zh-CN"/>
        </w:rPr>
        <w:t>日历天内。</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bookmarkStart w:id="282" w:name="_Toc317609048"/>
      <w:r>
        <w:rPr>
          <w:rFonts w:hint="eastAsia" w:asciiTheme="minorEastAsia" w:hAnsiTheme="minorEastAsia" w:eastAsiaTheme="minorEastAsia" w:cstheme="minorEastAsia"/>
          <w:color w:val="auto"/>
          <w:sz w:val="21"/>
          <w:szCs w:val="21"/>
          <w:highlight w:val="none"/>
          <w:lang w:val="zh-CN"/>
        </w:rPr>
        <w:t>2、质量要求：按国家相关规范规程一次性验收达到合格标准。</w:t>
      </w:r>
      <w:bookmarkEnd w:id="282"/>
    </w:p>
    <w:p>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bookmarkStart w:id="283" w:name="_Toc317609049"/>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zh-CN"/>
        </w:rPr>
        <w:t>、安全文明安装要求：按广州市的相关规定执行。</w:t>
      </w:r>
      <w:bookmarkEnd w:id="283"/>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84" w:name="_Toc399775094"/>
      <w:r>
        <w:rPr>
          <w:rFonts w:hint="eastAsia" w:asciiTheme="minorEastAsia" w:hAnsiTheme="minorEastAsia" w:eastAsiaTheme="minorEastAsia" w:cstheme="minorEastAsia"/>
          <w:b/>
          <w:color w:val="auto"/>
          <w:sz w:val="21"/>
          <w:szCs w:val="21"/>
          <w:highlight w:val="none"/>
          <w:lang w:val="zh-CN"/>
        </w:rPr>
        <w:t>三、项目范围</w:t>
      </w:r>
      <w:bookmarkEnd w:id="284"/>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本次招标实验室建设内容主要包括：实验室排风系统、实验室洁净系统、废气处理系统等设备及安装服务。</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实验室排风系统：含室内换气排风系统、废气处理系统：包含深化设计，风机，风阀、管道，智能控制系统、废气处理系统等设备的采购，安装、施工、调试，验收，维护。</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实验室洁净系统：包含深化设计，洁净设备，管道，洁净照明、风阀、电气、压力表，控制系统等设备的采购，安装、施工、调试，验收，维护。</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本项目是交钥匙工程，包括设备采购及相关运输、设计、安装、调试、培训、售后等服务。</w:t>
      </w:r>
    </w:p>
    <w:p>
      <w:pPr>
        <w:pStyle w:val="46"/>
        <w:numPr>
          <w:ilvl w:val="0"/>
          <w:numId w:val="7"/>
        </w:numPr>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技术范围</w:t>
      </w:r>
    </w:p>
    <w:p>
      <w:pPr>
        <w:tabs>
          <w:tab w:val="left" w:pos="944"/>
        </w:tabs>
        <w:adjustRightInd w:val="0"/>
        <w:spacing w:line="400" w:lineRule="exact"/>
        <w:ind w:firstLine="422" w:firstLineChars="200"/>
        <w:outlineLvl w:val="2"/>
        <w:rPr>
          <w:rFonts w:hint="eastAsia" w:asciiTheme="minorEastAsia" w:hAnsiTheme="minorEastAsia" w:eastAsiaTheme="minorEastAsia" w:cstheme="minorEastAsia"/>
          <w:b/>
          <w:color w:val="auto"/>
          <w:sz w:val="21"/>
          <w:szCs w:val="21"/>
          <w:highlight w:val="none"/>
        </w:rPr>
      </w:pPr>
      <w:bookmarkStart w:id="285" w:name="_Toc399775097"/>
      <w:r>
        <w:rPr>
          <w:rFonts w:hint="eastAsia" w:asciiTheme="minorEastAsia" w:hAnsiTheme="minorEastAsia" w:eastAsiaTheme="minorEastAsia" w:cstheme="minorEastAsia"/>
          <w:b/>
          <w:color w:val="auto"/>
          <w:sz w:val="21"/>
          <w:szCs w:val="21"/>
          <w:highlight w:val="none"/>
        </w:rPr>
        <w:t>1、建设原则</w:t>
      </w:r>
      <w:bookmarkEnd w:id="285"/>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实验室建设整体原则：安全第一、实用性强、节能高效</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1.1安全第一：</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A、实验室外来人员安全保护</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B、实验室办公人员安全保护</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C、实验室人员安全保护</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D、实验室操作仪器安全保护</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E、实验室样品安全保护</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F、实验室系统运行安全保护</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G、环保安全保护—废气、废水</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1.2实用性强：</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A、满足实验操作的要求，针对不同实验室要求提供不同的解决方案。</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B、满足仪器操作的要求，为仪器配备环境要求与使用要求。</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1.3节能高效：</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A、由于实验室是一个高能耗、长期运转的系统，建设过程中一定围绕着电力节能、净化设备节能、排风节能等方面综合考虑，减少实验室的维护成本。</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p>
    <w:p>
      <w:pPr>
        <w:tabs>
          <w:tab w:val="left" w:pos="944"/>
        </w:tabs>
        <w:adjustRightInd w:val="0"/>
        <w:spacing w:line="400" w:lineRule="exact"/>
        <w:ind w:firstLine="422" w:firstLineChars="200"/>
        <w:outlineLvl w:val="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2、建设要求</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本建设项目的基本要求</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2.1人文建筑与生态环境相结合。</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2.2设计理念的先进性、功能分区的合理性、基础设施的实用性、实验室管理的协调性、与检验流程的合理匹配性及实验室环境设施安全性。</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2.3科技创新，服务一流。</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2.4安全可靠:从授权准入、功能布局、气流控制、安全设施等角度，确保人员、样品、数据和仪器等安全；</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2.5设计规范:实验室设计参照或执行欧美和国家相关实验室建设要求及标准；</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2.6实用美观:装饰设计和家具布置充分体现行业特点和独特风格，选材符合实验室环境要求；</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2.7环境舒适:设计以人为本，各专业相互协调，互为补充，营造一个舒适的实验环境。</w:t>
      </w:r>
    </w:p>
    <w:p>
      <w:pPr>
        <w:tabs>
          <w:tab w:val="left" w:pos="944"/>
        </w:tabs>
        <w:adjustRightInd w:val="0"/>
        <w:spacing w:line="400" w:lineRule="exact"/>
        <w:ind w:firstLine="420" w:firstLineChars="200"/>
        <w:outlineLvl w:val="2"/>
        <w:rPr>
          <w:rFonts w:hint="eastAsia" w:asciiTheme="minorEastAsia" w:hAnsiTheme="minorEastAsia" w:eastAsiaTheme="minorEastAsia" w:cstheme="minorEastAsia"/>
          <w:color w:val="auto"/>
          <w:sz w:val="21"/>
          <w:szCs w:val="21"/>
          <w:highlight w:val="none"/>
        </w:rPr>
      </w:pPr>
      <w:bookmarkStart w:id="286" w:name="_Toc399775099"/>
      <w:r>
        <w:rPr>
          <w:rFonts w:hint="eastAsia" w:asciiTheme="minorEastAsia" w:hAnsiTheme="minorEastAsia" w:eastAsiaTheme="minorEastAsia" w:cstheme="minorEastAsia"/>
          <w:color w:val="auto"/>
          <w:sz w:val="21"/>
          <w:szCs w:val="21"/>
          <w:highlight w:val="none"/>
        </w:rPr>
        <w:t>3、工艺要求</w:t>
      </w:r>
      <w:bookmarkEnd w:id="286"/>
      <w:r>
        <w:rPr>
          <w:rFonts w:hint="eastAsia" w:asciiTheme="minorEastAsia" w:hAnsiTheme="minorEastAsia" w:eastAsiaTheme="minorEastAsia" w:cstheme="minorEastAsia"/>
          <w:color w:val="auto"/>
          <w:sz w:val="21"/>
          <w:szCs w:val="21"/>
          <w:highlight w:val="none"/>
        </w:rPr>
        <w:tab/>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将实验室区域与办公区域分开。实验区域设有准入系统，凭卡入内。不同实验室进行不同级别的准入授权及门禁控制，便于实验室控制与管理。</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实验室与辅助功能间之间相互协调，按照实验室功能流程合理分布。合理的划分实验室工作空间，实现空间利用最大化，使用功能最优化，实验流程一体化，确保各设计指标均符合人体工程学原理，为实验室工作者创造健康、舒适的工作环境，减少实验人员的危险。</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A、办公区域和实验区域分开，主实验区与辅助实验区分开；</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B、清洁区、污染区分开，人流、物流和污物流分开，以保障样品无交叉污染，保证实验数据的正确性；</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C、预处理和仪器分析分开；不同种类的样品处理分开；不同种类可能相互干扰的仪器分开；</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D、根据实验科目和流程，对主实验室和辅助室规范、协调布局。</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F、在用材选择上将要求严格控制，针对不同功能的空间使用符合要求的耐腐蚀材料，对各类产品的结构进行优化设计，使其使用寿命及稳定性均达到国内先进实验室的水平。</w:t>
      </w:r>
    </w:p>
    <w:p>
      <w:pPr>
        <w:adjustRightIn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 、楼层分布情况如下：</w:t>
      </w:r>
    </w:p>
    <w:tbl>
      <w:tblPr>
        <w:tblStyle w:val="89"/>
        <w:tblW w:w="9260" w:type="dxa"/>
        <w:tblInd w:w="93" w:type="dxa"/>
        <w:tblLayout w:type="fixed"/>
        <w:tblCellMar>
          <w:top w:w="0" w:type="dxa"/>
          <w:left w:w="108" w:type="dxa"/>
          <w:bottom w:w="0" w:type="dxa"/>
          <w:right w:w="108" w:type="dxa"/>
        </w:tblCellMar>
      </w:tblPr>
      <w:tblGrid>
        <w:gridCol w:w="2100"/>
        <w:gridCol w:w="2940"/>
        <w:gridCol w:w="2560"/>
        <w:gridCol w:w="1660"/>
      </w:tblGrid>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bookmarkStart w:id="287" w:name="_Toc399775100"/>
            <w:r>
              <w:rPr>
                <w:rFonts w:hint="eastAsia" w:asciiTheme="minorEastAsia" w:hAnsiTheme="minorEastAsia" w:eastAsiaTheme="minorEastAsia" w:cstheme="minorEastAsia"/>
                <w:color w:val="auto"/>
                <w:kern w:val="0"/>
                <w:sz w:val="21"/>
                <w:szCs w:val="21"/>
                <w:highlight w:val="none"/>
              </w:rPr>
              <w:t>依托单位</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功能区域</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拟安排建筑面积（M</w:t>
            </w:r>
            <w:r>
              <w:rPr>
                <w:rFonts w:hint="eastAsia" w:asciiTheme="minorEastAsia" w:hAnsiTheme="minorEastAsia" w:eastAsiaTheme="minorEastAsia" w:cstheme="minorEastAsia"/>
                <w:color w:val="auto"/>
                <w:kern w:val="0"/>
                <w:sz w:val="21"/>
                <w:szCs w:val="21"/>
                <w:highlight w:val="none"/>
                <w:vertAlign w:val="superscript"/>
              </w:rPr>
              <w:t>2</w:t>
            </w:r>
            <w:r>
              <w:rPr>
                <w:rFonts w:hint="eastAsia" w:asciiTheme="minorEastAsia" w:hAnsiTheme="minorEastAsia" w:eastAsiaTheme="minorEastAsia" w:cstheme="minorEastAsia"/>
                <w:color w:val="auto"/>
                <w:kern w:val="0"/>
                <w:sz w:val="21"/>
                <w:szCs w:val="21"/>
                <w:highlight w:val="none"/>
              </w:rPr>
              <w:t>）</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拟安排楼层</w:t>
            </w:r>
          </w:p>
        </w:tc>
      </w:tr>
      <w:tr>
        <w:tblPrEx>
          <w:tblCellMar>
            <w:top w:w="0" w:type="dxa"/>
            <w:left w:w="108" w:type="dxa"/>
            <w:bottom w:w="0" w:type="dxa"/>
            <w:right w:w="108" w:type="dxa"/>
          </w:tblCellMar>
        </w:tblPrEx>
        <w:trPr>
          <w:trHeight w:val="402" w:hRule="atLeast"/>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对应楼层安排面积</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2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一层实验室</w:t>
            </w: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中心实验室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133.79</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精密仪器室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69.9</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69"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清洗室/灭菌室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26.5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细胞实验室（含准备室</w:t>
            </w:r>
          </w:p>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、更衣、缓冲室）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42.5</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菌种库</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36.76</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成果展示厅</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28.10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服务器室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10.3</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一层</w:t>
            </w:r>
          </w:p>
        </w:tc>
      </w:tr>
      <w:tr>
        <w:tblPrEx>
          <w:tblCellMar>
            <w:top w:w="0" w:type="dxa"/>
            <w:left w:w="108" w:type="dxa"/>
            <w:bottom w:w="0" w:type="dxa"/>
            <w:right w:w="108" w:type="dxa"/>
          </w:tblCellMar>
        </w:tblPrEx>
        <w:trPr>
          <w:trHeight w:val="402" w:hRule="atLeast"/>
        </w:trPr>
        <w:tc>
          <w:tcPr>
            <w:tcW w:w="210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公共区域（走廊、楼梯、洗手间）</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92.38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小计</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440.23</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210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二层实验室</w:t>
            </w: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资料档案室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46.8</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学生工作室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121.4</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PI办公室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31.5</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老专家办公室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16.37</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分子实验室</w:t>
            </w:r>
          </w:p>
        </w:tc>
        <w:tc>
          <w:tcPr>
            <w:tcW w:w="2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117.73</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储藏室</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公共区域（走廊、楼梯、洗手间）</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77.58</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二层</w:t>
            </w:r>
          </w:p>
        </w:tc>
      </w:tr>
      <w:tr>
        <w:tblPrEx>
          <w:tblCellMar>
            <w:top w:w="0" w:type="dxa"/>
            <w:left w:w="108" w:type="dxa"/>
            <w:bottom w:w="0" w:type="dxa"/>
            <w:right w:w="108" w:type="dxa"/>
          </w:tblCellMar>
        </w:tblPrEx>
        <w:trPr>
          <w:trHeight w:val="402" w:hRule="atLeast"/>
        </w:trPr>
        <w:tc>
          <w:tcPr>
            <w:tcW w:w="2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小计</w:t>
            </w:r>
          </w:p>
        </w:tc>
        <w:tc>
          <w:tcPr>
            <w:tcW w:w="294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427.58</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w:t>
            </w:r>
          </w:p>
        </w:tc>
      </w:tr>
      <w:bookmarkEnd w:id="287"/>
    </w:tbl>
    <w:p>
      <w:pPr>
        <w:spacing w:afterLines="50" w:line="320" w:lineRule="exact"/>
        <w:rPr>
          <w:rFonts w:hint="eastAsia" w:asciiTheme="minorEastAsia" w:hAnsiTheme="minorEastAsia" w:eastAsiaTheme="minorEastAsia" w:cstheme="minorEastAsia"/>
          <w:b/>
          <w:color w:val="auto"/>
          <w:sz w:val="21"/>
          <w:szCs w:val="21"/>
          <w:highlight w:val="none"/>
        </w:rPr>
      </w:pPr>
    </w:p>
    <w:p>
      <w:pPr>
        <w:spacing w:afterLines="50" w:line="32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5、技术要求</w:t>
      </w:r>
    </w:p>
    <w:p>
      <w:pPr>
        <w:spacing w:afterLines="50"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第一部分实验室排风系统技术要求</w:t>
      </w:r>
    </w:p>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（1）技术标准</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1.1国家标准：</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《采暧排风与空气调节设计规范》（GB50019-2003）。</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《排风与空调工程施工质量验收规范》（GB50243-2002）。</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《简明排风设计手册》（GB50194-2002）。</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《压缩机、风机、泵安装工程施工及验收规范》（JBJ29-2002）。</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《电气装置安装工程低压电器施工及验收规范》（GB50254-96）。</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《大气污染物综合排放标准》（GB16297-1996）。</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《环境空气质量标准》（GB3095-1996）。</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《城市区域环境噪声标准》（GB3096-93）。</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《建筑设计防火规范》（GB50016-2006）。</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《公共建筑节能设计标准》（GB50189-2005）。</w:t>
      </w:r>
    </w:p>
    <w:p>
      <w:pPr>
        <w:pStyle w:val="122"/>
        <w:numPr>
          <w:ilvl w:val="0"/>
          <w:numId w:val="8"/>
        </w:numPr>
        <w:spacing w:line="400" w:lineRule="exact"/>
        <w:ind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建设原则</w:t>
      </w:r>
    </w:p>
    <w:p>
      <w:pPr>
        <w:tabs>
          <w:tab w:val="left" w:pos="960"/>
        </w:tabs>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2.1根据大楼的结构特点，就近开设风井，划分排风和补风系统，管道系统做到“短、平、顺、直”，减小系统阻力，降低系统噪声；</w:t>
      </w:r>
    </w:p>
    <w:p>
      <w:pPr>
        <w:tabs>
          <w:tab w:val="left" w:pos="960"/>
        </w:tabs>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2.2排风和补风系统达到风量平衡，保持室内-5Pa—-10Pa的负压，防止有害气体的散溢，保证实验人员的身心健康；</w:t>
      </w:r>
    </w:p>
    <w:p>
      <w:pPr>
        <w:tabs>
          <w:tab w:val="left" w:pos="960"/>
        </w:tabs>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2.3采用智能变频控制系统，达到操作方便、节能降噪的目的；</w:t>
      </w:r>
    </w:p>
    <w:p>
      <w:pPr>
        <w:tabs>
          <w:tab w:val="left" w:pos="960"/>
        </w:tabs>
        <w:spacing w:line="400" w:lineRule="exact"/>
        <w:ind w:left="420" w:leftChars="200"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2.4综合考虑各项因素，采用投资少、运行稳定、运行费用低、运行效果好的成熟工艺；</w:t>
      </w:r>
    </w:p>
    <w:p>
      <w:pPr>
        <w:tabs>
          <w:tab w:val="left" w:pos="960"/>
        </w:tabs>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2.5所选择的工艺必须满足现场条件，平面布置简洁、紧凑、少占地，并方便生产操作和维护维修；</w:t>
      </w:r>
    </w:p>
    <w:p>
      <w:pPr>
        <w:tabs>
          <w:tab w:val="left" w:pos="960"/>
        </w:tabs>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2.6非标设备应符合国家或行业相关规范，并保证性能稳定、外表美观；</w:t>
      </w:r>
    </w:p>
    <w:p>
      <w:pPr>
        <w:tabs>
          <w:tab w:val="left" w:pos="960"/>
        </w:tabs>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2.7在设计中充分考虑噪声、臭味等，防止二次污染的产生，不给周围环境造成新的污染；</w:t>
      </w:r>
    </w:p>
    <w:p>
      <w:pPr>
        <w:tabs>
          <w:tab w:val="left" w:pos="960"/>
        </w:tabs>
        <w:spacing w:line="400" w:lineRule="exact"/>
        <w:ind w:left="420" w:leftChars="200"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2.8处理设施具备冲击负荷能力，确保废气达标排放。</w:t>
      </w:r>
    </w:p>
    <w:p>
      <w:pPr>
        <w:pStyle w:val="122"/>
        <w:numPr>
          <w:ilvl w:val="0"/>
          <w:numId w:val="8"/>
        </w:numPr>
        <w:tabs>
          <w:tab w:val="left" w:pos="690"/>
        </w:tabs>
        <w:spacing w:line="400" w:lineRule="exact"/>
        <w:ind w:firstLineChars="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技术参数</w:t>
      </w:r>
    </w:p>
    <w:p>
      <w:pPr>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3.1支管路内风速6～8m/s, 干管路内风速8～14m/s；</w:t>
      </w:r>
    </w:p>
    <w:p>
      <w:pPr>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3.2排风设备设计风量：</w:t>
      </w:r>
    </w:p>
    <w:p>
      <w:pPr>
        <w:spacing w:line="400" w:lineRule="exact"/>
        <w:ind w:firstLine="525" w:firstLineChars="25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排风柜面风速</w:t>
      </w:r>
      <w:r>
        <w:rPr>
          <w:rFonts w:hint="eastAsia" w:asciiTheme="minorEastAsia" w:hAnsiTheme="minorEastAsia" w:eastAsiaTheme="minorEastAsia" w:cstheme="minorEastAsia"/>
          <w:bCs/>
          <w:color w:val="auto"/>
          <w:sz w:val="21"/>
          <w:szCs w:val="21"/>
          <w:highlight w:val="none"/>
        </w:rPr>
        <w:t>：0.3</w:t>
      </w:r>
      <w:r>
        <w:rPr>
          <w:rFonts w:hint="eastAsia" w:asciiTheme="minorEastAsia" w:hAnsiTheme="minorEastAsia" w:eastAsiaTheme="minorEastAsia" w:cstheme="minorEastAsia"/>
          <w:color w:val="auto"/>
          <w:sz w:val="21"/>
          <w:szCs w:val="21"/>
          <w:highlight w:val="none"/>
        </w:rPr>
        <w:t>～0.8</w:t>
      </w:r>
      <w:r>
        <w:rPr>
          <w:rFonts w:hint="eastAsia" w:asciiTheme="minorEastAsia" w:hAnsiTheme="minorEastAsia" w:eastAsiaTheme="minorEastAsia" w:cstheme="minorEastAsia"/>
          <w:bCs/>
          <w:color w:val="auto"/>
          <w:sz w:val="21"/>
          <w:szCs w:val="21"/>
          <w:highlight w:val="none"/>
        </w:rPr>
        <w:t xml:space="preserve"> m/s，单台约1200*800*2350排风柜设计风量≥1500m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/h，单台约1500*800*2350排风柜设计风量≥1800m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/h，单台约1800*800*2350排风柜设计风量≥2200m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/h，万向抽气罩面风速：≥0.35 m/s，</w:t>
      </w:r>
      <w:r>
        <w:rPr>
          <w:rFonts w:hint="eastAsia" w:asciiTheme="minorEastAsia" w:hAnsiTheme="minorEastAsia" w:eastAsiaTheme="minorEastAsia" w:cstheme="minorEastAsia"/>
          <w:color w:val="auto"/>
          <w:sz w:val="21"/>
          <w:szCs w:val="21"/>
          <w:highlight w:val="none"/>
        </w:rPr>
        <w:t>万向抽气罩排风量</w:t>
      </w:r>
      <w:r>
        <w:rPr>
          <w:rFonts w:hint="eastAsia" w:asciiTheme="minorEastAsia" w:hAnsiTheme="minorEastAsia" w:eastAsiaTheme="minorEastAsia" w:cstheme="minorEastAsia"/>
          <w:bCs/>
          <w:color w:val="auto"/>
          <w:sz w:val="21"/>
          <w:szCs w:val="21"/>
          <w:highlight w:val="none"/>
        </w:rPr>
        <w:t>150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300 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/h，原子吸收罩面风速：≥0.35 m/s，排风量400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600 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/h（特指400*400规格），药品柜、气瓶柜排风量为≥150m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3.3排风量</w:t>
      </w:r>
    </w:p>
    <w:p>
      <w:pPr>
        <w:tabs>
          <w:tab w:val="right" w:pos="180"/>
        </w:tabs>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移动门在工作开启高度</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0.5m，面风速保持</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0.5m/s情况下，实际排风量不得大于计算排风量的5％</w:t>
      </w:r>
      <w:r>
        <w:rPr>
          <w:rFonts w:hint="eastAsia" w:asciiTheme="minorEastAsia" w:hAnsiTheme="minorEastAsia" w:eastAsiaTheme="minorEastAsia" w:cstheme="minorEastAsia"/>
          <w:bCs/>
          <w:color w:val="auto"/>
          <w:sz w:val="21"/>
          <w:szCs w:val="21"/>
          <w:highlight w:val="none"/>
        </w:rPr>
        <w:t>（±10%）</w:t>
      </w:r>
      <w:r>
        <w:rPr>
          <w:rFonts w:hint="eastAsia" w:asciiTheme="minorEastAsia" w:hAnsiTheme="minorEastAsia" w:eastAsiaTheme="minorEastAsia" w:cstheme="minorEastAsia"/>
          <w:color w:val="auto"/>
          <w:sz w:val="21"/>
          <w:szCs w:val="21"/>
          <w:highlight w:val="none"/>
        </w:rPr>
        <w:t>（计算排风量＝移门宽度*移门开启高度*0.5m/s*3600s</w:t>
      </w:r>
      <w:r>
        <w:rPr>
          <w:rFonts w:hint="eastAsia" w:asciiTheme="minorEastAsia" w:hAnsiTheme="minorEastAsia" w:eastAsiaTheme="minorEastAsia" w:cstheme="minorEastAsia"/>
          <w:bCs/>
          <w:color w:val="auto"/>
          <w:sz w:val="21"/>
          <w:szCs w:val="21"/>
          <w:highlight w:val="none"/>
        </w:rPr>
        <w:t>（±10%）</w:t>
      </w:r>
      <w:r>
        <w:rPr>
          <w:rFonts w:hint="eastAsia" w:asciiTheme="minorEastAsia" w:hAnsiTheme="minorEastAsia" w:eastAsiaTheme="minorEastAsia" w:cstheme="minorEastAsia"/>
          <w:color w:val="auto"/>
          <w:sz w:val="21"/>
          <w:szCs w:val="21"/>
          <w:highlight w:val="none"/>
        </w:rPr>
        <w:t>）。</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3.4排风组态式</w:t>
      </w:r>
    </w:p>
    <w:p>
      <w:pPr>
        <w:tabs>
          <w:tab w:val="right" w:pos="180"/>
        </w:tabs>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3.4.1在满足移动门位的工作开启任一高度时，面风速保持</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0.5 m/s,排风量随高度的增大而增加，随高度的减小而减小；</w:t>
      </w:r>
    </w:p>
    <w:p>
      <w:pPr>
        <w:tabs>
          <w:tab w:val="right" w:pos="180"/>
        </w:tabs>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3.4.2移动门开启高度发生变化时段内，面风速可满足以下要求：</w:t>
      </w:r>
    </w:p>
    <w:p>
      <w:pPr>
        <w:tabs>
          <w:tab w:val="right" w:pos="180"/>
        </w:tabs>
        <w:spacing w:line="400" w:lineRule="exact"/>
        <w:ind w:firstLine="945" w:firstLineChars="4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A、移动门开启高度在门全开，平均面风速恒定保持在</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0.5m/s；</w:t>
      </w:r>
    </w:p>
    <w:p>
      <w:pPr>
        <w:tabs>
          <w:tab w:val="right" w:pos="180"/>
        </w:tabs>
        <w:spacing w:line="400" w:lineRule="exact"/>
        <w:ind w:firstLine="945" w:firstLineChars="4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B、移动门开启高度在</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0.15m，平均面风速恒定保持在</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0.5m/s；</w:t>
      </w:r>
    </w:p>
    <w:p>
      <w:pPr>
        <w:tabs>
          <w:tab w:val="right" w:pos="180"/>
        </w:tabs>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3.5、排风柜阻力</w:t>
      </w:r>
    </w:p>
    <w:p>
      <w:pPr>
        <w:tabs>
          <w:tab w:val="right" w:pos="180"/>
        </w:tabs>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排风柜移动门开启至最高位置时，在达到《排风柜》JB/T6412-1999技术标准规定的排风量和面风速保持</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0.5m/s的条件下，排风柜阻力应小于或等于70Pa。</w:t>
      </w:r>
      <w:r>
        <w:rPr>
          <w:rFonts w:hint="eastAsia" w:asciiTheme="minorEastAsia" w:hAnsiTheme="minorEastAsia" w:eastAsiaTheme="minorEastAsia" w:cstheme="minorEastAsia"/>
          <w:bCs/>
          <w:color w:val="auto"/>
          <w:sz w:val="21"/>
          <w:szCs w:val="21"/>
          <w:highlight w:val="none"/>
        </w:rPr>
        <w:t>原子吸收罩与万向排气罩的排风量采用定风量控制，原子吸收罩排风量设计为400-600m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/h（特指400mm*400mm），万向排气罩的排风量设计为150-300 m</w:t>
      </w:r>
      <w:r>
        <w:rPr>
          <w:rFonts w:hint="eastAsia" w:asciiTheme="minorEastAsia" w:hAnsiTheme="minorEastAsia" w:eastAsiaTheme="minorEastAsia" w:cstheme="minorEastAsia"/>
          <w:bCs/>
          <w:color w:val="auto"/>
          <w:sz w:val="21"/>
          <w:szCs w:val="21"/>
          <w:highlight w:val="none"/>
          <w:vertAlign w:val="superscript"/>
        </w:rPr>
        <w:t>3</w:t>
      </w:r>
      <w:r>
        <w:rPr>
          <w:rFonts w:hint="eastAsia" w:asciiTheme="minorEastAsia" w:hAnsiTheme="minorEastAsia" w:eastAsiaTheme="minorEastAsia" w:cstheme="minorEastAsia"/>
          <w:bCs/>
          <w:color w:val="auto"/>
          <w:sz w:val="21"/>
          <w:szCs w:val="21"/>
          <w:highlight w:val="none"/>
        </w:rPr>
        <w:t>/h。</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3.6、换气次数：</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一般化学实验室的换气数：8～12次/小时</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3.7、排风系统使用终端噪声≤60db。</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3.8、风机采用耐腐蚀玻璃钢离心风机，系统采用（VAV）静压传感变频控制系统，达到节能和降噪的目的。</w:t>
      </w:r>
    </w:p>
    <w:p>
      <w:pPr>
        <w:tabs>
          <w:tab w:val="left" w:pos="690"/>
        </w:tabs>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（4）系统要求</w:t>
      </w:r>
    </w:p>
    <w:p>
      <w:pPr>
        <w:spacing w:line="400" w:lineRule="exact"/>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4.1、</w:t>
      </w:r>
      <w:r>
        <w:rPr>
          <w:rFonts w:hint="eastAsia" w:asciiTheme="minorEastAsia" w:hAnsiTheme="minorEastAsia" w:eastAsiaTheme="minorEastAsia" w:cstheme="minorEastAsia"/>
          <w:b/>
          <w:color w:val="auto"/>
          <w:sz w:val="21"/>
          <w:szCs w:val="21"/>
          <w:highlight w:val="none"/>
        </w:rPr>
        <w:t>排风系统</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bookmarkStart w:id="288" w:name="_Toc200223029"/>
      <w:bookmarkStart w:id="289" w:name="_Toc199245737"/>
      <w:r>
        <w:rPr>
          <w:rFonts w:hint="eastAsia" w:asciiTheme="minorEastAsia" w:hAnsiTheme="minorEastAsia" w:eastAsiaTheme="minorEastAsia" w:cstheme="minorEastAsia"/>
          <w:color w:val="auto"/>
          <w:sz w:val="21"/>
          <w:szCs w:val="21"/>
          <w:highlight w:val="none"/>
        </w:rPr>
        <w:t>4.1.1实验室排风设计原则：</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a）、综合考虑各项因素，采用投资少、运行稳定、运行费用低、处理效果好的成熟工艺；</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b）、所选择的工艺必须满足现场条件，平面布置简洁、紧凑、少占地，并方便生产操作和维护维修；</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c）、非标设备应符合国家或行业相关规范，并保证性能稳定、外表美观；</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d）、在设计中充分考虑噪声、臭味等，防止二次污染的产生，不给周围环境造成新的污染；</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e、处理设施具备冲击负荷能力，确保废气达标排放。</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4.2、实验室排风系统规划总体思路：</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4.2.1、在同房间各排风柜或排风设备尽量经同一管路进行排放，为排除实验中产生的有害气体，实验室的排风柜尽可能布置在同一个方向上，并共用一个排风管井排风；</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4.2.2、为了减少系统阻力及减少室内噪声，必需把风管加大，把管道内风速控制在设计的参数范围内；</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4.2.3、为了保证各入口处的风量符合设计要求，各系统的每个排风口均设电动风阀进行风量调节；</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4.2.4、本设计室内采用阻燃性能硬聚氯乙烯（PVC）管材，风管具有防腐等性能，同时具有耐低温和抗老化等性能，且外形美观，支、吊架圆管采用不锈钢条抱箍风管，方管采用经防锈处理的吊杆紧固角钢来支撑风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4.3排风控制系统设计：</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风系统划分要根据建筑功能、平面分布及实验室的使用要求，综合技术、经济、管理等因素，还应当考虑工艺流程、同时使用情况及有害气体性质及其处理等因素。本项目中每层实验室室内排风末端(排风柜、万向排气罩、原子吸收罩)采用局部排风方式，排风末端局部排风装置均采用静压传感变频控制方式；排风控制方式具有高品质的控制性能、节能效应和安全性能。有排风设备的房间，其房间的补风通过门窗及其缝隙进行自然补风，以使房间有效的排风换气。</w:t>
      </w:r>
    </w:p>
    <w:p>
      <w:pPr>
        <w:spacing w:line="400" w:lineRule="exact"/>
        <w:ind w:firstLine="3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4.4静压传感变频控制系统（VAV）：</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4.4.1. 根据开启排风末端的装置数量的多少，静压传感自动变频控制通过差压传感器在主管道内检测到信号经差压信号变换调制器处理，输出数字信号至变频器调节风机排风量。</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4.4.2. 当排风末端的装置数量增多或减少时变频系统会自动调节风机的频率，改变风机转速，调节管道内风量与流速，从而使开启的排风系统达到一定的节能效果；当所有排风柜关闭时，通排风系统将自动关闭，处于待命状态。每台排风末端的装置采用电动风阀控制开关和变频控制系统及风机联动，每台排风末端的装置与主管连接处均装有电动调节阀，可实现每台排风末端的装置的独立控制。电动调节阀门采用数显可调角度的电动风阀，并且有记忆功能（即可以记住此次调节的角度，下次打开时仍然调到设计的角度）。</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系统控制：采用总线控制方式，由静压传感装置自动控制风机运行频率；达到风速要求、降低噪音、节能的目的。系统风阀和风机整体联锁，实现气流的有序流动，平衡系统风量，防止气流反串、倒流。</w:t>
      </w:r>
    </w:p>
    <w:bookmarkEnd w:id="288"/>
    <w:bookmarkEnd w:id="289"/>
    <w:p>
      <w:pPr>
        <w:tabs>
          <w:tab w:val="right" w:pos="180"/>
        </w:tabs>
        <w:spacing w:line="400" w:lineRule="exact"/>
        <w:ind w:firstLine="210" w:firstLineChars="1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4.5</w:t>
      </w:r>
      <w:r>
        <w:rPr>
          <w:rFonts w:hint="eastAsia" w:asciiTheme="minorEastAsia" w:hAnsiTheme="minorEastAsia" w:eastAsiaTheme="minorEastAsia" w:cstheme="minorEastAsia"/>
          <w:b/>
          <w:color w:val="auto"/>
          <w:sz w:val="21"/>
          <w:szCs w:val="21"/>
          <w:highlight w:val="none"/>
        </w:rPr>
        <w:t>静压传感变频控制工艺流程图</w:t>
      </w:r>
    </w:p>
    <w:p>
      <w:pPr>
        <w:tabs>
          <w:tab w:val="right" w:pos="180"/>
        </w:tabs>
        <w:spacing w:line="400" w:lineRule="exact"/>
        <w:ind w:firstLine="470" w:firstLineChars="22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51718656" behindDoc="0" locked="0" layoutInCell="1" allowOverlap="1">
                <wp:simplePos x="0" y="0"/>
                <wp:positionH relativeFrom="column">
                  <wp:posOffset>-1905</wp:posOffset>
                </wp:positionH>
                <wp:positionV relativeFrom="paragraph">
                  <wp:posOffset>90805</wp:posOffset>
                </wp:positionV>
                <wp:extent cx="6057900" cy="1584960"/>
                <wp:effectExtent l="0" t="0" r="38100" b="34290"/>
                <wp:wrapNone/>
                <wp:docPr id="445" name="组合 43"/>
                <wp:cNvGraphicFramePr/>
                <a:graphic xmlns:a="http://schemas.openxmlformats.org/drawingml/2006/main">
                  <a:graphicData uri="http://schemas.microsoft.com/office/word/2010/wordprocessingGroup">
                    <wpg:wgp>
                      <wpg:cNvGrpSpPr/>
                      <wpg:grpSpPr>
                        <a:xfrm>
                          <a:off x="0" y="0"/>
                          <a:ext cx="6057900" cy="1584960"/>
                          <a:chOff x="1365" y="2900"/>
                          <a:chExt cx="9787" cy="2602"/>
                        </a:xfrm>
                        <a:effectLst/>
                      </wpg:grpSpPr>
                      <wps:wsp>
                        <wps:cNvPr id="427" name="文本框 427"/>
                        <wps:cNvSpPr txBox="1"/>
                        <wps:spPr>
                          <a:xfrm>
                            <a:off x="1365" y="2900"/>
                            <a:ext cx="1482" cy="516"/>
                          </a:xfrm>
                          <a:prstGeom prst="rect">
                            <a:avLst/>
                          </a:prstGeom>
                          <a:noFill/>
                          <a:ln>
                            <a:noFill/>
                          </a:ln>
                          <a:effectLst/>
                        </wps:spPr>
                        <wps:txbx>
                          <w:txbxContent>
                            <w:p>
                              <w:pPr>
                                <w:jc w:val="center"/>
                                <w:rPr>
                                  <w:rFonts w:hAnsi="宋体"/>
                                  <w:spacing w:val="12"/>
                                  <w:szCs w:val="21"/>
                                </w:rPr>
                              </w:pPr>
                              <w:r>
                                <w:rPr>
                                  <w:rFonts w:hint="eastAsia" w:hAnsi="宋体"/>
                                  <w:spacing w:val="12"/>
                                  <w:szCs w:val="21"/>
                                </w:rPr>
                                <w:t>实验废气</w:t>
                              </w:r>
                            </w:p>
                          </w:txbxContent>
                        </wps:txbx>
                        <wps:bodyPr upright="1"/>
                      </wps:wsp>
                      <wps:wsp>
                        <wps:cNvPr id="428" name="圆角矩形 428"/>
                        <wps:cNvSpPr/>
                        <wps:spPr>
                          <a:xfrm>
                            <a:off x="4671" y="3014"/>
                            <a:ext cx="1048" cy="492"/>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通风管</w:t>
                              </w:r>
                            </w:p>
                          </w:txbxContent>
                        </wps:txbx>
                        <wps:bodyPr upright="1"/>
                      </wps:wsp>
                      <wps:wsp>
                        <wps:cNvPr id="429" name="直接连接符 429"/>
                        <wps:cNvCnPr/>
                        <wps:spPr>
                          <a:xfrm flipV="1">
                            <a:off x="1599" y="3290"/>
                            <a:ext cx="1024" cy="0"/>
                          </a:xfrm>
                          <a:prstGeom prst="line">
                            <a:avLst/>
                          </a:prstGeom>
                          <a:ln w="9525" cap="flat" cmpd="sng">
                            <a:solidFill>
                              <a:srgbClr val="000000"/>
                            </a:solidFill>
                            <a:prstDash val="solid"/>
                            <a:headEnd type="none" w="med" len="med"/>
                            <a:tailEnd type="triangle" w="sm" len="lg"/>
                          </a:ln>
                          <a:effectLst/>
                        </wps:spPr>
                        <wps:bodyPr upright="1"/>
                      </wps:wsp>
                      <wps:wsp>
                        <wps:cNvPr id="430" name="直接连接符 430"/>
                        <wps:cNvCnPr/>
                        <wps:spPr>
                          <a:xfrm>
                            <a:off x="7535" y="3281"/>
                            <a:ext cx="666" cy="0"/>
                          </a:xfrm>
                          <a:prstGeom prst="line">
                            <a:avLst/>
                          </a:prstGeom>
                          <a:ln w="9525" cap="flat" cmpd="sng">
                            <a:solidFill>
                              <a:srgbClr val="000000"/>
                            </a:solidFill>
                            <a:prstDash val="solid"/>
                            <a:headEnd type="none" w="med" len="med"/>
                            <a:tailEnd type="triangle" w="sm" len="lg"/>
                          </a:ln>
                          <a:effectLst/>
                        </wps:spPr>
                        <wps:bodyPr upright="1"/>
                      </wps:wsp>
                      <wps:wsp>
                        <wps:cNvPr id="431" name="圆角矩形 431"/>
                        <wps:cNvSpPr/>
                        <wps:spPr>
                          <a:xfrm>
                            <a:off x="8257" y="3005"/>
                            <a:ext cx="994" cy="54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引风机</w:t>
                              </w:r>
                            </w:p>
                          </w:txbxContent>
                        </wps:txbx>
                        <wps:bodyPr upright="1"/>
                      </wps:wsp>
                      <wps:wsp>
                        <wps:cNvPr id="432" name="圆角矩形 432"/>
                        <wps:cNvSpPr/>
                        <wps:spPr>
                          <a:xfrm>
                            <a:off x="2683" y="3020"/>
                            <a:ext cx="1270" cy="506"/>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集气设备</w:t>
                              </w:r>
                            </w:p>
                          </w:txbxContent>
                        </wps:txbx>
                        <wps:bodyPr upright="1"/>
                      </wps:wsp>
                      <wps:wsp>
                        <wps:cNvPr id="433" name="直接连接符 433"/>
                        <wps:cNvCnPr/>
                        <wps:spPr>
                          <a:xfrm>
                            <a:off x="4015" y="3275"/>
                            <a:ext cx="586" cy="0"/>
                          </a:xfrm>
                          <a:prstGeom prst="line">
                            <a:avLst/>
                          </a:prstGeom>
                          <a:ln w="9525" cap="flat" cmpd="sng">
                            <a:solidFill>
                              <a:srgbClr val="000000"/>
                            </a:solidFill>
                            <a:prstDash val="solid"/>
                            <a:headEnd type="none" w="med" len="med"/>
                            <a:tailEnd type="triangle" w="sm" len="lg"/>
                          </a:ln>
                          <a:effectLst/>
                        </wps:spPr>
                        <wps:bodyPr upright="1"/>
                      </wps:wsp>
                      <wps:wsp>
                        <wps:cNvPr id="434" name="直接连接符 434"/>
                        <wps:cNvCnPr/>
                        <wps:spPr>
                          <a:xfrm>
                            <a:off x="5777" y="3290"/>
                            <a:ext cx="620" cy="0"/>
                          </a:xfrm>
                          <a:prstGeom prst="line">
                            <a:avLst/>
                          </a:prstGeom>
                          <a:ln w="9525" cap="flat" cmpd="sng">
                            <a:solidFill>
                              <a:srgbClr val="000000"/>
                            </a:solidFill>
                            <a:prstDash val="solid"/>
                            <a:headEnd type="none" w="med" len="med"/>
                            <a:tailEnd type="triangle" w="sm" len="lg"/>
                          </a:ln>
                          <a:effectLst/>
                        </wps:spPr>
                        <wps:bodyPr upright="1"/>
                      </wps:wsp>
                      <wps:wsp>
                        <wps:cNvPr id="435" name="圆角矩形 435"/>
                        <wps:cNvSpPr/>
                        <wps:spPr>
                          <a:xfrm>
                            <a:off x="7293" y="4988"/>
                            <a:ext cx="1020" cy="51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变频器</w:t>
                              </w:r>
                            </w:p>
                          </w:txbxContent>
                        </wps:txbx>
                        <wps:bodyPr upright="1"/>
                      </wps:wsp>
                      <wps:wsp>
                        <wps:cNvPr id="436" name="直接连接符 436"/>
                        <wps:cNvCnPr/>
                        <wps:spPr>
                          <a:xfrm flipH="1" flipV="1">
                            <a:off x="5177" y="3557"/>
                            <a:ext cx="0" cy="1354"/>
                          </a:xfrm>
                          <a:prstGeom prst="line">
                            <a:avLst/>
                          </a:prstGeom>
                          <a:ln w="9525" cap="flat" cmpd="sng">
                            <a:solidFill>
                              <a:srgbClr val="000000"/>
                            </a:solidFill>
                            <a:prstDash val="lgDash"/>
                            <a:headEnd type="triangle" w="sm" len="lg"/>
                            <a:tailEnd type="none" w="sm" len="lg"/>
                          </a:ln>
                          <a:effectLst/>
                        </wps:spPr>
                        <wps:bodyPr upright="1"/>
                      </wps:wsp>
                      <wps:wsp>
                        <wps:cNvPr id="437" name="圆角矩形 437"/>
                        <wps:cNvSpPr/>
                        <wps:spPr>
                          <a:xfrm>
                            <a:off x="6491" y="3019"/>
                            <a:ext cx="974" cy="50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消声器</w:t>
                              </w:r>
                            </w:p>
                          </w:txbxContent>
                        </wps:txbx>
                        <wps:bodyPr upright="1"/>
                      </wps:wsp>
                      <wps:wsp>
                        <wps:cNvPr id="438" name="圆角矩形 438"/>
                        <wps:cNvSpPr/>
                        <wps:spPr>
                          <a:xfrm>
                            <a:off x="4419" y="4973"/>
                            <a:ext cx="1622" cy="491"/>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静压传感装置</w:t>
                              </w:r>
                            </w:p>
                          </w:txbxContent>
                        </wps:txbx>
                        <wps:bodyPr upright="1"/>
                      </wps:wsp>
                      <wps:wsp>
                        <wps:cNvPr id="439" name="直接连接符 439"/>
                        <wps:cNvCnPr/>
                        <wps:spPr>
                          <a:xfrm flipH="1" flipV="1">
                            <a:off x="8379" y="5276"/>
                            <a:ext cx="348" cy="0"/>
                          </a:xfrm>
                          <a:prstGeom prst="line">
                            <a:avLst/>
                          </a:prstGeom>
                          <a:ln w="9525" cap="flat" cmpd="sng">
                            <a:solidFill>
                              <a:srgbClr val="000000"/>
                            </a:solidFill>
                            <a:prstDash val="lgDash"/>
                            <a:headEnd type="none" w="med" len="med"/>
                            <a:tailEnd type="none" w="med" len="med"/>
                          </a:ln>
                          <a:effectLst/>
                        </wps:spPr>
                        <wps:bodyPr upright="1"/>
                      </wps:wsp>
                      <wps:wsp>
                        <wps:cNvPr id="440" name="直接连接符 440"/>
                        <wps:cNvCnPr/>
                        <wps:spPr>
                          <a:xfrm flipV="1">
                            <a:off x="8771" y="3677"/>
                            <a:ext cx="14" cy="1580"/>
                          </a:xfrm>
                          <a:prstGeom prst="line">
                            <a:avLst/>
                          </a:prstGeom>
                          <a:ln w="9525" cap="flat" cmpd="sng">
                            <a:solidFill>
                              <a:srgbClr val="000000"/>
                            </a:solidFill>
                            <a:prstDash val="lgDash"/>
                            <a:headEnd type="none" w="sm" len="lg"/>
                            <a:tailEnd type="triangle" w="sm" len="lg"/>
                          </a:ln>
                          <a:effectLst/>
                        </wps:spPr>
                        <wps:bodyPr upright="1"/>
                      </wps:wsp>
                      <wps:wsp>
                        <wps:cNvPr id="441" name="文本框 441"/>
                        <wps:cNvSpPr txBox="1"/>
                        <wps:spPr>
                          <a:xfrm>
                            <a:off x="5810" y="4353"/>
                            <a:ext cx="2290" cy="758"/>
                          </a:xfrm>
                          <a:prstGeom prst="rect">
                            <a:avLst/>
                          </a:prstGeom>
                          <a:noFill/>
                          <a:ln>
                            <a:noFill/>
                          </a:ln>
                          <a:effectLst/>
                        </wps:spPr>
                        <wps:txbx>
                          <w:txbxContent>
                            <w:p>
                              <w:pPr>
                                <w:jc w:val="center"/>
                                <w:rPr>
                                  <w:rFonts w:hAnsi="宋体"/>
                                  <w:spacing w:val="12"/>
                                  <w:szCs w:val="21"/>
                                </w:rPr>
                              </w:pPr>
                              <w:r>
                                <w:rPr>
                                  <w:rFonts w:hint="eastAsia" w:hAnsi="宋体"/>
                                  <w:spacing w:val="12"/>
                                  <w:szCs w:val="21"/>
                                </w:rPr>
                                <w:t>0-10V控制电信号</w:t>
                              </w:r>
                            </w:p>
                          </w:txbxContent>
                        </wps:txbx>
                        <wps:bodyPr upright="1"/>
                      </wps:wsp>
                      <wps:wsp>
                        <wps:cNvPr id="442" name="圆角矩形 442"/>
                        <wps:cNvSpPr/>
                        <wps:spPr>
                          <a:xfrm>
                            <a:off x="9875" y="2998"/>
                            <a:ext cx="1277" cy="50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r>
                                <w:rPr>
                                  <w:rFonts w:hint="eastAsia"/>
                                </w:rPr>
                                <w:t>净化设备</w:t>
                              </w:r>
                            </w:p>
                          </w:txbxContent>
                        </wps:txbx>
                        <wps:bodyPr upright="1"/>
                      </wps:wsp>
                      <wps:wsp>
                        <wps:cNvPr id="443" name="直接连接符 443"/>
                        <wps:cNvCnPr/>
                        <wps:spPr>
                          <a:xfrm>
                            <a:off x="9331" y="3266"/>
                            <a:ext cx="468" cy="0"/>
                          </a:xfrm>
                          <a:prstGeom prst="line">
                            <a:avLst/>
                          </a:prstGeom>
                          <a:ln w="9525" cap="flat" cmpd="sng">
                            <a:solidFill>
                              <a:srgbClr val="000000"/>
                            </a:solidFill>
                            <a:prstDash val="solid"/>
                            <a:headEnd type="none" w="med" len="med"/>
                            <a:tailEnd type="triangle" w="sm" len="lg"/>
                          </a:ln>
                          <a:effectLst/>
                        </wps:spPr>
                        <wps:bodyPr upright="1"/>
                      </wps:wsp>
                      <wps:wsp>
                        <wps:cNvPr id="444" name="直接连接符 444"/>
                        <wps:cNvCnPr/>
                        <wps:spPr>
                          <a:xfrm flipH="1">
                            <a:off x="6083" y="5246"/>
                            <a:ext cx="1089" cy="0"/>
                          </a:xfrm>
                          <a:prstGeom prst="line">
                            <a:avLst/>
                          </a:prstGeom>
                          <a:ln w="9525" cap="flat" cmpd="sng">
                            <a:solidFill>
                              <a:srgbClr val="000000"/>
                            </a:solidFill>
                            <a:prstDash val="lgDash"/>
                            <a:headEnd type="none" w="med" len="med"/>
                            <a:tailEnd type="none" w="med" len="med"/>
                          </a:ln>
                          <a:effectLst/>
                        </wps:spPr>
                        <wps:bodyPr upright="1"/>
                      </wps:wsp>
                    </wpg:wgp>
                  </a:graphicData>
                </a:graphic>
              </wp:anchor>
            </w:drawing>
          </mc:Choice>
          <mc:Fallback>
            <w:pict>
              <v:group id="组合 43" o:spid="_x0000_s1026" o:spt="203" style="position:absolute;left:0pt;margin-left:-0.15pt;margin-top:7.15pt;height:124.8pt;width:477pt;z-index:251718656;mso-width-relative:page;mso-height-relative:page;" coordorigin="1365,2900" coordsize="9787,2602" o:gfxdata="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8y8c5dkAAAAIAQAADwAA&#10;AAAAAAABACAAAAAiAAAAZHJzL2Rvd25yZXYueG1sUEsBAhQAFAAAAAgAh07iQPKrWEYXBgAAJS4A&#10;AA4AAAAAAAAAAQAgAAAAKAEAAGRycy9lMm9Eb2MueG1sUEsFBgAAAAAGAAYAWQEAALEJAAAAAA==&#10;">
                <o:lock v:ext="edit" aspectratio="f"/>
                <v:shape id="_x0000_s1026" o:spid="_x0000_s1026" o:spt="202" type="#_x0000_t202" style="position:absolute;left:1365;top:2900;height:516;width:1482;" filled="f" stroked="f" coordsize="21600,21600" o:gfxdata="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x//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Ansi="宋体"/>
                            <w:spacing w:val="12"/>
                            <w:szCs w:val="21"/>
                          </w:rPr>
                        </w:pPr>
                        <w:r>
                          <w:rPr>
                            <w:rFonts w:hint="eastAsia" w:hAnsi="宋体"/>
                            <w:spacing w:val="12"/>
                            <w:szCs w:val="21"/>
                          </w:rPr>
                          <w:t>实验废气</w:t>
                        </w:r>
                      </w:p>
                    </w:txbxContent>
                  </v:textbox>
                </v:shape>
                <v:roundrect id="_x0000_s1026" o:spid="_x0000_s1026" o:spt="2" style="position:absolute;left:4671;top:3014;height:492;width:1048;" fillcolor="#FFFFFF" filled="t" stroked="t" coordsize="21600,21600" arcsize="0.166666666666667" o:gfxdata="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8l5O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dow on="t" color="#808080" offset="2pt,2pt" origin="0f,0f" matrix="65536f,0f,0f,65536f"/>
                  <v:textbox>
                    <w:txbxContent>
                      <w:p>
                        <w:r>
                          <w:rPr>
                            <w:rFonts w:hint="eastAsia"/>
                          </w:rPr>
                          <w:t>通风管</w:t>
                        </w:r>
                      </w:p>
                    </w:txbxContent>
                  </v:textbox>
                </v:roundrect>
                <v:line id="_x0000_s1026" o:spid="_x0000_s1026" o:spt="20" style="position:absolute;left:1599;top:3290;flip:y;height:0;width:1024;" filled="f" stroked="t" coordsize="21600,21600" o:gfxdata="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uEfm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line id="_x0000_s1026" o:spid="_x0000_s1026" o:spt="20" style="position:absolute;left:7535;top:3281;height:0;width:666;" filled="f" stroked="t" coordsize="21600,21600" o:gfxdata="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bQ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long"/>
                  <v:imagedata o:title=""/>
                  <o:lock v:ext="edit" aspectratio="f"/>
                </v:line>
                <v:roundrect id="_x0000_s1026" o:spid="_x0000_s1026" o:spt="2" style="position:absolute;left:8257;top:3005;height:540;width:994;" fillcolor="#FFFFFF" filled="t" stroked="t" coordsize="21600,21600" arcsize="0.166666666666667" o:gfxdata="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o0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dow on="t" color="#808080" offset="2pt,2pt" origin="0f,0f" matrix="65536f,0f,0f,65536f"/>
                  <v:textbox>
                    <w:txbxContent>
                      <w:p>
                        <w:r>
                          <w:rPr>
                            <w:rFonts w:hint="eastAsia"/>
                          </w:rPr>
                          <w:t>引风机</w:t>
                        </w:r>
                      </w:p>
                    </w:txbxContent>
                  </v:textbox>
                </v:roundrect>
                <v:roundrect id="_x0000_s1026" o:spid="_x0000_s1026" o:spt="2" style="position:absolute;left:2683;top:3020;height:506;width:1270;" fillcolor="#FFFFFF" filled="t" stroked="t" coordsize="21600,21600" arcsize="0.166666666666667" o:gfxdata="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02p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dow on="t" color="#808080" offset="2pt,2pt" origin="0f,0f" matrix="65536f,0f,0f,65536f"/>
                  <v:textbox>
                    <w:txbxContent>
                      <w:p>
                        <w:r>
                          <w:rPr>
                            <w:rFonts w:hint="eastAsia"/>
                          </w:rPr>
                          <w:t>集气设备</w:t>
                        </w:r>
                      </w:p>
                    </w:txbxContent>
                  </v:textbox>
                </v:roundrect>
                <v:line id="_x0000_s1026" o:spid="_x0000_s1026" o:spt="20" style="position:absolute;left:4015;top:3275;height:0;width:586;" filled="f" stroked="t" coordsize="21600,21600" o:gfxdata="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t83C/&#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line id="_x0000_s1026" o:spid="_x0000_s1026" o:spt="20" style="position:absolute;left:5777;top:3290;height:0;width:620;" filled="f" stroked="t" coordsize="21600,21600" o:gfxdata="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RrB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line>
                <v:roundrect id="_x0000_s1026" o:spid="_x0000_s1026" o:spt="2" style="position:absolute;left:7293;top:4988;height:514;width:1020;" fillcolor="#FFFFFF" filled="t" stroked="t" coordsize="21600,21600" arcsize="0.166666666666667" o:gfxdata="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krtC/&#10;AAAA3AAAAA8AAAAAAAAAAQAgAAAAIgAAAGRycy9kb3ducmV2LnhtbFBLAQIUABQAAAAIAIdO4kAz&#10;LwWeOwAAADkAAAAQAAAAAAAAAAEAIAAAAA4BAABkcnMvc2hhcGV4bWwueG1sUEsFBgAAAAAGAAYA&#10;WwEAALgDAAAAAA==&#10;">
                  <v:fill on="t" focussize="0,0"/>
                  <v:stroke color="#000000" joinstyle="round"/>
                  <v:imagedata o:title=""/>
                  <o:lock v:ext="edit" aspectratio="f"/>
                  <v:shadow on="t" color="#808080" offset="2pt,2pt" origin="0f,0f" matrix="65536f,0f,0f,65536f"/>
                  <v:textbox>
                    <w:txbxContent>
                      <w:p>
                        <w:r>
                          <w:rPr>
                            <w:rFonts w:hint="eastAsia"/>
                          </w:rPr>
                          <w:t>变频器</w:t>
                        </w:r>
                      </w:p>
                    </w:txbxContent>
                  </v:textbox>
                </v:roundrect>
                <v:line id="_x0000_s1026" o:spid="_x0000_s1026" o:spt="20" style="position:absolute;left:5177;top:3557;flip:x y;height:1354;width:0;" filled="f" stroked="t" coordsize="21600,21600" o:gfxdata="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q/xC/&#10;AAAA3AAAAA8AAAAAAAAAAQAgAAAAIgAAAGRycy9kb3ducmV2LnhtbFBLAQIUABQAAAAIAIdO4kAz&#10;LwWeOwAAADkAAAAQAAAAAAAAAAEAIAAAAA4BAABkcnMvc2hhcGV4bWwueG1sUEsFBgAAAAAGAAYA&#10;WwEAALgDAAAAAA==&#10;">
                  <v:fill on="f" focussize="0,0"/>
                  <v:stroke color="#000000" joinstyle="round" dashstyle="longDash" startarrow="block" startarrowwidth="narrow" startarrowlength="long" endarrowwidth="narrow" endarrowlength="long"/>
                  <v:imagedata o:title=""/>
                  <o:lock v:ext="edit" aspectratio="f"/>
                </v:line>
                <v:roundrect id="_x0000_s1026" o:spid="_x0000_s1026" o:spt="2" style="position:absolute;left:6491;top:3019;height:505;width:974;" fillcolor="#FFFFFF" filled="t" stroked="t" coordsize="21600,21600" arcsize="0.166666666666667" o:gfxdata="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6lTy/&#10;AAAA3AAAAA8AAAAAAAAAAQAgAAAAIgAAAGRycy9kb3ducmV2LnhtbFBLAQIUABQAAAAIAIdO4kAz&#10;LwWeOwAAADkAAAAQAAAAAAAAAAEAIAAAAA4BAABkcnMvc2hhcGV4bWwueG1sUEsFBgAAAAAGAAYA&#10;WwEAALgDAAAAAA==&#10;">
                  <v:fill on="t" focussize="0,0"/>
                  <v:stroke color="#000000" joinstyle="round"/>
                  <v:imagedata o:title=""/>
                  <o:lock v:ext="edit" aspectratio="f"/>
                  <v:shadow on="t" color="#808080" offset="2pt,2pt" origin="0f,0f" matrix="65536f,0f,0f,65536f"/>
                  <v:textbox>
                    <w:txbxContent>
                      <w:p>
                        <w:r>
                          <w:rPr>
                            <w:rFonts w:hint="eastAsia"/>
                          </w:rPr>
                          <w:t>消声器</w:t>
                        </w:r>
                      </w:p>
                    </w:txbxContent>
                  </v:textbox>
                </v:roundrect>
                <v:roundrect id="_x0000_s1026" o:spid="_x0000_s1026" o:spt="2" style="position:absolute;left:4419;top:4973;height:491;width:1622;" fillcolor="#FFFFFF" filled="t" stroked="t" coordsize="21600,21600" arcsize="0.166666666666667" o:gfxdata="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UBT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dow on="t" color="#808080" offset="2pt,2pt" origin="0f,0f" matrix="65536f,0f,0f,65536f"/>
                  <v:textbox>
                    <w:txbxContent>
                      <w:p>
                        <w:r>
                          <w:rPr>
                            <w:rFonts w:hint="eastAsia"/>
                          </w:rPr>
                          <w:t>静压传感装置</w:t>
                        </w:r>
                      </w:p>
                    </w:txbxContent>
                  </v:textbox>
                </v:roundrect>
                <v:line id="_x0000_s1026" o:spid="_x0000_s1026" o:spt="20" style="position:absolute;left:8379;top:5276;flip:x y;height:0;width:348;" filled="f" stroked="t" coordsize="21600,21600" o:gfxdata="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zb96/&#10;AAAA3AAAAA8AAAAAAAAAAQAgAAAAIgAAAGRycy9kb3ducmV2LnhtbFBLAQIUABQAAAAIAIdO4kAz&#10;LwWeOwAAADkAAAAQAAAAAAAAAAEAIAAAAA4BAABkcnMvc2hhcGV4bWwueG1sUEsFBgAAAAAGAAYA&#10;WwEAALgDAAAAAA==&#10;">
                  <v:fill on="f" focussize="0,0"/>
                  <v:stroke color="#000000" joinstyle="round" dashstyle="longDash"/>
                  <v:imagedata o:title=""/>
                  <o:lock v:ext="edit" aspectratio="f"/>
                </v:line>
                <v:line id="_x0000_s1026" o:spid="_x0000_s1026" o:spt="20" style="position:absolute;left:8771;top:3677;flip:y;height:1580;width:14;" filled="f" stroked="t" coordsize="21600,21600" o:gfxdata="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4Jdua8AAAA&#10;3AAAAA8AAAAAAAAAAQAgAAAAIgAAAGRycy9kb3ducmV2LnhtbFBLAQIUABQAAAAIAIdO4kAzLwWe&#10;OwAAADkAAAAQAAAAAAAAAAEAIAAAAAsBAABkcnMvc2hhcGV4bWwueG1sUEsFBgAAAAAGAAYAWwEA&#10;ALUDAAAAAA==&#10;">
                  <v:fill on="f" focussize="0,0"/>
                  <v:stroke color="#000000" joinstyle="round" dashstyle="longDash" startarrowwidth="narrow" startarrowlength="long" endarrow="block" endarrowwidth="narrow" endarrowlength="long"/>
                  <v:imagedata o:title=""/>
                  <o:lock v:ext="edit" aspectratio="f"/>
                </v:line>
                <v:shape id="_x0000_s1026" o:spid="_x0000_s1026" o:spt="202" type="#_x0000_t202" style="position:absolute;left:5810;top:4353;height:758;width:2290;" filled="f" stroked="f" coordsize="21600,21600" o:gfxdata="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e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Ansi="宋体"/>
                            <w:spacing w:val="12"/>
                            <w:szCs w:val="21"/>
                          </w:rPr>
                        </w:pPr>
                        <w:r>
                          <w:rPr>
                            <w:rFonts w:hint="eastAsia" w:hAnsi="宋体"/>
                            <w:spacing w:val="12"/>
                            <w:szCs w:val="21"/>
                          </w:rPr>
                          <w:t>0-10V控制电信号</w:t>
                        </w:r>
                      </w:p>
                    </w:txbxContent>
                  </v:textbox>
                </v:shape>
                <v:roundrect id="_x0000_s1026" o:spid="_x0000_s1026" o:spt="2" style="position:absolute;left:9875;top:2998;height:508;width:1277;" fillcolor="#FFFFFF" filled="t" stroked="t" coordsize="21600,21600" arcsize="0.166666666666667" o:gfxdata="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tF2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dow on="t" color="#808080" offset="2pt,2pt" origin="0f,0f" matrix="65536f,0f,0f,65536f"/>
                  <v:textbox>
                    <w:txbxContent>
                      <w:p>
                        <w:r>
                          <w:rPr>
                            <w:rFonts w:hint="eastAsia"/>
                          </w:rPr>
                          <w:t>净化设备</w:t>
                        </w:r>
                      </w:p>
                    </w:txbxContent>
                  </v:textbox>
                </v:roundrect>
                <v:line id="_x0000_s1026" o:spid="_x0000_s1026" o:spt="20" style="position:absolute;left:9331;top:3266;height:0;width:468;" filled="f" stroked="t" coordsize="21600,21600" o:gfxdata="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uADb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long"/>
                  <v:imagedata o:title=""/>
                  <o:lock v:ext="edit" aspectratio="f"/>
                </v:line>
                <v:line id="_x0000_s1026" o:spid="_x0000_s1026" o:spt="20" style="position:absolute;left:6083;top:5246;flip:x;height:0;width:1089;" filled="f" stroked="t" coordsize="21600,21600" o:gfxdata="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3g1I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group>
            </w:pict>
          </mc:Fallback>
        </mc:AlternateContent>
      </w:r>
    </w:p>
    <w:p>
      <w:pPr>
        <w:tabs>
          <w:tab w:val="right" w:pos="180"/>
        </w:tabs>
        <w:spacing w:line="400" w:lineRule="exact"/>
        <w:ind w:firstLine="524" w:firstLineChars="224"/>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mc:AlternateContent>
          <mc:Choice Requires="wps">
            <w:drawing>
              <wp:anchor distT="0" distB="0" distL="114300" distR="114300" simplePos="0" relativeHeight="251720704" behindDoc="0" locked="0" layoutInCell="1" allowOverlap="1">
                <wp:simplePos x="0" y="0"/>
                <wp:positionH relativeFrom="column">
                  <wp:posOffset>6048375</wp:posOffset>
                </wp:positionH>
                <wp:positionV relativeFrom="paragraph">
                  <wp:posOffset>19050</wp:posOffset>
                </wp:positionV>
                <wp:extent cx="754380" cy="262255"/>
                <wp:effectExtent l="0" t="0" r="0" b="0"/>
                <wp:wrapNone/>
                <wp:docPr id="447" name="文本框 447"/>
                <wp:cNvGraphicFramePr/>
                <a:graphic xmlns:a="http://schemas.openxmlformats.org/drawingml/2006/main">
                  <a:graphicData uri="http://schemas.microsoft.com/office/word/2010/wordprocessingShape">
                    <wps:wsp>
                      <wps:cNvSpPr txBox="1"/>
                      <wps:spPr>
                        <a:xfrm>
                          <a:off x="0" y="0"/>
                          <a:ext cx="754380" cy="262255"/>
                        </a:xfrm>
                        <a:prstGeom prst="rect">
                          <a:avLst/>
                        </a:prstGeom>
                        <a:noFill/>
                        <a:ln>
                          <a:noFill/>
                        </a:ln>
                        <a:effectLst/>
                      </wps:spPr>
                      <wps:txbx>
                        <w:txbxContent>
                          <w:p>
                            <w:r>
                              <w:rPr>
                                <w:rFonts w:hint="eastAsia"/>
                              </w:rPr>
                              <w:t>达标排放</w:t>
                            </w:r>
                          </w:p>
                        </w:txbxContent>
                      </wps:txbx>
                      <wps:bodyPr upright="1"/>
                    </wps:wsp>
                  </a:graphicData>
                </a:graphic>
              </wp:anchor>
            </w:drawing>
          </mc:Choice>
          <mc:Fallback>
            <w:pict>
              <v:shape id="_x0000_s1026" o:spid="_x0000_s1026" o:spt="202" type="#_x0000_t202" style="position:absolute;left:0pt;margin-left:476.25pt;margin-top:1.5pt;height:20.65pt;width:59.4pt;z-index:251720704;mso-width-relative:page;mso-height-relative:page;" filled="f" stroked="f" coordsize="21600,21600" o:gfxdata="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xuWSr1gAAAAkBAAAPAAAAAAAAAAEAIAAAACIAAABkcnMv&#10;ZG93bnJldi54bWxQSwECFAAUAAAACACHTuJASYHpTpMBAAARAwAADgAAAAAAAAABACAAAAAlAQAA&#10;ZHJzL2Uyb0RvYy54bWxQSwUGAAAAAAYABgBZAQAAKgUAAAAA&#10;">
                <v:fill on="f" focussize="0,0"/>
                <v:stroke on="f"/>
                <v:imagedata o:title=""/>
                <o:lock v:ext="edit" aspectratio="f"/>
                <v:textbox>
                  <w:txbxContent>
                    <w:p>
                      <w:r>
                        <w:rPr>
                          <w:rFonts w:hint="eastAsia"/>
                        </w:rPr>
                        <w:t>达标排放</w:t>
                      </w:r>
                    </w:p>
                  </w:txbxContent>
                </v:textbox>
              </v:shape>
            </w:pict>
          </mc:Fallback>
        </mc:AlternateContent>
      </w:r>
      <w:r>
        <w:rPr>
          <w:rFonts w:hint="eastAsia" w:asciiTheme="minorEastAsia" w:hAnsiTheme="minorEastAsia" w:eastAsiaTheme="minorEastAsia" w:cstheme="minorEastAsia"/>
          <w:color w:val="auto"/>
          <w:spacing w:val="12"/>
          <w:sz w:val="21"/>
          <w:szCs w:val="21"/>
          <w:highlight w:val="none"/>
        </w:rPr>
        <mc:AlternateContent>
          <mc:Choice Requires="wps">
            <w:drawing>
              <wp:anchor distT="0" distB="0" distL="114300" distR="114300" simplePos="0" relativeHeight="251719680" behindDoc="0" locked="0" layoutInCell="1" allowOverlap="1">
                <wp:simplePos x="0" y="0"/>
                <wp:positionH relativeFrom="column">
                  <wp:posOffset>6086475</wp:posOffset>
                </wp:positionH>
                <wp:positionV relativeFrom="paragraph">
                  <wp:posOffset>34290</wp:posOffset>
                </wp:positionV>
                <wp:extent cx="362585" cy="10160"/>
                <wp:effectExtent l="0" t="19050" r="8890" b="27940"/>
                <wp:wrapNone/>
                <wp:docPr id="448" name="直接连接符 448"/>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triangle" w="sm" len="lg"/>
                        </a:ln>
                        <a:effectLst/>
                      </wps:spPr>
                      <wps:bodyPr upright="1"/>
                    </wps:wsp>
                  </a:graphicData>
                </a:graphic>
              </wp:anchor>
            </w:drawing>
          </mc:Choice>
          <mc:Fallback>
            <w:pict>
              <v:line id="_x0000_s1026" o:spid="_x0000_s1026" o:spt="20" style="position:absolute;left:0pt;margin-left:479.25pt;margin-top:2.7pt;height:0.8pt;width:28.55pt;z-index:251719680;mso-width-relative:page;mso-height-relative:page;" filled="f" stroked="t" coordsize="21600,21600" o:gfxdata="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MtpX9kAAAAIAQAADwAAAAAAAAABACAAAAAiAAAAZHJzL2Rvd25yZXYueG1sUEsBAhQAFAAAAAgA&#10;h07iQOJbb0frAQAAqgMAAA4AAAAAAAAAAQAgAAAAKAEAAGRycy9lMm9Eb2MueG1sUEsFBgAAAAAG&#10;AAYAWQEAAIUFAAAAAA==&#10;">
                <v:fill on="f" focussize="0,0"/>
                <v:stroke color="#000000" joinstyle="round" endarrow="block" endarrowwidth="narrow" endarrowlength="long"/>
                <v:imagedata o:title=""/>
                <o:lock v:ext="edit" aspectratio="f"/>
              </v:line>
            </w:pict>
          </mc:Fallback>
        </mc:AlternateContent>
      </w:r>
    </w:p>
    <w:p>
      <w:pPr>
        <w:tabs>
          <w:tab w:val="right" w:pos="180"/>
          <w:tab w:val="left" w:pos="540"/>
        </w:tabs>
        <w:spacing w:line="400" w:lineRule="exact"/>
        <w:ind w:firstLine="420" w:firstLineChars="200"/>
        <w:rPr>
          <w:rFonts w:hint="eastAsia" w:asciiTheme="minorEastAsia" w:hAnsiTheme="minorEastAsia" w:eastAsiaTheme="minorEastAsia" w:cstheme="minorEastAsia"/>
          <w:color w:val="auto"/>
          <w:sz w:val="21"/>
          <w:szCs w:val="21"/>
          <w:highlight w:val="none"/>
        </w:rPr>
      </w:pPr>
    </w:p>
    <w:p>
      <w:pPr>
        <w:tabs>
          <w:tab w:val="right" w:pos="180"/>
          <w:tab w:val="left" w:pos="540"/>
        </w:tabs>
        <w:spacing w:line="400" w:lineRule="exact"/>
        <w:ind w:firstLine="420" w:firstLineChars="200"/>
        <w:rPr>
          <w:rFonts w:hint="eastAsia" w:asciiTheme="minorEastAsia" w:hAnsiTheme="minorEastAsia" w:eastAsiaTheme="minorEastAsia" w:cstheme="minorEastAsia"/>
          <w:color w:val="auto"/>
          <w:sz w:val="21"/>
          <w:szCs w:val="21"/>
          <w:highlight w:val="none"/>
        </w:rPr>
      </w:pPr>
    </w:p>
    <w:p>
      <w:pPr>
        <w:tabs>
          <w:tab w:val="right" w:pos="180"/>
          <w:tab w:val="left" w:pos="540"/>
        </w:tabs>
        <w:spacing w:line="400" w:lineRule="exact"/>
        <w:ind w:firstLine="420" w:firstLineChars="200"/>
        <w:rPr>
          <w:rFonts w:hint="eastAsia" w:asciiTheme="minorEastAsia" w:hAnsiTheme="minorEastAsia" w:eastAsiaTheme="minorEastAsia" w:cstheme="minorEastAsia"/>
          <w:color w:val="auto"/>
          <w:sz w:val="21"/>
          <w:szCs w:val="21"/>
          <w:highlight w:val="none"/>
        </w:rPr>
      </w:pPr>
    </w:p>
    <w:p>
      <w:pPr>
        <w:tabs>
          <w:tab w:val="right" w:pos="180"/>
        </w:tabs>
        <w:spacing w:before="50"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（5）施工工艺及技术要求</w:t>
      </w:r>
    </w:p>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5.1、 风管及部件制作的一般规定</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5.1.1、低压系统非金属风管圆形风管的板材厚度（mm）：</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中、低压系统非金属风管圆形风管板材厚度（mm）</w:t>
      </w:r>
    </w:p>
    <w:tbl>
      <w:tblPr>
        <w:tblStyle w:val="89"/>
        <w:tblW w:w="8042" w:type="dxa"/>
        <w:jc w:val="center"/>
        <w:tblLayout w:type="fixed"/>
        <w:tblCellMar>
          <w:top w:w="0" w:type="dxa"/>
          <w:left w:w="0" w:type="dxa"/>
          <w:bottom w:w="0" w:type="dxa"/>
          <w:right w:w="0" w:type="dxa"/>
        </w:tblCellMar>
      </w:tblPr>
      <w:tblGrid>
        <w:gridCol w:w="3929"/>
        <w:gridCol w:w="4113"/>
      </w:tblGrid>
      <w:tr>
        <w:tblPrEx>
          <w:tblCellMar>
            <w:top w:w="0" w:type="dxa"/>
            <w:left w:w="0" w:type="dxa"/>
            <w:bottom w:w="0" w:type="dxa"/>
            <w:right w:w="0" w:type="dxa"/>
          </w:tblCellMar>
        </w:tblPrEx>
        <w:trPr>
          <w:jc w:val="center"/>
        </w:trPr>
        <w:tc>
          <w:tcPr>
            <w:tcW w:w="3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风管直径Ｄ</w:t>
            </w:r>
          </w:p>
        </w:tc>
        <w:tc>
          <w:tcPr>
            <w:tcW w:w="411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 材厚度</w:t>
            </w:r>
          </w:p>
        </w:tc>
      </w:tr>
      <w:tr>
        <w:tblPrEx>
          <w:tblCellMar>
            <w:top w:w="0" w:type="dxa"/>
            <w:left w:w="0" w:type="dxa"/>
            <w:bottom w:w="0" w:type="dxa"/>
            <w:right w:w="0" w:type="dxa"/>
          </w:tblCellMar>
        </w:tblPrEx>
        <w:trPr>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Ｄ≤320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≥３．０</w:t>
            </w:r>
          </w:p>
        </w:tc>
      </w:tr>
      <w:tr>
        <w:tblPrEx>
          <w:tblCellMar>
            <w:top w:w="0" w:type="dxa"/>
            <w:left w:w="0" w:type="dxa"/>
            <w:bottom w:w="0" w:type="dxa"/>
            <w:right w:w="0" w:type="dxa"/>
          </w:tblCellMar>
        </w:tblPrEx>
        <w:trPr>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320&lt;D≤630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≥４．０</w:t>
            </w:r>
          </w:p>
        </w:tc>
      </w:tr>
      <w:tr>
        <w:tblPrEx>
          <w:tblCellMar>
            <w:top w:w="0" w:type="dxa"/>
            <w:left w:w="0" w:type="dxa"/>
            <w:bottom w:w="0" w:type="dxa"/>
            <w:right w:w="0" w:type="dxa"/>
          </w:tblCellMar>
        </w:tblPrEx>
        <w:trPr>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630&lt;D≤1000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≥５．０</w:t>
            </w:r>
          </w:p>
        </w:tc>
      </w:tr>
      <w:tr>
        <w:tblPrEx>
          <w:tblCellMar>
            <w:top w:w="0" w:type="dxa"/>
            <w:left w:w="0" w:type="dxa"/>
            <w:bottom w:w="0" w:type="dxa"/>
            <w:right w:w="0" w:type="dxa"/>
          </w:tblCellMar>
        </w:tblPrEx>
        <w:trPr>
          <w:trHeight w:val="190" w:hRule="atLeast"/>
          <w:jc w:val="center"/>
        </w:trPr>
        <w:tc>
          <w:tcPr>
            <w:tcW w:w="39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1000&lt;D≤2000</w:t>
            </w:r>
          </w:p>
        </w:tc>
        <w:tc>
          <w:tcPr>
            <w:tcW w:w="4113" w:type="dxa"/>
            <w:tcBorders>
              <w:top w:val="nil"/>
              <w:left w:val="nil"/>
              <w:bottom w:val="single" w:color="auto" w:sz="8" w:space="0"/>
              <w:right w:val="single" w:color="auto" w:sz="8" w:space="0"/>
            </w:tcBorders>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≥６．０</w:t>
            </w:r>
          </w:p>
        </w:tc>
      </w:tr>
    </w:tbl>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中、低压系统非金属风管矩形风管板材厚度（mm）</w:t>
      </w:r>
    </w:p>
    <w:tbl>
      <w:tblPr>
        <w:tblStyle w:val="89"/>
        <w:tblW w:w="81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999"/>
        <w:gridCol w:w="4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风管长边尺寸b</w:t>
            </w:r>
          </w:p>
        </w:tc>
        <w:tc>
          <w:tcPr>
            <w:tcW w:w="4139" w:type="dxa"/>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板　材　厚　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b≤320</w:t>
            </w:r>
          </w:p>
        </w:tc>
        <w:tc>
          <w:tcPr>
            <w:tcW w:w="4139" w:type="dxa"/>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≥３．０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320&lt;b≤500</w:t>
            </w:r>
          </w:p>
        </w:tc>
        <w:tc>
          <w:tcPr>
            <w:tcW w:w="413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≥４．０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500&lt;b≤800</w:t>
            </w:r>
          </w:p>
        </w:tc>
        <w:tc>
          <w:tcPr>
            <w:tcW w:w="4139" w:type="dxa"/>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≥５．０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800&lt;b≤1250</w:t>
            </w:r>
          </w:p>
        </w:tc>
        <w:tc>
          <w:tcPr>
            <w:tcW w:w="4139" w:type="dxa"/>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≥６．０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4" w:hRule="atLeast"/>
          <w:jc w:val="center"/>
        </w:trPr>
        <w:tc>
          <w:tcPr>
            <w:tcW w:w="3999" w:type="dxa"/>
            <w:tcMar>
              <w:top w:w="0" w:type="dxa"/>
              <w:left w:w="108" w:type="dxa"/>
              <w:bottom w:w="0" w:type="dxa"/>
              <w:right w:w="108" w:type="dxa"/>
            </w:tcMa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1250&lt;b≤2000</w:t>
            </w:r>
          </w:p>
        </w:tc>
        <w:tc>
          <w:tcPr>
            <w:tcW w:w="4139" w:type="dxa"/>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≥８．０</w:t>
            </w:r>
          </w:p>
        </w:tc>
      </w:tr>
    </w:tbl>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5.1.2、非金属风管圆形风管的法兰规格（mm）</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非金属风管风管法兰规格（mm）</w:t>
      </w:r>
    </w:p>
    <w:tbl>
      <w:tblPr>
        <w:tblStyle w:val="89"/>
        <w:tblW w:w="96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48"/>
        <w:gridCol w:w="1715"/>
        <w:gridCol w:w="1713"/>
        <w:gridCol w:w="1596"/>
        <w:gridCol w:w="1587"/>
        <w:gridCol w:w="11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0" w:hRule="atLeast"/>
          <w:jc w:val="center"/>
        </w:trPr>
        <w:tc>
          <w:tcPr>
            <w:tcW w:w="1848"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风管边长b</w:t>
            </w:r>
          </w:p>
        </w:tc>
        <w:tc>
          <w:tcPr>
            <w:tcW w:w="1715"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材料规格</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（宽×厚）</w:t>
            </w:r>
          </w:p>
        </w:tc>
        <w:tc>
          <w:tcPr>
            <w:tcW w:w="1713"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c>
          <w:tcPr>
            <w:tcW w:w="1596"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风管边长b</w:t>
            </w:r>
          </w:p>
        </w:tc>
        <w:tc>
          <w:tcPr>
            <w:tcW w:w="1587"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材料规格</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（宽×厚）</w:t>
            </w:r>
          </w:p>
        </w:tc>
        <w:tc>
          <w:tcPr>
            <w:tcW w:w="1143" w:type="dxa"/>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b≤160</w:t>
            </w:r>
          </w:p>
        </w:tc>
        <w:tc>
          <w:tcPr>
            <w:tcW w:w="1715"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35×6</w:t>
            </w:r>
            <w:r>
              <w:rPr>
                <w:rFonts w:hint="eastAsia" w:asciiTheme="minorEastAsia" w:hAnsiTheme="minorEastAsia" w:eastAsiaTheme="minorEastAsia" w:cstheme="minorEastAsia"/>
                <w:bCs/>
                <w:color w:val="auto"/>
                <w:sz w:val="21"/>
                <w:szCs w:val="21"/>
                <w:highlight w:val="none"/>
              </w:rPr>
              <w:t>（±10%）</w:t>
            </w:r>
          </w:p>
        </w:tc>
        <w:tc>
          <w:tcPr>
            <w:tcW w:w="1713"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M6</w:t>
            </w:r>
          </w:p>
        </w:tc>
        <w:tc>
          <w:tcPr>
            <w:tcW w:w="1596"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800＜b≤1250</w:t>
            </w:r>
          </w:p>
        </w:tc>
        <w:tc>
          <w:tcPr>
            <w:tcW w:w="1587"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45×12</w:t>
            </w:r>
            <w:r>
              <w:rPr>
                <w:rFonts w:hint="eastAsia" w:asciiTheme="minorEastAsia" w:hAnsiTheme="minorEastAsia" w:eastAsiaTheme="minorEastAsia" w:cstheme="minorEastAsia"/>
                <w:bCs/>
                <w:color w:val="auto"/>
                <w:sz w:val="21"/>
                <w:szCs w:val="21"/>
                <w:highlight w:val="none"/>
              </w:rPr>
              <w:t>（±10%）</w:t>
            </w:r>
          </w:p>
        </w:tc>
        <w:tc>
          <w:tcPr>
            <w:tcW w:w="1143" w:type="dxa"/>
            <w:vMerge w:val="restart"/>
            <w:tcMar>
              <w:top w:w="0" w:type="dxa"/>
              <w:left w:w="108" w:type="dxa"/>
              <w:bottom w:w="0" w:type="dxa"/>
              <w:right w:w="108" w:type="dxa"/>
            </w:tcMa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Ｍ10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160＜b≤400</w:t>
            </w:r>
          </w:p>
        </w:tc>
        <w:tc>
          <w:tcPr>
            <w:tcW w:w="1715"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35×8</w:t>
            </w:r>
            <w:r>
              <w:rPr>
                <w:rFonts w:hint="eastAsia" w:asciiTheme="minorEastAsia" w:hAnsiTheme="minorEastAsia" w:eastAsiaTheme="minorEastAsia" w:cstheme="minorEastAsia"/>
                <w:bCs/>
                <w:color w:val="auto"/>
                <w:sz w:val="21"/>
                <w:szCs w:val="21"/>
                <w:highlight w:val="none"/>
              </w:rPr>
              <w:t>（±10%）</w:t>
            </w:r>
          </w:p>
        </w:tc>
        <w:tc>
          <w:tcPr>
            <w:tcW w:w="1713" w:type="dxa"/>
            <w:vMerge w:val="restart"/>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c>
          <w:tcPr>
            <w:tcW w:w="1596"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1250＜b≤1600</w:t>
            </w:r>
          </w:p>
        </w:tc>
        <w:tc>
          <w:tcPr>
            <w:tcW w:w="1587"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50×15</w:t>
            </w:r>
            <w:r>
              <w:rPr>
                <w:rFonts w:hint="eastAsia" w:asciiTheme="minorEastAsia" w:hAnsiTheme="minorEastAsia" w:eastAsiaTheme="minorEastAsia" w:cstheme="minorEastAsia"/>
                <w:bCs/>
                <w:color w:val="auto"/>
                <w:sz w:val="21"/>
                <w:szCs w:val="21"/>
                <w:highlight w:val="none"/>
              </w:rPr>
              <w:t>（±10%）</w:t>
            </w:r>
          </w:p>
        </w:tc>
        <w:tc>
          <w:tcPr>
            <w:tcW w:w="1143" w:type="dxa"/>
            <w:vMerge w:val="continue"/>
            <w:vAlign w:val="center"/>
          </w:tcPr>
          <w:p>
            <w:pPr>
              <w:spacing w:line="400" w:lineRule="exac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400＜b≤500</w:t>
            </w:r>
          </w:p>
        </w:tc>
        <w:tc>
          <w:tcPr>
            <w:tcW w:w="1715"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35×10</w:t>
            </w:r>
            <w:r>
              <w:rPr>
                <w:rFonts w:hint="eastAsia" w:asciiTheme="minorEastAsia" w:hAnsiTheme="minorEastAsia" w:eastAsiaTheme="minorEastAsia" w:cstheme="minorEastAsia"/>
                <w:bCs/>
                <w:color w:val="auto"/>
                <w:sz w:val="21"/>
                <w:szCs w:val="21"/>
                <w:highlight w:val="none"/>
              </w:rPr>
              <w:t>（±10%）</w:t>
            </w:r>
          </w:p>
        </w:tc>
        <w:tc>
          <w:tcPr>
            <w:tcW w:w="1713" w:type="dxa"/>
            <w:vMerge w:val="continue"/>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596"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1600＜b≤2000</w:t>
            </w:r>
          </w:p>
        </w:tc>
        <w:tc>
          <w:tcPr>
            <w:tcW w:w="1587"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60×18</w:t>
            </w:r>
            <w:r>
              <w:rPr>
                <w:rFonts w:hint="eastAsia" w:asciiTheme="minorEastAsia" w:hAnsiTheme="minorEastAsia" w:eastAsiaTheme="minorEastAsia" w:cstheme="minorEastAsia"/>
                <w:bCs/>
                <w:color w:val="auto"/>
                <w:sz w:val="21"/>
                <w:szCs w:val="21"/>
                <w:highlight w:val="none"/>
              </w:rPr>
              <w:t>（±10%）</w:t>
            </w:r>
          </w:p>
        </w:tc>
        <w:tc>
          <w:tcPr>
            <w:tcW w:w="1143" w:type="dxa"/>
            <w:vMerge w:val="continue"/>
            <w:vAlign w:val="center"/>
          </w:tcPr>
          <w:p>
            <w:pPr>
              <w:spacing w:line="400" w:lineRule="exact"/>
              <w:rPr>
                <w:rFonts w:hint="eastAsia" w:asciiTheme="minorEastAsia" w:hAnsiTheme="minorEastAsia" w:eastAsiaTheme="minorEastAsia" w:cstheme="minorEastAsia"/>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47" w:hRule="atLeast"/>
          <w:jc w:val="center"/>
        </w:trPr>
        <w:tc>
          <w:tcPr>
            <w:tcW w:w="1848"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500＜b≤800</w:t>
            </w:r>
          </w:p>
        </w:tc>
        <w:tc>
          <w:tcPr>
            <w:tcW w:w="1715"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40×10</w:t>
            </w:r>
            <w:r>
              <w:rPr>
                <w:rFonts w:hint="eastAsia" w:asciiTheme="minorEastAsia" w:hAnsiTheme="minorEastAsia" w:eastAsiaTheme="minorEastAsia" w:cstheme="minorEastAsia"/>
                <w:bCs/>
                <w:color w:val="auto"/>
                <w:sz w:val="21"/>
                <w:szCs w:val="21"/>
                <w:highlight w:val="none"/>
              </w:rPr>
              <w:t>（±10%）</w:t>
            </w:r>
          </w:p>
        </w:tc>
        <w:tc>
          <w:tcPr>
            <w:tcW w:w="1713"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c>
          <w:tcPr>
            <w:tcW w:w="1596" w:type="dxa"/>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b＞2000</w:t>
            </w:r>
          </w:p>
        </w:tc>
        <w:tc>
          <w:tcPr>
            <w:tcW w:w="2730" w:type="dxa"/>
            <w:gridSpan w:val="2"/>
            <w:tcMar>
              <w:top w:w="0" w:type="dxa"/>
              <w:left w:w="108" w:type="dxa"/>
              <w:bottom w:w="0" w:type="dxa"/>
              <w:right w:w="108" w:type="dxa"/>
            </w:tcMar>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w:t>
            </w:r>
          </w:p>
        </w:tc>
      </w:tr>
    </w:tbl>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5.1.3、风管系统类别划分</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风管系统工程类别划分</w:t>
      </w:r>
    </w:p>
    <w:tbl>
      <w:tblPr>
        <w:tblStyle w:val="89"/>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2"/>
        <w:gridCol w:w="2441"/>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92"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系统类别</w:t>
            </w:r>
          </w:p>
        </w:tc>
        <w:tc>
          <w:tcPr>
            <w:tcW w:w="244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系统工作压力</w:t>
            </w:r>
          </w:p>
        </w:tc>
        <w:tc>
          <w:tcPr>
            <w:tcW w:w="33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密封要求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292"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低压系统</w:t>
            </w:r>
          </w:p>
        </w:tc>
        <w:tc>
          <w:tcPr>
            <w:tcW w:w="244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P≤500Pa</w:t>
            </w:r>
          </w:p>
        </w:tc>
        <w:tc>
          <w:tcPr>
            <w:tcW w:w="33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接缝和接连管处严密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292"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中压系统</w:t>
            </w:r>
          </w:p>
        </w:tc>
        <w:tc>
          <w:tcPr>
            <w:tcW w:w="244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500＜P≤1500Pa</w:t>
            </w:r>
          </w:p>
        </w:tc>
        <w:tc>
          <w:tcPr>
            <w:tcW w:w="33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增加密封装置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92"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高压系统</w:t>
            </w:r>
          </w:p>
        </w:tc>
        <w:tc>
          <w:tcPr>
            <w:tcW w:w="244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P＞1500Pa</w:t>
            </w:r>
          </w:p>
        </w:tc>
        <w:tc>
          <w:tcPr>
            <w:tcW w:w="33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全部采取密封措施</w:t>
            </w:r>
          </w:p>
        </w:tc>
      </w:tr>
    </w:tbl>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5.1.4．风管风管支吊架最大间距</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风管支吊架最大间距(m)</w:t>
      </w:r>
    </w:p>
    <w:tbl>
      <w:tblPr>
        <w:tblStyle w:val="89"/>
        <w:tblW w:w="89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683"/>
        <w:gridCol w:w="810"/>
        <w:gridCol w:w="808"/>
        <w:gridCol w:w="710"/>
        <w:gridCol w:w="641"/>
        <w:gridCol w:w="668"/>
        <w:gridCol w:w="683"/>
        <w:gridCol w:w="716"/>
        <w:gridCol w:w="716"/>
        <w:gridCol w:w="6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1853"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公称直径(mm)</w:t>
            </w:r>
          </w:p>
        </w:tc>
        <w:tc>
          <w:tcPr>
            <w:tcW w:w="683"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810"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250</w:t>
            </w:r>
          </w:p>
        </w:tc>
        <w:tc>
          <w:tcPr>
            <w:tcW w:w="808"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w:t>
            </w:r>
          </w:p>
        </w:tc>
        <w:tc>
          <w:tcPr>
            <w:tcW w:w="710"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360</w:t>
            </w:r>
          </w:p>
        </w:tc>
        <w:tc>
          <w:tcPr>
            <w:tcW w:w="641"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668"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450</w:t>
            </w:r>
          </w:p>
        </w:tc>
        <w:tc>
          <w:tcPr>
            <w:tcW w:w="683"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716"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560</w:t>
            </w:r>
          </w:p>
        </w:tc>
        <w:tc>
          <w:tcPr>
            <w:tcW w:w="716"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w:t>
            </w:r>
          </w:p>
        </w:tc>
        <w:tc>
          <w:tcPr>
            <w:tcW w:w="683" w:type="dxa"/>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853"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支撑距离</w:t>
            </w:r>
          </w:p>
        </w:tc>
        <w:tc>
          <w:tcPr>
            <w:tcW w:w="683"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810"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808"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710"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641"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668"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683"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716"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716"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683" w:type="dxa"/>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r>
    </w:tbl>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5.2、风管质量的基本要求</w:t>
      </w:r>
    </w:p>
    <w:p>
      <w:pPr>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风管必须通过工艺性的检测或验证，其强度和严密性要求应符合设计或下列规定：</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5.2.1 风管的强度应能满足在1.5倍工作压力下接缝处无开裂；</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5.2.2 矩形风管的允许漏风量应符合以下规定：</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a、低压系统风管 ＱL≤0.1056P0.65</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 中压系统风管 QM≤0.0352P0.65</w:t>
      </w:r>
    </w:p>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5.3、风管安装的技术要求</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5.3.1.与有振动设备连接时应加装软接（帆布或塑料布）；</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5.3.2.风管穿墙体和楼板时要加金属套管保护，其钢板厚度应小于1．6mm，风管同金属套管之间应有5~10mm的间隙。风管与防护套管之间，应用不燃且对人体无危害的柔性材料封堵；</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5.3.3.风管连接时法兰之间应垫入厚为</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10mm的软PEF棉，并粘贴好；</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5.3.4.风管的连接长度，应按风管的壁厚、法兰与风管的连接方法、安装的结构部位和吊装方法等因素决定。为了安装方便，尽量在地面上进行连接，(直线段)一般可接至10～12 m长左右。在风管连接时，不允许将可拆卸的接口装设在墙内；</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5.3.5.除风管制作保证其平整外，在安装过程仍要保证风管的平整，并防止在交叉施工中受到破坏。明装水平风管安装后的不水平度的允许偏差为每米不应大于5 mm；总偏差不应大于30 mm。明装垂直风管安装后不垂直度的允许偏差为每米不应大于5 mm；总偏差不应大于30 mm。</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5.3.6.风管沿墙敷设时，管壁到墙面至少保留100 mm的距离，以便于拧法兰螺栓；</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5.3.7.风管内不得敷设电线、电缆，风机控制线在风管外沿风管敷设；</w:t>
      </w:r>
    </w:p>
    <w:p>
      <w:pPr>
        <w:spacing w:line="400" w:lineRule="exact"/>
        <w:ind w:left="239" w:leftChars="11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5.3.8.风管与部件吊架的膨胀螺栓位置应正确、牢固可靠，采用膨胀螺栓固定吊架时，必须根据所承受的负荷认真选用膨胀螺栓；</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5.3.9.对于相同管径的吊架应等距离排列，但不能将吊架位置设置在风口、风阀、检视门及测定孔等部位；吊杆不宜直接固定在法兰上。</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5.3．10.风管支撑距离不得低于国标(GB50234－97)；</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5.3．11.支、吊架上的螺孔应采用机械加工，不得用气割开孔；</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5.3．12.靠墙安装的垂直风管应用斜撑支架，不靠墙、柱穿楼板安装的垂直风管采用抱箍支架；</w:t>
      </w:r>
    </w:p>
    <w:p>
      <w:pPr>
        <w:spacing w:line="40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5.3．13.水平风管支吊架的吊杆应平直，螺纹应完整、光洁。</w:t>
      </w:r>
    </w:p>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5.4、风阀安装的技术要求</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5.4.1.风管与阀门联接直线段采取地面组装，风阀安装前应做动作试验和性能进行检测，联接完毕对表面进行清洁，并关闭阀门，严防尘土杂物入内。</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5.4.2.调节阀（止回阀）安装时，方向位置应正确；安装后再做动作试验，其阀板的启闭应灵活，动作应可靠。</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5.4.3.手动单叶片或多叶片调节风阀的手轮或扳手，应以顺时针方向转动为关闭，其调节范围及开启角度指示应与叶片开启角度相一致。</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5.4.4.电动、气动调节风阀的驱动装置，动作应可靠，在最大工作压力下工作正常。</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5.4.5.防火阀和排烟阀（排烟口）必须符合有关消防产品标准的规定，并具有相应的产品合格证明文件。</w:t>
      </w:r>
    </w:p>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5.6、风机安装</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5.6.1．所有排风机要求安装在室内风机房、屋顶或一楼地面。</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5.6.2．风机的砼基础要求水平、坚固，且基础高度≥150mm。</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5.6.3．风机与风管采用帆布软管（柔性材料且不燃烧）连接，长度为150 mm~300mm。为保证帆布软管在系统运转过程中不扭曲，应安装的松紧适度。对于装在风机吸入端的帆布软管，可安装稍紧些，防止风机运转时被吸入；</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5.6.4.风机的钢支架必须固定在混凝土基础上，对功率超过0.75kw的风机其钢支架与基础之间必须增加橡胶减振垫。全部风机及电动机组件都安装在整块的钢支架上，钢架安装在减振垫上，减振垫最好用多孔型橡胶板。减振垫的布置尽量对称于设备的主惯性轴，或布置在设备重心的平面内，以使各减振器受力均匀，变形量相等。</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5.6.5．风机出口的风管管径只能变大、不能变小，出风口要安装杂物网，偏向上出风时须增加风雨帽。</w:t>
      </w:r>
    </w:p>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5.7、电气系统施工技术要求</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5.7.1．暗敷线管工艺要求</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①暗敷线管宜沿最近的路线敷设，尽量减少弯曲，与建筑物、构筑物表面的距离不应小于15mm。</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②暗敷线管不宜穿过设备或建筑物、构筑物的基础，当必须穿过时，应采取保护措施。</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③暗敷线管弯曲半径不宜小于外径的6倍，当埋设于地下或混凝土内时，，弯曲半径不应小于管外径的10倍。</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④当线管长超过15m时，采用线盒连接。</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⑤电线管连接采用螺纹连接，管端螺纹长度不应小于管接头长度的1/2；连接后，其螺纹外露2～3扣，螺纹表面应光滑、无缺损；线管与线盒(箱)采用螺纹连接。</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2．明敷线管工艺要求</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①敷设前应按设计图纸、标准图规定的敷设方式，加工好各种支架、吊架等金属支持件。</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②配管前先按设计图纸确定好配电设备、各种箱、盒及用电设备安装位置，并将箱、盒与建筑物固定牢固。</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③明敷管路应横平竖直，顺线路的垂直和水平位置进行弹线定位，并应注意管路与其它管路相互间位置及最小距离。测量出吊架、支架等固定点的具体位置和距离。</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④沿建筑物表面敷设的明管，使用管卡子均匀固定，固定点间距离为1米</w:t>
      </w:r>
      <w:r>
        <w:rPr>
          <w:rFonts w:hint="eastAsia" w:asciiTheme="minorEastAsia" w:hAnsiTheme="minorEastAsia" w:eastAsiaTheme="minorEastAsia" w:cstheme="minorEastAsia"/>
          <w:bCs/>
          <w:color w:val="auto"/>
          <w:sz w:val="21"/>
          <w:szCs w:val="21"/>
          <w:highlight w:val="none"/>
        </w:rPr>
        <w:t>（±10%）</w:t>
      </w:r>
      <w:r>
        <w:rPr>
          <w:rFonts w:hint="eastAsia" w:asciiTheme="minorEastAsia" w:hAnsiTheme="minorEastAsia" w:eastAsiaTheme="minorEastAsia" w:cstheme="minorEastAsia"/>
          <w:color w:val="auto"/>
          <w:sz w:val="21"/>
          <w:szCs w:val="21"/>
          <w:highlight w:val="none"/>
        </w:rPr>
        <w:t>。管卡子的固定采用胀管法。</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明管的支（吊）架安装，对于多根明管或较粗的明管可采用支（吊）架安装，采用支（吊）架安装时应先固定好两端的支（吊）架，再拉通线固定中间支（吊）架。支(吊)架下料和钻孔采用机械法，不允许气割下料。</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⑥明配管的管与管、管与盒（箱）的连接采用丝扣连接，连接处须用螺丝套管索头(杯臣)连接，并在接头两端设置跨接线，严禁采用焊接跨接，应使用专用的跨接线卡固定，跨接线芯不小于2.5mm2。</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⑦明配管在通过建筑物伸缩缝和沉降缝应做补偿措施。用摇表测试相间、相对地的绝缘电阻值并作好记录。</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3．控制箱安装工艺要求</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①安装位置正确、部件齐全，箱体开孔合适、切口整齐。</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②导线一管一孔顺直进入箱内，露出长度应小于5mm；用锁紧螺母固定的管口，管子露出锁紧螺母的螺纹为2～4扣。</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③箱背后建筑物表面无空鼓和裂缝现象；箱体内外清洁。箱、门开启灵活，箱内结线整齐，回路编号齐全、正确。箱体油漆完整。管子与箱体连接用专用锁紧螺母。</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钢管与箱体用锁紧螺母连接，并用跨接线卡连接进度跨接线。</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④盘面上电器控制回路的下方，要设好标志牌，标明所控制的回路名称编号。</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⑤导线与电器必须元件的压接螺丝牢固，压线方向正确。所有二次线必须排列整齐美观、安全可靠，导线两端应带有明显标志和编号的标号头。导线的色别按相序依次为黄、绿、红色，保护接地为黄绿相间色。</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⑥接线位置正确，连接牢固紧密，不伤芯线。压板压接时，压紧无松动；螺栓连接时，在同一端子上导线不超过2根，防松垫圈等配件齐全。零线经汇流排（零线端子）连接，无绞接现象。</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⑦导线在箱内余量适当，进入器具的绝缘保护完好，盘面配线整齐、美观；回路编号齐全、正确。</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⑧配线时根据设计要求及有关规范要求，选好导线的截面和长度，剪断后接线配线。盘前盘后配线应成把成束排列整齐、美观，安全可靠，采用线卡固定。压头时，将导线剥出芯线逐个压牢。</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⑨接地（接零）线截面选用正确，有专用的接地螺栓，连接紧密牢固，走向合理，色标准确，检修方便。</w:t>
      </w:r>
    </w:p>
    <w:p>
      <w:pPr>
        <w:tabs>
          <w:tab w:val="right" w:pos="180"/>
        </w:tabs>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drawing>
          <wp:anchor distT="0" distB="0" distL="114300" distR="114300" simplePos="0" relativeHeight="251660288" behindDoc="1" locked="1" layoutInCell="1" allowOverlap="1">
            <wp:simplePos x="0" y="0"/>
            <wp:positionH relativeFrom="column">
              <wp:posOffset>520700</wp:posOffset>
            </wp:positionH>
            <wp:positionV relativeFrom="paragraph">
              <wp:posOffset>1320800</wp:posOffset>
            </wp:positionV>
            <wp:extent cx="1117600" cy="355600"/>
            <wp:effectExtent l="0" t="0" r="6350" b="6350"/>
            <wp:wrapNone/>
            <wp:docPr id="412" name="图片 1495"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1495" descr="88"/>
                    <pic:cNvPicPr>
                      <a:picLocks noChangeAspect="1" noChangeArrowheads="1"/>
                    </pic:cNvPicPr>
                  </pic:nvPicPr>
                  <pic:blipFill>
                    <a:blip r:embed="rId15"/>
                    <a:srcRect/>
                    <a:stretch>
                      <a:fillRect/>
                    </a:stretch>
                  </pic:blipFill>
                  <pic:spPr>
                    <a:xfrm>
                      <a:off x="0" y="0"/>
                      <a:ext cx="1117600" cy="3556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color w:val="auto"/>
          <w:sz w:val="21"/>
          <w:szCs w:val="21"/>
          <w:highlight w:val="none"/>
        </w:rPr>
        <w:t>5.8、排风风管（PP材质风管）制作及安装方案</w:t>
      </w:r>
    </w:p>
    <w:p>
      <w:pPr>
        <w:spacing w:line="400" w:lineRule="exact"/>
        <w:ind w:firstLine="392" w:firstLineChars="18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本工排风风管全部使用PP材质风管。PP材质风管厚度按设计规范要求。</w:t>
      </w:r>
    </w:p>
    <w:p>
      <w:pPr>
        <w:spacing w:line="400" w:lineRule="exact"/>
        <w:ind w:firstLine="392" w:firstLineChars="187"/>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71552" behindDoc="1" locked="0" layoutInCell="1" allowOverlap="1">
            <wp:simplePos x="0" y="0"/>
            <wp:positionH relativeFrom="column">
              <wp:posOffset>386715</wp:posOffset>
            </wp:positionH>
            <wp:positionV relativeFrom="paragraph">
              <wp:posOffset>252730</wp:posOffset>
            </wp:positionV>
            <wp:extent cx="5249545" cy="1649730"/>
            <wp:effectExtent l="0" t="0" r="8255" b="7620"/>
            <wp:wrapTight wrapText="bothSides">
              <wp:wrapPolygon>
                <wp:start x="0" y="0"/>
                <wp:lineTo x="0" y="21450"/>
                <wp:lineTo x="21556" y="21450"/>
                <wp:lineTo x="2155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249545" cy="1649730"/>
                    </a:xfrm>
                    <a:prstGeom prst="rect">
                      <a:avLst/>
                    </a:prstGeom>
                    <a:noFill/>
                    <a:ln>
                      <a:noFill/>
                    </a:ln>
                  </pic:spPr>
                </pic:pic>
              </a:graphicData>
            </a:graphic>
          </wp:anchor>
        </w:drawing>
      </w:r>
      <w:r>
        <w:rPr>
          <w:rFonts w:hint="eastAsia" w:asciiTheme="minorEastAsia" w:hAnsiTheme="minorEastAsia" w:eastAsiaTheme="minorEastAsia" w:cstheme="minorEastAsia"/>
          <w:b/>
          <w:color w:val="auto"/>
          <w:sz w:val="21"/>
          <w:szCs w:val="21"/>
          <w:highlight w:val="none"/>
        </w:rPr>
        <w:t>5.8.1、PP材质风管制作要求规范：</w:t>
      </w: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表1.1.2-2   PP材质塑料板矩形风管板材厚度及外边长允许偏差（mm）</w:t>
      </w:r>
    </w:p>
    <w:tbl>
      <w:tblPr>
        <w:tblStyle w:val="89"/>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302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风管大边b</w:t>
            </w:r>
          </w:p>
        </w:tc>
        <w:tc>
          <w:tcPr>
            <w:tcW w:w="30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w:t>
            </w:r>
          </w:p>
        </w:tc>
        <w:tc>
          <w:tcPr>
            <w:tcW w:w="2363"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外边长允许偏差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b≤320</w:t>
            </w:r>
          </w:p>
        </w:tc>
        <w:tc>
          <w:tcPr>
            <w:tcW w:w="30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363"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≤500</w:t>
            </w:r>
          </w:p>
        </w:tc>
        <w:tc>
          <w:tcPr>
            <w:tcW w:w="30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363"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≤800</w:t>
            </w:r>
          </w:p>
        </w:tc>
        <w:tc>
          <w:tcPr>
            <w:tcW w:w="30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363"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≤1250</w:t>
            </w:r>
          </w:p>
        </w:tc>
        <w:tc>
          <w:tcPr>
            <w:tcW w:w="30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363"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7"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≤2000</w:t>
            </w:r>
          </w:p>
        </w:tc>
        <w:tc>
          <w:tcPr>
            <w:tcW w:w="30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363"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bl>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风管板材连接采用焊接时，其焊缝形式、焊缝坡口尺寸及使用范围应符合表1.1.3的规定。焊缝应饱满，焊条排列应整齐，不得出现焦黄、断裂等缺陷；焊缝强度不得低于母材的60％。</w:t>
      </w:r>
    </w:p>
    <w:p>
      <w:pPr>
        <w:spacing w:line="400" w:lineRule="exact"/>
        <w:ind w:firstLine="210" w:firstLineChars="10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表1.1.3    </w:t>
      </w:r>
      <w:r>
        <w:rPr>
          <w:rFonts w:hint="eastAsia" w:asciiTheme="minorEastAsia" w:hAnsiTheme="minorEastAsia" w:eastAsiaTheme="minorEastAsia" w:cstheme="minorEastAsia"/>
          <w:color w:val="auto"/>
          <w:sz w:val="21"/>
          <w:szCs w:val="21"/>
          <w:highlight w:val="none"/>
        </w:rPr>
        <w:t>PP材质塑料板连接的</w:t>
      </w:r>
      <w:r>
        <w:rPr>
          <w:rFonts w:hint="eastAsia" w:asciiTheme="minorEastAsia" w:hAnsiTheme="minorEastAsia" w:eastAsiaTheme="minorEastAsia" w:cstheme="minorEastAsia"/>
          <w:bCs/>
          <w:color w:val="auto"/>
          <w:sz w:val="21"/>
          <w:szCs w:val="21"/>
          <w:highlight w:val="none"/>
        </w:rPr>
        <w:t>焊缝形式坡口尺寸及使用范围</w:t>
      </w:r>
    </w:p>
    <w:tbl>
      <w:tblPr>
        <w:tblStyle w:val="89"/>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211"/>
        <w:gridCol w:w="1101"/>
        <w:gridCol w:w="1358"/>
        <w:gridCol w:w="1268"/>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焊缝形式</w:t>
            </w:r>
          </w:p>
        </w:tc>
        <w:tc>
          <w:tcPr>
            <w:tcW w:w="121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图形</w:t>
            </w:r>
          </w:p>
        </w:tc>
        <w:tc>
          <w:tcPr>
            <w:tcW w:w="11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焊缝高度</w:t>
            </w:r>
          </w:p>
        </w:tc>
        <w:tc>
          <w:tcPr>
            <w:tcW w:w="1358"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板材厚度（mm）</w:t>
            </w:r>
          </w:p>
        </w:tc>
        <w:tc>
          <w:tcPr>
            <w:tcW w:w="126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焊缝张角（αº）</w:t>
            </w:r>
          </w:p>
        </w:tc>
        <w:tc>
          <w:tcPr>
            <w:tcW w:w="254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使用范围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909"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V形对接焊缝</w:t>
            </w:r>
          </w:p>
        </w:tc>
        <w:tc>
          <w:tcPr>
            <w:tcW w:w="1211"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6432" behindDoc="0" locked="0" layoutInCell="1" allowOverlap="1">
                  <wp:simplePos x="0" y="0"/>
                  <wp:positionH relativeFrom="column">
                    <wp:posOffset>121285</wp:posOffset>
                  </wp:positionH>
                  <wp:positionV relativeFrom="paragraph">
                    <wp:posOffset>13970</wp:posOffset>
                  </wp:positionV>
                  <wp:extent cx="553085" cy="537845"/>
                  <wp:effectExtent l="0" t="0" r="18415" b="14605"/>
                  <wp:wrapNone/>
                  <wp:docPr id="417" name="图片 149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1496" descr="1"/>
                          <pic:cNvPicPr>
                            <a:picLocks noChangeAspect="1" noChangeArrowheads="1"/>
                          </pic:cNvPicPr>
                        </pic:nvPicPr>
                        <pic:blipFill>
                          <a:blip r:embed="rId17"/>
                          <a:srcRect/>
                          <a:stretch>
                            <a:fillRect/>
                          </a:stretch>
                        </pic:blipFill>
                        <pic:spPr>
                          <a:xfrm>
                            <a:off x="0" y="0"/>
                            <a:ext cx="553085" cy="537845"/>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1268"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单面焊的小风管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X形对接焊缝</w:t>
            </w:r>
          </w:p>
        </w:tc>
        <w:tc>
          <w:tcPr>
            <w:tcW w:w="1211"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7456" behindDoc="0" locked="0" layoutInCell="1" allowOverlap="1">
                  <wp:simplePos x="0" y="0"/>
                  <wp:positionH relativeFrom="column">
                    <wp:posOffset>120015</wp:posOffset>
                  </wp:positionH>
                  <wp:positionV relativeFrom="paragraph">
                    <wp:posOffset>13970</wp:posOffset>
                  </wp:positionV>
                  <wp:extent cx="560705" cy="545465"/>
                  <wp:effectExtent l="0" t="0" r="10795" b="6985"/>
                  <wp:wrapNone/>
                  <wp:docPr id="418" name="图片 149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1497" descr="3"/>
                          <pic:cNvPicPr>
                            <a:picLocks noChangeAspect="1" noChangeArrowheads="1"/>
                          </pic:cNvPicPr>
                        </pic:nvPicPr>
                        <pic:blipFill>
                          <a:blip r:embed="rId18"/>
                          <a:srcRect/>
                          <a:stretch>
                            <a:fillRect/>
                          </a:stretch>
                        </pic:blipFill>
                        <pic:spPr>
                          <a:xfrm>
                            <a:off x="0" y="0"/>
                            <a:ext cx="560705" cy="545465"/>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26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风管法兰及厚板的拼接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搭接焊缝</w:t>
            </w:r>
          </w:p>
        </w:tc>
        <w:tc>
          <w:tcPr>
            <w:tcW w:w="1211"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8480" behindDoc="0" locked="0" layoutInCell="1" allowOverlap="1">
                  <wp:simplePos x="0" y="0"/>
                  <wp:positionH relativeFrom="column">
                    <wp:posOffset>6985</wp:posOffset>
                  </wp:positionH>
                  <wp:positionV relativeFrom="paragraph">
                    <wp:posOffset>52070</wp:posOffset>
                  </wp:positionV>
                  <wp:extent cx="711835" cy="422910"/>
                  <wp:effectExtent l="0" t="0" r="12065" b="15240"/>
                  <wp:wrapNone/>
                  <wp:docPr id="419" name="图片 149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1498" descr="4"/>
                          <pic:cNvPicPr>
                            <a:picLocks noChangeAspect="1" noChangeArrowheads="1"/>
                          </pic:cNvPicPr>
                        </pic:nvPicPr>
                        <pic:blipFill>
                          <a:blip r:embed="rId19"/>
                          <a:srcRect/>
                          <a:stretch>
                            <a:fillRect/>
                          </a:stretch>
                        </pic:blipFill>
                        <pic:spPr>
                          <a:xfrm>
                            <a:off x="0" y="0"/>
                            <a:ext cx="711835" cy="422910"/>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≥最小板厚</w:t>
            </w:r>
          </w:p>
        </w:tc>
        <w:tc>
          <w:tcPr>
            <w:tcW w:w="135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3～10</w:t>
            </w:r>
          </w:p>
        </w:tc>
        <w:tc>
          <w:tcPr>
            <w:tcW w:w="126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49" w:type="dxa"/>
            <w:vMerge w:val="restart"/>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风管和配件的加固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909" w:type="dxa"/>
            <w:vMerge w:val="restart"/>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角焊缝（无坡口）</w:t>
            </w:r>
          </w:p>
        </w:tc>
        <w:tc>
          <w:tcPr>
            <w:tcW w:w="1211"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4384" behindDoc="0" locked="0" layoutInCell="1" allowOverlap="1">
                  <wp:simplePos x="0" y="0"/>
                  <wp:positionH relativeFrom="column">
                    <wp:posOffset>160020</wp:posOffset>
                  </wp:positionH>
                  <wp:positionV relativeFrom="paragraph">
                    <wp:posOffset>77470</wp:posOffset>
                  </wp:positionV>
                  <wp:extent cx="452755" cy="337820"/>
                  <wp:effectExtent l="0" t="0" r="4445" b="5080"/>
                  <wp:wrapNone/>
                  <wp:docPr id="420" name="图片 149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1499" descr="5"/>
                          <pic:cNvPicPr>
                            <a:picLocks noChangeAspect="1" noChangeArrowheads="1"/>
                          </pic:cNvPicPr>
                        </pic:nvPicPr>
                        <pic:blipFill>
                          <a:blip r:embed="rId20" cstate="print"/>
                          <a:srcRect/>
                          <a:stretch>
                            <a:fillRect/>
                          </a:stretch>
                        </pic:blipFill>
                        <pic:spPr>
                          <a:xfrm>
                            <a:off x="0" y="0"/>
                            <a:ext cx="452755" cy="337820"/>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6～18</w:t>
            </w:r>
          </w:p>
        </w:tc>
        <w:tc>
          <w:tcPr>
            <w:tcW w:w="126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49" w:type="dxa"/>
            <w:vMerge w:val="continue"/>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909" w:type="dxa"/>
            <w:vMerge w:val="continue"/>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211"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5408" behindDoc="0" locked="0" layoutInCell="1" allowOverlap="1">
                  <wp:simplePos x="0" y="0"/>
                  <wp:positionH relativeFrom="column">
                    <wp:posOffset>264795</wp:posOffset>
                  </wp:positionH>
                  <wp:positionV relativeFrom="paragraph">
                    <wp:posOffset>10160</wp:posOffset>
                  </wp:positionV>
                  <wp:extent cx="452755" cy="419100"/>
                  <wp:effectExtent l="0" t="0" r="4445" b="0"/>
                  <wp:wrapNone/>
                  <wp:docPr id="421" name="图片 150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1500" descr="6"/>
                          <pic:cNvPicPr>
                            <a:picLocks noChangeAspect="1" noChangeArrowheads="1"/>
                          </pic:cNvPicPr>
                        </pic:nvPicPr>
                        <pic:blipFill>
                          <a:blip r:embed="rId21" cstate="print"/>
                          <a:srcRect/>
                          <a:stretch>
                            <a:fillRect/>
                          </a:stretch>
                        </pic:blipFill>
                        <pic:spPr>
                          <a:xfrm>
                            <a:off x="0" y="0"/>
                            <a:ext cx="452755" cy="419100"/>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≥最小板厚</w:t>
            </w:r>
          </w:p>
        </w:tc>
        <w:tc>
          <w:tcPr>
            <w:tcW w:w="135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26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549"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风管配件的角焊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0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V形单面角焊缝</w:t>
            </w:r>
          </w:p>
        </w:tc>
        <w:tc>
          <w:tcPr>
            <w:tcW w:w="1211"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9504" behindDoc="0" locked="0" layoutInCell="1" allowOverlap="1">
                  <wp:simplePos x="0" y="0"/>
                  <wp:positionH relativeFrom="column">
                    <wp:posOffset>38735</wp:posOffset>
                  </wp:positionH>
                  <wp:positionV relativeFrom="paragraph">
                    <wp:posOffset>33020</wp:posOffset>
                  </wp:positionV>
                  <wp:extent cx="690880" cy="429895"/>
                  <wp:effectExtent l="0" t="0" r="13970" b="8255"/>
                  <wp:wrapNone/>
                  <wp:docPr id="422" name="图片 150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1501" descr="7"/>
                          <pic:cNvPicPr>
                            <a:picLocks noChangeAspect="1" noChangeArrowheads="1"/>
                          </pic:cNvPicPr>
                        </pic:nvPicPr>
                        <pic:blipFill>
                          <a:blip r:embed="rId22"/>
                          <a:srcRect/>
                          <a:stretch>
                            <a:fillRect/>
                          </a:stretch>
                        </pic:blipFill>
                        <pic:spPr>
                          <a:xfrm>
                            <a:off x="0" y="0"/>
                            <a:ext cx="690880" cy="429895"/>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p>
        </w:tc>
        <w:tc>
          <w:tcPr>
            <w:tcW w:w="1268"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风管角部焊接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909"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V形双面角焊缝</w:t>
            </w:r>
          </w:p>
        </w:tc>
        <w:tc>
          <w:tcPr>
            <w:tcW w:w="1211"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70528" behindDoc="0" locked="0" layoutInCell="1" allowOverlap="1">
                  <wp:simplePos x="0" y="0"/>
                  <wp:positionH relativeFrom="column">
                    <wp:posOffset>148590</wp:posOffset>
                  </wp:positionH>
                  <wp:positionV relativeFrom="paragraph">
                    <wp:posOffset>34925</wp:posOffset>
                  </wp:positionV>
                  <wp:extent cx="532130" cy="508635"/>
                  <wp:effectExtent l="0" t="0" r="1270" b="5715"/>
                  <wp:wrapNone/>
                  <wp:docPr id="423" name="图片 150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1502" descr="9"/>
                          <pic:cNvPicPr>
                            <a:picLocks noChangeAspect="1" noChangeArrowheads="1"/>
                          </pic:cNvPicPr>
                        </pic:nvPicPr>
                        <pic:blipFill>
                          <a:blip r:embed="rId23"/>
                          <a:srcRect/>
                          <a:stretch>
                            <a:fillRect/>
                          </a:stretch>
                        </pic:blipFill>
                        <pic:spPr>
                          <a:xfrm>
                            <a:off x="0" y="0"/>
                            <a:ext cx="532130" cy="508635"/>
                          </a:xfrm>
                          <a:prstGeom prst="rect">
                            <a:avLst/>
                          </a:prstGeom>
                          <a:noFill/>
                          <a:ln w="9525">
                            <a:noFill/>
                            <a:miter lim="800000"/>
                            <a:headEnd/>
                            <a:tailEnd/>
                          </a:ln>
                        </pic:spPr>
                      </pic:pic>
                    </a:graphicData>
                  </a:graphic>
                </wp:anchor>
              </w:drawing>
            </w:r>
          </w:p>
          <w:p>
            <w:pPr>
              <w:spacing w:line="400" w:lineRule="exact"/>
              <w:jc w:val="center"/>
              <w:rPr>
                <w:rFonts w:hint="eastAsia" w:asciiTheme="minorEastAsia" w:hAnsiTheme="minorEastAsia" w:eastAsiaTheme="minorEastAsia" w:cstheme="minorEastAsia"/>
                <w:color w:val="auto"/>
                <w:sz w:val="21"/>
                <w:szCs w:val="21"/>
                <w:highlight w:val="none"/>
              </w:rPr>
            </w:pPr>
          </w:p>
        </w:tc>
        <w:tc>
          <w:tcPr>
            <w:tcW w:w="1101"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358"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6～15</w:t>
            </w:r>
          </w:p>
        </w:tc>
        <w:tc>
          <w:tcPr>
            <w:tcW w:w="1268"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70～90</w:t>
            </w:r>
          </w:p>
        </w:tc>
        <w:tc>
          <w:tcPr>
            <w:tcW w:w="2549"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厚壁风管角部焊接</w:t>
            </w:r>
          </w:p>
        </w:tc>
      </w:tr>
    </w:tbl>
    <w:p>
      <w:pPr>
        <w:spacing w:line="400" w:lineRule="exact"/>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）矩形风管的四角可采用煨角或焊接连接的方法。当采用煨角时，纵向焊缝距煨角处宜大于80mm。</w:t>
      </w:r>
    </w:p>
    <w:p>
      <w:pPr>
        <w:spacing w:line="400" w:lineRule="exact"/>
        <w:ind w:firstLine="105" w:firstLineChars="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5）圆形、矩形风管的法兰规格应符合表1.1.5-1表1.1.5-2的规定。</w:t>
      </w: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表1.1.5-1   PP材质塑料板圆形风管法兰规格</w:t>
      </w:r>
    </w:p>
    <w:tbl>
      <w:tblPr>
        <w:tblStyle w:val="8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1620"/>
        <w:gridCol w:w="10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风管直径D（mm）</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法兰宽×厚（mm）</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法兰孔径（mm）</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螺孔数</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D≤180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35×6</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r>
              <w:rPr>
                <w:rFonts w:hint="eastAsia" w:asciiTheme="minorEastAsia" w:hAnsiTheme="minorEastAsia" w:eastAsiaTheme="minorEastAsia" w:cstheme="minorEastAsia"/>
                <w:bCs/>
                <w:color w:val="auto"/>
                <w:sz w:val="21"/>
                <w:szCs w:val="21"/>
                <w:highlight w:val="none"/>
              </w:rPr>
              <w:t>（±10%）</w:t>
            </w:r>
          </w:p>
        </w:tc>
        <w:tc>
          <w:tcPr>
            <w:tcW w:w="1080" w:type="dxa"/>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180＜D≤400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35×8</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rPr>
              <w:t>（±10%）</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8～12</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400＜D≤500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35×10</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rPr>
              <w:t>（±10%）</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12～14</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500＜D≤800 </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40×10</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rPr>
              <w:t>（±10%）</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16～22</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800＜D≤1400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45×12</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24～38</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1400＜D≤1600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50×15</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40～44</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1600＜D≤2000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60×15</w:t>
            </w:r>
            <w:r>
              <w:rPr>
                <w:rFonts w:hint="eastAsia" w:asciiTheme="minorEastAsia" w:hAnsiTheme="minorEastAsia" w:eastAsiaTheme="minorEastAsia" w:cstheme="minorEastAsia"/>
                <w:bCs/>
                <w:color w:val="auto"/>
                <w:sz w:val="21"/>
                <w:szCs w:val="21"/>
                <w:highlight w:val="none"/>
              </w:rPr>
              <w:t>（±10%）</w:t>
            </w:r>
          </w:p>
        </w:tc>
        <w:tc>
          <w:tcPr>
            <w:tcW w:w="162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0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46～48</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D＞2000</w:t>
            </w:r>
          </w:p>
        </w:tc>
        <w:tc>
          <w:tcPr>
            <w:tcW w:w="6360" w:type="dxa"/>
            <w:gridSpan w:val="4"/>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按设计</w:t>
            </w:r>
          </w:p>
        </w:tc>
      </w:tr>
    </w:tbl>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表1.1.5-2  PP材质塑料板矩形风管法兰规格（mm）</w:t>
      </w:r>
    </w:p>
    <w:tbl>
      <w:tblPr>
        <w:tblStyle w:val="8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800"/>
        <w:gridCol w:w="1452"/>
        <w:gridCol w:w="1248"/>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法兰宽厚</w:t>
            </w:r>
          </w:p>
        </w:tc>
        <w:tc>
          <w:tcPr>
            <w:tcW w:w="1452"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法兰孔径</w:t>
            </w:r>
          </w:p>
        </w:tc>
        <w:tc>
          <w:tcPr>
            <w:tcW w:w="1248"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螺孔间距</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连接螺栓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35×6</w:t>
            </w:r>
            <w:r>
              <w:rPr>
                <w:rFonts w:hint="eastAsia" w:asciiTheme="minorEastAsia" w:hAnsiTheme="minorEastAsia" w:eastAsiaTheme="minorEastAsia" w:cstheme="minorEastAsia"/>
                <w:bCs/>
                <w:color w:val="auto"/>
                <w:sz w:val="21"/>
                <w:szCs w:val="21"/>
                <w:highlight w:val="none"/>
              </w:rPr>
              <w:t>（±10%）</w:t>
            </w:r>
          </w:p>
        </w:tc>
        <w:tc>
          <w:tcPr>
            <w:tcW w:w="1452"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r>
              <w:rPr>
                <w:rFonts w:hint="eastAsia" w:asciiTheme="minorEastAsia" w:hAnsiTheme="minorEastAsia" w:eastAsiaTheme="minorEastAsia" w:cstheme="minorEastAsia"/>
                <w:bCs/>
                <w:color w:val="auto"/>
                <w:sz w:val="21"/>
                <w:szCs w:val="21"/>
                <w:highlight w:val="none"/>
              </w:rPr>
              <w:t>（±10%）</w:t>
            </w:r>
          </w:p>
        </w:tc>
        <w:tc>
          <w:tcPr>
            <w:tcW w:w="1248" w:type="dxa"/>
            <w:vMerge w:val="restart"/>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w:t>
            </w:r>
          </w:p>
        </w:tc>
        <w:tc>
          <w:tcPr>
            <w:tcW w:w="186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≤400</w:t>
            </w:r>
          </w:p>
        </w:tc>
        <w:tc>
          <w:tcPr>
            <w:tcW w:w="180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35×8</w:t>
            </w:r>
            <w:r>
              <w:rPr>
                <w:rFonts w:hint="eastAsia" w:asciiTheme="minorEastAsia" w:hAnsiTheme="minorEastAsia" w:eastAsiaTheme="minorEastAsia" w:cstheme="minorEastAsia"/>
                <w:bCs/>
                <w:color w:val="auto"/>
                <w:sz w:val="21"/>
                <w:szCs w:val="21"/>
                <w:highlight w:val="none"/>
              </w:rPr>
              <w:t>（±10%）</w:t>
            </w:r>
          </w:p>
        </w:tc>
        <w:tc>
          <w:tcPr>
            <w:tcW w:w="1452" w:type="dxa"/>
            <w:tcBorders>
              <w:bottom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rPr>
              <w:t>（±10%）</w:t>
            </w:r>
          </w:p>
        </w:tc>
        <w:tc>
          <w:tcPr>
            <w:tcW w:w="1248" w:type="dxa"/>
            <w:vMerge w:val="continue"/>
            <w:tcBorders>
              <w:bottom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860" w:type="dxa"/>
            <w:tcBorders>
              <w:bottom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≤500</w:t>
            </w:r>
          </w:p>
        </w:tc>
        <w:tc>
          <w:tcPr>
            <w:tcW w:w="1800" w:type="dxa"/>
            <w:tcBorders>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35×10</w:t>
            </w:r>
            <w:r>
              <w:rPr>
                <w:rFonts w:hint="eastAsia" w:asciiTheme="minorEastAsia" w:hAnsiTheme="minorEastAsia" w:eastAsiaTheme="minorEastAsia" w:cstheme="minorEastAsia"/>
                <w:bCs/>
                <w:color w:val="auto"/>
                <w:sz w:val="21"/>
                <w:szCs w:val="21"/>
                <w:highlight w:val="none"/>
              </w:rPr>
              <w:t>（±10%）</w:t>
            </w:r>
          </w:p>
        </w:tc>
        <w:tc>
          <w:tcPr>
            <w:tcW w:w="145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w:t>
            </w:r>
            <w:r>
              <w:rPr>
                <w:rFonts w:hint="eastAsia" w:asciiTheme="minorEastAsia" w:hAnsiTheme="minorEastAsia" w:eastAsiaTheme="minorEastAsia" w:cstheme="minorEastAsia"/>
                <w:bCs/>
                <w:color w:val="auto"/>
                <w:sz w:val="21"/>
                <w:szCs w:val="21"/>
                <w:highlight w:val="none"/>
              </w:rPr>
              <w:t>（±10%）</w:t>
            </w:r>
          </w:p>
        </w:tc>
        <w:tc>
          <w:tcPr>
            <w:tcW w:w="1248" w:type="dxa"/>
            <w:vMerge w:val="restart"/>
            <w:tcBorders>
              <w:top w:val="single" w:color="auto" w:sz="4" w:space="0"/>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p>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≤120</w:t>
            </w:r>
          </w:p>
        </w:tc>
        <w:tc>
          <w:tcPr>
            <w:tcW w:w="18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Borders>
              <w:bottom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≤800</w:t>
            </w:r>
          </w:p>
        </w:tc>
        <w:tc>
          <w:tcPr>
            <w:tcW w:w="1800" w:type="dxa"/>
            <w:tcBorders>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40×10</w:t>
            </w:r>
            <w:r>
              <w:rPr>
                <w:rFonts w:hint="eastAsia" w:asciiTheme="minorEastAsia" w:hAnsiTheme="minorEastAsia" w:eastAsiaTheme="minorEastAsia" w:cstheme="minorEastAsia"/>
                <w:bCs/>
                <w:color w:val="auto"/>
                <w:sz w:val="21"/>
                <w:szCs w:val="21"/>
                <w:highlight w:val="none"/>
              </w:rPr>
              <w:t>（±10%）</w:t>
            </w:r>
          </w:p>
        </w:tc>
        <w:tc>
          <w:tcPr>
            <w:tcW w:w="145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248" w:type="dxa"/>
            <w:vMerge w:val="continue"/>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≤1250</w:t>
            </w: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45×12</w:t>
            </w:r>
            <w:r>
              <w:rPr>
                <w:rFonts w:hint="eastAsia" w:asciiTheme="minorEastAsia" w:hAnsiTheme="minorEastAsia" w:eastAsiaTheme="minorEastAsia" w:cstheme="minorEastAsia"/>
                <w:bCs/>
                <w:color w:val="auto"/>
                <w:sz w:val="21"/>
                <w:szCs w:val="21"/>
                <w:highlight w:val="none"/>
              </w:rPr>
              <w:t>（±10%）</w:t>
            </w:r>
          </w:p>
        </w:tc>
        <w:tc>
          <w:tcPr>
            <w:tcW w:w="145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248" w:type="dxa"/>
            <w:vMerge w:val="continue"/>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≤1600</w:t>
            </w: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50×15</w:t>
            </w:r>
            <w:r>
              <w:rPr>
                <w:rFonts w:hint="eastAsia" w:asciiTheme="minorEastAsia" w:hAnsiTheme="minorEastAsia" w:eastAsiaTheme="minorEastAsia" w:cstheme="minorEastAsia"/>
                <w:bCs/>
                <w:color w:val="auto"/>
                <w:sz w:val="21"/>
                <w:szCs w:val="21"/>
                <w:highlight w:val="none"/>
              </w:rPr>
              <w:t>（±10%）</w:t>
            </w:r>
          </w:p>
        </w:tc>
        <w:tc>
          <w:tcPr>
            <w:tcW w:w="145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248" w:type="dxa"/>
            <w:vMerge w:val="continue"/>
            <w:tcBorders>
              <w:left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4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1601＜</w:t>
            </w:r>
            <w:r>
              <w:rPr>
                <w:rFonts w:hint="eastAsia" w:asciiTheme="minorEastAsia" w:hAnsiTheme="minorEastAsia" w:eastAsiaTheme="minorEastAsia" w:cstheme="minorEastAsia"/>
                <w:color w:val="auto"/>
                <w:spacing w:val="-12"/>
                <w:sz w:val="21"/>
                <w:szCs w:val="21"/>
                <w:highlight w:val="none"/>
              </w:rPr>
              <w:t>b</w:t>
            </w:r>
            <w:r>
              <w:rPr>
                <w:rFonts w:hint="eastAsia" w:asciiTheme="minorEastAsia" w:hAnsiTheme="minorEastAsia" w:eastAsiaTheme="minorEastAsia" w:cstheme="minorEastAsia"/>
                <w:color w:val="auto"/>
                <w:sz w:val="21"/>
                <w:szCs w:val="21"/>
                <w:highlight w:val="none"/>
              </w:rPr>
              <w:t>≤2000</w:t>
            </w:r>
          </w:p>
        </w:tc>
        <w:tc>
          <w:tcPr>
            <w:tcW w:w="180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60×18</w:t>
            </w:r>
            <w:r>
              <w:rPr>
                <w:rFonts w:hint="eastAsia" w:asciiTheme="minorEastAsia" w:hAnsiTheme="minorEastAsia" w:eastAsiaTheme="minorEastAsia" w:cstheme="minorEastAsia"/>
                <w:bCs/>
                <w:color w:val="auto"/>
                <w:sz w:val="21"/>
                <w:szCs w:val="21"/>
                <w:highlight w:val="none"/>
              </w:rPr>
              <w:t>（±10%）</w:t>
            </w:r>
          </w:p>
        </w:tc>
        <w:tc>
          <w:tcPr>
            <w:tcW w:w="145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11.5</w:t>
            </w:r>
            <w:r>
              <w:rPr>
                <w:rFonts w:hint="eastAsia" w:asciiTheme="minorEastAsia" w:hAnsiTheme="minorEastAsia" w:eastAsiaTheme="minorEastAsia" w:cstheme="minorEastAsia"/>
                <w:bCs/>
                <w:color w:val="auto"/>
                <w:sz w:val="21"/>
                <w:szCs w:val="21"/>
                <w:highlight w:val="none"/>
              </w:rPr>
              <w:t>（±10%）</w:t>
            </w:r>
          </w:p>
        </w:tc>
        <w:tc>
          <w:tcPr>
            <w:tcW w:w="1248" w:type="dxa"/>
            <w:vMerge w:val="continue"/>
            <w:tcBorders>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186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M10</w:t>
            </w:r>
          </w:p>
        </w:tc>
      </w:tr>
    </w:tbl>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6）风管与法兰的连接应采用焊接，法兰端面应应垂直于风管轴线。风管直径或边长大于500mm时，风管与法兰的连接处宜加三角支撑加强板，加强板间距不得大于450mm，且应均匀设置。</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7）风管长边大于或等于630mm、煨角成形边长大于或等于800mm或管段长度大于1200mm时，均应采取加固框或加固筋等加固措施，并以焊接固定。加固框的规格宜与法兰相同。</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）风管两端面应平行，无明显扭曲；表面应平整、圆弧均匀、凸凹不应大于5mm。</w:t>
      </w:r>
    </w:p>
    <w:p>
      <w:pPr>
        <w:spacing w:line="400" w:lineRule="exact"/>
        <w:ind w:firstLine="413" w:firstLineChars="196"/>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5.8.2、</w:t>
      </w:r>
      <w:r>
        <w:rPr>
          <w:rFonts w:hint="eastAsia" w:asciiTheme="minorEastAsia" w:hAnsiTheme="minorEastAsia" w:eastAsiaTheme="minorEastAsia" w:cstheme="minorEastAsia"/>
          <w:color w:val="auto"/>
          <w:sz w:val="21"/>
          <w:szCs w:val="21"/>
          <w:highlight w:val="none"/>
        </w:rPr>
        <w:t>P</w:t>
      </w:r>
      <w:r>
        <w:rPr>
          <w:rFonts w:hint="eastAsia" w:asciiTheme="minorEastAsia" w:hAnsiTheme="minorEastAsia" w:eastAsiaTheme="minorEastAsia" w:cstheme="minorEastAsia"/>
          <w:b/>
          <w:color w:val="auto"/>
          <w:sz w:val="21"/>
          <w:szCs w:val="21"/>
          <w:highlight w:val="none"/>
        </w:rPr>
        <w:t>P材质塑料板风管施工工艺</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范围</w:t>
      </w:r>
    </w:p>
    <w:p>
      <w:pPr>
        <w:adjustRightInd w:val="0"/>
        <w:spacing w:line="400" w:lineRule="exact"/>
        <w:ind w:right="2" w:rightChars="1"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本节内容适用于PP材质塑料板风管、管件的制作与安装。</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 施工准备</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2.1 </w:t>
      </w:r>
      <w:r>
        <w:rPr>
          <w:rFonts w:hint="eastAsia" w:asciiTheme="minorEastAsia" w:hAnsiTheme="minorEastAsia" w:eastAsiaTheme="minorEastAsia" w:cstheme="minorEastAsia"/>
          <w:color w:val="auto"/>
          <w:sz w:val="21"/>
          <w:szCs w:val="21"/>
          <w:highlight w:val="none"/>
        </w:rPr>
        <w:t xml:space="preserve"> 材料要求</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  制作风管、部件及法兰的PP材质塑料板具有出厂合格证书或质量鉴定文件。</w:t>
      </w:r>
      <w:r>
        <w:rPr>
          <w:rFonts w:hint="eastAsia" w:asciiTheme="minorEastAsia" w:hAnsiTheme="minorEastAsia" w:eastAsiaTheme="minorEastAsia" w:cstheme="minorEastAsia"/>
          <w:snapToGrid w:val="0"/>
          <w:color w:val="auto"/>
          <w:sz w:val="21"/>
          <w:szCs w:val="21"/>
          <w:highlight w:val="none"/>
        </w:rPr>
        <w:t>进场时应对品种、规格、外观等进行验收，并经监理工程师签认。</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  塑料板材的表面应平整，不得含有气泡、裂缝；板材的厚薄应均匀，无离层等现象。</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  设计没有明确要求时，制作风管及配件的塑料板厚度应符合表2.1.3的规定。</w:t>
      </w:r>
    </w:p>
    <w:p>
      <w:pPr>
        <w:adjustRightInd w:val="0"/>
        <w:spacing w:line="400" w:lineRule="exact"/>
        <w:ind w:right="2" w:rightChars="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表2.1.3      风管和配件板材厚度（mm）</w:t>
      </w:r>
    </w:p>
    <w:tbl>
      <w:tblPr>
        <w:tblStyle w:val="89"/>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34"/>
        <w:gridCol w:w="222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94" w:type="dxa"/>
            <w:gridSpan w:val="2"/>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圆  形  风  管</w:t>
            </w:r>
          </w:p>
        </w:tc>
        <w:tc>
          <w:tcPr>
            <w:tcW w:w="4209" w:type="dxa"/>
            <w:gridSpan w:val="2"/>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矩  形  风  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风管直径D（mm）</w:t>
            </w:r>
          </w:p>
        </w:tc>
        <w:tc>
          <w:tcPr>
            <w:tcW w:w="2234"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板材厚度（mm）</w:t>
            </w:r>
          </w:p>
        </w:tc>
        <w:tc>
          <w:tcPr>
            <w:tcW w:w="2229"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风管大边b（mm）</w:t>
            </w:r>
          </w:p>
        </w:tc>
        <w:tc>
          <w:tcPr>
            <w:tcW w:w="19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板材厚度（mm）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D≤320</w:t>
            </w:r>
          </w:p>
        </w:tc>
        <w:tc>
          <w:tcPr>
            <w:tcW w:w="2234"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2229"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b≤320</w:t>
            </w:r>
          </w:p>
        </w:tc>
        <w:tc>
          <w:tcPr>
            <w:tcW w:w="19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320＜D≤630</w:t>
            </w:r>
          </w:p>
        </w:tc>
        <w:tc>
          <w:tcPr>
            <w:tcW w:w="2234"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2229"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320＜b≤500</w:t>
            </w:r>
          </w:p>
        </w:tc>
        <w:tc>
          <w:tcPr>
            <w:tcW w:w="19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630＜D≤1000</w:t>
            </w:r>
          </w:p>
        </w:tc>
        <w:tc>
          <w:tcPr>
            <w:tcW w:w="2234"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2229"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500＜b≤800</w:t>
            </w:r>
          </w:p>
        </w:tc>
        <w:tc>
          <w:tcPr>
            <w:tcW w:w="19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1000＜D≤2000</w:t>
            </w:r>
          </w:p>
        </w:tc>
        <w:tc>
          <w:tcPr>
            <w:tcW w:w="2234"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2229"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800＜b≤1250</w:t>
            </w:r>
          </w:p>
        </w:tc>
        <w:tc>
          <w:tcPr>
            <w:tcW w:w="19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34"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229"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1250＜b≤2000</w:t>
            </w:r>
          </w:p>
        </w:tc>
        <w:tc>
          <w:tcPr>
            <w:tcW w:w="19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w:t>
            </w:r>
          </w:p>
        </w:tc>
      </w:tr>
    </w:tbl>
    <w:p>
      <w:pPr>
        <w:adjustRightInd w:val="0"/>
        <w:spacing w:line="400" w:lineRule="exact"/>
        <w:ind w:right="2" w:rightChars="1" w:firstLine="42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2.1.4  其它辅助材料如卡架、螺栓等应符合相关质量要求，并满足使用要求。</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2.2</w:t>
      </w:r>
      <w:r>
        <w:rPr>
          <w:rFonts w:hint="eastAsia" w:asciiTheme="minorEastAsia" w:hAnsiTheme="minorEastAsia" w:eastAsiaTheme="minorEastAsia" w:cstheme="minorEastAsia"/>
          <w:color w:val="auto"/>
          <w:sz w:val="21"/>
          <w:szCs w:val="21"/>
          <w:highlight w:val="none"/>
        </w:rPr>
        <w:t xml:space="preserve">  主要施工机具</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机械：割板机、锯床、圆盘锯、电热烘箱、管式电热器、空气压缩机、砂轮机、坡口机等。</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  工具：木工锯、钢丝锯、鸡尾锯、手用电动曲线锯、木工刨、电热焊枪、各类胎模等。</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  量具及其他：钢板尺、钢卷尺、角尺、量角器、划规、划线笔等。</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2.3 </w:t>
      </w:r>
      <w:r>
        <w:rPr>
          <w:rFonts w:hint="eastAsia" w:asciiTheme="minorEastAsia" w:hAnsiTheme="minorEastAsia" w:eastAsiaTheme="minorEastAsia" w:cstheme="minorEastAsia"/>
          <w:color w:val="auto"/>
          <w:sz w:val="21"/>
          <w:szCs w:val="21"/>
          <w:highlight w:val="none"/>
        </w:rPr>
        <w:t xml:space="preserve"> 作业条件</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  加工现场应宽敞、明亮、洁净、地面平整、不潮湿，且有可靠的防风、雨、雪的设施。</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  作业地点要有相应加工工艺的机具、设施、电源、安全防护装置和消防器材等。</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2.3.3  风管制作应具有批准的设计图纸，经审查的大样图、系统图，并有施工员书面的技术、质量、安全交底材料。</w:t>
      </w:r>
    </w:p>
    <w:p>
      <w:pPr>
        <w:topLinePunct/>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2.3.4  建筑结构施工完毕，风管预留埋件、孔洞尺寸位置正确。</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操作工艺</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drawing>
          <wp:anchor distT="0" distB="0" distL="114300" distR="114300" simplePos="0" relativeHeight="251662336" behindDoc="1" locked="1" layoutInCell="1" allowOverlap="1">
            <wp:simplePos x="0" y="0"/>
            <wp:positionH relativeFrom="column">
              <wp:posOffset>4889500</wp:posOffset>
            </wp:positionH>
            <wp:positionV relativeFrom="paragraph">
              <wp:posOffset>9461500</wp:posOffset>
            </wp:positionV>
            <wp:extent cx="520700" cy="495300"/>
            <wp:effectExtent l="0" t="0" r="12700" b="0"/>
            <wp:wrapNone/>
            <wp:docPr id="424" name="图片 150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1503" descr="38"/>
                    <pic:cNvPicPr>
                      <a:picLocks noChangeAspect="1" noChangeArrowheads="1"/>
                    </pic:cNvPicPr>
                  </pic:nvPicPr>
                  <pic:blipFill>
                    <a:blip r:embed="rId24"/>
                    <a:srcRect/>
                    <a:stretch>
                      <a:fillRect/>
                    </a:stretch>
                  </pic:blipFill>
                  <pic:spPr>
                    <a:xfrm>
                      <a:off x="0" y="0"/>
                      <a:ext cx="520700" cy="4953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b/>
          <w:color w:val="auto"/>
          <w:sz w:val="21"/>
          <w:szCs w:val="21"/>
          <w:highlight w:val="none"/>
        </w:rPr>
        <w:t>3.1</w:t>
      </w:r>
      <w:r>
        <w:rPr>
          <w:rFonts w:hint="eastAsia" w:asciiTheme="minorEastAsia" w:hAnsiTheme="minorEastAsia" w:eastAsiaTheme="minorEastAsia" w:cstheme="minorEastAsia"/>
          <w:color w:val="auto"/>
          <w:sz w:val="21"/>
          <w:szCs w:val="21"/>
          <w:highlight w:val="none"/>
        </w:rPr>
        <w:t xml:space="preserve">  工艺流程</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3.1.1风管制作</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51767808" behindDoc="0" locked="0" layoutInCell="1" allowOverlap="1">
                <wp:simplePos x="0" y="0"/>
                <wp:positionH relativeFrom="column">
                  <wp:posOffset>76200</wp:posOffset>
                </wp:positionH>
                <wp:positionV relativeFrom="paragraph">
                  <wp:posOffset>32385</wp:posOffset>
                </wp:positionV>
                <wp:extent cx="5809615" cy="297815"/>
                <wp:effectExtent l="4445" t="5080" r="5715" b="11430"/>
                <wp:wrapNone/>
                <wp:docPr id="24" name="组合 64"/>
                <wp:cNvGraphicFramePr/>
                <a:graphic xmlns:a="http://schemas.openxmlformats.org/drawingml/2006/main">
                  <a:graphicData uri="http://schemas.microsoft.com/office/word/2010/wordprocessingGroup">
                    <wpg:wgp>
                      <wpg:cNvGrpSpPr/>
                      <wpg:grpSpPr>
                        <a:xfrm>
                          <a:off x="0" y="0"/>
                          <a:ext cx="5809615" cy="297815"/>
                          <a:chOff x="1538" y="2785"/>
                          <a:chExt cx="9149" cy="469"/>
                        </a:xfrm>
                      </wpg:grpSpPr>
                      <wps:wsp>
                        <wps:cNvPr id="11" name="直线 65"/>
                        <wps:cNvCnPr/>
                        <wps:spPr>
                          <a:xfrm flipV="1">
                            <a:off x="2331" y="2989"/>
                            <a:ext cx="375" cy="0"/>
                          </a:xfrm>
                          <a:prstGeom prst="line">
                            <a:avLst/>
                          </a:prstGeom>
                          <a:ln w="9525" cap="flat" cmpd="sng">
                            <a:solidFill>
                              <a:srgbClr val="000000"/>
                            </a:solidFill>
                            <a:prstDash val="solid"/>
                            <a:headEnd type="none" w="med" len="med"/>
                            <a:tailEnd type="triangle" w="med" len="med"/>
                          </a:ln>
                        </wps:spPr>
                        <wps:bodyPr upright="1"/>
                      </wps:wsp>
                      <wps:wsp>
                        <wps:cNvPr id="12" name="文本框 66"/>
                        <wps:cNvSpPr txBox="1"/>
                        <wps:spPr>
                          <a:xfrm>
                            <a:off x="9817" y="2813"/>
                            <a:ext cx="87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检验</w:t>
                              </w:r>
                            </w:p>
                          </w:txbxContent>
                        </wps:txbx>
                        <wps:bodyPr upright="1"/>
                      </wps:wsp>
                      <wps:wsp>
                        <wps:cNvPr id="13" name="文本框 67"/>
                        <wps:cNvSpPr txBox="1"/>
                        <wps:spPr>
                          <a:xfrm>
                            <a:off x="8365" y="2812"/>
                            <a:ext cx="106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Ansi="宋体"/>
                                </w:rPr>
                                <w:t>法兰制作</w:t>
                              </w:r>
                            </w:p>
                          </w:txbxContent>
                        </wps:txbx>
                        <wps:bodyPr upright="1"/>
                      </wps:wsp>
                      <wps:wsp>
                        <wps:cNvPr id="14" name="文本框 68"/>
                        <wps:cNvSpPr txBox="1"/>
                        <wps:spPr>
                          <a:xfrm>
                            <a:off x="1538" y="2819"/>
                            <a:ext cx="807"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领料</w:t>
                              </w:r>
                            </w:p>
                            <w:p/>
                          </w:txbxContent>
                        </wps:txbx>
                        <wps:bodyPr upright="1"/>
                      </wps:wsp>
                      <wps:wsp>
                        <wps:cNvPr id="15" name="文本框 69"/>
                        <wps:cNvSpPr txBox="1"/>
                        <wps:spPr>
                          <a:xfrm>
                            <a:off x="6198" y="2786"/>
                            <a:ext cx="1742"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加热、焊接成形</w:t>
                              </w:r>
                            </w:p>
                          </w:txbxContent>
                        </wps:txbx>
                        <wps:bodyPr upright="1"/>
                      </wps:wsp>
                      <wps:wsp>
                        <wps:cNvPr id="16" name="文本框 70"/>
                        <wps:cNvSpPr txBox="1"/>
                        <wps:spPr>
                          <a:xfrm>
                            <a:off x="4446" y="2785"/>
                            <a:ext cx="1359"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下料、切割</w:t>
                              </w:r>
                            </w:p>
                          </w:txbxContent>
                        </wps:txbx>
                        <wps:bodyPr upright="1"/>
                      </wps:wsp>
                      <wps:wsp>
                        <wps:cNvPr id="17" name="文本框 71"/>
                        <wps:cNvSpPr txBox="1"/>
                        <wps:spPr>
                          <a:xfrm>
                            <a:off x="2764" y="2786"/>
                            <a:ext cx="122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板材划线</w:t>
                              </w:r>
                            </w:p>
                          </w:txbxContent>
                        </wps:txbx>
                        <wps:bodyPr upright="1"/>
                      </wps:wsp>
                      <wps:wsp>
                        <wps:cNvPr id="18" name="直线 72"/>
                        <wps:cNvCnPr/>
                        <wps:spPr>
                          <a:xfrm flipV="1">
                            <a:off x="4028" y="2989"/>
                            <a:ext cx="375" cy="0"/>
                          </a:xfrm>
                          <a:prstGeom prst="line">
                            <a:avLst/>
                          </a:prstGeom>
                          <a:ln w="9525" cap="flat" cmpd="sng">
                            <a:solidFill>
                              <a:srgbClr val="000000"/>
                            </a:solidFill>
                            <a:prstDash val="solid"/>
                            <a:headEnd type="none" w="med" len="med"/>
                            <a:tailEnd type="triangle" w="med" len="med"/>
                          </a:ln>
                        </wps:spPr>
                        <wps:bodyPr upright="1"/>
                      </wps:wsp>
                      <wps:wsp>
                        <wps:cNvPr id="19" name="直线 73"/>
                        <wps:cNvCnPr/>
                        <wps:spPr>
                          <a:xfrm flipV="1">
                            <a:off x="5805" y="2989"/>
                            <a:ext cx="375" cy="0"/>
                          </a:xfrm>
                          <a:prstGeom prst="line">
                            <a:avLst/>
                          </a:prstGeom>
                          <a:ln w="9525" cap="flat" cmpd="sng">
                            <a:solidFill>
                              <a:srgbClr val="000000"/>
                            </a:solidFill>
                            <a:prstDash val="solid"/>
                            <a:headEnd type="none" w="med" len="med"/>
                            <a:tailEnd type="triangle" w="med" len="med"/>
                          </a:ln>
                        </wps:spPr>
                        <wps:bodyPr upright="1"/>
                      </wps:wsp>
                      <wps:wsp>
                        <wps:cNvPr id="20" name="直线 74"/>
                        <wps:cNvCnPr/>
                        <wps:spPr>
                          <a:xfrm flipV="1">
                            <a:off x="7940" y="2989"/>
                            <a:ext cx="375" cy="0"/>
                          </a:xfrm>
                          <a:prstGeom prst="line">
                            <a:avLst/>
                          </a:prstGeom>
                          <a:ln w="9525" cap="flat" cmpd="sng">
                            <a:solidFill>
                              <a:srgbClr val="000000"/>
                            </a:solidFill>
                            <a:prstDash val="solid"/>
                            <a:headEnd type="none" w="med" len="med"/>
                            <a:tailEnd type="triangle" w="med" len="med"/>
                          </a:ln>
                        </wps:spPr>
                        <wps:bodyPr upright="1"/>
                      </wps:wsp>
                      <wps:wsp>
                        <wps:cNvPr id="23" name="直线 75"/>
                        <wps:cNvCnPr/>
                        <wps:spPr>
                          <a:xfrm flipV="1">
                            <a:off x="9425" y="2989"/>
                            <a:ext cx="375"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64" o:spid="_x0000_s1026" o:spt="203" style="position:absolute;left:0pt;margin-left:6pt;margin-top:2.55pt;height:23.45pt;width:457.45pt;z-index:251767808;mso-width-relative:page;mso-height-relative:page;" coordorigin="1538,2785" coordsize="9149,469" o:gfxdata="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4415WtUAAAAHAQAADwAAAAAAAAABACAA&#10;AAAiAAAAZHJzL2Rvd25yZXYueG1sUEsBAhQAFAAAAAgAh07iQApb4BXYAwAAJhsAAA4AAAAAAAAA&#10;AQAgAAAAJAEAAGRycy9lMm9Eb2MueG1sUEsFBgAAAAAGAAYAWQEAAG4HAAAAAA==&#10;">
                <o:lock v:ext="edit" aspectratio="f"/>
                <v:line id="直线 65" o:spid="_x0000_s1026" o:spt="20" style="position:absolute;left:2331;top:2989;flip:y;height:0;width:375;"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66" o:spid="_x0000_s1026" o:spt="202" type="#_x0000_t202" style="position:absolute;left:9817;top:2813;height:435;width:87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检验</w:t>
                        </w:r>
                      </w:p>
                    </w:txbxContent>
                  </v:textbox>
                </v:shape>
                <v:shape id="文本框 67" o:spid="_x0000_s1026" o:spt="202" type="#_x0000_t202" style="position:absolute;left:8365;top:2812;height:435;width:106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Ansi="宋体"/>
                          </w:rPr>
                          <w:t>法兰制作</w:t>
                        </w:r>
                      </w:p>
                    </w:txbxContent>
                  </v:textbox>
                </v:shape>
                <v:shape id="文本框 68" o:spid="_x0000_s1026" o:spt="202" type="#_x0000_t202" style="position:absolute;left:1538;top:2819;height:435;width:807;"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领料</w:t>
                        </w:r>
                      </w:p>
                      <w:p/>
                    </w:txbxContent>
                  </v:textbox>
                </v:shape>
                <v:shape id="文本框 69" o:spid="_x0000_s1026" o:spt="202" type="#_x0000_t202" style="position:absolute;left:6198;top:2786;height:462;width:1742;"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加热、焊接成形</w:t>
                        </w:r>
                      </w:p>
                    </w:txbxContent>
                  </v:textbox>
                </v:shape>
                <v:shape id="文本框 70" o:spid="_x0000_s1026" o:spt="202" type="#_x0000_t202" style="position:absolute;left:4446;top:2785;height:462;width:135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下料、切割</w:t>
                        </w:r>
                      </w:p>
                    </w:txbxContent>
                  </v:textbox>
                </v:shape>
                <v:shape id="文本框 71" o:spid="_x0000_s1026" o:spt="202" type="#_x0000_t202" style="position:absolute;left:2764;top:2786;height:435;width:122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板材划线</w:t>
                        </w:r>
                      </w:p>
                    </w:txbxContent>
                  </v:textbox>
                </v:shape>
                <v:line id="直线 72" o:spid="_x0000_s1026" o:spt="20" style="position:absolute;left:4028;top:2989;flip:y;height:0;width:375;" filled="f" stroked="t" coordsize="21600,21600" o:gfxdata="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W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73" o:spid="_x0000_s1026" o:spt="20" style="position:absolute;left:5805;top:2989;flip:y;height:0;width:375;" filled="f" stroked="t" coordsize="21600,21600" o:gfxdata="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Ic+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74" o:spid="_x0000_s1026" o:spt="20" style="position:absolute;left:7940;top:2989;flip:y;height:0;width:375;" filled="f" stroked="t" coordsize="21600,21600" o:gfxdata="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4Q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75" o:spid="_x0000_s1026" o:spt="20" style="position:absolute;left:9425;top:2989;flip:y;height:0;width:375;" filled="f" stroked="t" coordsize="21600,21600" o:gfxdata="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Mjr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 风管安装</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51752448" behindDoc="0" locked="0" layoutInCell="1" allowOverlap="1">
                <wp:simplePos x="0" y="0"/>
                <wp:positionH relativeFrom="column">
                  <wp:posOffset>865505</wp:posOffset>
                </wp:positionH>
                <wp:positionV relativeFrom="paragraph">
                  <wp:posOffset>70485</wp:posOffset>
                </wp:positionV>
                <wp:extent cx="4648200" cy="316230"/>
                <wp:effectExtent l="4445" t="4445" r="5080" b="12700"/>
                <wp:wrapNone/>
                <wp:docPr id="10" name="组合 76"/>
                <wp:cNvGraphicFramePr/>
                <a:graphic xmlns:a="http://schemas.openxmlformats.org/drawingml/2006/main">
                  <a:graphicData uri="http://schemas.microsoft.com/office/word/2010/wordprocessingGroup">
                    <wpg:wgp>
                      <wpg:cNvGrpSpPr/>
                      <wpg:grpSpPr>
                        <a:xfrm>
                          <a:off x="0" y="0"/>
                          <a:ext cx="4648200" cy="316230"/>
                          <a:chOff x="2781" y="3645"/>
                          <a:chExt cx="7320" cy="498"/>
                        </a:xfrm>
                      </wpg:grpSpPr>
                      <wps:wsp>
                        <wps:cNvPr id="3" name="文本框 77"/>
                        <wps:cNvSpPr txBox="1"/>
                        <wps:spPr>
                          <a:xfrm>
                            <a:off x="8946" y="3656"/>
                            <a:ext cx="115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检验</w:t>
                              </w:r>
                            </w:p>
                          </w:txbxContent>
                        </wps:txbx>
                        <wps:bodyPr upright="1"/>
                      </wps:wsp>
                      <wps:wsp>
                        <wps:cNvPr id="4" name="直线 78"/>
                        <wps:cNvCnPr/>
                        <wps:spPr>
                          <a:xfrm flipV="1">
                            <a:off x="8406" y="3937"/>
                            <a:ext cx="375" cy="0"/>
                          </a:xfrm>
                          <a:prstGeom prst="line">
                            <a:avLst/>
                          </a:prstGeom>
                          <a:ln w="9525" cap="flat" cmpd="sng">
                            <a:solidFill>
                              <a:srgbClr val="000000"/>
                            </a:solidFill>
                            <a:prstDash val="solid"/>
                            <a:headEnd type="none" w="med" len="med"/>
                            <a:tailEnd type="triangle" w="med" len="med"/>
                          </a:ln>
                        </wps:spPr>
                        <wps:bodyPr upright="1"/>
                      </wps:wsp>
                      <wps:wsp>
                        <wps:cNvPr id="5" name="直线 79"/>
                        <wps:cNvCnPr/>
                        <wps:spPr>
                          <a:xfrm flipV="1">
                            <a:off x="6606" y="3945"/>
                            <a:ext cx="375" cy="0"/>
                          </a:xfrm>
                          <a:prstGeom prst="line">
                            <a:avLst/>
                          </a:prstGeom>
                          <a:ln w="9525" cap="flat" cmpd="sng">
                            <a:solidFill>
                              <a:srgbClr val="000000"/>
                            </a:solidFill>
                            <a:prstDash val="solid"/>
                            <a:headEnd type="none" w="med" len="med"/>
                            <a:tailEnd type="triangle" w="med" len="med"/>
                          </a:ln>
                        </wps:spPr>
                        <wps:bodyPr upright="1"/>
                      </wps:wsp>
                      <wps:wsp>
                        <wps:cNvPr id="6" name="文本框 80"/>
                        <wps:cNvSpPr txBox="1"/>
                        <wps:spPr>
                          <a:xfrm>
                            <a:off x="4941" y="3645"/>
                            <a:ext cx="151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设置支、吊点</w:t>
                              </w:r>
                            </w:p>
                          </w:txbxContent>
                        </wps:txbx>
                        <wps:bodyPr upright="1"/>
                      </wps:wsp>
                      <wps:wsp>
                        <wps:cNvPr id="7" name="直线 81"/>
                        <wps:cNvCnPr/>
                        <wps:spPr>
                          <a:xfrm flipV="1">
                            <a:off x="4446" y="3915"/>
                            <a:ext cx="375" cy="0"/>
                          </a:xfrm>
                          <a:prstGeom prst="line">
                            <a:avLst/>
                          </a:prstGeom>
                          <a:ln w="9525" cap="flat" cmpd="sng">
                            <a:solidFill>
                              <a:srgbClr val="000000"/>
                            </a:solidFill>
                            <a:prstDash val="solid"/>
                            <a:headEnd type="none" w="med" len="med"/>
                            <a:tailEnd type="triangle" w="med" len="med"/>
                          </a:ln>
                        </wps:spPr>
                        <wps:bodyPr upright="1"/>
                      </wps:wsp>
                      <wps:wsp>
                        <wps:cNvPr id="8" name="文本框 82"/>
                        <wps:cNvSpPr txBox="1"/>
                        <wps:spPr>
                          <a:xfrm>
                            <a:off x="2781" y="3675"/>
                            <a:ext cx="151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支、吊架制作</w:t>
                              </w:r>
                            </w:p>
                          </w:txbxContent>
                        </wps:txbx>
                        <wps:bodyPr upright="1"/>
                      </wps:wsp>
                      <wps:wsp>
                        <wps:cNvPr id="9" name="文本框 83"/>
                        <wps:cNvSpPr txBox="1"/>
                        <wps:spPr>
                          <a:xfrm>
                            <a:off x="7133" y="3660"/>
                            <a:ext cx="115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风管连接</w:t>
                              </w:r>
                            </w:p>
                          </w:txbxContent>
                        </wps:txbx>
                        <wps:bodyPr upright="1"/>
                      </wps:wsp>
                    </wpg:wgp>
                  </a:graphicData>
                </a:graphic>
              </wp:anchor>
            </w:drawing>
          </mc:Choice>
          <mc:Fallback>
            <w:pict>
              <v:group id="组合 76" o:spid="_x0000_s1026" o:spt="203" style="position:absolute;left:0pt;margin-left:68.15pt;margin-top:5.55pt;height:24.9pt;width:366pt;z-index:251752448;mso-width-relative:page;mso-height-relative:page;" coordorigin="2781,3645" coordsize="7320,498" o:gfxdata="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DaMMmDYAAAACQEAAA8AAAAAAAAAAQAg&#10;AAAAIgAAAGRycy9kb3ducmV2LnhtbFBLAQIUABQAAAAIAIdO4kDsp1jQZAMAAE8SAAAOAAAAAAAA&#10;AAEAIAAAACcBAABkcnMvZTJvRG9jLnhtbFBLBQYAAAAABgAGAFkBAAD9BgAAAAA=&#10;">
                <o:lock v:ext="edit" aspectratio="f"/>
                <v:shape id="文本框 77" o:spid="_x0000_s1026" o:spt="202" type="#_x0000_t202" style="position:absolute;left:8946;top:3656;height:468;width:115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检验</w:t>
                        </w:r>
                      </w:p>
                    </w:txbxContent>
                  </v:textbox>
                </v:shape>
                <v:line id="直线 78" o:spid="_x0000_s1026" o:spt="20" style="position:absolute;left:8406;top:3937;flip:y;height:0;width:375;" filled="f" stroked="t" coordsize="21600,21600" o:gfxdata="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CNd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79" o:spid="_x0000_s1026" o:spt="20" style="position:absolute;left:6606;top:3945;flip:y;height:0;width:375;"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80" o:spid="_x0000_s1026" o:spt="202" type="#_x0000_t202" style="position:absolute;left:4941;top:3645;height:468;width:151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设置支、吊点</w:t>
                        </w:r>
                      </w:p>
                    </w:txbxContent>
                  </v:textbox>
                </v:shape>
                <v:line id="直线 81" o:spid="_x0000_s1026" o:spt="20" style="position:absolute;left:4446;top:3915;flip:y;height:0;width:375;" filled="f" stroked="t" coordsize="21600,21600" o:gfxdata="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IT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82" o:spid="_x0000_s1026" o:spt="202" type="#_x0000_t202" style="position:absolute;left:2781;top:3675;height:468;width:1515;"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支、吊架制作</w:t>
                        </w:r>
                      </w:p>
                    </w:txbxContent>
                  </v:textbox>
                </v:shape>
                <v:shape id="文本框 83" o:spid="_x0000_s1026" o:spt="202" type="#_x0000_t202" style="position:absolute;left:7133;top:3660;height:468;width:115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风管连接</w:t>
                        </w:r>
                      </w:p>
                    </w:txbxContent>
                  </v:textbox>
                </v:shape>
              </v:group>
            </w:pict>
          </mc:Fallback>
        </mc:AlternateContent>
      </w:r>
    </w:p>
    <w:p>
      <w:pPr>
        <w:adjustRightInd w:val="0"/>
        <w:spacing w:line="400" w:lineRule="exact"/>
        <w:ind w:right="2" w:rightChars="1"/>
        <w:rPr>
          <w:rFonts w:hint="eastAsia" w:asciiTheme="minorEastAsia" w:hAnsiTheme="minorEastAsia" w:eastAsiaTheme="minorEastAsia" w:cstheme="minorEastAsia"/>
          <w:color w:val="auto"/>
          <w:sz w:val="21"/>
          <w:szCs w:val="21"/>
          <w:highlight w:val="none"/>
        </w:rPr>
      </w:pP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PP材质风管的安装与金属风管安装基本相同，在安装时还应符合以下各项要求。</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3.1.3  风管支吊架制作、设置、安装</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( 1 ) PP材质风管支、吊架要求应符合表3.9.1的规定。</w:t>
      </w:r>
    </w:p>
    <w:p>
      <w:pPr>
        <w:adjustRightInd w:val="0"/>
        <w:spacing w:line="400" w:lineRule="exact"/>
        <w:ind w:right="2" w:rightChars="1" w:firstLine="420" w:firstLineChars="2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表3.9.1    风管支吊架要求</w:t>
      </w:r>
    </w:p>
    <w:tbl>
      <w:tblPr>
        <w:tblStyle w:val="8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100"/>
        <w:gridCol w:w="210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圆形风管直径或</w:t>
            </w:r>
          </w:p>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矩形风管长边尺寸(mm)</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承托角钢</w:t>
            </w:r>
          </w:p>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吊杆直径</w:t>
            </w:r>
          </w:p>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支架最大间距</w:t>
            </w:r>
          </w:p>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30×30×4</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ф8</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510—1000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40×40×5</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ф8</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1010—1500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50×50×6</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ф10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1510—2000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50×50×6</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ф10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2010—3000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60×60×7</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ф10</w:t>
            </w:r>
          </w:p>
        </w:tc>
        <w:tc>
          <w:tcPr>
            <w:tcW w:w="21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r>
    </w:tbl>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( 2 ) PP材质风管安装以吊架为主，辅以托架，支、吊架制作参考金属风管支、吊架形式。风管与支吊架间应垫入厚3~5mm厚的塑料垫片，并用万能胶粘接牢固。</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( 3 ) 支吊架的抱箍与风管间应留有一定间隙，便于风管伸缩。</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( 4 ) PP材质塑料板，搬运风管要轻拿轻放，避免摔碰；堆放要放平，不得堆放过高。吊装时防止风管摆动，发生碰撞。</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( 5 )法兰连接时，法兰间垫3~6mm的软PP材质塑料板垫片做衬垫，螺栓处应加PP材质塑料板制成的垫圈，拧紧螺栓时应注意塑料的脆性，并应十字交叉均匀拧紧。</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( 6 )风管与辐射热较强的设备和管道保持一定距离，防止风管受热变形。</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( 7 )室外敷设的风管与风帽等，应刷白色油漆或铝粉漆，以防太阳照射。</w:t>
      </w:r>
    </w:p>
    <w:p>
      <w:pPr>
        <w:adjustRightInd w:val="0"/>
        <w:spacing w:line="400" w:lineRule="exact"/>
        <w:ind w:right="2" w:rightChars="1" w:hang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( 8 )管道上所有金属附件，应按设计刷防腐涂料。</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 质量标准</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4.1 </w:t>
      </w:r>
      <w:r>
        <w:rPr>
          <w:rFonts w:hint="eastAsia" w:asciiTheme="minorEastAsia" w:hAnsiTheme="minorEastAsia" w:eastAsiaTheme="minorEastAsia" w:cstheme="minorEastAsia"/>
          <w:color w:val="auto"/>
          <w:sz w:val="21"/>
          <w:szCs w:val="21"/>
          <w:highlight w:val="none"/>
        </w:rPr>
        <w:t xml:space="preserve"> 主控项目</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4.1.1  风管的规格、尺寸必须符合设计要求。</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4.1.2  焊缝的坡口形式和焊接质量必须符合施工规范规定，焊缝无裂纹、焦黄、断裂等缺陷，纵向焊缝错开。</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4.1.3  板材厚度符合设计、规范规定。</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4.1.4  风管连接方法、法兰规格符合规范规定。</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4.2 </w:t>
      </w:r>
      <w:r>
        <w:rPr>
          <w:rFonts w:hint="eastAsia" w:asciiTheme="minorEastAsia" w:hAnsiTheme="minorEastAsia" w:eastAsiaTheme="minorEastAsia" w:cstheme="minorEastAsia"/>
          <w:color w:val="auto"/>
          <w:sz w:val="21"/>
          <w:szCs w:val="21"/>
          <w:highlight w:val="none"/>
        </w:rPr>
        <w:t xml:space="preserve"> 一般项目</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  风管的外观质量应表面平整，凹凸不大于5mm，圆弧均匀，拼缝处无凹凸，两端平行，无扭曲和翘角，焊缝饱满，焊条排列整齐。</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  风管加固应牢固可靠，整齐美观，风管与法兰连接处的三角支撑间距适宜，均匀对称。</w:t>
      </w:r>
    </w:p>
    <w:p>
      <w:pPr>
        <w:adjustRightInd w:val="0"/>
        <w:spacing w:line="400" w:lineRule="exact"/>
        <w:ind w:right="2" w:rightChars="1"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  允许偏差</w:t>
      </w:r>
    </w:p>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表4.2.3                 风管制作允许偏差</w:t>
      </w:r>
    </w:p>
    <w:tbl>
      <w:tblPr>
        <w:tblStyle w:val="8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65"/>
        <w:gridCol w:w="28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项次</w:t>
            </w:r>
          </w:p>
        </w:tc>
        <w:tc>
          <w:tcPr>
            <w:tcW w:w="4845" w:type="dxa"/>
            <w:gridSpan w:val="2"/>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          目</w:t>
            </w:r>
          </w:p>
        </w:tc>
        <w:tc>
          <w:tcPr>
            <w:tcW w:w="27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Merge w:val="restart"/>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65" w:type="dxa"/>
            <w:vMerge w:val="restart"/>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圆形风管外径</w:t>
            </w:r>
          </w:p>
        </w:tc>
        <w:tc>
          <w:tcPr>
            <w:tcW w:w="28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φ≤630mm</w:t>
            </w:r>
          </w:p>
        </w:tc>
        <w:tc>
          <w:tcPr>
            <w:tcW w:w="27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35" w:type="dxa"/>
            <w:vMerge w:val="continue"/>
            <w:vAlign w:val="center"/>
          </w:tcPr>
          <w:p>
            <w:pPr>
              <w:adjustRightInd w:val="0"/>
              <w:spacing w:line="400" w:lineRule="exact"/>
              <w:ind w:right="2" w:rightChars="1" w:hanging="1"/>
              <w:jc w:val="left"/>
              <w:rPr>
                <w:rFonts w:hint="eastAsia" w:asciiTheme="minorEastAsia" w:hAnsiTheme="minorEastAsia" w:eastAsiaTheme="minorEastAsia" w:cstheme="minorEastAsia"/>
                <w:color w:val="auto"/>
                <w:sz w:val="21"/>
                <w:szCs w:val="21"/>
                <w:highlight w:val="none"/>
              </w:rPr>
            </w:pPr>
          </w:p>
        </w:tc>
        <w:tc>
          <w:tcPr>
            <w:tcW w:w="1965" w:type="dxa"/>
            <w:vMerge w:val="continue"/>
            <w:vAlign w:val="center"/>
          </w:tcPr>
          <w:p>
            <w:pPr>
              <w:adjustRightInd w:val="0"/>
              <w:spacing w:line="400" w:lineRule="exact"/>
              <w:ind w:right="2" w:rightChars="1" w:hanging="1"/>
              <w:jc w:val="left"/>
              <w:rPr>
                <w:rFonts w:hint="eastAsia" w:asciiTheme="minorEastAsia" w:hAnsiTheme="minorEastAsia" w:eastAsiaTheme="minorEastAsia" w:cstheme="minorEastAsia"/>
                <w:color w:val="auto"/>
                <w:sz w:val="21"/>
                <w:szCs w:val="21"/>
                <w:highlight w:val="none"/>
              </w:rPr>
            </w:pPr>
          </w:p>
        </w:tc>
        <w:tc>
          <w:tcPr>
            <w:tcW w:w="28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φ＞630mm</w:t>
            </w:r>
          </w:p>
        </w:tc>
        <w:tc>
          <w:tcPr>
            <w:tcW w:w="27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Merge w:val="restart"/>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965" w:type="dxa"/>
            <w:vMerge w:val="restart"/>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矩形风管大边</w:t>
            </w:r>
          </w:p>
        </w:tc>
        <w:tc>
          <w:tcPr>
            <w:tcW w:w="28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＜630mm</w:t>
            </w:r>
          </w:p>
        </w:tc>
        <w:tc>
          <w:tcPr>
            <w:tcW w:w="27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vMerge w:val="continue"/>
            <w:vAlign w:val="center"/>
          </w:tcPr>
          <w:p>
            <w:pPr>
              <w:adjustRightInd w:val="0"/>
              <w:spacing w:line="400" w:lineRule="exact"/>
              <w:ind w:right="2" w:rightChars="1" w:hanging="1"/>
              <w:jc w:val="left"/>
              <w:rPr>
                <w:rFonts w:hint="eastAsia" w:asciiTheme="minorEastAsia" w:hAnsiTheme="minorEastAsia" w:eastAsiaTheme="minorEastAsia" w:cstheme="minorEastAsia"/>
                <w:color w:val="auto"/>
                <w:sz w:val="21"/>
                <w:szCs w:val="21"/>
                <w:highlight w:val="none"/>
              </w:rPr>
            </w:pPr>
          </w:p>
        </w:tc>
        <w:tc>
          <w:tcPr>
            <w:tcW w:w="1965" w:type="dxa"/>
            <w:vMerge w:val="continue"/>
            <w:vAlign w:val="center"/>
          </w:tcPr>
          <w:p>
            <w:pPr>
              <w:adjustRightInd w:val="0"/>
              <w:spacing w:line="400" w:lineRule="exact"/>
              <w:ind w:right="2" w:rightChars="1" w:hanging="1"/>
              <w:jc w:val="left"/>
              <w:rPr>
                <w:rFonts w:hint="eastAsia" w:asciiTheme="minorEastAsia" w:hAnsiTheme="minorEastAsia" w:eastAsiaTheme="minorEastAsia" w:cstheme="minorEastAsia"/>
                <w:color w:val="auto"/>
                <w:sz w:val="21"/>
                <w:szCs w:val="21"/>
                <w:highlight w:val="none"/>
              </w:rPr>
            </w:pPr>
          </w:p>
        </w:tc>
        <w:tc>
          <w:tcPr>
            <w:tcW w:w="288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≥630mm</w:t>
            </w:r>
          </w:p>
        </w:tc>
        <w:tc>
          <w:tcPr>
            <w:tcW w:w="2700" w:type="dxa"/>
            <w:vAlign w:val="center"/>
          </w:tcPr>
          <w:p>
            <w:pPr>
              <w:adjustRightInd w:val="0"/>
              <w:spacing w:line="400" w:lineRule="exact"/>
              <w:ind w:right="2" w:rightChars="1" w:hang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bl>
    <w:p>
      <w:pPr>
        <w:adjustRightInd w:val="0"/>
        <w:spacing w:line="400" w:lineRule="exact"/>
        <w:ind w:right="2" w:rightChars="1"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 ） 成品保护</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5.1</w:t>
      </w:r>
      <w:r>
        <w:rPr>
          <w:rFonts w:hint="eastAsia" w:asciiTheme="minorEastAsia" w:hAnsiTheme="minorEastAsia" w:eastAsiaTheme="minorEastAsia" w:cstheme="minorEastAsia"/>
          <w:color w:val="auto"/>
          <w:sz w:val="21"/>
          <w:szCs w:val="21"/>
          <w:highlight w:val="none"/>
        </w:rPr>
        <w:t>要保持PP材质塑料板表面光滑洁净，划线放样要用红铅笔，不应用划针。</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5.2</w:t>
      </w:r>
      <w:r>
        <w:rPr>
          <w:rFonts w:hint="eastAsia" w:asciiTheme="minorEastAsia" w:hAnsiTheme="minorEastAsia" w:eastAsiaTheme="minorEastAsia" w:cstheme="minorEastAsia"/>
          <w:color w:val="auto"/>
          <w:sz w:val="21"/>
          <w:szCs w:val="21"/>
          <w:highlight w:val="none"/>
        </w:rPr>
        <w:t>塑料风管及部件成品</w:t>
      </w:r>
      <w:r>
        <w:rPr>
          <w:rFonts w:hint="eastAsia" w:asciiTheme="minorEastAsia" w:hAnsiTheme="minorEastAsia" w:eastAsiaTheme="minorEastAsia" w:cstheme="minorEastAsia"/>
          <w:color w:val="auto"/>
          <w:kern w:val="0"/>
          <w:sz w:val="21"/>
          <w:szCs w:val="21"/>
          <w:highlight w:val="none"/>
          <w:lang w:val="zh-CN"/>
        </w:rPr>
        <w:t>应码放在平整，无积水，宽敞的场地，不与其它材料，设备等混放在一起，并有防雨、雪措施。码放时应按系统编号，整齐、合理，便于装运。</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5.3</w:t>
      </w:r>
      <w:r>
        <w:rPr>
          <w:rFonts w:hint="eastAsia" w:asciiTheme="minorEastAsia" w:hAnsiTheme="minorEastAsia" w:eastAsiaTheme="minorEastAsia" w:cstheme="minorEastAsia"/>
          <w:color w:val="auto"/>
          <w:sz w:val="21"/>
          <w:szCs w:val="21"/>
          <w:highlight w:val="none"/>
        </w:rPr>
        <w:t>装卸、搬运风管时应轻拿轻放，防止损坏风管及部件成品。</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5.4</w:t>
      </w:r>
      <w:r>
        <w:rPr>
          <w:rFonts w:hint="eastAsia" w:asciiTheme="minorEastAsia" w:hAnsiTheme="minorEastAsia" w:eastAsiaTheme="minorEastAsia" w:cstheme="minorEastAsia"/>
          <w:color w:val="auto"/>
          <w:sz w:val="21"/>
          <w:szCs w:val="21"/>
          <w:highlight w:val="none"/>
        </w:rPr>
        <w:t>风管安装过程中应轻拿轻放，不得用力操作，不得用坚硬物品划、撞风管，安装完毕应采取一定的措施避免工种间交叉作业而带来损伤和污染。</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5.5</w:t>
      </w:r>
      <w:r>
        <w:rPr>
          <w:rFonts w:hint="eastAsia" w:asciiTheme="minorEastAsia" w:hAnsiTheme="minorEastAsia" w:eastAsiaTheme="minorEastAsia" w:cstheme="minorEastAsia"/>
          <w:color w:val="auto"/>
          <w:sz w:val="21"/>
          <w:szCs w:val="21"/>
          <w:highlight w:val="none"/>
        </w:rPr>
        <w:t>安装好的风管以及安装告一段落的，应及时对各个敞口部位进行封闭，以防杂物、水等</w:t>
      </w:r>
      <w:r>
        <w:rPr>
          <w:rFonts w:hint="eastAsia" w:asciiTheme="minorEastAsia" w:hAnsiTheme="minorEastAsia" w:eastAsiaTheme="minorEastAsia" w:cstheme="minorEastAsia"/>
          <w:color w:val="auto"/>
          <w:sz w:val="21"/>
          <w:szCs w:val="21"/>
          <w:highlight w:val="none"/>
        </w:rPr>
        <w:drawing>
          <wp:anchor distT="0" distB="0" distL="114300" distR="114300" simplePos="0" relativeHeight="251663360" behindDoc="1" locked="1" layoutInCell="1" allowOverlap="1">
            <wp:simplePos x="0" y="0"/>
            <wp:positionH relativeFrom="column">
              <wp:posOffset>4762500</wp:posOffset>
            </wp:positionH>
            <wp:positionV relativeFrom="paragraph">
              <wp:posOffset>8966200</wp:posOffset>
            </wp:positionV>
            <wp:extent cx="1447800" cy="203200"/>
            <wp:effectExtent l="0" t="0" r="0" b="6350"/>
            <wp:wrapNone/>
            <wp:docPr id="426" name="图片 152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1523" descr="108"/>
                    <pic:cNvPicPr>
                      <a:picLocks noChangeAspect="1" noChangeArrowheads="1"/>
                    </pic:cNvPicPr>
                  </pic:nvPicPr>
                  <pic:blipFill>
                    <a:blip r:embed="rId25"/>
                    <a:srcRect/>
                    <a:stretch>
                      <a:fillRect/>
                    </a:stretch>
                  </pic:blipFill>
                  <pic:spPr>
                    <a:xfrm>
                      <a:off x="0" y="0"/>
                      <a:ext cx="1447800" cy="20320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auto"/>
          <w:sz w:val="21"/>
          <w:szCs w:val="21"/>
          <w:highlight w:val="none"/>
        </w:rPr>
        <w:t>对进入风管内部，影响整个系统。</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  应注意的问题</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6.1</w:t>
      </w:r>
      <w:r>
        <w:rPr>
          <w:rFonts w:hint="eastAsia" w:asciiTheme="minorEastAsia" w:hAnsiTheme="minorEastAsia" w:eastAsiaTheme="minorEastAsia" w:cstheme="minorEastAsia"/>
          <w:color w:val="auto"/>
          <w:sz w:val="21"/>
          <w:szCs w:val="21"/>
          <w:highlight w:val="none"/>
        </w:rPr>
        <w:t xml:space="preserve">  由于下料时不注意留收缩余量，造成管径不合适。</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防治措施：由于收缩量随加热时间而变化，所以每批板材下料前先做试验，定出收缩量。</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6.2 </w:t>
      </w:r>
      <w:r>
        <w:rPr>
          <w:rFonts w:hint="eastAsia" w:asciiTheme="minorEastAsia" w:hAnsiTheme="minorEastAsia" w:eastAsiaTheme="minorEastAsia" w:cstheme="minorEastAsia"/>
          <w:color w:val="auto"/>
          <w:sz w:val="21"/>
          <w:szCs w:val="21"/>
          <w:highlight w:val="none"/>
        </w:rPr>
        <w:t xml:space="preserve"> 风管纵缝在同一条线上。</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防治措施：下料或焊接时，应将相邻纵缝交错。</w:t>
      </w:r>
    </w:p>
    <w:p>
      <w:pPr>
        <w:numPr>
          <w:ilvl w:val="1"/>
          <w:numId w:val="9"/>
        </w:numPr>
        <w:tabs>
          <w:tab w:val="left" w:pos="614"/>
          <w:tab w:val="left" w:pos="709"/>
          <w:tab w:val="clear" w:pos="1425"/>
        </w:tabs>
        <w:adjustRightInd w:val="0"/>
        <w:spacing w:line="400" w:lineRule="exact"/>
        <w:ind w:left="614" w:right="2" w:rightChars="1" w:hanging="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焊缝开裂，焊条与焊缝未粘接牢。</w:t>
      </w:r>
    </w:p>
    <w:p>
      <w:pPr>
        <w:numPr>
          <w:ilvl w:val="1"/>
          <w:numId w:val="9"/>
        </w:numPr>
        <w:tabs>
          <w:tab w:val="left" w:pos="614"/>
          <w:tab w:val="left" w:pos="709"/>
          <w:tab w:val="clear" w:pos="1425"/>
        </w:tabs>
        <w:adjustRightInd w:val="0"/>
        <w:spacing w:line="400" w:lineRule="exact"/>
        <w:ind w:left="614" w:right="2" w:rightChars="1" w:hanging="2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防治措施：正确选用焊缝形式；控制好压缩空气温度；掌握好焊枪嘴的角度。</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6.5</w:t>
      </w:r>
      <w:r>
        <w:rPr>
          <w:rFonts w:hint="eastAsia" w:asciiTheme="minorEastAsia" w:hAnsiTheme="minorEastAsia" w:eastAsiaTheme="minorEastAsia" w:cstheme="minorEastAsia"/>
          <w:color w:val="auto"/>
          <w:sz w:val="21"/>
          <w:szCs w:val="21"/>
          <w:highlight w:val="none"/>
        </w:rPr>
        <w:t xml:space="preserve">  焊缝不平，外观差。</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防治措施：焊条断处接头要修成坡面；焊缝要自然冷却。</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6.6 </w:t>
      </w:r>
      <w:r>
        <w:rPr>
          <w:rFonts w:hint="eastAsia" w:asciiTheme="minorEastAsia" w:hAnsiTheme="minorEastAsia" w:eastAsiaTheme="minorEastAsia" w:cstheme="minorEastAsia"/>
          <w:color w:val="auto"/>
          <w:sz w:val="21"/>
          <w:szCs w:val="21"/>
          <w:highlight w:val="none"/>
        </w:rPr>
        <w:t xml:space="preserve"> 使用圆盘锯操作前应进行检查，锯片不得有裂口，螺丝应上紧，操作时应戴防护眼镜，站在锯片一侧，禁止站在与锯片同一直</w:t>
      </w:r>
    </w:p>
    <w:p>
      <w:pPr>
        <w:adjustRightInd w:val="0"/>
        <w:spacing w:line="400" w:lineRule="exact"/>
        <w:ind w:right="2" w:rightChars="1" w:firstLine="3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线上，手臂不得跨越锯片。</w:t>
      </w:r>
    </w:p>
    <w:p>
      <w:pPr>
        <w:adjustRightInd w:val="0"/>
        <w:spacing w:line="400" w:lineRule="exact"/>
        <w:ind w:right="2" w:rightChars="1" w:firstLine="315"/>
        <w:rPr>
          <w:rFonts w:hint="eastAsia"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 xml:space="preserve">6.7 </w:t>
      </w:r>
      <w:r>
        <w:rPr>
          <w:rFonts w:hint="eastAsia" w:asciiTheme="minorEastAsia" w:hAnsiTheme="minorEastAsia" w:eastAsiaTheme="minorEastAsia" w:cstheme="minorEastAsia"/>
          <w:color w:val="auto"/>
          <w:sz w:val="21"/>
          <w:szCs w:val="21"/>
          <w:highlight w:val="none"/>
        </w:rPr>
        <w:t xml:space="preserve"> 进料必须紧贴固定装置，不得用力过猛，接料要待料出锯片150mm，不得硬拉；遇短窄料应用推棍，接料用刨钩；超越锯片有效半径的料禁止上锯。</w:t>
      </w:r>
    </w:p>
    <w:p>
      <w:pPr>
        <w:autoSpaceDE w:val="0"/>
        <w:autoSpaceDN w:val="0"/>
        <w:adjustRightInd w:val="0"/>
        <w:spacing w:line="400" w:lineRule="exact"/>
        <w:ind w:firstLine="315"/>
        <w:jc w:val="left"/>
        <w:rPr>
          <w:rFonts w:hint="eastAsia" w:asciiTheme="minorEastAsia" w:hAnsiTheme="minorEastAsia" w:eastAsiaTheme="minorEastAsia" w:cstheme="minorEastAsia"/>
          <w:bCs/>
          <w:color w:val="auto"/>
          <w:kern w:val="0"/>
          <w:sz w:val="21"/>
          <w:szCs w:val="21"/>
          <w:highlight w:val="none"/>
          <w:lang w:val="zh-CN"/>
        </w:rPr>
      </w:pPr>
      <w:r>
        <w:rPr>
          <w:rFonts w:hint="eastAsia" w:asciiTheme="minorEastAsia" w:hAnsiTheme="minorEastAsia" w:eastAsiaTheme="minorEastAsia" w:cstheme="minorEastAsia"/>
          <w:bCs/>
          <w:color w:val="auto"/>
          <w:kern w:val="0"/>
          <w:sz w:val="21"/>
          <w:szCs w:val="21"/>
          <w:highlight w:val="none"/>
          <w:lang w:val="zh-CN"/>
        </w:rPr>
        <w:t>7  应具备的质量记录</w:t>
      </w:r>
    </w:p>
    <w:p>
      <w:pPr>
        <w:autoSpaceDE w:val="0"/>
        <w:autoSpaceDN w:val="0"/>
        <w:adjustRightInd w:val="0"/>
        <w:spacing w:line="400" w:lineRule="exact"/>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7.1</w:t>
      </w:r>
      <w:r>
        <w:rPr>
          <w:rFonts w:hint="eastAsia" w:asciiTheme="minorEastAsia" w:hAnsiTheme="minorEastAsia" w:eastAsiaTheme="minorEastAsia" w:cstheme="minorEastAsia"/>
          <w:color w:val="auto"/>
          <w:kern w:val="0"/>
          <w:sz w:val="21"/>
          <w:szCs w:val="21"/>
          <w:highlight w:val="none"/>
          <w:lang w:val="zh-CN"/>
        </w:rPr>
        <w:t xml:space="preserve">  材料、成品、半成品、配件的中文质量合格证明文件及进场验收记录，设备开箱检查记录。</w:t>
      </w:r>
    </w:p>
    <w:p>
      <w:pPr>
        <w:autoSpaceDE w:val="0"/>
        <w:autoSpaceDN w:val="0"/>
        <w:adjustRightInd w:val="0"/>
        <w:spacing w:line="400" w:lineRule="exact"/>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7.2</w:t>
      </w:r>
      <w:r>
        <w:rPr>
          <w:rFonts w:hint="eastAsia" w:asciiTheme="minorEastAsia" w:hAnsiTheme="minorEastAsia" w:eastAsiaTheme="minorEastAsia" w:cstheme="minorEastAsia"/>
          <w:color w:val="auto"/>
          <w:kern w:val="0"/>
          <w:sz w:val="21"/>
          <w:szCs w:val="21"/>
          <w:highlight w:val="none"/>
          <w:lang w:val="zh-CN"/>
        </w:rPr>
        <w:t>自检、互检记录。</w:t>
      </w:r>
    </w:p>
    <w:p>
      <w:pPr>
        <w:autoSpaceDE w:val="0"/>
        <w:autoSpaceDN w:val="0"/>
        <w:adjustRightInd w:val="0"/>
        <w:spacing w:line="400" w:lineRule="exact"/>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7.3</w:t>
      </w:r>
      <w:r>
        <w:rPr>
          <w:rFonts w:hint="eastAsia" w:asciiTheme="minorEastAsia" w:hAnsiTheme="minorEastAsia" w:eastAsiaTheme="minorEastAsia" w:cstheme="minorEastAsia"/>
          <w:color w:val="auto"/>
          <w:kern w:val="0"/>
          <w:sz w:val="21"/>
          <w:szCs w:val="21"/>
          <w:highlight w:val="none"/>
          <w:lang w:val="zh-CN"/>
        </w:rPr>
        <w:t>中间验收记录。</w:t>
      </w:r>
    </w:p>
    <w:p>
      <w:pPr>
        <w:autoSpaceDE w:val="0"/>
        <w:autoSpaceDN w:val="0"/>
        <w:adjustRightInd w:val="0"/>
        <w:spacing w:line="400" w:lineRule="exact"/>
        <w:ind w:firstLine="315"/>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color w:val="auto"/>
          <w:kern w:val="0"/>
          <w:sz w:val="21"/>
          <w:szCs w:val="21"/>
          <w:highlight w:val="none"/>
          <w:lang w:val="zh-CN"/>
        </w:rPr>
        <w:t>7.4</w:t>
      </w:r>
      <w:r>
        <w:rPr>
          <w:rFonts w:hint="eastAsia" w:asciiTheme="minorEastAsia" w:hAnsiTheme="minorEastAsia" w:eastAsiaTheme="minorEastAsia" w:cstheme="minorEastAsia"/>
          <w:color w:val="auto"/>
          <w:kern w:val="0"/>
          <w:sz w:val="21"/>
          <w:szCs w:val="21"/>
          <w:highlight w:val="none"/>
          <w:lang w:val="zh-CN"/>
        </w:rPr>
        <w:t>非金属</w:t>
      </w:r>
      <w:r>
        <w:rPr>
          <w:rFonts w:hint="eastAsia" w:asciiTheme="minorEastAsia" w:hAnsiTheme="minorEastAsia" w:eastAsiaTheme="minorEastAsia" w:cstheme="minorEastAsia"/>
          <w:color w:val="auto"/>
          <w:sz w:val="21"/>
          <w:szCs w:val="21"/>
          <w:highlight w:val="none"/>
        </w:rPr>
        <w:t>风管及部件</w:t>
      </w:r>
      <w:r>
        <w:rPr>
          <w:rFonts w:hint="eastAsia" w:asciiTheme="minorEastAsia" w:hAnsiTheme="minorEastAsia" w:eastAsiaTheme="minorEastAsia" w:cstheme="minorEastAsia"/>
          <w:color w:val="auto"/>
          <w:kern w:val="0"/>
          <w:sz w:val="21"/>
          <w:szCs w:val="21"/>
          <w:highlight w:val="none"/>
          <w:lang w:val="zh-CN"/>
        </w:rPr>
        <w:t>安装预检记录、隐蔽工程检查记录。</w:t>
      </w:r>
    </w:p>
    <w:p>
      <w:pPr>
        <w:numPr>
          <w:ilvl w:val="1"/>
          <w:numId w:val="10"/>
        </w:numPr>
        <w:autoSpaceDE w:val="0"/>
        <w:autoSpaceDN w:val="0"/>
        <w:adjustRightInd w:val="0"/>
        <w:spacing w:line="400" w:lineRule="exac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批质量验收记录、分项工程质量验收记录。</w:t>
      </w:r>
    </w:p>
    <w:p>
      <w:pPr>
        <w:tabs>
          <w:tab w:val="left" w:pos="690"/>
        </w:tabs>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（6）主要材料设备要求</w:t>
      </w:r>
    </w:p>
    <w:p>
      <w:pPr>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▲6.</w:t>
      </w:r>
      <w:r>
        <w:rPr>
          <w:rFonts w:hint="eastAsia" w:asciiTheme="minorEastAsia" w:hAnsiTheme="minorEastAsia" w:eastAsiaTheme="minorEastAsia" w:cstheme="minorEastAsia"/>
          <w:color w:val="auto"/>
          <w:sz w:val="21"/>
          <w:szCs w:val="21"/>
          <w:highlight w:val="none"/>
        </w:rPr>
        <w:t>1.风管：采用PP材质塑料管材，风管具有防腐等性能，且内壁光滑，外形美观，支、吊架圆管采用A3钢抱箍风管，方管采用经防锈处理的吊杆紧固角钢来支撑风管；圆管厚度≥4mm, 方管厚度≥5mm。</w:t>
      </w:r>
    </w:p>
    <w:p>
      <w:pPr>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6.2．防火阀：所有风管穿竖井时，均安装钢制防火阀，平时常开，当火灾报警动作后，风管内的温度升到至70℃时，防火阀易熔片熔断，防火阀关闭，防止火灾蔓延。</w:t>
      </w:r>
    </w:p>
    <w:p>
      <w:pPr>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电子调节阀：电子调节阀为防腐PP材质标准模具制作，采用数显可调角度的电动风阀，阀体采用防腐PVC管制作并且有记忆功能（即可以记住此次调节的角度，下次打开时仍然调到设计的角度）,可调节每个排风末端的压阻平衡。</w:t>
      </w:r>
    </w:p>
    <w:p>
      <w:pPr>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▲6.4.防腐离心风机：采用防腐玻璃钢材质蜗壳离心风机。风机选型与技术参数：F4-72- 7A,N=7.5Kw,Q= 11300-19400m3/h ,P= 1570-1045Pa,r= 1450r/m；</w:t>
      </w:r>
    </w:p>
    <w:p>
      <w:pPr>
        <w:spacing w:line="400" w:lineRule="exact"/>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产品特性：</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①适用一定浓度的腐蚀性气体技；</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②耐温、防腐、防爆；</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③风机型号具体根据风量，风压选型，详见清单；</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④为了消除风机运行过程中产生的震动须在楼板设风机固定座及橡胶减震片；</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⑤风机出口应设有防雨帽和防昆虫及啮齿动物的网。</w:t>
      </w:r>
    </w:p>
    <w:p>
      <w:pPr>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6.5．消声器</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①阻抗复合性消声器；</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②外壳采用有机玻璃钢制作，内衬消音纤维片。</w:t>
      </w:r>
    </w:p>
    <w:p>
      <w:pPr>
        <w:spacing w:line="400" w:lineRule="exact"/>
        <w:ind w:left="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▲6.</w:t>
      </w:r>
      <w:r>
        <w:rPr>
          <w:rFonts w:hint="eastAsia" w:asciiTheme="minorEastAsia" w:hAnsiTheme="minorEastAsia" w:eastAsiaTheme="minorEastAsia" w:cstheme="minorEastAsia"/>
          <w:color w:val="auto"/>
          <w:sz w:val="21"/>
          <w:szCs w:val="21"/>
          <w:highlight w:val="none"/>
        </w:rPr>
        <w:t>6.变频器:采用中外合资品牌，性能要求稳定</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①风机水泵应用；</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②循环软起；</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③用户自定义U/F曲线；</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④内置RFI滤波器作为标准配置，适用于第一和第二环境；</w:t>
      </w:r>
    </w:p>
    <w:p>
      <w:pPr>
        <w:spacing w:line="400" w:lineRule="exact"/>
        <w:ind w:left="420"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⑤CE认证。</w:t>
      </w:r>
    </w:p>
    <w:p>
      <w:pPr>
        <w:tabs>
          <w:tab w:val="left" w:pos="690"/>
        </w:tabs>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（7）废气处理</w:t>
      </w:r>
    </w:p>
    <w:p>
      <w:pPr>
        <w:spacing w:line="400" w:lineRule="exact"/>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鉴于大楼实验室在运行使用过程中所产生的废气成分复杂，有机无机废气成分均有，所以本次废气环保处理的主要措施是采用活性碳吸附器分别对不同种类废气进行相应处理。</w:t>
      </w:r>
    </w:p>
    <w:p>
      <w:pPr>
        <w:spacing w:line="400" w:lineRule="exact"/>
        <w:ind w:firstLine="411"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7.1.</w:t>
      </w:r>
      <w:r>
        <w:rPr>
          <w:rFonts w:hint="eastAsia" w:asciiTheme="minorEastAsia" w:hAnsiTheme="minorEastAsia" w:eastAsiaTheme="minorEastAsia" w:cstheme="minorEastAsia"/>
          <w:b/>
          <w:color w:val="auto"/>
          <w:sz w:val="21"/>
          <w:szCs w:val="21"/>
          <w:highlight w:val="none"/>
        </w:rPr>
        <w:t>活性碳吸附器</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（1）、产品结构</w:t>
      </w:r>
    </w:p>
    <w:p>
      <w:pPr>
        <w:pStyle w:val="161"/>
        <w:spacing w:line="400" w:lineRule="exact"/>
        <w:ind w:left="1005"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本活性碳吸附器采用≥10mm厚PP材质塑料板加工制作，采用卧式结构，抽屉式装碳装置，设两层蜂窝状活性炭过滤板，放≥150mm厚/层</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 xml:space="preserve"> 6块活性炭吸附板，采用单侧或双侧活动盖板门，便于安装检修，强度高，占地面积小。</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（2）、技术参数：</w:t>
      </w:r>
    </w:p>
    <w:p>
      <w:pPr>
        <w:pStyle w:val="161"/>
        <w:spacing w:line="400" w:lineRule="exact"/>
        <w:ind w:left="1005"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1)处理风量≥10000m3/h，采用≥10mm厚PP材质外箱尺寸≥1800*1500*1200mm，</w:t>
      </w:r>
    </w:p>
    <w:p>
      <w:pPr>
        <w:pStyle w:val="161"/>
        <w:spacing w:line="400" w:lineRule="exact"/>
        <w:ind w:left="1005"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2)处理风量≥15000m3/h，采用≥10mm厚PP材质外箱尺寸≥2400*1500*1200mm</w:t>
      </w:r>
    </w:p>
    <w:p>
      <w:pPr>
        <w:spacing w:line="400" w:lineRule="exact"/>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（3)、工作原理</w:t>
      </w:r>
    </w:p>
    <w:p>
      <w:pPr>
        <w:spacing w:line="400" w:lineRule="exact"/>
        <w:ind w:left="420" w:leftChars="20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活性碳吸附器的实质是利用活性碳吸附的特性把低浓度大风量废气中的有机溶剂和有机废气吸附到活性碳中并浓缩，经活性碳吸附净化后的气体直接排到空中，其实质是一个吸附浓缩过程。吸附过程具有可逆性，易于脱附再生。由于固体表面存在着不平衡和未饱和的分子引力或化学键力，因此，当废气与大表面积的多孔性固体物质相接触，废气中的污染物便被吸附在固体表面上，使其与气体混合物分离，达到净化目的。</w:t>
      </w:r>
    </w:p>
    <w:p>
      <w:pPr>
        <w:spacing w:line="400" w:lineRule="exact"/>
        <w:ind w:left="420" w:leftChars="200"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根据这一原理，吸附装置采用活性碳作为吸附剂。活性碳比表面积达700-1500㎡/g，孔径分布广（2-20nm），吸附容量大，吸附速度快，而且再生容易，脱附彻底，经多次吸附后仍保持原有的吸附性能（达95%以上），因此对有机废气的净化率高。</w:t>
      </w:r>
    </w:p>
    <w:p>
      <w:pPr>
        <w:tabs>
          <w:tab w:val="left" w:pos="690"/>
        </w:tabs>
        <w:spacing w:line="360" w:lineRule="auto"/>
        <w:rPr>
          <w:rFonts w:hint="eastAsia" w:asciiTheme="minorEastAsia" w:hAnsiTheme="minorEastAsia" w:eastAsiaTheme="minorEastAsia" w:cstheme="minorEastAsia"/>
          <w:b/>
          <w:color w:val="auto"/>
          <w:sz w:val="21"/>
          <w:szCs w:val="21"/>
          <w:highlight w:val="none"/>
        </w:rPr>
      </w:pPr>
    </w:p>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第二部分：实验室洁净系统技术要求</w:t>
      </w:r>
    </w:p>
    <w:p>
      <w:pPr>
        <w:spacing w:line="400" w:lineRule="exact"/>
        <w:ind w:firstLine="411" w:firstLineChars="19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洁净系统设备采购及安装服务项目部分：包含深化设计，室内围护、地面、天花、净化设备，管道，洁净照明、风阀、电气、压力表，控制系统等设备的采购，安装、施工、调试，验收，维护。</w:t>
      </w:r>
    </w:p>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（1）技术标准</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1.1、依据设计文件的要求，本项目的材料、设备、施工必须达到现行中华人民共和国以及地方或行业的工程建设标准、技术规范的要求。</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1.2、本工程主要验收规范</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《生物安全实验室建筑技术规范》（GB50346-2004)</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《实验室生物安全通用要求》（GB19489-2004)</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《洁净厂房设计规范》（GB50073-2001）</w:t>
      </w:r>
    </w:p>
    <w:p>
      <w:pPr>
        <w:tabs>
          <w:tab w:val="left" w:pos="900"/>
          <w:tab w:val="left" w:pos="1920"/>
        </w:tabs>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《建筑设计防火规范》GB50016-2006</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《洁净室设计及验收规范》（JG71-90)</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《综合医院建筑设计规范》</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《办公建筑设计规范》（JGJ67-89)</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《建筑地面设计规范》（GB50037-96)</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《建筑给水排水设计规范》（GBJ15-88)</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《污水综合排放标准》（GB1981-89）</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《排风及空调工程施工及验收规范》GB50243-2002</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《建筑内部装修设计防火规范》（GB50222-95）（1999年版）</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《建筑装饰工程设计及验收规范》（JG73-91表7．7．8)</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《排风及空调工程设计及验收规范》GB50243-2002</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《采暖排风与空气调节设计规范》（GBJ19-2003）</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《工业管道工程设计设计及验收规范》（GBJ235-82）</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《低压配电设计规范》（GB50054-95)</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《低压配电系统设计规范》（GB50052-95）</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《电器装置安装工程设计照明装置工程设计和验收规范》（GB50259-96）</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《电器装置安装工程设计接地装置设计及验收规范》（GB50169-92）</w:t>
      </w:r>
    </w:p>
    <w:p>
      <w:pPr>
        <w:autoSpaceDE w:val="0"/>
        <w:autoSpaceDN w:val="0"/>
        <w:adjustRightInd w:val="0"/>
        <w:spacing w:line="400" w:lineRule="exact"/>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《电器装置安装工程设计低压电器设计及验收规范》（GB50245-96）</w:t>
      </w:r>
    </w:p>
    <w:p>
      <w:pPr>
        <w:spacing w:line="400" w:lineRule="exact"/>
        <w:rPr>
          <w:rFonts w:hint="eastAsia" w:asciiTheme="minorEastAsia" w:hAnsiTheme="minorEastAsia" w:eastAsiaTheme="minorEastAsia" w:cstheme="minorEastAsia"/>
          <w:b/>
          <w:color w:val="auto"/>
          <w:sz w:val="21"/>
          <w:szCs w:val="21"/>
          <w:highlight w:val="none"/>
        </w:rPr>
      </w:pPr>
      <w:bookmarkStart w:id="290" w:name="_Toc399775098"/>
      <w:r>
        <w:rPr>
          <w:rFonts w:hint="eastAsia" w:asciiTheme="minorEastAsia" w:hAnsiTheme="minorEastAsia" w:eastAsiaTheme="minorEastAsia" w:cstheme="minorEastAsia"/>
          <w:b/>
          <w:color w:val="auto"/>
          <w:sz w:val="21"/>
          <w:szCs w:val="21"/>
          <w:highlight w:val="none"/>
        </w:rPr>
        <w:t>（2）建设要求</w:t>
      </w:r>
      <w:bookmarkEnd w:id="290"/>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本建设项目的基本要求</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2.1、符合实验室相关国家规范及标准要求；</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2.2、人文建筑与生态环境相结合，充分体现其人性化设计。</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2.3、设计理念的先进性、功能分区的合理性、基础设施的实用性、实验室管理的协调性、与检验流程的合理匹配性及实验室环境设施安全性。</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2.4、安全可靠:从授权准入、功能布局、气流控制、安全设施等角度，确保人员、样品、数据和仪器等安全；</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2.5、设计规范:实验室设计参照或执行欧美和国家相关实验室建设要求及标准；</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2.6、实用美观:装饰设计和家具布置充分体现行业特点和独特风格，选材符合实验室环境要求；风格明快，大方美观，富有现代感</w:t>
      </w:r>
    </w:p>
    <w:p>
      <w:pPr>
        <w:adjustRightIn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2.7、环境舒适:设计以人为本，各专业相互协调，互为补充，营造一个舒适的实验环境。</w:t>
      </w:r>
    </w:p>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（3）技术要求</w:t>
      </w:r>
    </w:p>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   3.1、整体洁净技术要求</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3.1.1、压力梯度要求：正压主实验室+15Pa，负压主实验室-10Pa 。在不同压力要求的相邻隔断上安装压差计，量程0—60Pa。</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3.1.2、主要技术指标：</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（1）漏风率：万级环境≤2﹪； 十万级环境应无漏光。</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（2）高效过滤器泄漏率≤0.03﹪（过滤效率≥99.97﹪）。 </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（3）风速：实验室内平均风速在设计风速100-120﹪；出口处风速≥0.35m/s，风速不均匀度≤0.25﹪。</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（4）风量：实测新风量应为设计新风量的90-110﹪，各风口风量应为设计风量的85-115﹪。</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xml:space="preserve">（5）换气次数*：十万级区≥15次；万级区≥25次； </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（6）压差*：相邻不同级别区域静压差绝对值≥5Pa；洁净区与室外压差≥10Pa。</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（7）侵入粒子：通过大门侵入粒子的浓度小于测得的室外离子浓度的0.1﹪。</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（8）自净时间：≤25分钟。</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（9）房间温度*、相对湿度*：温度18-26℃；相对湿度45-65﹪。</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（10）噪声*、照度*：噪声≤65dB；照度：万级区为300-600Lx </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（11）悬浮粒子*：万级区：≥5μm的粒子≤2.9×103粒/m3，  ≥0.5μm的粒子≤3.5×10</w:t>
      </w:r>
      <w:r>
        <w:rPr>
          <w:rFonts w:hint="eastAsia" w:asciiTheme="minorEastAsia" w:hAnsiTheme="minorEastAsia" w:eastAsiaTheme="minorEastAsia" w:cstheme="minorEastAsia"/>
          <w:color w:val="auto"/>
          <w:sz w:val="21"/>
          <w:szCs w:val="21"/>
          <w:highlight w:val="none"/>
          <w:vertAlign w:val="superscript"/>
        </w:rPr>
        <w:t>5</w:t>
      </w:r>
      <w:r>
        <w:rPr>
          <w:rFonts w:hint="eastAsia" w:asciiTheme="minorEastAsia" w:hAnsiTheme="minorEastAsia" w:eastAsiaTheme="minorEastAsia" w:cstheme="minorEastAsia"/>
          <w:color w:val="auto"/>
          <w:sz w:val="21"/>
          <w:szCs w:val="21"/>
          <w:highlight w:val="none"/>
        </w:rPr>
        <w:t>万粒/m3。十万级区：≥5μm的粒子≤29.2×10</w:t>
      </w:r>
      <w:r>
        <w:rPr>
          <w:rFonts w:hint="eastAsia" w:asciiTheme="minorEastAsia" w:hAnsiTheme="minorEastAsia" w:eastAsiaTheme="minorEastAsia" w:cstheme="minorEastAsia"/>
          <w:color w:val="auto"/>
          <w:sz w:val="21"/>
          <w:szCs w:val="21"/>
          <w:highlight w:val="none"/>
          <w:vertAlign w:val="superscript"/>
        </w:rPr>
        <w:t>6</w:t>
      </w:r>
      <w:r>
        <w:rPr>
          <w:rFonts w:hint="eastAsia" w:asciiTheme="minorEastAsia" w:hAnsiTheme="minorEastAsia" w:eastAsiaTheme="minorEastAsia" w:cstheme="minorEastAsia"/>
          <w:color w:val="auto"/>
          <w:sz w:val="21"/>
          <w:szCs w:val="21"/>
          <w:highlight w:val="none"/>
        </w:rPr>
        <w:t>粒/m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  ≥0.5μm的粒子≤35.2×10</w:t>
      </w:r>
      <w:r>
        <w:rPr>
          <w:rFonts w:hint="eastAsia" w:asciiTheme="minorEastAsia" w:hAnsiTheme="minorEastAsia" w:eastAsiaTheme="minorEastAsia" w:cstheme="minorEastAsia"/>
          <w:color w:val="auto"/>
          <w:sz w:val="21"/>
          <w:szCs w:val="21"/>
          <w:highlight w:val="none"/>
          <w:vertAlign w:val="superscript"/>
        </w:rPr>
        <w:t>5</w:t>
      </w:r>
      <w:r>
        <w:rPr>
          <w:rFonts w:hint="eastAsia" w:asciiTheme="minorEastAsia" w:hAnsiTheme="minorEastAsia" w:eastAsiaTheme="minorEastAsia" w:cstheme="minorEastAsia"/>
          <w:color w:val="auto"/>
          <w:sz w:val="21"/>
          <w:szCs w:val="21"/>
          <w:highlight w:val="none"/>
        </w:rPr>
        <w:t>万粒/m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（12）浮游菌*：万级区动态≤100cfu/m3； </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（13）沉降菌*：直径9cm平皿，暴露4h,万级区动态≤3cfu/m3； </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（14）表面微生物：用表面擦试法测定，万级区关键表面≤5cfu/cm2，一般表面≤25cfu/cm2，地面≤50cfu/25cm2。 </w:t>
      </w:r>
    </w:p>
    <w:p>
      <w:pPr>
        <w:widowControl/>
        <w:tabs>
          <w:tab w:val="left" w:pos="1375"/>
          <w:tab w:val="left" w:pos="1440"/>
        </w:tabs>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 洁净设备系统项目规格技术要求</w:t>
      </w:r>
    </w:p>
    <w:p>
      <w:pPr>
        <w:spacing w:line="400" w:lineRule="exact"/>
        <w:ind w:firstLine="207" w:firstLineChars="9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3.2.1.洁净式净化机组技术要求：</w:t>
      </w:r>
    </w:p>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要求提供国家权威机构出具的净化机组检验报告；认证证书，保证选型结果的可靠性；净化机组须具备通过中国制冷空调工业协会CRAA产品认证证书；</w:t>
      </w:r>
    </w:p>
    <w:p>
      <w:pPr>
        <w:spacing w:line="400" w:lineRule="exact"/>
        <w:ind w:firstLine="207" w:firstLineChars="98"/>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3.2.1.1基本要求</w:t>
      </w:r>
    </w:p>
    <w:p>
      <w:pPr>
        <w:tabs>
          <w:tab w:val="left" w:pos="567"/>
        </w:tabs>
        <w:spacing w:line="400" w:lineRule="exact"/>
        <w:ind w:left="1063" w:leftChars="256" w:hanging="525" w:hanging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（1）恒温恒湿型机组温度控制：18～24℃；湿度控制45-65%。</w:t>
      </w:r>
    </w:p>
    <w:p>
      <w:pPr>
        <w:tabs>
          <w:tab w:val="left" w:pos="567"/>
        </w:tabs>
        <w:spacing w:line="400" w:lineRule="exact"/>
        <w:ind w:firstLine="5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（2）电源：3N-50Hz  380V（三相四线）</w:t>
      </w:r>
    </w:p>
    <w:p>
      <w:pPr>
        <w:tabs>
          <w:tab w:val="left" w:pos="567"/>
        </w:tabs>
        <w:spacing w:line="400" w:lineRule="exact"/>
        <w:ind w:firstLine="5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（3）参数：额定风量、机外余压、制冷量、 制热量、电机功率制冷设备整体要求带变频装置、全自动控制；初效过滤器：板式无纺布材质G4，中效过滤器：袋式、无纺布材质F8；功能段：新风回风混合段、初效过滤段、表冷段 中间段、风机出风段、中效过滤段、均流段机组有效减震处理三相，380V，50HZ。</w:t>
      </w:r>
    </w:p>
    <w:tbl>
      <w:tblPr>
        <w:tblStyle w:val="8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51"/>
        <w:gridCol w:w="596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951"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机组名称</w:t>
            </w:r>
          </w:p>
        </w:tc>
        <w:tc>
          <w:tcPr>
            <w:tcW w:w="5969"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机组参数</w:t>
            </w:r>
          </w:p>
        </w:tc>
        <w:tc>
          <w:tcPr>
            <w:tcW w:w="846"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951" w:type="dxa"/>
            <w:shd w:val="clear" w:color="auto" w:fill="auto"/>
            <w:vAlign w:val="center"/>
          </w:tcPr>
          <w:p>
            <w:pPr>
              <w:tabs>
                <w:tab w:val="left" w:pos="567"/>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恒温恒湿式净化机组</w:t>
            </w:r>
          </w:p>
        </w:tc>
        <w:tc>
          <w:tcPr>
            <w:tcW w:w="5969" w:type="dxa"/>
            <w:shd w:val="clear" w:color="auto" w:fill="auto"/>
            <w:vAlign w:val="center"/>
          </w:tcPr>
          <w:p>
            <w:pPr>
              <w:tabs>
                <w:tab w:val="left" w:pos="567"/>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吊顶式，额定风量：≥1400m3/h  机外余压：≥650Pa 电机功率：≥3Kw ，初效过滤器：板式无纺布材质 G4 ， 中效过滤器：袋式、无纺布材质 F8，功能段：新风回风混合段、初效过滤段、表冷段 中间段、风机出风段、中效过滤段、 均流段  机组有效减震处理 三相，380V，50HZ内机外形尺寸（宽*深*高）≤950*1800*650mm，吊顶安装。</w:t>
            </w:r>
          </w:p>
        </w:tc>
        <w:tc>
          <w:tcPr>
            <w:tcW w:w="846"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951" w:type="dxa"/>
            <w:shd w:val="clear" w:color="auto" w:fill="auto"/>
            <w:vAlign w:val="center"/>
          </w:tcPr>
          <w:p>
            <w:pPr>
              <w:tabs>
                <w:tab w:val="left" w:pos="567"/>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风冷直膨式净化机组室外机（AHU-1、2）</w:t>
            </w:r>
          </w:p>
        </w:tc>
        <w:tc>
          <w:tcPr>
            <w:tcW w:w="5969" w:type="dxa"/>
            <w:shd w:val="clear" w:color="auto" w:fill="auto"/>
            <w:vAlign w:val="center"/>
          </w:tcPr>
          <w:p>
            <w:pPr>
              <w:tabs>
                <w:tab w:val="left" w:pos="567"/>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制冷量：≥7.5Kw 制热量：≥8Kw  三相，380V，50HZ</w:t>
            </w:r>
          </w:p>
        </w:tc>
        <w:tc>
          <w:tcPr>
            <w:tcW w:w="846" w:type="dxa"/>
            <w:shd w:val="clear" w:color="auto" w:fill="auto"/>
            <w:vAlign w:val="center"/>
          </w:tcPr>
          <w:p>
            <w:pPr>
              <w:tabs>
                <w:tab w:val="left" w:pos="567"/>
              </w:tabs>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bl>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1.2设备性能要求：</w:t>
      </w:r>
    </w:p>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1.2.1 总则：</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（1）投标方提供设备，应满足招标方提出的有关设计参数，并确保在招标方提出的厂址，气象条件下长期安全可靠运行。</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除了轴承，制冷压缩机及转动部件含皮带正常寿命期间更换外，其余材料和部件应在正常情况下运行15年。</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（3）直接蒸发盘管、风冷式冷凝器的制造和检验应符合国家标准或制造厂标准。</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（4）机组应在额定电压的额定定值（AC三相、380伏、50赫兹）的±10%范围内能正常启动和运转。</w:t>
      </w:r>
    </w:p>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1.2.2设计要求</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（1）机组的实测风量在标准空气工况下应不小于额定风量（空气标准工况是指空气温度20℃、压力101.3kPa，密度为1.2kg/m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时的空气状态）。</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（2）机组在标准空气工况下，实测值应不小于额定值。</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（3）在机组内外压差为额定余压1.2倍时，漏风率应不大于3%。</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机组在名义工况下的供冷量（供热量）的实测值应不小于额定值。</w:t>
      </w:r>
    </w:p>
    <w:p>
      <w:pPr>
        <w:spacing w:line="40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1.2.3</w:t>
      </w:r>
      <w:r>
        <w:rPr>
          <w:rFonts w:hint="eastAsia" w:asciiTheme="minorEastAsia" w:hAnsiTheme="minorEastAsia" w:eastAsiaTheme="minorEastAsia" w:cstheme="minorEastAsia"/>
          <w:color w:val="auto"/>
          <w:sz w:val="21"/>
          <w:szCs w:val="21"/>
          <w:highlight w:val="none"/>
        </w:rPr>
        <w:t>净化机组</w:t>
      </w:r>
      <w:r>
        <w:rPr>
          <w:rFonts w:hint="eastAsia" w:asciiTheme="minorEastAsia" w:hAnsiTheme="minorEastAsia" w:eastAsiaTheme="minorEastAsia" w:cstheme="minorEastAsia"/>
          <w:b/>
          <w:color w:val="auto"/>
          <w:sz w:val="21"/>
          <w:szCs w:val="21"/>
          <w:highlight w:val="none"/>
        </w:rPr>
        <w:t>性能</w:t>
      </w:r>
    </w:p>
    <w:p>
      <w:pPr>
        <w:widowControl/>
        <w:numPr>
          <w:ilvl w:val="0"/>
          <w:numId w:val="11"/>
        </w:num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室内机：结构为防冷桥铝合金型材配双层发泡面板，内衬有钢制骨架，确保了高静压下的强度以及刚度。双层发泡面板，外层采用冷轧钢板静电喷塑防腐处理，厚度不小于1.0mm，内层板采用镀锌钢板厚度不小于0.8mm，内充填发泡聚氨脂直接发泡（密度≥48kg/m3），保温层厚度不小于30mm，导热系数小于0.02W/m℃。应无冷桥现象出现。机组在最大静压下，面板和框架应能承受持久的扭曲但不产生永久变形；底层面板应有足够的强度，满足检修，安装要求。全部面板都是可拆卸的，以便于检修。</w:t>
      </w:r>
    </w:p>
    <w:p>
      <w:pPr>
        <w:widowControl/>
        <w:numPr>
          <w:ilvl w:val="0"/>
          <w:numId w:val="11"/>
        </w:num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制冷压缩机：压缩机选用国内外知名品牌全封闭涡旋式压缩机；压缩机置于室外机。</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1）压缩机为全封闭型，并稳妥地安装地隔振器上。</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压缩机电机应为吸入式，采用冷媒气冷却。</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3）电动机的绕阻应为通过埋入里面的热敏电阻保护，防止超温。</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4)制冷压缩机的生产、试验、检验应按国家标准或制造厂标准进行。</w:t>
      </w:r>
    </w:p>
    <w:p>
      <w:pPr>
        <w:widowControl/>
        <w:numPr>
          <w:ilvl w:val="0"/>
          <w:numId w:val="11"/>
        </w:num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直接蒸发盘管：直接蒸发盘管应由紫铜管外胀铝翅片制成。</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1)无缝紫铜管管径</w:t>
      </w:r>
      <w:r>
        <w:rPr>
          <w:rFonts w:hint="eastAsia" w:asciiTheme="minorEastAsia" w:hAnsiTheme="minorEastAsia" w:eastAsiaTheme="minorEastAsia" w:cstheme="minorEastAsia"/>
          <w:color w:val="auto"/>
          <w:sz w:val="21"/>
          <w:szCs w:val="21"/>
          <w:highlight w:val="none"/>
          <w:lang w:eastAsia="zh-CN"/>
        </w:rPr>
        <w:t>约</w:t>
      </w:r>
      <w:r>
        <w:rPr>
          <w:rFonts w:hint="eastAsia" w:asciiTheme="minorEastAsia" w:hAnsiTheme="minorEastAsia" w:eastAsiaTheme="minorEastAsia" w:cstheme="minorEastAsia"/>
          <w:color w:val="auto"/>
          <w:sz w:val="21"/>
          <w:szCs w:val="21"/>
          <w:highlight w:val="none"/>
        </w:rPr>
        <w:t>为9.52mm，壁厚至少为0.27mm。</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2)翅片含铝至少95%。铝翅片的厚度至少为0.11mm。翅片采用机械固定方法与紫铜管连接。</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3)冷冻剂膨胀阀应采用固定在制冷盘管分布器上。对于一台压缩机以上的组装机组，每台压缩机都应有单独的冷冻剂管路。</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4)空气通过制冷盘管的最大迎风面风速不应超过2.5m/s。</w:t>
      </w:r>
      <w:r>
        <w:rPr>
          <w:rFonts w:hint="eastAsia" w:asciiTheme="minorEastAsia" w:hAnsiTheme="minorEastAsia" w:eastAsiaTheme="minorEastAsia" w:cstheme="minorEastAsia"/>
          <w:color w:val="auto"/>
          <w:sz w:val="21"/>
          <w:szCs w:val="21"/>
          <w:highlight w:val="none"/>
        </w:rPr>
        <w:t>最大盘管排数不宜超过8排。</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5)制冷盘管设计、安装应使空气与冷媒成逆向交叉流动，即使冷媒入口处于出风侧，冷媒出口处处于进风侧，以便得到较大到对数温差，运行较好的换热。</w:t>
      </w:r>
    </w:p>
    <w:p>
      <w:pPr>
        <w:widowControl/>
        <w:numPr>
          <w:ilvl w:val="0"/>
          <w:numId w:val="11"/>
        </w:num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室内机风机</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风机选用离心式风机。</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1)配有一组或多组前倾叶轮，安装在尺寸合适到实心轴上。风机叶轮和轴应在制造厂内做静平衡和动平衡试验。轴在制造厂加工后应刷一度防锈涂层。</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2)前倾叶轮采用铝合金或镀锌钢板制成。外壳由镀锌钢板制成。</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3)风机轴承应为自行对准的滚珠或滚轴轴承，其应能有效的封闭以防止润滑剂流失或赃物侵入。</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4)离心风机的设计、制造、测试应按国家标准或制造厂标准进行。</w:t>
      </w:r>
    </w:p>
    <w:p>
      <w:pPr>
        <w:widowControl/>
        <w:numPr>
          <w:ilvl w:val="0"/>
          <w:numId w:val="11"/>
        </w:numPr>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空气过滤器</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1)、机组回风口设有初效过滤器，过滤材料为阻燃型无纺布，过滤效率达到G4，对高中效过滤器起到良好的前置保护作用，安装在机组滑框上，能自由抽出清冼。</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2)、机组出风口设高中效过滤器，高中效过滤器在机组内采用螺丝压条压紧方式。高中效过滤器的过滤材料为超细聚</w:t>
      </w:r>
      <w:r>
        <w:rPr>
          <w:rFonts w:hint="eastAsia" w:asciiTheme="minorEastAsia" w:hAnsiTheme="minorEastAsia" w:eastAsiaTheme="minorEastAsia" w:cstheme="minorEastAsia"/>
          <w:color w:val="auto"/>
          <w:sz w:val="21"/>
          <w:szCs w:val="21"/>
          <w:highlight w:val="none"/>
        </w:rPr>
        <w:t>丙烯纤维滤料（W型），袋式结构，过滤效率达到F8（比色法90%至95%）。</w:t>
      </w:r>
    </w:p>
    <w:p>
      <w:pPr>
        <w:adjustRightInd w:val="0"/>
        <w:spacing w:line="400" w:lineRule="exact"/>
        <w:ind w:firstLine="210" w:firstLineChars="100"/>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3)、过滤器装有风压压差报警装置，方便提醒用户清洗更换过滤器。</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（6）滴水盘</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滴水盘大小及容量应设计成能使制冷盘管之冷凝水全部流入滴水盘中，并应能畅通的排水功能。滴水盘采用不锈钢材料。</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1)滴水盘的两端设有直径</w:t>
      </w:r>
      <w:r>
        <w:rPr>
          <w:rFonts w:hint="eastAsia" w:asciiTheme="minorEastAsia" w:hAnsiTheme="minorEastAsia" w:eastAsiaTheme="minorEastAsia" w:cstheme="minorEastAsia"/>
          <w:color w:val="auto"/>
          <w:sz w:val="21"/>
          <w:szCs w:val="21"/>
          <w:highlight w:val="none"/>
          <w:lang w:eastAsia="zh-CN"/>
        </w:rPr>
        <w:t>约</w:t>
      </w:r>
      <w:r>
        <w:rPr>
          <w:rFonts w:hint="eastAsia" w:asciiTheme="minorEastAsia" w:hAnsiTheme="minorEastAsia" w:eastAsiaTheme="minorEastAsia" w:cstheme="minorEastAsia"/>
          <w:color w:val="auto"/>
          <w:sz w:val="21"/>
          <w:szCs w:val="21"/>
          <w:highlight w:val="none"/>
        </w:rPr>
        <w:t>为25mm的排水接头。</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2)滴水盘的外表面应铺上厚度</w:t>
      </w:r>
      <w:r>
        <w:rPr>
          <w:rFonts w:hint="eastAsia" w:asciiTheme="minorEastAsia" w:hAnsiTheme="minorEastAsia" w:eastAsiaTheme="minorEastAsia" w:cstheme="minorEastAsia"/>
          <w:color w:val="auto"/>
          <w:sz w:val="21"/>
          <w:szCs w:val="21"/>
          <w:highlight w:val="none"/>
          <w:lang w:eastAsia="zh-CN"/>
        </w:rPr>
        <w:t>约</w:t>
      </w:r>
      <w:r>
        <w:rPr>
          <w:rFonts w:hint="eastAsia" w:asciiTheme="minorEastAsia" w:hAnsiTheme="minorEastAsia" w:eastAsiaTheme="minorEastAsia" w:cstheme="minorEastAsia"/>
          <w:color w:val="auto"/>
          <w:sz w:val="21"/>
          <w:szCs w:val="21"/>
          <w:highlight w:val="none"/>
        </w:rPr>
        <w:t>为25mm的不燃性保温材料。</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室外机：冷凝器应由紫铜管外胀铝翅片制成；室外机为四周进风顶排风。</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制冷剂管路系统</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1)机组应配置由工厂安装的机组内部所有部件之间的冷剂管道。</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2)每台压缩机有一独立的制冷剂管路系统。</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3)系统管道连接完成后，应经过2.24MPa干燥氮气的耐压试验和检漏试验。</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（9）控制要求</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1)机组自带控制箱，自动控制温度，控制压缩机、风机启停工作、故障状态。</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2)整个电路系统装有多种保护装置：压缩机过流保护、风机过流保护、系统高低压保护</w:t>
      </w:r>
      <w:r>
        <w:rPr>
          <w:rFonts w:hint="eastAsia" w:asciiTheme="minorEastAsia" w:hAnsiTheme="minorEastAsia" w:eastAsiaTheme="minorEastAsia" w:cstheme="minorEastAsia"/>
          <w:color w:val="auto"/>
          <w:sz w:val="21"/>
          <w:szCs w:val="21"/>
          <w:highlight w:val="none"/>
        </w:rPr>
        <w:t>、风机欠风保护、滤器清洗报警等。</w:t>
      </w:r>
    </w:p>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1.2.4 保温</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1)室内机机柜面板保温均由投标方在工厂内负责进行。</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2)保温材料采用不燃性保温材料，其传热系数K值应不大于0.36W/m</w:t>
      </w:r>
      <w:r>
        <w:rPr>
          <w:rFonts w:hint="eastAsia" w:asciiTheme="minorEastAsia" w:hAnsiTheme="minorEastAsia" w:eastAsiaTheme="minorEastAsia" w:cstheme="minorEastAsia"/>
          <w:color w:val="auto"/>
          <w:sz w:val="21"/>
          <w:szCs w:val="21"/>
          <w:highlight w:val="none"/>
          <w:vertAlign w:val="superscript"/>
        </w:rPr>
        <w:t>2</w:t>
      </w:r>
      <w:r>
        <w:rPr>
          <w:rFonts w:hint="eastAsia" w:asciiTheme="minorEastAsia" w:hAnsiTheme="minorEastAsia" w:eastAsiaTheme="minorEastAsia" w:cstheme="minorEastAsia"/>
          <w:color w:val="auto"/>
          <w:sz w:val="21"/>
          <w:szCs w:val="21"/>
          <w:highlight w:val="none"/>
        </w:rPr>
        <w:t>·℃。</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3)保温层外设置隔汽层和保护层，以防止保温层受潮和受损。</w:t>
      </w:r>
    </w:p>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1.2.5材料及焊接</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1)机组所采用的钢板、型材、管材等应符合投标方国国家标准规定。</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2)垫圈、涂料、保温材料、过滤器及设备其它结构应是有防火特性，并符合投标方国国家防火协会的等级及其试验要求。</w:t>
      </w:r>
    </w:p>
    <w:p>
      <w:pPr>
        <w:adjustRightInd w:val="0"/>
        <w:spacing w:line="400" w:lineRule="exact"/>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3)机组各部件材料之间的焊接工艺、方法、材料应符合投标方国国家标准。</w:t>
      </w:r>
    </w:p>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1.2.6 噪音控制</w:t>
      </w:r>
    </w:p>
    <w:p>
      <w:pPr>
        <w:spacing w:line="400" w:lineRule="exact"/>
        <w:ind w:firstLine="5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在距离机组室内机外壳1.5mm和地面以上1.0m处测得的噪声值应不大于75dB(A)。</w:t>
      </w:r>
    </w:p>
    <w:p>
      <w:pPr>
        <w:spacing w:line="400" w:lineRule="exact"/>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3.2.</w:t>
      </w:r>
      <w:r>
        <w:rPr>
          <w:rFonts w:hint="eastAsia" w:asciiTheme="minorEastAsia" w:hAnsiTheme="minorEastAsia" w:eastAsiaTheme="minorEastAsia" w:cstheme="minorEastAsia"/>
          <w:b/>
          <w:color w:val="auto"/>
          <w:sz w:val="21"/>
          <w:szCs w:val="21"/>
          <w:highlight w:val="none"/>
        </w:rPr>
        <w:t>1.2.7机组振动值</w:t>
      </w:r>
    </w:p>
    <w:p>
      <w:pPr>
        <w:spacing w:line="400" w:lineRule="exact"/>
        <w:ind w:firstLine="53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机组室内、外机运转动时的垂直振动不超过15μm。</w:t>
      </w:r>
    </w:p>
    <w:p>
      <w:pPr>
        <w:spacing w:line="400" w:lineRule="exact"/>
        <w:rPr>
          <w:rFonts w:hint="eastAsia" w:asciiTheme="minorEastAsia" w:hAnsiTheme="minorEastAsia" w:eastAsiaTheme="minorEastAsia" w:cstheme="minorEastAsia"/>
          <w:b/>
          <w:bCs/>
          <w:color w:val="auto"/>
          <w:sz w:val="21"/>
          <w:szCs w:val="21"/>
          <w:highlight w:val="none"/>
        </w:rPr>
      </w:pPr>
    </w:p>
    <w:p>
      <w:pPr>
        <w:spacing w:line="40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（4）净化机组方案说明：</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4.1洁净室送风量的确定：洁净室送风量应取下列两项中的最大者：</w:t>
      </w:r>
    </w:p>
    <w:p>
      <w:pPr>
        <w:spacing w:line="400" w:lineRule="exact"/>
        <w:ind w:left="10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A、保证空气洁净度等级和补充室内排风量所需风量；</w:t>
      </w:r>
    </w:p>
    <w:p>
      <w:pPr>
        <w:spacing w:line="400" w:lineRule="exact"/>
        <w:ind w:left="10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B、满足洁净室温、湿度要求和补充室内排风量所需风量。</w:t>
      </w:r>
    </w:p>
    <w:p>
      <w:pPr>
        <w:spacing w:line="400" w:lineRule="exact"/>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4.2洁净室新风量的确定：新风量应取下列两项中的最大者：</w:t>
      </w:r>
    </w:p>
    <w:p>
      <w:pPr>
        <w:spacing w:line="400" w:lineRule="exact"/>
        <w:ind w:left="10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A、保持室内正压值和补偿室内排风量所需新风量</w:t>
      </w:r>
    </w:p>
    <w:p>
      <w:pPr>
        <w:spacing w:line="400" w:lineRule="exact"/>
        <w:ind w:left="10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B、满足洁净室内人员新风量的要求40 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/h.人。</w:t>
      </w:r>
    </w:p>
    <w:p>
      <w:pPr>
        <w:spacing w:line="400" w:lineRule="exact"/>
        <w:ind w:left="735" w:leftChars="150"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气流组织形式：顶送、侧下回。采用高效过滤器风口，均匀地布置在顶棚上，空气经高效过滤器送出，工作区气流分布比较均匀；回风口选用带过滤网的铝合金双层百叶风口，回风口设在洁净区回风竖井下部，空气通过百叶风口回至回风竖井、回风支干管，然后回至净化机组中。</w:t>
      </w:r>
    </w:p>
    <w:p>
      <w:pPr>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4.4压差控制：回风口控制，通过调节回风口上的百叶改变其阻力来调整回风量。</w:t>
      </w:r>
    </w:p>
    <w:p>
      <w:pPr>
        <w:spacing w:line="400" w:lineRule="exact"/>
        <w:ind w:left="630" w:leftChars="200" w:hanging="210" w:hanging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4.5风管系统设计：本工程按洁净室噪声要求小于65dB（A），风管风速按下列数据选择：总风管为6-10m/s，无送回风口的支风管为4-6m/s，有送回风口的支风管为2-5 m/s。</w:t>
      </w:r>
    </w:p>
    <w:p>
      <w:pPr>
        <w:spacing w:line="40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(5）电气说明部分</w:t>
      </w:r>
    </w:p>
    <w:p>
      <w:pPr>
        <w:spacing w:line="400" w:lineRule="exact"/>
        <w:ind w:left="6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5.1采用3N，50HZ，220/380V电源供电。</w:t>
      </w:r>
    </w:p>
    <w:p>
      <w:pPr>
        <w:spacing w:line="400" w:lineRule="exact"/>
        <w:ind w:left="1050" w:leftChars="300"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5.2接地极要求：采用约50×5×2500mm 镀锌角钢，连接线采用φ10圆钢，接地型式TN-S,在配电箱内重复接地，接地线采用φ10圆钢与基础内钢筋焊接引来。保护接地电阻不大于4Ω。</w:t>
      </w:r>
    </w:p>
    <w:p>
      <w:pPr>
        <w:spacing w:line="400" w:lineRule="exact"/>
        <w:ind w:left="1050" w:leftChars="300"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5.3配电箱(含净化设备、照明、插座、设备及备用)距地≥1.5m安装，开关距地≥1.5m安装，插座距地≥0.3m安装。</w:t>
      </w:r>
    </w:p>
    <w:p>
      <w:pPr>
        <w:spacing w:line="400" w:lineRule="exact"/>
        <w:ind w:left="1050" w:leftChars="350" w:hanging="315" w:hanging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5.4根据净化照明要求，本工程选用2×28W/14W净化荧光灯，采用吸顶式安装。净化灯于顶棚接缝处应用密封胶密封。净化灯的布置应避免与送、回、排风口冲突，尽量做到布置均匀，美观大方。</w:t>
      </w:r>
    </w:p>
    <w:p>
      <w:pPr>
        <w:spacing w:line="400" w:lineRule="exact"/>
        <w:ind w:left="1155" w:leftChars="350" w:hanging="420" w:hanging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5.5在一般区域内塑料线槽布线安装的，其线槽规格如下原则选取：动力和照明按分别线槽布线的原则执行。在槽满率不超过40％的情况下允许多个回路同槽布线安装。</w:t>
      </w:r>
    </w:p>
    <w:p>
      <w:pPr>
        <w:rPr>
          <w:rFonts w:hint="eastAsia" w:asciiTheme="minorEastAsia" w:hAnsiTheme="minorEastAsia" w:eastAsiaTheme="minorEastAsia" w:cstheme="minorEastAsia"/>
          <w:color w:val="auto"/>
          <w:sz w:val="21"/>
          <w:szCs w:val="21"/>
          <w:highlight w:val="none"/>
          <w:lang w:val="zh-CN"/>
        </w:rPr>
      </w:pP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五、现场踏勘</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本项目不集中组织</w:t>
      </w:r>
      <w:r>
        <w:rPr>
          <w:rFonts w:hint="eastAsia" w:asciiTheme="minorEastAsia" w:hAnsiTheme="minorEastAsia" w:eastAsiaTheme="minorEastAsia" w:cstheme="minorEastAsia"/>
          <w:color w:val="auto"/>
          <w:sz w:val="21"/>
          <w:szCs w:val="21"/>
          <w:highlight w:val="none"/>
        </w:rPr>
        <w:t>现场踏勘</w:t>
      </w:r>
      <w:r>
        <w:rPr>
          <w:rFonts w:hint="eastAsia" w:asciiTheme="minorEastAsia" w:hAnsiTheme="minorEastAsia" w:eastAsiaTheme="minorEastAsia" w:cstheme="minorEastAsia"/>
          <w:color w:val="auto"/>
          <w:sz w:val="21"/>
          <w:szCs w:val="21"/>
          <w:highlight w:val="none"/>
          <w:lang w:val="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pStyle w:val="2"/>
        <w:rPr>
          <w:rFonts w:hint="eastAsia" w:asciiTheme="minorEastAsia" w:hAnsiTheme="minorEastAsia" w:eastAsiaTheme="minorEastAsia" w:cstheme="minorEastAsia"/>
          <w:color w:val="auto"/>
          <w:sz w:val="21"/>
          <w:szCs w:val="21"/>
          <w:highlight w:val="none"/>
          <w:lang w:val="zh-CN"/>
        </w:rPr>
      </w:pPr>
    </w:p>
    <w:p>
      <w:pPr>
        <w:tabs>
          <w:tab w:val="left" w:pos="840"/>
        </w:tabs>
        <w:spacing w:line="360" w:lineRule="auto"/>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六、主要材料采购一览表</w:t>
      </w:r>
    </w:p>
    <w:tbl>
      <w:tblPr>
        <w:tblStyle w:val="89"/>
        <w:tblW w:w="9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1610"/>
        <w:gridCol w:w="2726"/>
        <w:gridCol w:w="573"/>
        <w:gridCol w:w="545"/>
        <w:gridCol w:w="1606"/>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序号</w:t>
            </w:r>
          </w:p>
        </w:tc>
        <w:tc>
          <w:tcPr>
            <w:tcW w:w="16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货物名称</w:t>
            </w:r>
          </w:p>
        </w:tc>
        <w:tc>
          <w:tcPr>
            <w:tcW w:w="272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型号规格与技术参数</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数量</w:t>
            </w:r>
          </w:p>
        </w:tc>
        <w:tc>
          <w:tcPr>
            <w:tcW w:w="54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单位</w:t>
            </w:r>
          </w:p>
        </w:tc>
        <w:tc>
          <w:tcPr>
            <w:tcW w:w="160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备注</w:t>
            </w: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highlight w:val="none"/>
                <w:u w:val="none"/>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0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一、排风部分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玻璃钢离心风机</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F4-72- 7A、N=7.5Kw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Q= 11300-19400m3/h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P= 1570-1045Pa</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r= 1450r/m</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载泽、生泰、三合、顶裕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w:t>
            </w:r>
            <w:r>
              <w:rPr>
                <w:rStyle w:val="220"/>
                <w:rFonts w:hint="eastAsia" w:asciiTheme="minorEastAsia" w:hAnsiTheme="minorEastAsia" w:eastAsiaTheme="minorEastAsia" w:cstheme="minorEastAsia"/>
                <w:color w:val="auto"/>
                <w:sz w:val="21"/>
                <w:szCs w:val="21"/>
                <w:highlight w:val="none"/>
                <w:lang w:val="en-US" w:eastAsia="zh-CN" w:bidi="ar"/>
              </w:rPr>
              <w:t>A-600*400 玻璃钢</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风机进口变径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约#7A-800*400 玻璃钢</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 PVC</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软连接</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 PVC</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条</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伞形防雨帽</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约#7A 玻璃钢</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风机减震垫</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≥100*100mm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风机水泥机座</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≥4000*2500*150mm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钢筋混凝土按标准工艺制作</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钢材：宝钢、武钢、鞍钢 ；水泥：英德、英臺、粤磊、石井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吸附箱水泥机座</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≥3000*2500*150mm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消声器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≥1200*800mm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防腐玻璃钢材质</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载泽、生泰、三合、顶裕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处理风量10000m3/h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(2)系统调试费           (3)外箱尺寸约1800*1500*1200mm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外箱采用≥10mm厚PP材质制作，设两层蜂窝状活性炭过滤板，放≥150mm厚/层共 6块活性炭吸附板</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活性炭吸附箱</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处理风量15000m3/h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(1)活性炭吸附箱安装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(2)系统调试费          （3)外箱尺寸约2400*1500*1200mm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外箱采用≥10mm厚PP材质制作，设两层蜂窝状活性炭过滤板，放≥150mm厚/层共 6块活性炭吸附板</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(2)规格:约600*400mm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顺达、宏发、峻威、中境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1"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70℃常开防火阀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(1)名称:70℃防火阀</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(2)规格:约800*400mm</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(3)刷漆:一般钢结构手工除轻锈，一般钢结构防锈漆两遍</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(4)支架:设备支架制作和安装</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顺达、宏发、峻威、中境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防腐PP材质制作</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载泽、台雄、熙诚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电动调风阀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1.电动调风阀安装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2.DN 315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防腐PP材质制作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熙诚，宝迪亚、晋兴、贤骏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48</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24</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PP风管</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64</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PP弯头</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PP变径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约ø250\ø160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PP变径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约600*400\ø250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PP变径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约600*400\400*300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PP变径</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约800*400\400*300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约ø160\ø160\ø110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约ø250\ø250\ø110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13</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约ø250\ø250\ø160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约400*300\400*300\ø160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约400*300\400*300\ø315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PP三通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约400*400\400*400\ø315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44</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约800*400\800*400\ø250</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45</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三通</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约800*400\800*400\400*400</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约ø110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约ø160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采用≥3mmPP板制作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约ø315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采用≥4mmPP板制作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约600*400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PP 直通</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采用≥5mmPP板制作</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风阀控制面板配底座</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现场定制</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熙诚、台雄、扬悦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管道静压传感控制系统</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i w:val="0"/>
                <w:color w:val="auto"/>
                <w:sz w:val="21"/>
                <w:szCs w:val="21"/>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Dwyer、霍尼韦尔、西门子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变频器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约7.5 KW</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ABB、施耐德、西门子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57</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通风配电箱4、5</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1.成套配电箱安装、交流接触器、中间继电器 </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2、按钮、指示灯、电流表</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基业、展业、一控电气、广东旺洪、依基、白云电器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动力线</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约ZR-YJV-4x6mm2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珠江环市、珠江花城、广东电缆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电动风阀电源线</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约ZR-BV-3x0.75mm2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控制面板电源线</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约ZR-BV-3x1.0mm2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系统控制线</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约8芯数据控制线</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1200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线管（P</w:t>
            </w:r>
            <w:r>
              <w:rPr>
                <w:rStyle w:val="221"/>
                <w:rFonts w:hint="eastAsia" w:asciiTheme="minorEastAsia" w:hAnsiTheme="minorEastAsia" w:eastAsiaTheme="minorEastAsia" w:cstheme="minorEastAsia"/>
                <w:color w:val="auto"/>
                <w:sz w:val="21"/>
                <w:szCs w:val="21"/>
                <w:highlight w:val="none"/>
                <w:lang w:val="en-US" w:eastAsia="zh-CN" w:bidi="ar"/>
              </w:rPr>
              <w:t>VC）</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约ø25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联塑、祥塑、金德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镀锌桥架及配件</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约100*50*1.5 钢制喷涂</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米</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市购、国标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风管支吊架</w:t>
            </w:r>
          </w:p>
        </w:tc>
        <w:tc>
          <w:tcPr>
            <w:tcW w:w="27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1.类型:通风设备支架制作安装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2.材质:钢结构</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3.除锈、刷油设计要求:手工除锈 防锈漆两遍</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685</w:t>
            </w:r>
          </w:p>
        </w:tc>
        <w:tc>
          <w:tcPr>
            <w:tcW w:w="54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Kg</w:t>
            </w:r>
          </w:p>
        </w:tc>
        <w:tc>
          <w:tcPr>
            <w:tcW w:w="160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市购、国标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0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auto"/>
                <w:kern w:val="0"/>
                <w:sz w:val="21"/>
                <w:szCs w:val="21"/>
                <w:highlight w:val="none"/>
                <w:u w:val="none"/>
                <w:lang w:val="en-US" w:eastAsia="zh-CN" w:bidi="ar"/>
              </w:rPr>
            </w:pPr>
            <w:r>
              <w:rPr>
                <w:rFonts w:hint="eastAsia" w:asciiTheme="minorEastAsia" w:hAnsiTheme="minorEastAsia" w:eastAsiaTheme="minorEastAsia" w:cstheme="minorEastAsia"/>
                <w:b/>
                <w:i w:val="0"/>
                <w:color w:val="auto"/>
                <w:kern w:val="0"/>
                <w:sz w:val="21"/>
                <w:szCs w:val="21"/>
                <w:highlight w:val="none"/>
                <w:u w:val="none"/>
                <w:lang w:val="en-US" w:eastAsia="zh-CN" w:bidi="ar"/>
              </w:rPr>
              <w:t>二、洁净系统设备部分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1" w:hRule="atLeast"/>
        </w:trPr>
        <w:tc>
          <w:tcPr>
            <w:tcW w:w="49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65</w:t>
            </w:r>
          </w:p>
        </w:tc>
        <w:tc>
          <w:tcPr>
            <w:tcW w:w="161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直膨组合式空气处理机组（AHU-1）室内机组</w:t>
            </w:r>
          </w:p>
        </w:tc>
        <w:tc>
          <w:tcPr>
            <w:tcW w:w="272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吊顶式，额定风量：≥1400m3/h  机外余压：≥650Pa 电机功率：≥3Kw ，初效过滤器：板式无纺布材质 G4 ， 中效过滤器：袋式、无纺布材质 F8，功能段：新风回风混合段、初效过滤段、表冷段 中间段、风机出风段、中效过滤段、 均流段  机组有效减震处理 三相，380V，50HZ，内机外形尺寸（宽*深*高）≤950*1800*650mm，吊顶安装。</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洁净实验室专用空调机组，符合国标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申菱、天加、雅士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风冷直膨式空调室外机（AHU-1）</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制冷量：≥7.5Kw 制热量：≥8Kw  三相，380V，50HZ</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台</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洁净实验室专用空调机组，符合国标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申菱、天加、雅士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设备基础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现场水泥砂浆浇注</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钢筋混凝土，按标准工艺制作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钢材：宝钢、武钢、鞍钢 ；水泥：英德、英臺、粤磊、石井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指针式压差表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压差0-60PA，1/8口内牙常温常压双高低压接口，精度21°C全刻度±4%，温度范围-7至60%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拓德、 ELECALL、 DWYER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高效过滤器</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1000m3/h，冷板制作、静电喷塑、铝散流板小孔484×484×220(mm)，过滤效率≥99.99。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洁千里、中境、顺达、金田科瑞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高效过滤器</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500m3/h，冷板制作、静电喷塑、铝散流板小孔320×320×220(mm)，过滤效率≥99.99。</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镀锌风管</w:t>
            </w:r>
          </w:p>
        </w:tc>
        <w:tc>
          <w:tcPr>
            <w:tcW w:w="27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δ＝0.8mm，符合Q/BQB430-1999标准。防锈。</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r>
              <w:rPr>
                <w:rStyle w:val="219"/>
                <w:rFonts w:hint="eastAsia" w:asciiTheme="minorEastAsia" w:hAnsiTheme="minorEastAsia" w:eastAsiaTheme="minorEastAsia" w:cstheme="minorEastAsia"/>
                <w:color w:val="auto"/>
                <w:sz w:val="21"/>
                <w:szCs w:val="21"/>
                <w:highlight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武钢、鞍钢、宝钢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风管保温</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20mm</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r>
              <w:rPr>
                <w:rStyle w:val="219"/>
                <w:rFonts w:hint="eastAsia" w:asciiTheme="minorEastAsia" w:hAnsiTheme="minorEastAsia" w:eastAsiaTheme="minorEastAsia" w:cstheme="minorEastAsia"/>
                <w:color w:val="auto"/>
                <w:sz w:val="21"/>
                <w:szCs w:val="21"/>
                <w:highlight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按标准工艺制作标准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华美、康龙、工仕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消声静压箱  </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约800×400×320mm.表层0.8mm厚镀锌钢板制作，第二层20mm消音棉，第三层为纱网布，第四层为0.8mm厚镀锌钢板冲孔网</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顺达、洁千里、金田科瑞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手动风量调节阀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约200*200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顺达、宏发、峻威、中境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手动风量调节阀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约320*200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电动风量调节阀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约200*200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电动风量调节阀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约320*200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防火调节阀(70℃)</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约400×300，常开，温度&gt;70℃易熔片动作使阀门自动关闭</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79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止回阀</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约320×250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铝合金排风百叶</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约400x250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81</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新风防雨百页（带防虫网）</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约1200*1500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市购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风管支架</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优质镀锌钢材</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市购、现场制作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83</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空调铜管及保温</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≤20米范围内</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铜管：市购；保温：华美、康龙、工仕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84</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压力传感器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精度：0.5”&amp;0.25”w.c.; ±1%；0.1”w.c.:±2%。100&amp;50Pa:±1%;25Pa:±2%</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稳定性：±1%满量程/年</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温度范围: (-18 to 66°C).</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压力极限：最大耐压：1 psi（连续），安全极限压力：10 psi</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电源：10-35VDC（2 线）；17-36VDC 或隔离的21.6-33VAC(3 线)</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输出信号：4-20mA（2 线）；0-10V（3 线）</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拓德、ELECALL、DWYER、丰控、建大仁科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85</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风速传感器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量程：0-10m/s; 0-15m/s; 0-25m/s</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精度：0.2%fs</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电源：24VAC；24VDC</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频率：50Hz</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输出信号：0-10VDC;4-20mA;0-5V订制 RS485信号</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工作环境：温度：-5~+70 湿度：0-90%RH不凝露</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探头长度：标准220mm 可定制1500mm以下长度或非常规5000mm以下长度</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拓德、ELECALL、DWYER、丰控、建大仁科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86</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温湿度传感器</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外壳材料：塑料(PC+ABS)，阻燃，符合标准UL94-V0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接线端子排：螺旋式接线柱，最Da导线尺寸为1.5mm2或AWG16</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电源：24，18～40Vdc/24Vac</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输出：4～20mA/0～10V</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量程：0～1OO%RH</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温度：-5到55℃，0℃到70℃。零下25℃到60℃三档跳线选择</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精度：±2%RH,±4%RH 可选</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只</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拓德、ELECALL、DWYER、丰控、建大仁科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87</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空调风机控制箱(AP)</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PLC洁净空调控制柜(含人机界面、控制箱、控制线、传感器等元件）</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套</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国标</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电箱;基业、一控电气、广东旺洪、依基；电子元气件：施耐德、西门子、正泰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88</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开风口及修复</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本项目范围内包干</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现场处理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89</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安装辅材</w:t>
            </w:r>
          </w:p>
        </w:tc>
        <w:tc>
          <w:tcPr>
            <w:tcW w:w="2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包含安装所需的各种胶水，粘胶带，胶布，扎丝，帮扎带，支架，吊架，焊条，锁母，电工套管，涂料、油漆、松节油、银粉、水泥、沙子、铁钉、膨胀螺丝，螺栓、螺帽、铁线、粉线、测水平管、生料带、钢锯条、切割机砂轮片、砂纸、钢丝刷子、橡胶垫、橡胶石棉板等辅助性材料的采购与安装</w:t>
            </w: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市购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设备吊装</w:t>
            </w:r>
          </w:p>
        </w:tc>
        <w:tc>
          <w:tcPr>
            <w:tcW w:w="27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本项目范围内包干</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54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按标准工艺制作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color w:val="auto"/>
                <w:sz w:val="21"/>
                <w:szCs w:val="21"/>
                <w:highlight w:val="none"/>
                <w:u w:val="none"/>
              </w:rPr>
            </w:pPr>
          </w:p>
        </w:tc>
      </w:tr>
    </w:tbl>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val="zh-CN"/>
        </w:rPr>
        <w:t>主要材料采购一览表</w:t>
      </w:r>
      <w:r>
        <w:rPr>
          <w:rFonts w:hint="eastAsia" w:asciiTheme="minorEastAsia" w:hAnsiTheme="minorEastAsia" w:eastAsiaTheme="minorEastAsia" w:cstheme="minorEastAsia"/>
          <w:color w:val="auto"/>
          <w:sz w:val="21"/>
          <w:szCs w:val="21"/>
          <w:highlight w:val="none"/>
        </w:rPr>
        <w:t>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2、以上需求清单为基本配置清单，投标人须依据工艺设计进行细化，具体数量及规格必须按照工艺设计及建设方技术要求进行详细列表说明与施工。</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3、凡在“技术参数要求”中表述为“标配”或“标准配置”的设备，投标人应按第五章“投标文件格式”规定的格式在“投标产品技术资料表”中将其参数详细列明。</w:t>
      </w:r>
    </w:p>
    <w:p>
      <w:pPr>
        <w:pStyle w:val="2"/>
        <w:rPr>
          <w:rFonts w:hint="eastAsia" w:asciiTheme="minorEastAsia" w:hAnsiTheme="minorEastAsia" w:eastAsiaTheme="minorEastAsia" w:cstheme="minorEastAsia"/>
          <w:color w:val="auto"/>
          <w:sz w:val="21"/>
          <w:szCs w:val="21"/>
          <w:highlight w:val="none"/>
          <w:lang w:val="en-US" w:eastAsia="zh-CN"/>
        </w:rPr>
      </w:pPr>
    </w:p>
    <w:p>
      <w:pPr>
        <w:tabs>
          <w:tab w:val="left" w:pos="840"/>
        </w:tabs>
        <w:spacing w:line="440" w:lineRule="exact"/>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七、平面图</w:t>
      </w:r>
    </w:p>
    <w:p>
      <w:pPr>
        <w:pStyle w:val="2"/>
        <w:rPr>
          <w:rFonts w:hint="eastAsia" w:asciiTheme="minorEastAsia" w:hAnsiTheme="minorEastAsia" w:eastAsiaTheme="minorEastAsia" w:cstheme="minorEastAsia"/>
          <w:color w:val="auto"/>
          <w:sz w:val="21"/>
          <w:szCs w:val="21"/>
          <w:highlight w:val="none"/>
          <w:lang w:val="zh-CN"/>
        </w:rPr>
      </w:pPr>
    </w:p>
    <w:p>
      <w:pPr>
        <w:pStyle w:val="2"/>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drawing>
          <wp:inline distT="0" distB="0" distL="114300" distR="114300">
            <wp:extent cx="5949315" cy="8994140"/>
            <wp:effectExtent l="0" t="0" r="13335" b="16510"/>
            <wp:docPr id="22" name="图片 22" descr="1599971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99971348(1)"/>
                    <pic:cNvPicPr>
                      <a:picLocks noChangeAspect="1"/>
                    </pic:cNvPicPr>
                  </pic:nvPicPr>
                  <pic:blipFill>
                    <a:blip r:embed="rId26"/>
                    <a:stretch>
                      <a:fillRect/>
                    </a:stretch>
                  </pic:blipFill>
                  <pic:spPr>
                    <a:xfrm>
                      <a:off x="0" y="0"/>
                      <a:ext cx="5949315" cy="8994140"/>
                    </a:xfrm>
                    <a:prstGeom prst="rect">
                      <a:avLst/>
                    </a:prstGeom>
                  </pic:spPr>
                </pic:pic>
              </a:graphicData>
            </a:graphic>
          </wp:inline>
        </w:drawing>
      </w:r>
    </w:p>
    <w:p>
      <w:pPr>
        <w:pStyle w:val="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inline distT="0" distB="0" distL="114300" distR="114300">
            <wp:extent cx="6184265" cy="8350885"/>
            <wp:effectExtent l="0" t="0" r="6985" b="12065"/>
            <wp:docPr id="21" name="图片 21" descr="1599971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599971272(1)"/>
                    <pic:cNvPicPr>
                      <a:picLocks noChangeAspect="1"/>
                    </pic:cNvPicPr>
                  </pic:nvPicPr>
                  <pic:blipFill>
                    <a:blip r:embed="rId27"/>
                    <a:stretch>
                      <a:fillRect/>
                    </a:stretch>
                  </pic:blipFill>
                  <pic:spPr>
                    <a:xfrm>
                      <a:off x="0" y="0"/>
                      <a:ext cx="6184265" cy="8350885"/>
                    </a:xfrm>
                    <a:prstGeom prst="rect">
                      <a:avLst/>
                    </a:prstGeom>
                  </pic:spPr>
                </pic:pic>
              </a:graphicData>
            </a:graphic>
          </wp:inline>
        </w:drawing>
      </w:r>
    </w:p>
    <w:p>
      <w:pPr>
        <w:tabs>
          <w:tab w:val="left" w:pos="840"/>
        </w:tabs>
        <w:spacing w:line="440" w:lineRule="exact"/>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八</w:t>
      </w:r>
      <w:r>
        <w:rPr>
          <w:rFonts w:hint="eastAsia" w:asciiTheme="minorEastAsia" w:hAnsiTheme="minorEastAsia" w:eastAsiaTheme="minorEastAsia" w:cstheme="minorEastAsia"/>
          <w:b/>
          <w:color w:val="auto"/>
          <w:sz w:val="21"/>
          <w:szCs w:val="21"/>
          <w:highlight w:val="none"/>
          <w:lang w:val="zh-CN"/>
        </w:rPr>
        <w:t>、其他</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1.本次报价包括以上清单中所有内容，报价人必须给出清单所有项目的综合单价（综合单价须有明细内容）和合价，若有缺项漏项，应视为均摊在其他费用中。</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3.各报价人必须给出产品的详细资料，包括技术标准、产品配置、尺寸等，以便采购人综合进行评定。</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4.报价人必须保证：报价所列内容使得整个工程在功能上的完整性，并正常运行，验收合格。</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5.成交人责任:成交人在施工过程中需要负责处理好与周边的关系及经济问题，发生任何纠纷以及产生所有费用均由成交人自行承担。</w:t>
      </w:r>
    </w:p>
    <w:p>
      <w:pPr>
        <w:tabs>
          <w:tab w:val="left" w:pos="840"/>
        </w:tabs>
        <w:spacing w:line="440" w:lineRule="exact"/>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九、</w:t>
      </w:r>
      <w:r>
        <w:rPr>
          <w:rFonts w:hint="eastAsia" w:asciiTheme="minorEastAsia" w:hAnsiTheme="minorEastAsia" w:eastAsiaTheme="minorEastAsia" w:cstheme="minorEastAsia"/>
          <w:b/>
          <w:color w:val="auto"/>
          <w:sz w:val="21"/>
          <w:szCs w:val="21"/>
          <w:highlight w:val="none"/>
          <w:lang w:val="zh-CN"/>
        </w:rPr>
        <w:t>质量保修期及售后服务要求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1、免费质保期期限（自验收合格之日起计）：</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质量保修期</w:t>
      </w:r>
      <w:r>
        <w:rPr>
          <w:rFonts w:hint="eastAsia" w:asciiTheme="minorEastAsia" w:hAnsiTheme="minorEastAsia" w:eastAsiaTheme="minorEastAsia" w:cstheme="minorEastAsia"/>
          <w:color w:val="auto"/>
          <w:sz w:val="21"/>
          <w:szCs w:val="21"/>
          <w:highlight w:val="none"/>
        </w:rPr>
        <w:t>至少一</w:t>
      </w:r>
      <w:r>
        <w:rPr>
          <w:rFonts w:hint="eastAsia" w:asciiTheme="minorEastAsia" w:hAnsiTheme="minorEastAsia" w:eastAsiaTheme="minorEastAsia" w:cstheme="minorEastAsia"/>
          <w:color w:val="auto"/>
          <w:sz w:val="21"/>
          <w:szCs w:val="21"/>
          <w:highlight w:val="none"/>
          <w:lang w:val="zh-CN"/>
        </w:rPr>
        <w:t>年。</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以上要求，若国家或生产厂家对本项目所涉及货物及其服务的质保期规定高于本项目要求的，应按照国家或生产厂家的规定执行。</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质量保修期内成交人对所供项目内容实行包修、包换、包维护保养</w:t>
      </w:r>
      <w:r>
        <w:rPr>
          <w:rFonts w:hint="eastAsia" w:asciiTheme="minorEastAsia" w:hAnsiTheme="minorEastAsia" w:eastAsiaTheme="minorEastAsia" w:cstheme="minorEastAsia"/>
          <w:color w:val="auto"/>
          <w:sz w:val="21"/>
          <w:szCs w:val="21"/>
          <w:highlight w:val="none"/>
        </w:rPr>
        <w:t>，结合具体工程要求</w:t>
      </w:r>
      <w:r>
        <w:rPr>
          <w:rFonts w:hint="eastAsia" w:asciiTheme="minorEastAsia" w:hAnsiTheme="minorEastAsia" w:eastAsiaTheme="minorEastAsia" w:cstheme="minorEastAsia"/>
          <w:color w:val="auto"/>
          <w:sz w:val="21"/>
          <w:szCs w:val="21"/>
          <w:highlight w:val="none"/>
          <w:lang w:val="zh-CN"/>
        </w:rPr>
        <w:t>。免费质保期所涉及服务的一切费用均包含在投标报价中。</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报价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服务响应时间：报价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4、报价人应在广东省内有专业的售后服务机构和人员，并提供售后服务机构相关信息、联系电话及联系人。</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5、配件：报价人承诺在质保期内免费提供有效的常用配件。</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6、培训：报价人承诺在合同签订后，组织采购人相关管理人员进行产品使用和日常保养的知识培训，培训费用由报价人承担。</w:t>
      </w:r>
    </w:p>
    <w:p>
      <w:pPr>
        <w:tabs>
          <w:tab w:val="left" w:pos="840"/>
        </w:tabs>
        <w:spacing w:line="440" w:lineRule="exac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zh-CN"/>
        </w:rPr>
        <w:t>、支付方式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1.支付方式：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采购人按下述进度以转账方式支付相应款项。</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2.支付进度：</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（一）付款采用 分期付款方式；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（二）具体付款方式：</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（1）合同签订生效后，采购人支付成交人合同金额30%预付款；</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（2）所有货物到达安装现场并经采购人确认后，采购人按合同金额向成交人支付至80%的款项；</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项目完成并经采购人及上级主管部门验收合格等手续，采购人自收到发票后30日内将资金支付到成交人账户，支付至结算金额的95%，余下5%作为本项目质保金，质保期到期后无责免息支付给成交人。若成交人在质量保证期内未完全履行缺陷保修义务的，采购人有权扣除质量保证金，并保留进一步索赔的权利。</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（三）成交人向采购人申请支付货款时需提供：</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（2）成交人开具正式全额发票；</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（3）验收调试报告加盖采购人公章；</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（4）中标（成交）通知书。</w:t>
      </w:r>
      <w:bookmarkEnd w:id="280"/>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bookmarkStart w:id="291" w:name="_Toc293341641"/>
      <w:bookmarkStart w:id="292" w:name="_Toc303110406"/>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szCs w:val="21"/>
          <w:highlight w:val="none"/>
        </w:rPr>
        <w:t>注：本合同条款仅供参考，甲乙双方可根据实际情况进行补充，但不得对采购文件作实质性修改。</w:t>
      </w:r>
    </w:p>
    <w:p>
      <w:pPr>
        <w:jc w:val="center"/>
        <w:rPr>
          <w:rFonts w:asciiTheme="minorEastAsia" w:hAnsiTheme="minorEastAsia" w:eastAsiaTheme="minorEastAsia" w:cstheme="minorEastAsia"/>
          <w:b/>
          <w:color w:val="auto"/>
          <w:sz w:val="52"/>
          <w:szCs w:val="52"/>
          <w:highlight w:val="none"/>
        </w:rPr>
      </w:pPr>
    </w:p>
    <w:p>
      <w:pPr>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asciiTheme="minorEastAsia" w:hAnsiTheme="minorEastAsia" w:eastAsiaTheme="minorEastAsia" w:cstheme="minorEastAsia"/>
          <w:color w:val="auto"/>
          <w:sz w:val="28"/>
          <w:highlight w:val="none"/>
        </w:rPr>
      </w:pPr>
    </w:p>
    <w:p>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甲  方：</w:t>
      </w:r>
    </w:p>
    <w:p>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乙  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根据《中华人民共和国采购法》、《中华人民共和国合同法》及年月日竞争性磋商文件（招标编号：，采购代理机构： ）、投标文件的要求，经双方协商一致，签订本合同。具体条款如下：</w:t>
      </w:r>
    </w:p>
    <w:p>
      <w:pPr>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合同设备</w:t>
      </w:r>
    </w:p>
    <w:p>
      <w:pPr>
        <w:ind w:firstLine="48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乙方负责向甲方提供下表中所列采购项目和相关的安装调试服务。</w:t>
      </w:r>
    </w:p>
    <w:p>
      <w:pPr>
        <w:ind w:left="840"/>
        <w:rPr>
          <w:rFonts w:asciiTheme="minorEastAsia" w:hAnsiTheme="minorEastAsia" w:eastAsiaTheme="minorEastAsia" w:cstheme="minorEastAsia"/>
          <w:color w:val="auto"/>
          <w:highlight w:val="none"/>
        </w:rPr>
      </w:pPr>
    </w:p>
    <w:tbl>
      <w:tblPr>
        <w:tblStyle w:val="89"/>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ind w:left="-2" w:firstLine="2"/>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1260" w:type="dxa"/>
          </w:tcPr>
          <w:p>
            <w:pPr>
              <w:rPr>
                <w:rFonts w:asciiTheme="minorEastAsia" w:hAnsiTheme="minorEastAsia" w:eastAsiaTheme="minorEastAsia" w:cstheme="minorEastAsia"/>
                <w:color w:val="auto"/>
                <w:highlight w:val="none"/>
              </w:rPr>
            </w:pPr>
          </w:p>
        </w:tc>
        <w:tc>
          <w:tcPr>
            <w:tcW w:w="787" w:type="dxa"/>
          </w:tcPr>
          <w:p>
            <w:pPr>
              <w:rPr>
                <w:rFonts w:asciiTheme="minorEastAsia" w:hAnsiTheme="minorEastAsia" w:eastAsiaTheme="minorEastAsia" w:cstheme="minorEastAsia"/>
                <w:color w:val="auto"/>
                <w:highlight w:val="none"/>
              </w:rPr>
            </w:pPr>
          </w:p>
        </w:tc>
        <w:tc>
          <w:tcPr>
            <w:tcW w:w="788"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1034" w:type="dxa"/>
          </w:tcPr>
          <w:p>
            <w:pPr>
              <w:rPr>
                <w:rFonts w:asciiTheme="minorEastAsia" w:hAnsiTheme="minorEastAsia" w:eastAsiaTheme="minorEastAsia" w:cstheme="minorEastAsia"/>
                <w:color w:val="auto"/>
                <w:highlight w:val="none"/>
              </w:rPr>
            </w:pPr>
          </w:p>
        </w:tc>
        <w:tc>
          <w:tcPr>
            <w:tcW w:w="735" w:type="dxa"/>
          </w:tcPr>
          <w:p>
            <w:pPr>
              <w:rPr>
                <w:rFonts w:asciiTheme="minorEastAsia" w:hAnsiTheme="minorEastAsia" w:eastAsiaTheme="minorEastAsia" w:cstheme="minorEastAsia"/>
                <w:color w:val="auto"/>
                <w:highlight w:val="none"/>
              </w:rPr>
            </w:pPr>
          </w:p>
        </w:tc>
        <w:tc>
          <w:tcPr>
            <w:tcW w:w="751" w:type="dxa"/>
          </w:tcPr>
          <w:p>
            <w:pPr>
              <w:rPr>
                <w:rFonts w:asciiTheme="minorEastAsia" w:hAnsiTheme="minorEastAsia" w:eastAsiaTheme="minorEastAsia" w:cstheme="minorEastAsia"/>
                <w:color w:val="auto"/>
                <w:highlight w:val="none"/>
              </w:rPr>
            </w:pPr>
          </w:p>
        </w:tc>
        <w:tc>
          <w:tcPr>
            <w:tcW w:w="824" w:type="dxa"/>
          </w:tcPr>
          <w:p>
            <w:pPr>
              <w:rPr>
                <w:rFonts w:asciiTheme="minorEastAsia" w:hAnsiTheme="minorEastAsia" w:eastAsiaTheme="minorEastAsia" w:cstheme="minorEastAsia"/>
                <w:color w:val="auto"/>
                <w:highlight w:val="none"/>
              </w:rPr>
            </w:pPr>
          </w:p>
        </w:tc>
      </w:tr>
    </w:tbl>
    <w:p>
      <w:pPr>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 2. 合同总价</w:t>
      </w:r>
    </w:p>
    <w:p>
      <w:pPr>
        <w:spacing w:line="360" w:lineRule="auto"/>
        <w:ind w:left="315" w:left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总价为：（大写） ，即RMB￥元，</w:t>
      </w:r>
      <w:r>
        <w:rPr>
          <w:rFonts w:hint="eastAsia" w:ascii="宋体" w:hAnsi="宋体" w:cs="宋体"/>
          <w:color w:val="auto"/>
          <w:szCs w:val="21"/>
          <w:highlight w:val="none"/>
        </w:rPr>
        <w:t>本项目是交钥匙工程，</w:t>
      </w:r>
      <w:r>
        <w:rPr>
          <w:rFonts w:hint="eastAsia" w:asciiTheme="minorEastAsia" w:hAnsiTheme="minorEastAsia" w:eastAsiaTheme="minorEastAsia" w:cstheme="minorEastAsia"/>
          <w:color w:val="auto"/>
          <w:highlight w:val="none"/>
        </w:rPr>
        <w:t>该合同总金额</w:t>
      </w:r>
      <w:r>
        <w:rPr>
          <w:rFonts w:hint="eastAsia" w:ascii="宋体" w:hAnsi="宋体" w:cs="宋体"/>
          <w:color w:val="auto"/>
          <w:szCs w:val="21"/>
          <w:highlight w:val="none"/>
        </w:rPr>
        <w:t>包括设备采购及相关运输、设计、安装、调试、培训、售后等服务</w:t>
      </w:r>
      <w:r>
        <w:rPr>
          <w:rFonts w:hint="eastAsia" w:asciiTheme="minorEastAsia" w:hAnsiTheme="minorEastAsia" w:eastAsiaTheme="minorEastAsia" w:cstheme="minorEastAsia"/>
          <w:color w:val="auto"/>
          <w:highlight w:val="none"/>
        </w:rPr>
        <w:t>。本合同执行期间合同总金额不变。</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3．2.2.1合同签订生效后，甲方支付乙方合同金额30%预付款</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3.2.2.2</w:t>
      </w:r>
      <w:r>
        <w:rPr>
          <w:rFonts w:hint="eastAsia" w:cs="Calibri"/>
          <w:color w:val="auto"/>
          <w:szCs w:val="21"/>
          <w:highlight w:val="none"/>
        </w:rPr>
        <w:t>所有货物到达安装现场</w:t>
      </w:r>
      <w:r>
        <w:rPr>
          <w:rFonts w:hint="eastAsia" w:ascii="宋体" w:hAnsi="宋体"/>
          <w:color w:val="auto"/>
          <w:szCs w:val="21"/>
          <w:highlight w:val="none"/>
        </w:rPr>
        <w:t>并经甲方确认后，甲方按合同金额向乙方支付至80%的款项；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3.2.2.3</w:t>
      </w:r>
      <w:r>
        <w:rPr>
          <w:rFonts w:hint="eastAsia" w:ascii="宋体" w:hAnsi="宋体" w:cs="宋体"/>
          <w:color w:val="auto"/>
          <w:szCs w:val="21"/>
          <w:highlight w:val="none"/>
        </w:rPr>
        <w:t>项目完成并经</w:t>
      </w:r>
      <w:r>
        <w:rPr>
          <w:rFonts w:hint="eastAsia" w:asciiTheme="minorEastAsia" w:hAnsiTheme="minorEastAsia" w:eastAsiaTheme="minorEastAsia" w:cstheme="minorEastAsia"/>
          <w:color w:val="auto"/>
          <w:szCs w:val="21"/>
          <w:highlight w:val="none"/>
        </w:rPr>
        <w:t>甲方及上级主管部门</w:t>
      </w:r>
      <w:r>
        <w:rPr>
          <w:rFonts w:hint="eastAsia" w:ascii="宋体" w:hAnsi="宋体" w:cs="宋体"/>
          <w:color w:val="auto"/>
          <w:szCs w:val="21"/>
          <w:highlight w:val="none"/>
        </w:rPr>
        <w:t>验收合格等手续，甲方自收到发票后30日内将资金支付到乙方账户，支付至结算金额的95%，余下5%作为本项目质保金，质保期到期后无责免息支付给乙方。若乙方在质量保证期内未完全履行缺陷保修义务的，甲方有权扣除质量保证金，并保留进一步索赔的权利。</w:t>
      </w:r>
    </w:p>
    <w:p>
      <w:pPr>
        <w:spacing w:line="360" w:lineRule="auto"/>
        <w:ind w:left="420" w:hanging="420" w:hangingChars="200"/>
        <w:rPr>
          <w:color w:val="auto"/>
          <w:highlight w:val="none"/>
        </w:rPr>
      </w:pPr>
      <w:r>
        <w:rPr>
          <w:rFonts w:hint="eastAsia" w:asciiTheme="minorEastAsia" w:hAnsiTheme="minorEastAsia" w:eastAsiaTheme="minorEastAsia" w:cstheme="minorEastAsia"/>
          <w:color w:val="auto"/>
          <w:szCs w:val="21"/>
          <w:highlight w:val="none"/>
        </w:rPr>
        <w:t>3.3乙方向甲方申请支付货款时需提供：（1）合同；（2）乙方开具正式全额发票；（3）验收调试报告加盖甲方公章；（4）中标（成交）通知书。</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spacing w:line="360" w:lineRule="auto"/>
        <w:ind w:left="420" w:left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详细价格、技术说明及其它有关合同设备的特定信息由合同附件说明。所有附件及本项目的招投标文件、会议纪要、协议等均为本合同不可分割之一部分。</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spacing w:line="360" w:lineRule="auto"/>
        <w:ind w:left="315" w:left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spacing w:line="360" w:lineRule="auto"/>
        <w:ind w:left="630" w:leftChars="300" w:firstLine="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numPr>
          <w:ilvl w:val="0"/>
          <w:numId w:val="12"/>
        </w:numPr>
        <w:tabs>
          <w:tab w:val="left" w:pos="945"/>
          <w:tab w:val="clear" w:pos="1352"/>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乙方交付使用时间：成交人签订合同后起天内完成全部货物的安装、调试和验收。</w:t>
      </w:r>
    </w:p>
    <w:p>
      <w:pPr>
        <w:numPr>
          <w:ilvl w:val="0"/>
          <w:numId w:val="12"/>
        </w:numPr>
        <w:tabs>
          <w:tab w:val="left" w:pos="945"/>
          <w:tab w:val="clear" w:pos="1352"/>
        </w:tabs>
        <w:spacing w:line="360" w:lineRule="auto"/>
        <w:ind w:hanging="827"/>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numPr>
          <w:ilvl w:val="0"/>
          <w:numId w:val="13"/>
        </w:numPr>
        <w:tabs>
          <w:tab w:val="left" w:pos="945"/>
          <w:tab w:val="clear" w:pos="1215"/>
        </w:tabs>
        <w:spacing w:line="360" w:lineRule="auto"/>
        <w:ind w:hanging="69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numPr>
          <w:ilvl w:val="0"/>
          <w:numId w:val="13"/>
        </w:numPr>
        <w:tabs>
          <w:tab w:val="left" w:pos="945"/>
          <w:tab w:val="clear" w:pos="1215"/>
        </w:tabs>
        <w:spacing w:line="360" w:lineRule="auto"/>
        <w:ind w:hanging="69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numPr>
          <w:ilvl w:val="0"/>
          <w:numId w:val="14"/>
        </w:numPr>
        <w:tabs>
          <w:tab w:val="left" w:pos="945"/>
          <w:tab w:val="clear" w:pos="1215"/>
        </w:tabs>
        <w:spacing w:line="360" w:lineRule="auto"/>
        <w:ind w:left="945" w:right="-420" w:righ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numPr>
          <w:ilvl w:val="0"/>
          <w:numId w:val="14"/>
        </w:numPr>
        <w:tabs>
          <w:tab w:val="left" w:pos="945"/>
          <w:tab w:val="clear" w:pos="1215"/>
        </w:tabs>
        <w:spacing w:line="360" w:lineRule="auto"/>
        <w:ind w:left="945" w:right="-420" w:righ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14"/>
        </w:numPr>
        <w:tabs>
          <w:tab w:val="left" w:pos="945"/>
          <w:tab w:val="clear" w:pos="1215"/>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numPr>
          <w:ilvl w:val="0"/>
          <w:numId w:val="14"/>
        </w:numPr>
        <w:tabs>
          <w:tab w:val="left" w:pos="945"/>
          <w:tab w:val="clear" w:pos="1215"/>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numPr>
          <w:ilvl w:val="0"/>
          <w:numId w:val="14"/>
        </w:numPr>
        <w:tabs>
          <w:tab w:val="left" w:pos="945"/>
          <w:tab w:val="clear" w:pos="1215"/>
        </w:tabs>
        <w:spacing w:line="360" w:lineRule="auto"/>
        <w:ind w:left="94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spacing w:line="360" w:lineRule="auto"/>
        <w:ind w:left="458" w:hanging="457" w:hangingChars="218"/>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numPr>
          <w:ilvl w:val="0"/>
          <w:numId w:val="15"/>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乙方保证合同设备是全新、未曾使用过的，其质量、规格及技术特征符合合同附件的要求。保证备品配件在同机型设备停产后3年以上的供应。</w:t>
      </w:r>
    </w:p>
    <w:p>
      <w:pPr>
        <w:numPr>
          <w:ilvl w:val="0"/>
          <w:numId w:val="15"/>
        </w:numPr>
        <w:tabs>
          <w:tab w:val="left" w:pos="540"/>
          <w:tab w:val="left" w:pos="1320"/>
          <w:tab w:val="clear" w:pos="72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合同设备保质保用期为设备最终验收合格并经本项目有关部门验收签字之日起不少于12个月。</w:t>
      </w:r>
    </w:p>
    <w:p>
      <w:pPr>
        <w:numPr>
          <w:ilvl w:val="0"/>
          <w:numId w:val="15"/>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保质保用期内出现产品质量及安装问题，由乙方负责包修、包换或包退，并承担因此而产生的一切费用。乙方应在收到甲方通知后24小时内派员到现场免费维修(技术要求另有规定除外)。</w:t>
      </w:r>
    </w:p>
    <w:p>
      <w:pPr>
        <w:numPr>
          <w:ilvl w:val="0"/>
          <w:numId w:val="15"/>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因设备的质量问题而发生争议，由广东省或广州市质检部门进行质量鉴定。设备符合质量标准的，鉴定费用由甲方承担；设备不符合质量标准的，鉴定费用由乙方承担。</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numPr>
          <w:ilvl w:val="0"/>
          <w:numId w:val="16"/>
        </w:numPr>
        <w:tabs>
          <w:tab w:val="left" w:pos="540"/>
          <w:tab w:val="clear" w:pos="720"/>
        </w:tabs>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乙方应派员到甲方指定地点配合工作。</w:t>
      </w:r>
    </w:p>
    <w:p>
      <w:pPr>
        <w:numPr>
          <w:ilvl w:val="0"/>
          <w:numId w:val="16"/>
        </w:numPr>
        <w:tabs>
          <w:tab w:val="left" w:pos="540"/>
          <w:tab w:val="clear" w:pos="720"/>
        </w:tabs>
        <w:spacing w:line="360" w:lineRule="auto"/>
        <w:ind w:left="540" w:hanging="5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乙方按甲方提供的合同执行进度计划，再配合甲方及有关单位，以此做好合同执行进度上的配合工作。</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spacing w:line="360" w:lineRule="auto"/>
        <w:ind w:right="-420" w:righ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spacing w:line="360" w:lineRule="auto"/>
        <w:ind w:left="420" w:right="-200" w:hanging="420" w:hanging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spacing w:line="360" w:lineRule="auto"/>
        <w:ind w:left="444" w:leftChars="-57" w:hanging="564" w:hangingChars="269"/>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spacing w:line="360" w:lineRule="auto"/>
        <w:ind w:left="549" w:leftChars="-57" w:hanging="669" w:hangingChars="319"/>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numPr>
          <w:ilvl w:val="0"/>
          <w:numId w:val="17"/>
        </w:numPr>
        <w:tabs>
          <w:tab w:val="clear" w:pos="1215"/>
        </w:tabs>
        <w:spacing w:line="360" w:lineRule="auto"/>
        <w:ind w:left="840" w:hanging="31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numPr>
          <w:ilvl w:val="0"/>
          <w:numId w:val="17"/>
        </w:numPr>
        <w:tabs>
          <w:tab w:val="clear" w:pos="1215"/>
        </w:tabs>
        <w:spacing w:line="360" w:lineRule="auto"/>
        <w:ind w:left="840" w:hanging="31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numPr>
          <w:ilvl w:val="0"/>
          <w:numId w:val="17"/>
        </w:numPr>
        <w:tabs>
          <w:tab w:val="clear" w:pos="1215"/>
        </w:tabs>
        <w:spacing w:line="360" w:lineRule="auto"/>
        <w:ind w:left="840" w:hanging="31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spacing w:line="360" w:lineRule="auto"/>
        <w:ind w:left="645" w:leftChars="-57" w:hanging="765" w:hangingChars="31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color w:val="auto"/>
          <w:szCs w:val="21"/>
          <w:highlight w:val="none"/>
        </w:rPr>
        <w:t xml:space="preserve">  甲方应依合同规定时间内，向乙方支付货款，每拖延一天乙方可向甲方加收合同金额的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549" w:leftChars="-57" w:hanging="669" w:hangingChars="31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w:t>
      </w:r>
      <w:r>
        <w:rPr>
          <w:rFonts w:hint="eastAsia" w:asciiTheme="minorEastAsia" w:hAnsiTheme="minorEastAsia" w:eastAsiaTheme="minorEastAsia" w:cstheme="minorEastAsia"/>
          <w:color w:val="auto"/>
          <w:szCs w:val="21"/>
          <w:highlight w:val="none"/>
          <w:shd w:val="clear" w:color="auto" w:fill="FFFFFF"/>
        </w:rPr>
        <w:t>7.5%</w:t>
      </w:r>
      <w:r>
        <w:rPr>
          <w:rFonts w:hint="eastAsia" w:asciiTheme="minorEastAsia" w:hAnsiTheme="minorEastAsia" w:eastAsiaTheme="minorEastAsia" w:cstheme="minorEastAsia"/>
          <w:color w:val="auto"/>
          <w:szCs w:val="21"/>
          <w:highlight w:val="none"/>
        </w:rPr>
        <w:t>的违约金。</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spacing w:line="360" w:lineRule="auto"/>
        <w:ind w:left="525" w:leftChars="250" w:firstLine="12" w:firstLineChars="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spacing w:line="360" w:lineRule="auto"/>
        <w:ind w:left="630" w:left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spacing w:line="360" w:lineRule="auto"/>
        <w:ind w:left="600" w:hanging="600" w:hanging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14</w:t>
      </w:r>
      <w:r>
        <w:rPr>
          <w:rFonts w:hint="eastAsia" w:asciiTheme="minorEastAsia" w:hAnsiTheme="minorEastAsia" w:eastAsiaTheme="minorEastAsia" w:cstheme="minorEastAsia"/>
          <w:color w:val="auto"/>
          <w:szCs w:val="21"/>
          <w:highlight w:val="none"/>
        </w:rPr>
        <w:t>.1 本合同正本四份，具有同等法律效力，甲、乙双方各执一份，省教育装备中心一份，采购代理机构一份。合同自签字之日起即时生效。</w:t>
      </w:r>
    </w:p>
    <w:p>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numPr>
          <w:ilvl w:val="0"/>
          <w:numId w:val="18"/>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成交人提交的投标函和投标一览表；</w:t>
      </w:r>
    </w:p>
    <w:p>
      <w:pPr>
        <w:numPr>
          <w:ilvl w:val="0"/>
          <w:numId w:val="18"/>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numPr>
          <w:ilvl w:val="0"/>
          <w:numId w:val="18"/>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numPr>
          <w:ilvl w:val="0"/>
          <w:numId w:val="18"/>
        </w:num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其他相关投标文件。 </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spacing w:line="360" w:lineRule="auto"/>
        <w:ind w:left="718" w:leftChars="34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spacing w:line="360" w:lineRule="auto"/>
        <w:ind w:left="718" w:leftChars="34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spacing w:line="360" w:lineRule="auto"/>
        <w:ind w:left="718" w:leftChars="34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日期：年月日                     日期：年月日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91"/>
    <w:bookmarkEnd w:id="292"/>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hAnsi="宋体" w:cs="宋体"/>
          <w:color w:val="auto"/>
          <w:kern w:val="0"/>
          <w:szCs w:val="21"/>
          <w:highlight w:val="none"/>
        </w:rPr>
      </w:pPr>
    </w:p>
    <w:p>
      <w:pPr>
        <w:pStyle w:val="96"/>
        <w:rPr>
          <w:rFonts w:hAnsi="宋体"/>
          <w:color w:val="auto"/>
          <w:szCs w:val="21"/>
          <w:highlight w:val="none"/>
        </w:rPr>
      </w:pPr>
    </w:p>
    <w:p>
      <w:pPr>
        <w:pStyle w:val="96"/>
        <w:rPr>
          <w:rFonts w:hAnsi="宋体"/>
          <w:color w:val="auto"/>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93" w:name="OLE_LINK4"/>
    </w:p>
    <w:p>
      <w:pPr>
        <w:pStyle w:val="4"/>
        <w:autoSpaceDE w:val="0"/>
        <w:rPr>
          <w:b w:val="0"/>
          <w:bCs w:val="0"/>
          <w:color w:val="auto"/>
          <w:sz w:val="44"/>
          <w:highlight w:val="none"/>
        </w:rPr>
      </w:pPr>
      <w:bookmarkStart w:id="294" w:name="_Toc475104528"/>
      <w:r>
        <w:rPr>
          <w:rFonts w:hint="eastAsia"/>
          <w:color w:val="auto"/>
          <w:sz w:val="44"/>
          <w:highlight w:val="none"/>
        </w:rPr>
        <w:t>第五章 评分体系与标准</w:t>
      </w:r>
      <w:bookmarkEnd w:id="294"/>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9"/>
        </w:numPr>
        <w:autoSpaceDE w:val="0"/>
        <w:autoSpaceDN w:val="0"/>
        <w:adjustRightInd w:val="0"/>
        <w:snapToGrid w:val="0"/>
        <w:spacing w:line="360" w:lineRule="auto"/>
        <w:outlineLvl w:val="0"/>
        <w:rPr>
          <w:rFonts w:ascii="宋体" w:hAnsi="宋体"/>
          <w:bCs/>
          <w:color w:val="auto"/>
          <w:szCs w:val="21"/>
          <w:highlight w:val="none"/>
        </w:rPr>
      </w:pPr>
      <w:bookmarkStart w:id="295" w:name="_Toc475104529"/>
      <w:bookmarkStart w:id="296" w:name="_Toc264203535"/>
      <w:bookmarkStart w:id="297" w:name="_Toc98579065"/>
      <w:bookmarkStart w:id="298" w:name="_Toc50276153"/>
      <w:bookmarkStart w:id="299" w:name="_Toc98579007"/>
      <w:bookmarkStart w:id="300" w:name="_Toc42394669"/>
      <w:bookmarkStart w:id="301" w:name="_Toc101775128"/>
      <w:bookmarkStart w:id="302" w:name="_Toc101843128"/>
      <w:bookmarkStart w:id="303" w:name="_Toc98579606"/>
      <w:bookmarkStart w:id="304" w:name="_Toc101771375"/>
      <w:bookmarkStart w:id="305" w:name="_Toc98580289"/>
      <w:bookmarkStart w:id="306" w:name="_Toc42394513"/>
      <w:bookmarkStart w:id="307" w:name="_Toc101951266"/>
      <w:bookmarkStart w:id="308" w:name="_Toc41884701"/>
      <w:bookmarkStart w:id="309" w:name="_Toc42313167"/>
      <w:bookmarkStart w:id="310" w:name="_Toc41723931"/>
      <w:bookmarkStart w:id="311" w:name="_Toc101553661"/>
      <w:bookmarkStart w:id="312" w:name="_Toc28142601"/>
      <w:bookmarkStart w:id="313" w:name="_Toc67911942"/>
      <w:bookmarkStart w:id="314" w:name="_Toc138568672"/>
      <w:bookmarkStart w:id="315" w:name="_Toc102211724"/>
      <w:bookmarkStart w:id="316" w:name="_Toc28489533"/>
      <w:bookmarkStart w:id="317" w:name="_Toc131922503"/>
      <w:bookmarkStart w:id="318" w:name="_Toc124646434"/>
      <w:bookmarkStart w:id="319" w:name="_Toc124570687"/>
      <w:bookmarkStart w:id="320" w:name="_Toc150050902"/>
      <w:bookmarkStart w:id="321" w:name="_Toc124401382"/>
      <w:bookmarkStart w:id="322" w:name="_Toc148060906"/>
      <w:bookmarkStart w:id="323" w:name="_Toc95304223"/>
      <w:bookmarkStart w:id="324" w:name="_Toc101553556"/>
      <w:bookmarkStart w:id="325" w:name="_Toc148420070"/>
      <w:bookmarkStart w:id="326" w:name="_Toc138506092"/>
      <w:bookmarkStart w:id="327" w:name="_Toc108243616"/>
      <w:bookmarkStart w:id="328" w:name="_Toc34535380"/>
      <w:bookmarkStart w:id="329" w:name="_Toc108001800"/>
      <w:bookmarkStart w:id="330" w:name="_Toc131904930"/>
      <w:bookmarkStart w:id="331" w:name="_Toc104902929"/>
      <w:bookmarkStart w:id="332" w:name="_Toc169334816"/>
      <w:bookmarkStart w:id="333" w:name="_Toc66722112"/>
      <w:bookmarkStart w:id="334" w:name="_Toc113277292"/>
      <w:bookmarkStart w:id="335" w:name="_Toc95249607"/>
      <w:bookmarkStart w:id="336" w:name="_Toc125770208"/>
      <w:bookmarkStart w:id="337" w:name="_Toc104874465"/>
      <w:bookmarkStart w:id="338" w:name="_Toc35834934"/>
      <w:bookmarkStart w:id="339" w:name="_Toc68620012"/>
      <w:r>
        <w:rPr>
          <w:rFonts w:hint="eastAsia" w:ascii="宋体" w:hAnsi="宋体"/>
          <w:bCs/>
          <w:color w:val="auto"/>
          <w:szCs w:val="21"/>
          <w:highlight w:val="none"/>
        </w:rPr>
        <w:t>本评审办法采用综合评分法。</w:t>
      </w:r>
      <w:bookmarkEnd w:id="295"/>
    </w:p>
    <w:p>
      <w:pPr>
        <w:numPr>
          <w:ilvl w:val="0"/>
          <w:numId w:val="19"/>
        </w:numPr>
        <w:autoSpaceDE w:val="0"/>
        <w:autoSpaceDN w:val="0"/>
        <w:adjustRightInd w:val="0"/>
        <w:snapToGrid w:val="0"/>
        <w:spacing w:line="360" w:lineRule="auto"/>
        <w:outlineLvl w:val="0"/>
        <w:rPr>
          <w:rFonts w:ascii="宋体" w:cs="宋体"/>
          <w:color w:val="auto"/>
          <w:highlight w:val="none"/>
        </w:rPr>
      </w:pPr>
      <w:bookmarkStart w:id="340" w:name="_Toc475104530"/>
      <w:bookmarkStart w:id="341"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设定的程序和规则推荐评审结果</w:t>
      </w:r>
      <w:r>
        <w:rPr>
          <w:rFonts w:hint="eastAsia" w:ascii="宋体" w:hAnsi="宋体" w:cs="宋体"/>
          <w:color w:val="auto"/>
          <w:szCs w:val="21"/>
          <w:highlight w:val="none"/>
        </w:rPr>
        <w:t>；</w:t>
      </w:r>
    </w:p>
    <w:p>
      <w:pPr>
        <w:numPr>
          <w:ilvl w:val="0"/>
          <w:numId w:val="19"/>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通过资格性和符合性检查的有效报价人方有资格提交最后报价及进行技术、商务及价格的详细评审，最后磋商小组出具竞争性磋商报告。</w:t>
      </w:r>
      <w:bookmarkEnd w:id="340"/>
    </w:p>
    <w:bookmarkEnd w:id="296"/>
    <w:bookmarkEnd w:id="297"/>
    <w:bookmarkEnd w:id="298"/>
    <w:bookmarkEnd w:id="299"/>
    <w:bookmarkEnd w:id="300"/>
    <w:bookmarkEnd w:id="301"/>
    <w:bookmarkEnd w:id="302"/>
    <w:bookmarkEnd w:id="303"/>
    <w:bookmarkEnd w:id="304"/>
    <w:bookmarkEnd w:id="305"/>
    <w:bookmarkEnd w:id="306"/>
    <w:bookmarkEnd w:id="307"/>
    <w:bookmarkEnd w:id="341"/>
    <w:p>
      <w:pPr>
        <w:numPr>
          <w:ilvl w:val="0"/>
          <w:numId w:val="19"/>
        </w:numPr>
        <w:autoSpaceDE w:val="0"/>
        <w:autoSpaceDN w:val="0"/>
        <w:adjustRightInd w:val="0"/>
        <w:snapToGrid w:val="0"/>
        <w:spacing w:line="360" w:lineRule="auto"/>
        <w:outlineLvl w:val="0"/>
        <w:rPr>
          <w:rFonts w:ascii="宋体" w:hAnsi="宋体"/>
          <w:bCs/>
          <w:color w:val="auto"/>
          <w:szCs w:val="21"/>
          <w:highlight w:val="none"/>
        </w:rPr>
      </w:pPr>
      <w:bookmarkStart w:id="342"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9"/>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42"/>
    </w:p>
    <w:tbl>
      <w:tblPr>
        <w:tblStyle w:val="89"/>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43" w:name="_Toc333236678"/>
            <w:bookmarkStart w:id="344"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9"/>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43"/>
    <w:bookmarkEnd w:id="344"/>
    <w:p>
      <w:pPr>
        <w:numPr>
          <w:ilvl w:val="0"/>
          <w:numId w:val="19"/>
        </w:numPr>
        <w:autoSpaceDE w:val="0"/>
        <w:autoSpaceDN w:val="0"/>
        <w:adjustRightInd w:val="0"/>
        <w:snapToGrid w:val="0"/>
        <w:spacing w:line="360" w:lineRule="auto"/>
        <w:outlineLvl w:val="0"/>
        <w:rPr>
          <w:rFonts w:ascii="宋体" w:hAnsi="宋体"/>
          <w:color w:val="auto"/>
          <w:szCs w:val="21"/>
          <w:highlight w:val="none"/>
        </w:rPr>
      </w:pPr>
      <w:bookmarkStart w:id="345" w:name="_Toc333236680"/>
      <w:bookmarkStart w:id="346"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磋商小组各成员应当独立对每个有效响应的文件进行评价、打分，然后汇总每个报价人每项评分因素的得分。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8"/>
    <w:bookmarkEnd w:id="309"/>
    <w:bookmarkEnd w:id="310"/>
    <w:bookmarkEnd w:id="345"/>
    <w:bookmarkEnd w:id="346"/>
    <w:p>
      <w:pPr>
        <w:numPr>
          <w:ilvl w:val="0"/>
          <w:numId w:val="19"/>
        </w:numPr>
        <w:autoSpaceDE w:val="0"/>
        <w:autoSpaceDN w:val="0"/>
        <w:adjustRightInd w:val="0"/>
        <w:snapToGrid w:val="0"/>
        <w:spacing w:line="360" w:lineRule="auto"/>
        <w:outlineLvl w:val="0"/>
        <w:rPr>
          <w:rFonts w:ascii="宋体" w:hAnsi="宋体"/>
          <w:color w:val="auto"/>
          <w:szCs w:val="21"/>
          <w:highlight w:val="none"/>
        </w:rPr>
      </w:pPr>
      <w:bookmarkStart w:id="347" w:name="_Toc475104535"/>
      <w:bookmarkStart w:id="348" w:name="_Toc333236685"/>
      <w:r>
        <w:rPr>
          <w:rFonts w:hint="eastAsia" w:ascii="宋体" w:hAnsi="宋体"/>
          <w:color w:val="auto"/>
          <w:szCs w:val="21"/>
          <w:highlight w:val="none"/>
        </w:rPr>
        <w:t>价格评定</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9"/>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价格评分：综合评分法中的价格分统一采用低价优先法计算，即满足磋商文件要求且最后报价最低的报价人的价格为磋商基准价，其价格分为满分。其他报价人的价格分统一按照下列公式计算：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，以报价人第二次报价作为基准，计算价格扣减作为报价人的价格评分，评标价只作为分值的计算，最终成交价格按照报价人第二次响应报价为准。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如报价人为非制造商，其代理产品的制造商也应同时提交《中小企业声明函》，否则评审时不能享受相应的价格扣除。</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报价人提供的《残疾人福利性单位声明函》与事实不符的，依照《政府采购法》第七十七条第一款的规定追究法律责任。</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报价人公章）。</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9"/>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9"/>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9"/>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9"/>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9"/>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7"/>
      <w:bookmarkEnd w:id="348"/>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49" w:name="_Toc475104536"/>
      <w:r>
        <w:rPr>
          <w:rFonts w:hint="eastAsia"/>
          <w:color w:val="auto"/>
          <w:sz w:val="24"/>
          <w:highlight w:val="none"/>
        </w:rPr>
        <w:t>资格性审查及符合性检查表</w:t>
      </w:r>
      <w:bookmarkEnd w:id="349"/>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89"/>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3.报价人的所有评审项均填写“○”才被视为“通过”，其中一项为“×”则被视为不通过。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99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38"/>
        <w:gridCol w:w="6818"/>
        <w:gridCol w:w="6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blHeader/>
          <w:jc w:val="center"/>
        </w:trPr>
        <w:tc>
          <w:tcPr>
            <w:tcW w:w="555"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38"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818"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656"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43" w:hRule="atLeast"/>
          <w:jc w:val="center"/>
        </w:trPr>
        <w:tc>
          <w:tcPr>
            <w:tcW w:w="555"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938" w:type="dxa"/>
            <w:tcBorders>
              <w:top w:val="single" w:color="auto" w:sz="4" w:space="0"/>
              <w:bottom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lang w:val="zh-CN"/>
              </w:rPr>
              <w:t>对所投产品设备技术参数、性能指标、质量及特别带“▲”的响应情况和符合性</w:t>
            </w:r>
          </w:p>
        </w:tc>
        <w:tc>
          <w:tcPr>
            <w:tcW w:w="681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技术指标响应情况：完全满足或优于招标参数，得10分，每负偏离一个“▲”的，扣2分；每负偏离一个非“▲”条款的，扣1分，扣完为止。</w:t>
            </w:r>
          </w:p>
          <w:p>
            <w:pPr>
              <w:widowControl/>
              <w:jc w:val="left"/>
              <w:rPr>
                <w:color w:val="auto"/>
                <w:szCs w:val="21"/>
                <w:highlight w:val="none"/>
              </w:rPr>
            </w:pPr>
            <w:r>
              <w:rPr>
                <w:rFonts w:hint="eastAsia" w:hAnsi="宋体"/>
                <w:color w:val="auto"/>
                <w:szCs w:val="21"/>
                <w:highlight w:val="none"/>
                <w:lang w:val="zh-CN"/>
              </w:rPr>
              <w:t>（注：产品设备技术参数，需提供彩页等证明材料，证明材料必须逐项对应招标文件的技术条款。不能提供证明材料的，扣除该产品的全部技术分数；提供有漏项的，视为负偏离并扣除对应条款分数。）</w:t>
            </w:r>
          </w:p>
        </w:tc>
        <w:tc>
          <w:tcPr>
            <w:tcW w:w="656" w:type="dxa"/>
            <w:tcBorders>
              <w:top w:val="single" w:color="auto" w:sz="4" w:space="0"/>
              <w:bottom w:val="single" w:color="auto" w:sz="4" w:space="0"/>
            </w:tcBorders>
            <w:vAlign w:val="center"/>
          </w:tcPr>
          <w:p>
            <w:pPr>
              <w:pStyle w:val="210"/>
              <w:jc w:val="center"/>
              <w:rPr>
                <w:rFonts w:ascii="宋体" w:hAnsi="宋体" w:cs="宋体"/>
                <w:bCs/>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555" w:type="dxa"/>
            <w:tcBorders>
              <w:top w:val="single" w:color="auto" w:sz="4" w:space="0"/>
              <w:bottom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2</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施工材料</w:t>
            </w:r>
          </w:p>
        </w:tc>
        <w:tc>
          <w:tcPr>
            <w:tcW w:w="681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按照采购人需求书所附《</w:t>
            </w:r>
            <w:r>
              <w:rPr>
                <w:rFonts w:hint="eastAsia" w:cs="宋体"/>
                <w:color w:val="auto"/>
                <w:kern w:val="0"/>
                <w:szCs w:val="21"/>
                <w:highlight w:val="none"/>
                <w:lang w:val="zh-CN"/>
              </w:rPr>
              <w:t>主要材料设备</w:t>
            </w:r>
            <w:r>
              <w:rPr>
                <w:rFonts w:hint="eastAsia" w:cs="宋体"/>
                <w:color w:val="auto"/>
                <w:kern w:val="0"/>
                <w:szCs w:val="21"/>
                <w:highlight w:val="none"/>
              </w:rPr>
              <w:t>采购一览表》中选材范围95%≤选材比率≤100%选用的，得5分，90%≤选材比率＜95%选用的，得3分，80%≤选材比率＜90%选用的，得1分，其他得0分。</w:t>
            </w:r>
          </w:p>
        </w:tc>
        <w:tc>
          <w:tcPr>
            <w:tcW w:w="656" w:type="dxa"/>
            <w:tcBorders>
              <w:top w:val="single" w:color="auto" w:sz="4" w:space="0"/>
              <w:bottom w:val="single" w:color="auto" w:sz="4" w:space="0"/>
            </w:tcBorders>
            <w:vAlign w:val="center"/>
          </w:tcPr>
          <w:p>
            <w:pPr>
              <w:pStyle w:val="21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555" w:type="dxa"/>
            <w:tcBorders>
              <w:top w:val="single" w:color="auto" w:sz="4" w:space="0"/>
              <w:bottom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3</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合同履行期进度计划承诺</w:t>
            </w:r>
          </w:p>
        </w:tc>
        <w:tc>
          <w:tcPr>
            <w:tcW w:w="681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lang w:val="en-GB"/>
              </w:rPr>
              <w:t>本项目竞争性磋商文件规定的合同履行期限为</w:t>
            </w:r>
            <w:r>
              <w:rPr>
                <w:rFonts w:hint="eastAsia" w:cs="宋体"/>
                <w:color w:val="auto"/>
                <w:kern w:val="0"/>
                <w:szCs w:val="21"/>
                <w:highlight w:val="none"/>
              </w:rPr>
              <w:t>35日历天</w:t>
            </w:r>
            <w:r>
              <w:rPr>
                <w:rFonts w:hint="eastAsia" w:cs="宋体"/>
                <w:color w:val="auto"/>
                <w:kern w:val="0"/>
                <w:szCs w:val="21"/>
                <w:highlight w:val="none"/>
                <w:lang w:val="en-GB"/>
              </w:rPr>
              <w:t>，合同履行期限为</w:t>
            </w:r>
            <w:r>
              <w:rPr>
                <w:rFonts w:hint="eastAsia" w:cs="宋体"/>
                <w:color w:val="auto"/>
                <w:kern w:val="0"/>
                <w:szCs w:val="21"/>
                <w:highlight w:val="none"/>
              </w:rPr>
              <w:t>35日历天</w:t>
            </w:r>
            <w:r>
              <w:rPr>
                <w:rFonts w:hint="eastAsia" w:cs="宋体"/>
                <w:color w:val="auto"/>
                <w:kern w:val="0"/>
                <w:szCs w:val="21"/>
                <w:highlight w:val="none"/>
                <w:lang w:val="en-GB"/>
              </w:rPr>
              <w:t>的不得分，每承诺提前</w:t>
            </w:r>
            <w:r>
              <w:rPr>
                <w:rFonts w:hint="eastAsia" w:cs="宋体"/>
                <w:color w:val="auto"/>
                <w:kern w:val="0"/>
                <w:szCs w:val="21"/>
                <w:highlight w:val="none"/>
              </w:rPr>
              <w:t>1日历天</w:t>
            </w:r>
            <w:r>
              <w:rPr>
                <w:rFonts w:hint="eastAsia" w:cs="宋体"/>
                <w:color w:val="auto"/>
                <w:kern w:val="0"/>
                <w:szCs w:val="21"/>
                <w:highlight w:val="none"/>
                <w:lang w:val="en-GB"/>
              </w:rPr>
              <w:t>的得</w:t>
            </w:r>
            <w:r>
              <w:rPr>
                <w:rFonts w:hint="eastAsia" w:cs="宋体"/>
                <w:color w:val="auto"/>
                <w:kern w:val="0"/>
                <w:szCs w:val="21"/>
                <w:highlight w:val="none"/>
              </w:rPr>
              <w:t>0.5</w:t>
            </w:r>
            <w:r>
              <w:rPr>
                <w:rFonts w:hint="eastAsia" w:cs="宋体"/>
                <w:color w:val="auto"/>
                <w:kern w:val="0"/>
                <w:szCs w:val="21"/>
                <w:highlight w:val="none"/>
                <w:lang w:val="en-GB"/>
              </w:rPr>
              <w:t>分，此项满分为</w:t>
            </w:r>
            <w:r>
              <w:rPr>
                <w:rFonts w:hint="eastAsia" w:cs="宋体"/>
                <w:color w:val="auto"/>
                <w:kern w:val="0"/>
                <w:szCs w:val="21"/>
                <w:highlight w:val="none"/>
              </w:rPr>
              <w:t>4</w:t>
            </w:r>
            <w:r>
              <w:rPr>
                <w:rFonts w:hint="eastAsia" w:cs="宋体"/>
                <w:color w:val="auto"/>
                <w:kern w:val="0"/>
                <w:szCs w:val="21"/>
                <w:highlight w:val="none"/>
                <w:lang w:val="en-GB"/>
              </w:rPr>
              <w:t>分。</w:t>
            </w:r>
          </w:p>
        </w:tc>
        <w:tc>
          <w:tcPr>
            <w:tcW w:w="656" w:type="dxa"/>
            <w:tcBorders>
              <w:top w:val="single" w:color="auto" w:sz="4" w:space="0"/>
              <w:bottom w:val="single" w:color="auto" w:sz="4" w:space="0"/>
            </w:tcBorders>
            <w:vAlign w:val="center"/>
          </w:tcPr>
          <w:p>
            <w:pPr>
              <w:pStyle w:val="210"/>
              <w:jc w:val="center"/>
              <w:rPr>
                <w:rFonts w:ascii="宋体" w:hAnsi="宋体" w:cs="宋体"/>
                <w:color w:val="auto"/>
                <w:szCs w:val="21"/>
                <w:highlight w:val="none"/>
              </w:rPr>
            </w:pPr>
            <w:r>
              <w:rPr>
                <w:rFonts w:hint="eastAsia" w:ascii="宋体" w:hAnsi="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555" w:type="dxa"/>
            <w:tcBorders>
              <w:top w:val="single" w:color="auto" w:sz="4" w:space="0"/>
              <w:bottom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4</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ascii="宋体" w:hAnsi="宋体" w:cs="宋体"/>
                <w:color w:val="auto"/>
                <w:kern w:val="0"/>
                <w:szCs w:val="21"/>
                <w:highlight w:val="none"/>
              </w:rPr>
              <w:t>安装方案、安装组织设计及保证措施</w:t>
            </w:r>
          </w:p>
        </w:tc>
        <w:tc>
          <w:tcPr>
            <w:tcW w:w="6818"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1.有详细设备生产、安装、调试及验收等安装方案，方案全面完整，且具有很强的操作性和科学合理性。安装组织设计详尽、可靠、科学、实用，有切实可行的保证交货期的措施的，得8分；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2.有设备生产、安装、调试及验收等安装方案，方案基本完整，可操作性一般。安装组织设计一般，有基本的保证交货期的措施的，得4分；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3.有设备生产、安装、调试及验收等安装方案，方案不完整，可操作性不强。安装组织设计较差，基本不能的保证交货期的，得1分；</w:t>
            </w:r>
          </w:p>
          <w:p>
            <w:pPr>
              <w:widowControl/>
              <w:jc w:val="left"/>
              <w:rPr>
                <w:rFonts w:cs="宋体"/>
                <w:color w:val="auto"/>
                <w:kern w:val="0"/>
                <w:szCs w:val="21"/>
                <w:highlight w:val="none"/>
              </w:rPr>
            </w:pPr>
            <w:r>
              <w:rPr>
                <w:rFonts w:hint="eastAsia" w:ascii="宋体" w:hAnsi="宋体" w:cs="宋体"/>
                <w:color w:val="auto"/>
                <w:kern w:val="0"/>
                <w:szCs w:val="21"/>
                <w:highlight w:val="none"/>
              </w:rPr>
              <w:t>4.其他不得分。</w:t>
            </w:r>
          </w:p>
        </w:tc>
        <w:tc>
          <w:tcPr>
            <w:tcW w:w="656" w:type="dxa"/>
            <w:tcBorders>
              <w:top w:val="single" w:color="auto" w:sz="4" w:space="0"/>
              <w:bottom w:val="single" w:color="auto" w:sz="4" w:space="0"/>
            </w:tcBorders>
            <w:vAlign w:val="center"/>
          </w:tcPr>
          <w:p>
            <w:pPr>
              <w:pStyle w:val="210"/>
              <w:jc w:val="center"/>
              <w:rPr>
                <w:rFonts w:ascii="宋体" w:hAnsi="宋体" w:cs="宋体"/>
                <w:color w:val="auto"/>
                <w:szCs w:val="21"/>
                <w:highlight w:val="none"/>
              </w:rPr>
            </w:pPr>
            <w:r>
              <w:rPr>
                <w:rFonts w:hint="eastAsia" w:ascii="宋体" w:hAnsi="宋体" w:cs="宋体"/>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555" w:type="dxa"/>
            <w:tcBorders>
              <w:top w:val="single" w:color="auto" w:sz="4" w:space="0"/>
              <w:bottom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5</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ascii="宋体" w:hAnsi="宋体" w:cs="宋体"/>
                <w:color w:val="auto"/>
                <w:kern w:val="0"/>
                <w:szCs w:val="21"/>
                <w:highlight w:val="none"/>
              </w:rPr>
              <w:t>文明安全安装措施</w:t>
            </w:r>
          </w:p>
        </w:tc>
        <w:tc>
          <w:tcPr>
            <w:tcW w:w="6818"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1.具有详细的文明、安全安装保证措施的，得3分；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2.有文明、安全安装保证措施，叙述不强的，得2分；</w:t>
            </w:r>
          </w:p>
          <w:p>
            <w:pPr>
              <w:widowControl/>
              <w:jc w:val="left"/>
              <w:rPr>
                <w:rFonts w:cs="宋体"/>
                <w:color w:val="auto"/>
                <w:kern w:val="0"/>
                <w:szCs w:val="21"/>
                <w:highlight w:val="none"/>
              </w:rPr>
            </w:pPr>
            <w:r>
              <w:rPr>
                <w:rFonts w:hint="eastAsia" w:ascii="宋体" w:hAnsi="宋体" w:cs="宋体"/>
                <w:color w:val="auto"/>
                <w:kern w:val="0"/>
                <w:szCs w:val="21"/>
                <w:highlight w:val="none"/>
              </w:rPr>
              <w:t>3.其他不得分。</w:t>
            </w:r>
          </w:p>
        </w:tc>
        <w:tc>
          <w:tcPr>
            <w:tcW w:w="656" w:type="dxa"/>
            <w:tcBorders>
              <w:top w:val="single" w:color="auto" w:sz="4" w:space="0"/>
              <w:bottom w:val="single" w:color="auto" w:sz="4" w:space="0"/>
            </w:tcBorders>
            <w:vAlign w:val="center"/>
          </w:tcPr>
          <w:p>
            <w:pPr>
              <w:pStyle w:val="210"/>
              <w:jc w:val="center"/>
              <w:rPr>
                <w:rFonts w:ascii="宋体" w:hAnsi="宋体" w:cs="宋体"/>
                <w:color w:val="auto"/>
                <w:szCs w:val="21"/>
                <w:highlight w:val="none"/>
              </w:rPr>
            </w:pPr>
            <w:r>
              <w:rPr>
                <w:rFonts w:hint="eastAsia" w:ascii="宋体" w:hAnsi="宋体" w:cs="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555" w:type="dxa"/>
            <w:tcBorders>
              <w:top w:val="single" w:color="auto" w:sz="4" w:space="0"/>
              <w:bottom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6</w:t>
            </w:r>
          </w:p>
        </w:tc>
        <w:tc>
          <w:tcPr>
            <w:tcW w:w="1938"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bCs/>
                <w:color w:val="auto"/>
                <w:szCs w:val="21"/>
                <w:highlight w:val="none"/>
                <w:lang w:val="zh-CN"/>
              </w:rPr>
              <w:t>深化设计方案</w:t>
            </w:r>
          </w:p>
        </w:tc>
        <w:tc>
          <w:tcPr>
            <w:tcW w:w="6818" w:type="dxa"/>
            <w:tcBorders>
              <w:top w:val="single" w:color="auto" w:sz="4" w:space="0"/>
              <w:bottom w:val="single" w:color="auto" w:sz="4" w:space="0"/>
            </w:tcBorders>
            <w:vAlign w:val="center"/>
          </w:tcPr>
          <w:p>
            <w:pPr>
              <w:pStyle w:val="29"/>
              <w:rPr>
                <w:color w:val="auto"/>
                <w:szCs w:val="21"/>
                <w:highlight w:val="none"/>
                <w:lang w:val="zh-CN"/>
              </w:rPr>
            </w:pPr>
            <w:r>
              <w:rPr>
                <w:rFonts w:hint="eastAsia"/>
                <w:color w:val="auto"/>
                <w:szCs w:val="21"/>
                <w:highlight w:val="none"/>
                <w:lang w:val="zh-CN"/>
              </w:rPr>
              <w:t>对比各投标人总体设计及效果方案（包括深化改良的合理化建议等）：</w:t>
            </w:r>
          </w:p>
          <w:p>
            <w:pPr>
              <w:pStyle w:val="29"/>
              <w:rPr>
                <w:color w:val="auto"/>
                <w:szCs w:val="21"/>
                <w:highlight w:val="none"/>
                <w:lang w:val="zh-CN"/>
              </w:rPr>
            </w:pPr>
            <w:r>
              <w:rPr>
                <w:rFonts w:hint="eastAsia"/>
                <w:color w:val="auto"/>
                <w:szCs w:val="21"/>
                <w:highlight w:val="none"/>
              </w:rPr>
              <w:t>1.</w:t>
            </w:r>
            <w:r>
              <w:rPr>
                <w:rFonts w:hint="eastAsia"/>
                <w:color w:val="auto"/>
                <w:szCs w:val="21"/>
                <w:highlight w:val="none"/>
                <w:lang w:val="zh-CN"/>
              </w:rPr>
              <w:t>所提供的设计款式大气优雅、各项工序检验标准合格、产品深化设计图及工程案例图科学、实用、可行的，得</w:t>
            </w:r>
            <w:r>
              <w:rPr>
                <w:rFonts w:hint="eastAsia"/>
                <w:color w:val="auto"/>
                <w:szCs w:val="21"/>
                <w:highlight w:val="none"/>
              </w:rPr>
              <w:t>10</w:t>
            </w:r>
            <w:r>
              <w:rPr>
                <w:rFonts w:hint="eastAsia"/>
                <w:color w:val="auto"/>
                <w:szCs w:val="21"/>
                <w:highlight w:val="none"/>
                <w:lang w:val="zh-CN"/>
              </w:rPr>
              <w:t>分；</w:t>
            </w:r>
          </w:p>
          <w:p>
            <w:pPr>
              <w:pStyle w:val="29"/>
              <w:rPr>
                <w:color w:val="auto"/>
                <w:szCs w:val="21"/>
                <w:highlight w:val="none"/>
                <w:lang w:val="zh-CN"/>
              </w:rPr>
            </w:pPr>
            <w:r>
              <w:rPr>
                <w:rFonts w:hint="eastAsia"/>
                <w:color w:val="auto"/>
                <w:szCs w:val="21"/>
                <w:highlight w:val="none"/>
              </w:rPr>
              <w:t>2.</w:t>
            </w:r>
            <w:r>
              <w:rPr>
                <w:rFonts w:hint="eastAsia"/>
                <w:color w:val="auto"/>
                <w:szCs w:val="21"/>
                <w:highlight w:val="none"/>
                <w:lang w:val="zh-CN"/>
              </w:rPr>
              <w:t>所提供的设计款式比较大气优雅、各项工序检验标准合格、产品深化设计图及工程案例图比较科学、实用、可行的，得</w:t>
            </w:r>
            <w:r>
              <w:rPr>
                <w:rFonts w:hint="eastAsia"/>
                <w:color w:val="auto"/>
                <w:szCs w:val="21"/>
                <w:highlight w:val="none"/>
              </w:rPr>
              <w:t>5</w:t>
            </w:r>
            <w:r>
              <w:rPr>
                <w:rFonts w:hint="eastAsia"/>
                <w:color w:val="auto"/>
                <w:szCs w:val="21"/>
                <w:highlight w:val="none"/>
                <w:lang w:val="zh-CN"/>
              </w:rPr>
              <w:t>分；</w:t>
            </w:r>
          </w:p>
          <w:p>
            <w:pPr>
              <w:jc w:val="left"/>
              <w:rPr>
                <w:color w:val="auto"/>
                <w:szCs w:val="21"/>
                <w:highlight w:val="none"/>
                <w:lang w:val="zh-CN"/>
              </w:rPr>
            </w:pPr>
            <w:r>
              <w:rPr>
                <w:rFonts w:hint="eastAsia"/>
                <w:color w:val="auto"/>
                <w:szCs w:val="21"/>
                <w:highlight w:val="none"/>
              </w:rPr>
              <w:t>3.</w:t>
            </w:r>
            <w:r>
              <w:rPr>
                <w:rFonts w:hint="eastAsia"/>
                <w:color w:val="auto"/>
                <w:szCs w:val="21"/>
                <w:highlight w:val="none"/>
                <w:lang w:val="zh-CN"/>
              </w:rPr>
              <w:t>所提供的设计款式不大气优雅、各项工序检验标准不合格、产品深化设计图及工程案例图不科学、实用、可行的，得</w:t>
            </w:r>
            <w:r>
              <w:rPr>
                <w:rFonts w:hint="eastAsia"/>
                <w:color w:val="auto"/>
                <w:szCs w:val="21"/>
                <w:highlight w:val="none"/>
              </w:rPr>
              <w:t>2</w:t>
            </w:r>
            <w:r>
              <w:rPr>
                <w:rFonts w:hint="eastAsia"/>
                <w:color w:val="auto"/>
                <w:szCs w:val="21"/>
                <w:highlight w:val="none"/>
                <w:lang w:val="zh-CN"/>
              </w:rPr>
              <w:t>分；</w:t>
            </w:r>
          </w:p>
          <w:p>
            <w:pPr>
              <w:widowControl/>
              <w:jc w:val="left"/>
              <w:rPr>
                <w:rFonts w:ascii="宋体" w:hAnsi="宋体" w:cs="宋体"/>
                <w:color w:val="auto"/>
                <w:kern w:val="0"/>
                <w:szCs w:val="21"/>
                <w:highlight w:val="none"/>
              </w:rPr>
            </w:pPr>
            <w:r>
              <w:rPr>
                <w:rFonts w:hint="eastAsia" w:hAnsi="宋体"/>
                <w:bCs/>
                <w:color w:val="auto"/>
                <w:szCs w:val="21"/>
                <w:highlight w:val="none"/>
              </w:rPr>
              <w:t>4.</w:t>
            </w:r>
            <w:r>
              <w:rPr>
                <w:rFonts w:hint="eastAsia" w:hAnsi="宋体" w:cs="宋体"/>
                <w:color w:val="auto"/>
                <w:kern w:val="0"/>
                <w:szCs w:val="21"/>
                <w:highlight w:val="none"/>
              </w:rPr>
              <w:t>其他不得分。</w:t>
            </w:r>
          </w:p>
        </w:tc>
        <w:tc>
          <w:tcPr>
            <w:tcW w:w="656" w:type="dxa"/>
            <w:tcBorders>
              <w:top w:val="single" w:color="auto" w:sz="4" w:space="0"/>
              <w:bottom w:val="single" w:color="auto" w:sz="4" w:space="0"/>
            </w:tcBorders>
            <w:vAlign w:val="center"/>
          </w:tcPr>
          <w:p>
            <w:pPr>
              <w:pStyle w:val="210"/>
              <w:jc w:val="center"/>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311" w:type="dxa"/>
            <w:gridSpan w:val="3"/>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656"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40</w:t>
            </w:r>
          </w:p>
        </w:tc>
      </w:tr>
    </w:tbl>
    <w:p>
      <w:pPr>
        <w:snapToGrid w:val="0"/>
        <w:spacing w:line="360" w:lineRule="auto"/>
        <w:rPr>
          <w:rFonts w:ascii="宋体" w:hAnsi="宋体" w:cs="宋体"/>
          <w:b/>
          <w:bCs/>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评委签名：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项目编号：                                                  </w:t>
      </w:r>
    </w:p>
    <w:p>
      <w:pPr>
        <w:snapToGrid w:val="0"/>
        <w:rPr>
          <w:rFonts w:ascii="宋体" w:hAnsi="宋体" w:cs="宋体"/>
          <w:b/>
          <w:bCs/>
          <w:color w:val="auto"/>
          <w:highlight w:val="none"/>
        </w:rPr>
      </w:pPr>
    </w:p>
    <w:tbl>
      <w:tblPr>
        <w:tblStyle w:val="89"/>
        <w:tblW w:w="95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1"/>
        <w:gridCol w:w="1517"/>
        <w:gridCol w:w="6772"/>
        <w:gridCol w:w="7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blHeader/>
          <w:jc w:val="center"/>
        </w:trPr>
        <w:tc>
          <w:tcPr>
            <w:tcW w:w="531"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7"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772"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728"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7" w:type="dxa"/>
            <w:tcBorders>
              <w:top w:val="single" w:color="auto" w:sz="4" w:space="0"/>
              <w:bottom w:val="single" w:color="auto" w:sz="4" w:space="0"/>
            </w:tcBorders>
            <w:vAlign w:val="center"/>
          </w:tcPr>
          <w:p>
            <w:pPr>
              <w:pStyle w:val="183"/>
              <w:jc w:val="center"/>
              <w:rPr>
                <w:rFonts w:ascii="宋体" w:hAnsi="宋体" w:cs="宋体"/>
                <w:color w:val="auto"/>
                <w:szCs w:val="21"/>
                <w:highlight w:val="none"/>
              </w:rPr>
            </w:pPr>
            <w:r>
              <w:rPr>
                <w:rFonts w:hint="eastAsia" w:ascii="宋体" w:hAnsi="宋体"/>
                <w:color w:val="auto"/>
                <w:szCs w:val="21"/>
                <w:highlight w:val="none"/>
                <w:lang w:val="en-GB"/>
              </w:rPr>
              <w:t>同类项目业绩</w:t>
            </w:r>
          </w:p>
        </w:tc>
        <w:tc>
          <w:tcPr>
            <w:tcW w:w="6772" w:type="dxa"/>
            <w:tcBorders>
              <w:top w:val="single" w:color="auto" w:sz="4" w:space="0"/>
              <w:bottom w:val="single" w:color="auto" w:sz="4" w:space="0"/>
            </w:tcBorders>
            <w:vAlign w:val="center"/>
          </w:tcPr>
          <w:p>
            <w:pPr>
              <w:rPr>
                <w:rFonts w:ascii="宋体" w:hAnsi="宋体" w:cs="宋体"/>
                <w:color w:val="auto"/>
                <w:szCs w:val="21"/>
                <w:highlight w:val="none"/>
              </w:rPr>
            </w:pPr>
            <w:r>
              <w:rPr>
                <w:rFonts w:hint="eastAsia" w:cs="宋体"/>
                <w:color w:val="auto"/>
                <w:kern w:val="0"/>
                <w:szCs w:val="21"/>
                <w:highlight w:val="none"/>
              </w:rPr>
              <w:t>提供2019年以来完成类似项目业绩（附</w:t>
            </w:r>
            <w:r>
              <w:rPr>
                <w:rFonts w:hint="eastAsia" w:ascii="宋体" w:hAnsi="宋体"/>
                <w:color w:val="auto"/>
                <w:szCs w:val="21"/>
                <w:highlight w:val="none"/>
              </w:rPr>
              <w:t>上成交/中标通知书或合同复印件</w:t>
            </w:r>
            <w:r>
              <w:rPr>
                <w:rFonts w:hint="eastAsia" w:cs="宋体"/>
                <w:color w:val="auto"/>
                <w:kern w:val="0"/>
                <w:szCs w:val="21"/>
                <w:highlight w:val="none"/>
              </w:rPr>
              <w:t>）每提供一份业绩得2分，满分6分。</w:t>
            </w:r>
          </w:p>
        </w:tc>
        <w:tc>
          <w:tcPr>
            <w:tcW w:w="728" w:type="dxa"/>
            <w:tcBorders>
              <w:top w:val="single" w:color="auto" w:sz="4" w:space="0"/>
              <w:bottom w:val="single" w:color="auto" w:sz="4" w:space="0"/>
            </w:tcBorders>
            <w:vAlign w:val="center"/>
          </w:tcPr>
          <w:p>
            <w:pPr>
              <w:pStyle w:val="183"/>
              <w:jc w:val="center"/>
              <w:rPr>
                <w:rFonts w:ascii="宋体" w:hAnsi="宋体" w:cs="宋体"/>
                <w:color w:val="auto"/>
                <w:szCs w:val="21"/>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7"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cs="宋体"/>
                <w:color w:val="auto"/>
                <w:kern w:val="0"/>
                <w:szCs w:val="21"/>
                <w:highlight w:val="none"/>
              </w:rPr>
              <w:t>售后服务方案</w:t>
            </w:r>
          </w:p>
        </w:tc>
        <w:tc>
          <w:tcPr>
            <w:tcW w:w="6772" w:type="dxa"/>
            <w:tcBorders>
              <w:top w:val="single" w:color="auto" w:sz="4" w:space="0"/>
              <w:bottom w:val="single" w:color="auto" w:sz="4" w:space="0"/>
            </w:tcBorders>
            <w:vAlign w:val="center"/>
          </w:tcPr>
          <w:p>
            <w:pPr>
              <w:widowControl/>
              <w:jc w:val="left"/>
              <w:rPr>
                <w:rFonts w:ascii="宋体" w:hAnsi="宋体"/>
                <w:color w:val="auto"/>
                <w:szCs w:val="21"/>
                <w:highlight w:val="none"/>
                <w:lang w:val="zh-CN"/>
              </w:rPr>
            </w:pPr>
            <w:r>
              <w:rPr>
                <w:rFonts w:hint="eastAsia" w:ascii="宋体" w:hAnsi="宋体"/>
                <w:color w:val="auto"/>
                <w:szCs w:val="21"/>
                <w:highlight w:val="none"/>
                <w:lang w:val="zh-CN"/>
              </w:rPr>
              <w:t>对比投标人对本项目售后服务要求的响应情况：</w:t>
            </w:r>
          </w:p>
          <w:p>
            <w:pPr>
              <w:widowControl/>
              <w:jc w:val="left"/>
              <w:rPr>
                <w:rFonts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szCs w:val="21"/>
                <w:highlight w:val="none"/>
                <w:lang w:val="zh-CN"/>
              </w:rPr>
              <w:t>完全满足或优于招标要求的，</w:t>
            </w:r>
            <w:r>
              <w:rPr>
                <w:rFonts w:hint="eastAsia" w:cs="宋体"/>
                <w:color w:val="auto"/>
                <w:kern w:val="0"/>
                <w:szCs w:val="21"/>
                <w:highlight w:val="none"/>
              </w:rPr>
              <w:t>提供详尽的售后服务方案，实施步骤清晰，承诺细致、满足用户要求，得12分。</w:t>
            </w:r>
          </w:p>
          <w:p>
            <w:pPr>
              <w:widowControl/>
              <w:jc w:val="left"/>
              <w:rPr>
                <w:rFonts w:cs="宋体"/>
                <w:color w:val="auto"/>
                <w:kern w:val="0"/>
                <w:szCs w:val="21"/>
                <w:highlight w:val="none"/>
              </w:rPr>
            </w:pPr>
            <w:r>
              <w:rPr>
                <w:rFonts w:hint="eastAsia" w:cs="宋体"/>
                <w:color w:val="auto"/>
                <w:kern w:val="0"/>
                <w:szCs w:val="21"/>
                <w:highlight w:val="none"/>
              </w:rPr>
              <w:t>2.有提供售后服务方案，但叙述一般，步骤较清晰，承诺一般、满足用户要求一般，得6分。</w:t>
            </w:r>
          </w:p>
          <w:p>
            <w:pPr>
              <w:widowControl/>
              <w:jc w:val="left"/>
              <w:rPr>
                <w:rFonts w:cs="宋体"/>
                <w:color w:val="auto"/>
                <w:kern w:val="0"/>
                <w:szCs w:val="21"/>
                <w:highlight w:val="none"/>
              </w:rPr>
            </w:pPr>
            <w:r>
              <w:rPr>
                <w:rFonts w:hint="eastAsia" w:cs="宋体"/>
                <w:color w:val="auto"/>
                <w:kern w:val="0"/>
                <w:szCs w:val="21"/>
                <w:highlight w:val="none"/>
              </w:rPr>
              <w:t>3.有提供售后服务方案，但叙述不强，步骤不清晰，承诺不完整、满足用户要求较差，得1分。</w:t>
            </w:r>
          </w:p>
          <w:p>
            <w:pPr>
              <w:jc w:val="left"/>
              <w:rPr>
                <w:rFonts w:ascii="宋体" w:hAnsi="宋体" w:cs="宋体"/>
                <w:color w:val="auto"/>
                <w:szCs w:val="21"/>
                <w:highlight w:val="none"/>
              </w:rPr>
            </w:pPr>
            <w:r>
              <w:rPr>
                <w:rFonts w:hint="eastAsia" w:cs="宋体"/>
                <w:color w:val="auto"/>
                <w:kern w:val="0"/>
                <w:szCs w:val="21"/>
                <w:highlight w:val="none"/>
              </w:rPr>
              <w:t>4.其他不得分。</w:t>
            </w:r>
          </w:p>
        </w:tc>
        <w:tc>
          <w:tcPr>
            <w:tcW w:w="728"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517"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cs="宋体"/>
                <w:color w:val="auto"/>
                <w:kern w:val="0"/>
                <w:szCs w:val="21"/>
                <w:highlight w:val="none"/>
              </w:rPr>
              <w:t>质量保修期年限</w:t>
            </w:r>
          </w:p>
        </w:tc>
        <w:tc>
          <w:tcPr>
            <w:tcW w:w="6772"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本项目竞争性磋商文件规定的质量保修期不低于一年，每增加一年得1分。</w:t>
            </w:r>
          </w:p>
          <w:p>
            <w:pPr>
              <w:jc w:val="left"/>
              <w:rPr>
                <w:rFonts w:ascii="宋体" w:hAnsi="宋体" w:cs="宋体"/>
                <w:color w:val="auto"/>
                <w:szCs w:val="21"/>
                <w:highlight w:val="none"/>
              </w:rPr>
            </w:pPr>
            <w:r>
              <w:rPr>
                <w:rFonts w:hint="eastAsia" w:cs="宋体"/>
                <w:color w:val="auto"/>
                <w:kern w:val="0"/>
                <w:szCs w:val="21"/>
                <w:highlight w:val="none"/>
              </w:rPr>
              <w:t>此项满分为3分。</w:t>
            </w:r>
          </w:p>
        </w:tc>
        <w:tc>
          <w:tcPr>
            <w:tcW w:w="728"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517" w:type="dxa"/>
            <w:tcBorders>
              <w:top w:val="single" w:color="auto" w:sz="4" w:space="0"/>
              <w:bottom w:val="single" w:color="auto" w:sz="4" w:space="0"/>
            </w:tcBorders>
            <w:vAlign w:val="center"/>
          </w:tcPr>
          <w:p>
            <w:pPr>
              <w:pStyle w:val="183"/>
              <w:jc w:val="center"/>
              <w:rPr>
                <w:rFonts w:cs="宋体"/>
                <w:color w:val="auto"/>
                <w:kern w:val="0"/>
                <w:szCs w:val="21"/>
                <w:highlight w:val="none"/>
              </w:rPr>
            </w:pPr>
            <w:r>
              <w:rPr>
                <w:rFonts w:hint="eastAsia" w:cs="宋体"/>
                <w:color w:val="auto"/>
                <w:kern w:val="0"/>
                <w:szCs w:val="21"/>
                <w:highlight w:val="none"/>
              </w:rPr>
              <w:t>售后服务响应时间</w:t>
            </w:r>
          </w:p>
        </w:tc>
        <w:tc>
          <w:tcPr>
            <w:tcW w:w="6772"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1.售后服务响应时间最快能到达现场的，得6分。</w:t>
            </w:r>
          </w:p>
          <w:p>
            <w:pPr>
              <w:widowControl/>
              <w:jc w:val="left"/>
              <w:rPr>
                <w:rFonts w:cs="宋体"/>
                <w:color w:val="auto"/>
                <w:kern w:val="0"/>
                <w:szCs w:val="21"/>
                <w:highlight w:val="none"/>
              </w:rPr>
            </w:pPr>
            <w:r>
              <w:rPr>
                <w:rFonts w:hint="eastAsia" w:cs="宋体"/>
                <w:color w:val="auto"/>
                <w:kern w:val="0"/>
                <w:szCs w:val="21"/>
                <w:highlight w:val="none"/>
              </w:rPr>
              <w:t>2.售后服务响应时间比较快能到达现场的，得3分。</w:t>
            </w:r>
          </w:p>
          <w:p>
            <w:pPr>
              <w:widowControl/>
              <w:jc w:val="left"/>
              <w:rPr>
                <w:rFonts w:cs="宋体"/>
                <w:color w:val="auto"/>
                <w:kern w:val="0"/>
                <w:szCs w:val="21"/>
                <w:highlight w:val="none"/>
              </w:rPr>
            </w:pPr>
            <w:r>
              <w:rPr>
                <w:rFonts w:hint="eastAsia" w:cs="宋体"/>
                <w:color w:val="auto"/>
                <w:kern w:val="0"/>
                <w:szCs w:val="21"/>
                <w:highlight w:val="none"/>
              </w:rPr>
              <w:t>3.售后服务响应时间一般，得1分。</w:t>
            </w:r>
          </w:p>
          <w:p>
            <w:pPr>
              <w:rPr>
                <w:rFonts w:cs="宋体"/>
                <w:color w:val="auto"/>
                <w:kern w:val="0"/>
                <w:szCs w:val="21"/>
                <w:highlight w:val="none"/>
              </w:rPr>
            </w:pPr>
            <w:r>
              <w:rPr>
                <w:rFonts w:hint="eastAsia" w:cs="宋体"/>
                <w:color w:val="auto"/>
                <w:kern w:val="0"/>
                <w:szCs w:val="21"/>
                <w:highlight w:val="none"/>
              </w:rPr>
              <w:t>4.其他不得分。</w:t>
            </w:r>
          </w:p>
        </w:tc>
        <w:tc>
          <w:tcPr>
            <w:tcW w:w="728" w:type="dxa"/>
            <w:tcBorders>
              <w:top w:val="single" w:color="auto" w:sz="4" w:space="0"/>
              <w:bottom w:val="single" w:color="auto" w:sz="4" w:space="0"/>
            </w:tcBorders>
            <w:vAlign w:val="center"/>
          </w:tcPr>
          <w:p>
            <w:pPr>
              <w:pStyle w:val="183"/>
              <w:jc w:val="center"/>
              <w:rPr>
                <w:rFonts w:ascii="宋体" w:hAnsi="宋体"/>
                <w:color w:val="auto"/>
                <w:szCs w:val="21"/>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517" w:type="dxa"/>
            <w:tcBorders>
              <w:top w:val="single" w:color="auto" w:sz="4" w:space="0"/>
              <w:bottom w:val="single" w:color="auto" w:sz="4" w:space="0"/>
            </w:tcBorders>
            <w:vAlign w:val="center"/>
          </w:tcPr>
          <w:p>
            <w:pPr>
              <w:pStyle w:val="183"/>
              <w:jc w:val="center"/>
              <w:rPr>
                <w:rFonts w:cs="宋体"/>
                <w:color w:val="auto"/>
                <w:kern w:val="0"/>
                <w:szCs w:val="21"/>
                <w:highlight w:val="none"/>
              </w:rPr>
            </w:pPr>
            <w:r>
              <w:rPr>
                <w:rFonts w:hint="eastAsia" w:cs="宋体"/>
                <w:color w:val="auto"/>
                <w:kern w:val="0"/>
                <w:szCs w:val="21"/>
                <w:highlight w:val="none"/>
              </w:rPr>
              <w:t>培训计划</w:t>
            </w:r>
          </w:p>
        </w:tc>
        <w:tc>
          <w:tcPr>
            <w:tcW w:w="6772"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1.有提供免费培训计划,实施方案内容详尽可实施操作性强，得3分。</w:t>
            </w:r>
          </w:p>
          <w:p>
            <w:pPr>
              <w:widowControl/>
              <w:jc w:val="left"/>
              <w:rPr>
                <w:rFonts w:cs="宋体"/>
                <w:color w:val="auto"/>
                <w:kern w:val="0"/>
                <w:szCs w:val="21"/>
                <w:highlight w:val="none"/>
              </w:rPr>
            </w:pPr>
            <w:r>
              <w:rPr>
                <w:rFonts w:hint="eastAsia" w:cs="宋体"/>
                <w:color w:val="auto"/>
                <w:kern w:val="0"/>
                <w:szCs w:val="21"/>
                <w:highlight w:val="none"/>
              </w:rPr>
              <w:t>2.有提供免费培训计划，实施方案内容不详尽可操作性差，得1分。</w:t>
            </w:r>
          </w:p>
          <w:p>
            <w:pPr>
              <w:widowControl/>
              <w:jc w:val="left"/>
              <w:rPr>
                <w:rFonts w:cs="宋体"/>
                <w:color w:val="auto"/>
                <w:kern w:val="0"/>
                <w:szCs w:val="21"/>
                <w:highlight w:val="none"/>
              </w:rPr>
            </w:pPr>
            <w:r>
              <w:rPr>
                <w:rFonts w:hint="eastAsia" w:cs="宋体"/>
                <w:color w:val="auto"/>
                <w:kern w:val="0"/>
                <w:szCs w:val="21"/>
                <w:highlight w:val="none"/>
              </w:rPr>
              <w:t>3.其他不得分。</w:t>
            </w:r>
          </w:p>
        </w:tc>
        <w:tc>
          <w:tcPr>
            <w:tcW w:w="728" w:type="dxa"/>
            <w:tcBorders>
              <w:top w:val="single" w:color="auto" w:sz="4" w:space="0"/>
              <w:bottom w:val="single" w:color="auto" w:sz="4" w:space="0"/>
            </w:tcBorders>
            <w:vAlign w:val="center"/>
          </w:tcPr>
          <w:p>
            <w:pPr>
              <w:pStyle w:val="183"/>
              <w:jc w:val="center"/>
              <w:rPr>
                <w:rFonts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820" w:type="dxa"/>
            <w:gridSpan w:val="3"/>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728"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30</w:t>
            </w:r>
          </w:p>
        </w:tc>
      </w:tr>
    </w:tbl>
    <w:p>
      <w:pPr>
        <w:snapToGrid w:val="0"/>
        <w:rPr>
          <w:rFonts w:ascii="宋体" w:hAnsi="宋体" w:cs="宋体"/>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89"/>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1、价格核准：磋商小组对有效报价人的详细报价进行复核，看其是否有计算错误或供货范围上的错误，修正错误的原则详见招标相关条款。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综合评分法中的价格分统一采用低价优先法计算，即满足磋商文件要求且最后报价最低的报价人的价格为磋商基准价，其价格分为满分。其他报价人的价格分统一按照下列公式计算：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50" w:name="_Toc475104537"/>
      <w:bookmarkStart w:id="351"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50"/>
      <w:bookmarkEnd w:id="351"/>
    </w:p>
    <w:p>
      <w:pPr>
        <w:spacing w:line="360" w:lineRule="auto"/>
        <w:rPr>
          <w:rFonts w:ascii="宋体" w:hAnsi="宋体"/>
          <w:bCs/>
          <w:color w:val="auto"/>
          <w:sz w:val="28"/>
          <w:highlight w:val="none"/>
        </w:rPr>
      </w:pPr>
      <w:bookmarkStart w:id="352" w:name="_Toc28489496"/>
      <w:bookmarkStart w:id="353" w:name="_Toc35834912"/>
      <w:bookmarkStart w:id="354" w:name="_Toc34535358"/>
      <w:bookmarkStart w:id="355" w:name="_Toc14450838"/>
      <w:bookmarkStart w:id="356" w:name="_Toc10946790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57" w:name="_Toc163481918"/>
      <w:r>
        <w:rPr>
          <w:rFonts w:hint="eastAsia"/>
          <w:color w:val="auto"/>
          <w:szCs w:val="30"/>
          <w:highlight w:val="none"/>
        </w:rPr>
        <w:br w:type="page"/>
      </w:r>
    </w:p>
    <w:p>
      <w:pPr>
        <w:pStyle w:val="5"/>
        <w:numPr>
          <w:ilvl w:val="0"/>
          <w:numId w:val="20"/>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5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89"/>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★具有良好的商业信誉和健全的财务会计制度【提供2018年或2019年的财务状况报告或基本开户行（提供开户许可证）出具的资信证明复印件。如报价人为新注册的，提供成立至今的月或季度财务状况报告复印件】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▲条款响应一览表（附件21）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报价人认为有必要说明的其他文件(附件23)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5"/>
        <w:numPr>
          <w:ilvl w:val="0"/>
          <w:numId w:val="20"/>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（报价人名称）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天有效，如被确定为报价人成交报价人，有效期将延至合同终止日为止；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6.我方如被确定为报价人成交报价人，将保证履行竞争性磋商文件以及竞争性磋商文件修改书（如有的话）中的全部责任和义务，按质、按量、按期完成《合同》中的全部任务；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报价人全称（加盖公章）：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8" w:name="_Toc14450839"/>
      <w:bookmarkStart w:id="359" w:name="_Toc55816096"/>
      <w:bookmarkStart w:id="360" w:name="_Toc41448359"/>
      <w:bookmarkStart w:id="361" w:name="_Toc86065029"/>
      <w:bookmarkStart w:id="362" w:name="_Toc35834913"/>
      <w:bookmarkStart w:id="363" w:name="_Toc28489497"/>
      <w:bookmarkStart w:id="364" w:name="_Toc34535359"/>
      <w:bookmarkStart w:id="365" w:name="_Toc25224019"/>
      <w:bookmarkStart w:id="366" w:name="_Toc10946790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67" w:name="_Toc223939105"/>
      <w:r>
        <w:rPr>
          <w:rFonts w:hint="eastAsia" w:hAnsi="宋体"/>
          <w:color w:val="auto"/>
          <w:szCs w:val="21"/>
          <w:highlight w:val="none"/>
        </w:rPr>
        <w:t>现任我单位职务，为法定代表人，特此证明。</w:t>
      </w:r>
      <w:bookmarkEnd w:id="367"/>
      <w:bookmarkStart w:id="368"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68"/>
      <w:bookmarkStart w:id="369"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9"/>
      <w:bookmarkStart w:id="370"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bookmarkEnd w:id="370"/>
      <w:bookmarkStart w:id="371"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71"/>
    </w:p>
    <w:p>
      <w:pPr>
        <w:pStyle w:val="46"/>
        <w:spacing w:line="360" w:lineRule="auto"/>
        <w:jc w:val="center"/>
        <w:rPr>
          <w:rFonts w:hAnsi="宋体"/>
          <w:color w:val="auto"/>
          <w:szCs w:val="21"/>
          <w:highlight w:val="none"/>
        </w:rPr>
      </w:pPr>
    </w:p>
    <w:tbl>
      <w:tblPr>
        <w:tblStyle w:val="89"/>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89"/>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被授权人(报价人授权代表)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“报价信封”内。如是法定代表人作为报价人代表，则无需提交此资料。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一、本公司（企业）具备《中华人民共和国政府采购法》第二十二条资格条件：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r>
        <w:rPr>
          <w:rFonts w:hint="eastAsia"/>
          <w:color w:val="auto"/>
          <w:highlight w:val="none"/>
        </w:rPr>
        <w:t>提供法人或者其他组织的营业执照、组织机构代码证和税务登记证（或三证合一证明）等证明文件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r>
        <w:rPr>
          <w:rFonts w:hint="eastAsia"/>
          <w:color w:val="auto"/>
          <w:highlight w:val="none"/>
        </w:rPr>
        <w:t>提供2018年或2019年的财务状况报告或基本开户行（提供开户许可证）出具的资信证明复印件。如报价人为新注册的，提供成立至今的月或季度财务状况报告复印件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r>
        <w:rPr>
          <w:rFonts w:hint="eastAsia"/>
          <w:color w:val="auto"/>
          <w:highlight w:val="none"/>
        </w:rPr>
        <w:t>提供缴纳税收和社会保险的凭证。如依法免税或不需要缴纳社会保障资金的，应提供相应文件证明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根据《中华人民共和国政府采购法实施条例》的规定，本公司（企业）如为采购项目提供整体设计、规范编制或者项目管理、监理、检测等服务的报价人，不再参加该采购项目的其他采购活动。否则，由此所造成的损失、不良后果及法律责任，一律由我公司（企业）承担。</w:t>
      </w:r>
    </w:p>
    <w:p>
      <w:pPr>
        <w:snapToGrid w:val="0"/>
        <w:spacing w:beforeLines="50" w:line="360" w:lineRule="auto"/>
        <w:ind w:firstLine="525" w:firstLineChars="250"/>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本公司（企业）的法定代表人或单位负责人与本项目其他报价人的法定代表人或单位负责人不为同一人且与其他报价人之间不存在直接控股、管理关系。</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四、本公司（企业）政府采购活动前三年内，没有正在被司法机关立案调查。</w:t>
      </w:r>
    </w:p>
    <w:p>
      <w:pPr>
        <w:snapToGrid w:val="0"/>
        <w:spacing w:line="360" w:lineRule="auto"/>
        <w:ind w:firstLine="420" w:firstLineChars="200"/>
        <w:jc w:val="left"/>
        <w:rPr>
          <w:color w:val="auto"/>
          <w:szCs w:val="21"/>
          <w:highlight w:val="none"/>
        </w:rPr>
      </w:pPr>
      <w:r>
        <w:rPr>
          <w:rFonts w:hint="eastAsia" w:ascii="宋体" w:hAnsi="宋体" w:cs="宋体"/>
          <w:color w:val="auto"/>
          <w:szCs w:val="21"/>
          <w:highlight w:val="none"/>
        </w:rPr>
        <w:t>本公司（企业）已清楚竞争性磋商文件的要求及有关文件规定，并承诺在本次招标采购活动中，如有违法、违规、弄虚作假行为，所造成的损失、不良后果及法律责任，一律由我公司（企业）承担。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报价人</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报价人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8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报价人单位名称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2"/>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注:1.报价人应按“采购人需求”的要求，根据实际情况进行报价。本表内的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2.报价人报价高于采购项目预算金额的报价响应无效；</w:t>
      </w:r>
    </w:p>
    <w:p>
      <w:pPr>
        <w:snapToGrid w:val="0"/>
        <w:spacing w:line="360" w:lineRule="auto"/>
        <w:ind w:left="515" w:leftChars="150" w:hanging="200" w:hangingChars="95"/>
        <w:rPr>
          <w:rFonts w:ascii="宋体" w:hAnsi="宋体" w:cs="宋体"/>
          <w:b/>
          <w:color w:val="auto"/>
          <w:szCs w:val="21"/>
          <w:highlight w:val="none"/>
        </w:rPr>
      </w:pPr>
      <w:r>
        <w:rPr>
          <w:rFonts w:hint="eastAsia" w:ascii="宋体" w:hAnsi="宋体" w:cs="宋体"/>
          <w:b/>
          <w:color w:val="auto"/>
          <w:szCs w:val="21"/>
          <w:highlight w:val="none"/>
        </w:rPr>
        <w:t>3.中文大写金额用汉字，如壹、贰、叁、肆、伍、陆、柒、捌、玖、拾、佰、仟、万、亿、元、角、分、零、整（正）等。如：小写： 1230000，大写：</w:t>
      </w:r>
      <w:r>
        <w:rPr>
          <w:rFonts w:hint="eastAsia" w:ascii="宋体" w:hAnsi="宋体" w:cs="宋体"/>
          <w:b/>
          <w:color w:val="auto"/>
          <w:szCs w:val="21"/>
          <w:highlight w:val="none"/>
          <w:u w:val="single"/>
        </w:rPr>
        <w:t>壹佰贰拾叁万元整</w:t>
      </w:r>
      <w:r>
        <w:rPr>
          <w:rFonts w:hint="eastAsia" w:ascii="宋体" w:hAnsi="宋体" w:cs="宋体"/>
          <w:b/>
          <w:color w:val="auto"/>
          <w:szCs w:val="21"/>
          <w:highlight w:val="none"/>
        </w:rPr>
        <w:t>。</w:t>
      </w:r>
    </w:p>
    <w:p>
      <w:pPr>
        <w:snapToGrid w:val="0"/>
        <w:spacing w:line="360" w:lineRule="auto"/>
        <w:ind w:left="512" w:leftChars="195" w:hanging="103" w:hangingChars="49"/>
        <w:rPr>
          <w:rFonts w:ascii="宋体" w:hAnsi="宋体" w:cs="宋体"/>
          <w:b/>
          <w:color w:val="auto"/>
          <w:szCs w:val="21"/>
          <w:highlight w:val="none"/>
        </w:rPr>
      </w:pPr>
      <w:r>
        <w:rPr>
          <w:rFonts w:hint="eastAsia" w:ascii="宋体" w:hAnsi="宋体" w:cs="宋体"/>
          <w:b/>
          <w:color w:val="auto"/>
          <w:szCs w:val="21"/>
          <w:highlight w:val="none"/>
        </w:rPr>
        <w:t>4.投标总报价应包含采购项目的全部费用，报价人不得再向采购人收取任何费用；</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5.报价以人民币元为单位，保留小数点后两位；</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6.投标报价要求具体见第二章“投标报价”及采购人需求要求；</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89"/>
        <w:tblW w:w="9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
        <w:gridCol w:w="1850"/>
        <w:gridCol w:w="435"/>
        <w:gridCol w:w="630"/>
        <w:gridCol w:w="1299"/>
        <w:gridCol w:w="1746"/>
        <w:gridCol w:w="1459"/>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185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货物名称</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数量</w:t>
            </w:r>
          </w:p>
        </w:tc>
        <w:tc>
          <w:tcPr>
            <w:tcW w:w="63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129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综合单价报价（元）</w:t>
            </w:r>
          </w:p>
        </w:tc>
        <w:tc>
          <w:tcPr>
            <w:tcW w:w="1746"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金额合计（元）</w:t>
            </w:r>
          </w:p>
        </w:tc>
        <w:tc>
          <w:tcPr>
            <w:tcW w:w="145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备注</w:t>
            </w:r>
          </w:p>
        </w:tc>
        <w:tc>
          <w:tcPr>
            <w:tcW w:w="13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所投品牌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1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一、排风部分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玻璃钢离心风机</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299"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风机进口变径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风机进口变径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软连接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软连接</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伞形防雨帽</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风机减震垫</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风机水泥机座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吸附箱水泥机座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消声器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活性炭吸附箱</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活性炭吸附箱</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70℃常开防火阀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70℃常开防火阀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电动调风阀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电动调风阀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PP风管</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PP弯头</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PP变径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PP变径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PP变径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PP变径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PP三通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三通</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三通</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 直通</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风阀控制面板配底座</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管道静压传感控制系统</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变频器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57</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通风配电箱4、5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动力线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电动风阀电源线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控制面板电源线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系统控制线</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线管（P</w:t>
            </w:r>
            <w:r>
              <w:rPr>
                <w:rStyle w:val="221"/>
                <w:color w:val="auto"/>
                <w:highlight w:val="none"/>
                <w:lang w:val="en-US" w:eastAsia="zh-CN" w:bidi="ar"/>
              </w:rPr>
              <w:t>VC）</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镀锌桥架及配件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风管支吊架</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685</w:t>
            </w:r>
          </w:p>
        </w:tc>
        <w:tc>
          <w:tcPr>
            <w:tcW w:w="63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Kg</w:t>
            </w:r>
          </w:p>
        </w:tc>
        <w:tc>
          <w:tcPr>
            <w:tcW w:w="1299" w:type="dxa"/>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18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eastAsia="宋体" w:cs="宋体"/>
                <w:b/>
                <w:i w:val="0"/>
                <w:color w:val="auto"/>
                <w:kern w:val="0"/>
                <w:sz w:val="20"/>
                <w:szCs w:val="20"/>
                <w:highlight w:val="none"/>
                <w:u w:val="none"/>
                <w:lang w:val="en-US" w:eastAsia="zh-CN" w:bidi="ar"/>
              </w:rPr>
              <w:t>二、洁净系统设备部分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65</w:t>
            </w:r>
          </w:p>
        </w:tc>
        <w:tc>
          <w:tcPr>
            <w:tcW w:w="185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直膨组合式空气处理机组（AHU-1）室内机组</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风冷直膨式空调室外机（AHU-1）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设备基础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指针式压差表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高效过滤器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高效过滤器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镀锌风管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r>
              <w:rPr>
                <w:rStyle w:val="219"/>
                <w:color w:val="auto"/>
                <w:highlight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风管保温</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w:t>
            </w:r>
            <w:r>
              <w:rPr>
                <w:rStyle w:val="219"/>
                <w:color w:val="auto"/>
                <w:highlight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消声静压箱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手动风量调节阀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手动风量调节阀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电动风量调节阀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电动风量调节阀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防火调节阀(70℃)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止回阀</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铝合金排风百叶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新风防雨百页（带防虫网）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风管支架</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空调铜管及保温</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压力传感器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风速传感器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温湿度传感器</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空调风机控制箱(AP)</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开风口及修复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安装辅材</w:t>
            </w:r>
          </w:p>
        </w:tc>
        <w:tc>
          <w:tcPr>
            <w:tcW w:w="4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设备吊装费</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3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29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91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其他费用</w:t>
            </w:r>
          </w:p>
        </w:tc>
        <w:tc>
          <w:tcPr>
            <w:tcW w:w="43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63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29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highlight w:val="none"/>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8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auto"/>
                <w:sz w:val="20"/>
                <w:szCs w:val="20"/>
                <w:highlight w:val="none"/>
                <w:u w:val="none"/>
              </w:rPr>
            </w:pPr>
            <w:r>
              <w:rPr>
                <w:rFonts w:hint="eastAsia" w:ascii="宋体" w:hAnsi="宋体" w:eastAsia="宋体" w:cs="宋体"/>
                <w:b/>
                <w:bCs/>
                <w:i w:val="0"/>
                <w:color w:val="auto"/>
                <w:kern w:val="0"/>
                <w:sz w:val="22"/>
                <w:szCs w:val="22"/>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8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小写：</w:t>
            </w:r>
          </w:p>
          <w:p>
            <w:pP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大写：</w:t>
            </w:r>
          </w:p>
        </w:tc>
      </w:tr>
    </w:tbl>
    <w:p>
      <w:pPr>
        <w:rPr>
          <w:rFonts w:hint="eastAsia" w:hAnsi="宋体" w:cs="宋体"/>
          <w:color w:val="auto"/>
          <w:kern w:val="0"/>
          <w:szCs w:val="21"/>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报价人自行设计。报价人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3.该表格式仅作参考，报价人的详细报价表格式可自定。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8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）小微企业投标且提供其它小型、微型企业产品的，请填写下表内容(如报价人为中小企业，请填写下面的《中小企业声明函》一起提交)：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tabs>
          <w:tab w:val="left" w:pos="0"/>
        </w:tabs>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4"/>
          <w:rFonts w:hint="eastAsia" w:ascii="宋体" w:hAnsi="宋体"/>
          <w:color w:val="auto"/>
          <w:szCs w:val="21"/>
          <w:highlight w:val="none"/>
        </w:rPr>
        <w:t>http://hzs.nd</w:t>
      </w:r>
      <w:r>
        <w:rPr>
          <w:rStyle w:val="94"/>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报价人</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报价人</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报价人</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报价人</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报价人</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72" w:name="OLE_LINK13"/>
      <w:bookmarkStart w:id="373" w:name="OLE_LINK14"/>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74" w:name="_Toc512331248"/>
    </w:p>
    <w:p>
      <w:pPr>
        <w:pStyle w:val="6"/>
        <w:rPr>
          <w:bCs/>
          <w:color w:val="auto"/>
          <w:szCs w:val="28"/>
          <w:highlight w:val="none"/>
        </w:rPr>
      </w:pPr>
      <w:r>
        <w:rPr>
          <w:rFonts w:hint="eastAsia"/>
          <w:bCs/>
          <w:color w:val="auto"/>
          <w:szCs w:val="28"/>
          <w:highlight w:val="none"/>
        </w:rPr>
        <w:t>附件12 残疾人福利性单位声明函（如适用）</w:t>
      </w:r>
      <w:bookmarkEnd w:id="374"/>
    </w:p>
    <w:p>
      <w:pPr>
        <w:rPr>
          <w:color w:val="auto"/>
          <w:highlight w:val="none"/>
        </w:rPr>
      </w:pPr>
    </w:p>
    <w:bookmarkEnd w:id="372"/>
    <w:bookmarkEnd w:id="373"/>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报价人基本情况表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报价人</w:t>
      </w:r>
      <w:r>
        <w:rPr>
          <w:rFonts w:hint="eastAsia" w:ascii="宋体" w:hAnsi="宋体"/>
          <w:color w:val="auto"/>
          <w:szCs w:val="21"/>
          <w:highlight w:val="none"/>
        </w:rPr>
        <w:t>获得资质和荣誉证书复印件一览表（后附相关证书复印件加盖公章）</w:t>
      </w:r>
    </w:p>
    <w:tbl>
      <w:tblPr>
        <w:tblStyle w:val="8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75" w:name="_Toc109467914"/>
      <w:bookmarkStart w:id="376"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89"/>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报价人全称（盖公章）：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2.采购人需求书中的服务要求仅为最低要求。报价人在磋商响应文件中必须列出具体报价响应内容。如果报价人只注明“符合”或“满足”，将被视为“不符合”，从而可能导致严重影响评标结果。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3.报价人没有在磋商响应文件中注明偏离（文字说明或在服务、商务偏离表注明）的参数、配置、条款视为报价人完全接受。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89"/>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注：报价人对竞争性磋商文件的合同（样本）不允许实质性偏离，否则将视为不响应。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75"/>
    <w:bookmarkEnd w:id="376"/>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8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[说明]报价人应按照竞争性磋商文件的要求，根据采购人需求要求内容做出全面响应并编制服务方案。其内容应包括但不限于：</w:t>
      </w:r>
    </w:p>
    <w:p>
      <w:pPr>
        <w:spacing w:line="360" w:lineRule="auto"/>
        <w:ind w:left="420" w:leftChars="200" w:firstLine="105" w:firstLineChars="50"/>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（1）对所投产品设备技术参数、性能指标、质量及特别带“▲”的响应情况和符合性；</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lang w:val="zh-CN"/>
        </w:rPr>
        <w:t>（</w:t>
      </w:r>
      <w:r>
        <w:rPr>
          <w:rFonts w:hint="eastAsia" w:ascii="宋体" w:hAnsi="宋体"/>
          <w:bCs/>
          <w:color w:val="auto"/>
          <w:szCs w:val="21"/>
          <w:highlight w:val="none"/>
        </w:rPr>
        <w:t>2</w:t>
      </w:r>
      <w:r>
        <w:rPr>
          <w:rFonts w:hint="eastAsia" w:ascii="宋体" w:hAnsi="宋体"/>
          <w:bCs/>
          <w:color w:val="auto"/>
          <w:szCs w:val="21"/>
          <w:highlight w:val="none"/>
          <w:lang w:val="zh-CN"/>
        </w:rPr>
        <w:t>）施工材料</w:t>
      </w:r>
      <w:r>
        <w:rPr>
          <w:rFonts w:hint="eastAsia" w:ascii="宋体" w:hAnsi="宋体"/>
          <w:bCs/>
          <w:color w:val="auto"/>
          <w:szCs w:val="21"/>
          <w:highlight w:val="none"/>
        </w:rPr>
        <w:t>；</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rPr>
        <w:t>（3）合同履行期进度计划承诺</w:t>
      </w:r>
      <w:r>
        <w:rPr>
          <w:rFonts w:hint="eastAsia" w:ascii="宋体" w:hAnsi="宋体"/>
          <w:bCs/>
          <w:color w:val="auto"/>
          <w:szCs w:val="21"/>
          <w:highlight w:val="none"/>
          <w:lang w:val="zh-CN"/>
        </w:rPr>
        <w:t>；</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rPr>
        <w:t>（4）安装方案、安装组织设计及保证措施</w:t>
      </w:r>
      <w:r>
        <w:rPr>
          <w:rFonts w:hint="eastAsia" w:ascii="宋体" w:hAnsi="宋体"/>
          <w:bCs/>
          <w:color w:val="auto"/>
          <w:szCs w:val="21"/>
          <w:highlight w:val="none"/>
          <w:lang w:val="zh-CN"/>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（5）文明安全安装措施；</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（6）深化设计方案。</w:t>
      </w:r>
    </w:p>
    <w:p>
      <w:pPr>
        <w:pStyle w:val="46"/>
        <w:rPr>
          <w:color w:val="auto"/>
          <w:highlight w:val="none"/>
        </w:rPr>
      </w:pPr>
    </w:p>
    <w:p>
      <w:pPr>
        <w:rPr>
          <w:color w:val="auto"/>
          <w:highlight w:val="none"/>
        </w:rPr>
      </w:pPr>
    </w:p>
    <w:p>
      <w:pPr>
        <w:pStyle w:val="46"/>
        <w:rPr>
          <w:color w:val="auto"/>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ascii="宋体" w:hAnsi="宋体" w:cs="Tahoma"/>
          <w:color w:val="auto"/>
          <w:kern w:val="28"/>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bCs/>
          <w:color w:val="auto"/>
          <w:szCs w:val="21"/>
          <w:highlight w:val="none"/>
        </w:rPr>
      </w:pPr>
      <w:r>
        <w:rPr>
          <w:rFonts w:hint="eastAsia" w:cs="Tahoma"/>
          <w:color w:val="auto"/>
          <w:szCs w:val="21"/>
          <w:highlight w:val="none"/>
        </w:rPr>
        <w:t>项目编号：</w:t>
      </w:r>
    </w:p>
    <w:tbl>
      <w:tblPr>
        <w:tblStyle w:val="8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从事</w:t>
            </w:r>
            <w:r>
              <w:rPr>
                <w:rFonts w:asciiTheme="minorEastAsia" w:hAnsiTheme="minorEastAsia" w:eastAsiaTheme="minorEastAsia" w:cstheme="minorEastAsia"/>
                <w:color w:val="auto"/>
                <w:sz w:val="21"/>
                <w:szCs w:val="21"/>
                <w:highlight w:val="none"/>
              </w:rPr>
              <w:t>同类</w:t>
            </w:r>
            <w:r>
              <w:rPr>
                <w:rFonts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注：1.在合同执行期间，成交报价人须设立项目负责人和专业专职的主要技术及服务人员，并在上表中列明；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8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★具有良好的商业信誉和健全的财务会计制度【提供2018年或2019年的财务状况报告或基本开户行（提供开户许可证）出具的资信证明复印件。如报价人为新注册的，提供成立至今的月或季度财务状况报告复印件】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说明：1、报价人必须对应竞争性磋商文件的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93"/>
      <w:bookmarkEnd w:id="352"/>
      <w:bookmarkEnd w:id="353"/>
      <w:bookmarkEnd w:id="354"/>
      <w:bookmarkEnd w:id="355"/>
      <w:bookmarkEnd w:id="356"/>
      <w:bookmarkEnd w:id="358"/>
      <w:bookmarkEnd w:id="359"/>
      <w:bookmarkEnd w:id="360"/>
      <w:bookmarkEnd w:id="361"/>
      <w:bookmarkEnd w:id="362"/>
      <w:bookmarkEnd w:id="363"/>
      <w:bookmarkEnd w:id="364"/>
      <w:bookmarkEnd w:id="365"/>
      <w:bookmarkEnd w:id="366"/>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附件21   ▲</w:t>
      </w:r>
      <w:bookmarkStart w:id="377" w:name="_GoBack"/>
      <w:bookmarkEnd w:id="377"/>
      <w:r>
        <w:rPr>
          <w:rFonts w:hint="eastAsia" w:ascii="宋体" w:hAnsi="宋体"/>
          <w:b/>
          <w:bCs/>
          <w:color w:val="auto"/>
          <w:kern w:val="0"/>
          <w:sz w:val="28"/>
          <w:szCs w:val="28"/>
          <w:highlight w:val="none"/>
        </w:rPr>
        <w:t>条款响应一览表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8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47" w:type="dxa"/>
            <w:tcBorders>
              <w:left w:val="single" w:color="000000" w:sz="4" w:space="0"/>
            </w:tcBorders>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带“▲”号响应内容</w:t>
            </w:r>
          </w:p>
        </w:tc>
        <w:tc>
          <w:tcPr>
            <w:tcW w:w="108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187"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105"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5347" w:type="dxa"/>
            <w:tcBorders>
              <w:left w:val="single" w:color="000000" w:sz="4" w:space="0"/>
            </w:tcBorders>
            <w:vAlign w:val="center"/>
          </w:tcPr>
          <w:p>
            <w:pPr>
              <w:pStyle w:val="2"/>
              <w:widowControl/>
              <w:spacing w:line="280" w:lineRule="exact"/>
              <w:jc w:val="left"/>
              <w:rPr>
                <w:rFonts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风管：采用PP材质塑料管材，风管具有防腐等性能，且内壁光滑，外形美观，支、吊架圆管采用A3钢抱箍风管，方管采用经防锈处理的吊杆紧固角钢来支撑风管；圆管厚度≥4mm, 方管厚度≥5mm。</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5347" w:type="dxa"/>
            <w:tcBorders>
              <w:left w:val="single" w:color="000000" w:sz="4" w:space="0"/>
            </w:tcBorders>
            <w:vAlign w:val="center"/>
          </w:tcPr>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▲防腐离心风机：采用防腐玻璃钢材质蜗壳离心风机。风机选型与技术参数：F4-72- 7A,N=7.5Kw,Q= 11300-19400m3/h ,P= 1570-1045Pa,r= 1450r/m；</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产品特性：</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①适用一定浓度的腐蚀性气体技；</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②耐温、防腐、防爆；</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③风机型号具体根据风量，风压选型，详见清单；</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④为了消除风机运行过程中产生的震动须在楼板设风机固定座及橡胶减震片；</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⑤风机出口应设有防雨帽和防昆虫及啮齿动物的网。</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5347" w:type="dxa"/>
            <w:tcBorders>
              <w:left w:val="single" w:color="000000" w:sz="4" w:space="0"/>
            </w:tcBorders>
            <w:vAlign w:val="center"/>
          </w:tcPr>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变频器:采用中外合资品牌，性能要求稳定</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①风机水泵应用；</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②循环软起；</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③用户自定义U/F曲线；</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④内置RFI滤波器作为标准配置，适用于第一和第二环境；</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⑤CE认证。</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5347" w:type="dxa"/>
            <w:tcBorders>
              <w:left w:val="single" w:color="000000" w:sz="4" w:space="0"/>
            </w:tcBorders>
            <w:vAlign w:val="center"/>
          </w:tcPr>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rPr>
              <w:t>活性碳吸附器</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（1）、产品结构</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本活性碳吸附器采用≥10mm厚PP材质塑料板加工制作，采用卧式结构，抽屉式装碳装置，设两层蜂窝状活性炭过滤板，放≥150mm厚/层≥ 6块活性炭吸附板，采用单侧或双侧活动盖板门，便于安装检修，强度高，占地面积小。</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（2）、技术参数：</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1)处理风量≥10000m3/h，采用≥10mm厚PP材质外箱尺寸≥1800*1500*1200mm，</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2)处理风量≥15000m3/h，采用≥10mm厚PP材质外箱尺寸≥2400*1500*1200mm</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（3)、工作原理</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活性碳吸附器的实质是利用活性碳吸附的特性把低浓度大风量废气中的有机溶剂和有机废气吸附到活性碳中并浓缩，经活性碳吸附净化后的气体直接排到空中，其实质是一个吸附浓缩过程。吸附过程具有可逆性，易于脱附再生。由于固体表面存在着不平衡和未饱和的分子引力或化学键力，因此，当废气与大表面积的多孔性固体物质相接触，废气中的污染物便被吸附在固体表面上，使其与气体混合物分离，达到净化目的。</w:t>
            </w:r>
          </w:p>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这一原理，吸附装置采用活性碳作为吸附剂。活性碳比表面积达700-1500㎡/g，孔径分布广（2-20nm），吸附容量大，吸附速度快，而且再生容易，脱附彻底，经多次吸附后仍保持原有的吸附性能（达95%以上），因此对有机废气的净化率高。</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347" w:type="dxa"/>
            <w:tcBorders>
              <w:left w:val="single" w:color="000000" w:sz="4" w:space="0"/>
            </w:tcBorders>
            <w:vAlign w:val="center"/>
          </w:tcPr>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▲换气次数*：十万级区≥15次；万级区≥25次；</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5347" w:type="dxa"/>
            <w:tcBorders>
              <w:left w:val="single" w:color="000000" w:sz="4" w:space="0"/>
            </w:tcBorders>
            <w:vAlign w:val="center"/>
          </w:tcPr>
          <w:p>
            <w:pPr>
              <w:pStyle w:val="2"/>
              <w:widowControl/>
              <w:spacing w:line="2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▲要求提供国家权威机构出具的净化机组检验报告；认证证书，保证选型结果的可靠性；净化机组须具备通过中国制冷空调工业协会CRAA产品认证证书；</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说明：1、报价人必须对应采购文件的 “</w:t>
      </w:r>
      <w:r>
        <w:rPr>
          <w:rFonts w:hint="eastAsia" w:ascii="宋体" w:hAnsi="宋体" w:cs="宋体"/>
          <w:color w:val="auto"/>
          <w:szCs w:val="21"/>
          <w:highlight w:val="none"/>
        </w:rPr>
        <w:t>▲</w:t>
      </w:r>
      <w:r>
        <w:rPr>
          <w:rFonts w:hint="eastAsia" w:ascii="宋体" w:hAnsi="宋体" w:cs="宋体"/>
          <w:b/>
          <w:bCs/>
          <w:color w:val="auto"/>
          <w:szCs w:val="21"/>
          <w:highlight w:val="none"/>
        </w:rPr>
        <w:t>”号条款逐条应答并按要求填写下表。</w:t>
      </w:r>
    </w:p>
    <w:p>
      <w:pPr>
        <w:rPr>
          <w:rFonts w:ascii="宋体" w:hAnsi="宋体" w:cs="宋体"/>
          <w:b/>
          <w:bCs/>
          <w:color w:val="auto"/>
          <w:kern w:val="0"/>
          <w:sz w:val="24"/>
          <w:highlight w:val="none"/>
        </w:rPr>
      </w:pPr>
      <w:r>
        <w:rPr>
          <w:rFonts w:hint="eastAsia" w:ascii="宋体" w:hAnsi="宋体" w:cs="宋体"/>
          <w:b/>
          <w:bCs/>
          <w:color w:val="auto"/>
          <w:szCs w:val="21"/>
          <w:highlight w:val="none"/>
        </w:rPr>
        <w:t>2、对完全响应的条目在下表相应列中标注“○”。对有偏离的条目在下表相应列中标注“×”，并简述偏离内容。</w:t>
      </w: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报价人全称（加盖公章）: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法定代表或其授权代表(</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p>
    <w:p>
      <w:pPr>
        <w:rPr>
          <w:rFonts w:ascii="宋体" w:hAnsi="宋体"/>
          <w:b/>
          <w:bCs/>
          <w:color w:val="auto"/>
          <w:kern w:val="0"/>
          <w:sz w:val="28"/>
          <w:szCs w:val="28"/>
          <w:highlight w:val="none"/>
        </w:rPr>
      </w:pPr>
      <w:r>
        <w:rPr>
          <w:rFonts w:hint="eastAsia" w:ascii="宋体" w:hAnsi="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附件22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附件23报价人认为有必要说明的其他文件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6"/>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6"/>
                      <w:rPr>
                        <w:rStyle w:val="9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6"/>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54</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94998"/>
    <w:multiLevelType w:val="singleLevel"/>
    <w:tmpl w:val="DC894998"/>
    <w:lvl w:ilvl="0" w:tentative="0">
      <w:start w:val="4"/>
      <w:numFmt w:val="chineseCounting"/>
      <w:suff w:val="nothing"/>
      <w:lvlText w:val="%1、"/>
      <w:lvlJc w:val="left"/>
      <w:rPr>
        <w:rFonts w:hint="eastAsia"/>
      </w:rPr>
    </w:lvl>
  </w:abstractNum>
  <w:abstractNum w:abstractNumId="1">
    <w:nsid w:val="E1F586E8"/>
    <w:multiLevelType w:val="singleLevel"/>
    <w:tmpl w:val="E1F586E8"/>
    <w:lvl w:ilvl="0" w:tentative="0">
      <w:start w:val="1"/>
      <w:numFmt w:val="decimal"/>
      <w:suff w:val="nothing"/>
      <w:lvlText w:val="（%1）"/>
      <w:lvlJc w:val="left"/>
      <w:pPr>
        <w:ind w:left="945" w:firstLine="0"/>
      </w:pPr>
    </w:lvl>
  </w:abstractNum>
  <w:abstractNum w:abstractNumId="2">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4">
    <w:nsid w:val="07545C4A"/>
    <w:multiLevelType w:val="multilevel"/>
    <w:tmpl w:val="07545C4A"/>
    <w:lvl w:ilvl="0" w:tentative="0">
      <w:start w:val="1"/>
      <w:numFmt w:val="decimal"/>
      <w:lvlText w:val="%1、"/>
      <w:lvlJc w:val="left"/>
      <w:pPr>
        <w:tabs>
          <w:tab w:val="left" w:pos="1005"/>
        </w:tabs>
        <w:ind w:left="1005" w:hanging="720"/>
      </w:pPr>
      <w:rPr>
        <w:rFonts w:hint="eastAsia"/>
      </w:rPr>
    </w:lvl>
    <w:lvl w:ilvl="1" w:tentative="0">
      <w:start w:val="1"/>
      <w:numFmt w:val="decimal"/>
      <w:lvlText w:val="%2）"/>
      <w:lvlJc w:val="left"/>
      <w:pPr>
        <w:tabs>
          <w:tab w:val="left" w:pos="1425"/>
        </w:tabs>
        <w:ind w:left="1425" w:hanging="720"/>
      </w:pPr>
      <w:rPr>
        <w:rFonts w:hint="eastAsia"/>
      </w:rPr>
    </w:lvl>
    <w:lvl w:ilvl="2" w:tentative="0">
      <w:start w:val="0"/>
      <w:numFmt w:val="bullet"/>
      <w:lvlText w:val="▲"/>
      <w:lvlJc w:val="left"/>
      <w:pPr>
        <w:tabs>
          <w:tab w:val="left" w:pos="1485"/>
        </w:tabs>
        <w:ind w:left="1485" w:hanging="360"/>
      </w:pPr>
      <w:rPr>
        <w:rFonts w:hint="eastAsia" w:ascii="宋体" w:hAnsi="宋体" w:eastAsia="宋体" w:cs="Times New Roman"/>
      </w:rPr>
    </w:lvl>
    <w:lvl w:ilvl="3" w:tentative="0">
      <w:start w:val="1"/>
      <w:numFmt w:val="decimal"/>
      <w:lvlText w:val="%4."/>
      <w:lvlJc w:val="left"/>
      <w:pPr>
        <w:tabs>
          <w:tab w:val="left" w:pos="1965"/>
        </w:tabs>
        <w:ind w:left="1965" w:hanging="420"/>
      </w:pPr>
    </w:lvl>
    <w:lvl w:ilvl="4" w:tentative="0">
      <w:start w:val="1"/>
      <w:numFmt w:val="lowerLetter"/>
      <w:lvlText w:val="%5)"/>
      <w:lvlJc w:val="left"/>
      <w:pPr>
        <w:tabs>
          <w:tab w:val="left" w:pos="2385"/>
        </w:tabs>
        <w:ind w:left="2385" w:hanging="420"/>
      </w:pPr>
    </w:lvl>
    <w:lvl w:ilvl="5" w:tentative="0">
      <w:start w:val="1"/>
      <w:numFmt w:val="lowerRoman"/>
      <w:lvlText w:val="%6."/>
      <w:lvlJc w:val="right"/>
      <w:pPr>
        <w:tabs>
          <w:tab w:val="left" w:pos="2805"/>
        </w:tabs>
        <w:ind w:left="2805" w:hanging="420"/>
      </w:pPr>
    </w:lvl>
    <w:lvl w:ilvl="6" w:tentative="0">
      <w:start w:val="1"/>
      <w:numFmt w:val="decimal"/>
      <w:lvlText w:val="%7."/>
      <w:lvlJc w:val="left"/>
      <w:pPr>
        <w:tabs>
          <w:tab w:val="left" w:pos="3225"/>
        </w:tabs>
        <w:ind w:left="3225" w:hanging="420"/>
      </w:pPr>
    </w:lvl>
    <w:lvl w:ilvl="7" w:tentative="0">
      <w:start w:val="1"/>
      <w:numFmt w:val="lowerLetter"/>
      <w:lvlText w:val="%8)"/>
      <w:lvlJc w:val="left"/>
      <w:pPr>
        <w:tabs>
          <w:tab w:val="left" w:pos="3645"/>
        </w:tabs>
        <w:ind w:left="3645" w:hanging="420"/>
      </w:pPr>
    </w:lvl>
    <w:lvl w:ilvl="8" w:tentative="0">
      <w:start w:val="1"/>
      <w:numFmt w:val="lowerRoman"/>
      <w:lvlText w:val="%9."/>
      <w:lvlJc w:val="right"/>
      <w:pPr>
        <w:tabs>
          <w:tab w:val="left" w:pos="4065"/>
        </w:tabs>
        <w:ind w:left="4065" w:hanging="420"/>
      </w:pPr>
    </w:lvl>
  </w:abstractNum>
  <w:abstractNum w:abstractNumId="5">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11">
    <w:nsid w:val="3F491570"/>
    <w:multiLevelType w:val="multilevel"/>
    <w:tmpl w:val="3F491570"/>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0C510B"/>
    <w:multiLevelType w:val="multilevel"/>
    <w:tmpl w:val="440C510B"/>
    <w:lvl w:ilvl="0" w:tentative="0">
      <w:start w:val="7"/>
      <w:numFmt w:val="decimal"/>
      <w:lvlText w:val="%1"/>
      <w:lvlJc w:val="left"/>
      <w:pPr>
        <w:tabs>
          <w:tab w:val="left" w:pos="360"/>
        </w:tabs>
        <w:ind w:left="360" w:hanging="360"/>
      </w:pPr>
      <w:rPr>
        <w:rFonts w:hint="default"/>
      </w:rPr>
    </w:lvl>
    <w:lvl w:ilvl="1" w:tentative="0">
      <w:start w:val="5"/>
      <w:numFmt w:val="decimal"/>
      <w:lvlText w:val="%1.%2"/>
      <w:lvlJc w:val="left"/>
      <w:pPr>
        <w:tabs>
          <w:tab w:val="left" w:pos="675"/>
        </w:tabs>
        <w:ind w:left="675" w:hanging="360"/>
      </w:pPr>
      <w:rPr>
        <w:rFonts w:hint="default"/>
      </w:rPr>
    </w:lvl>
    <w:lvl w:ilvl="2" w:tentative="0">
      <w:start w:val="1"/>
      <w:numFmt w:val="decimal"/>
      <w:lvlText w:val="%1.%2.%3"/>
      <w:lvlJc w:val="left"/>
      <w:pPr>
        <w:tabs>
          <w:tab w:val="left" w:pos="1350"/>
        </w:tabs>
        <w:ind w:left="1350" w:hanging="720"/>
      </w:pPr>
      <w:rPr>
        <w:rFonts w:hint="default"/>
      </w:rPr>
    </w:lvl>
    <w:lvl w:ilvl="3" w:tentative="0">
      <w:start w:val="1"/>
      <w:numFmt w:val="decimal"/>
      <w:lvlText w:val="%1.%2.%3.%4"/>
      <w:lvlJc w:val="left"/>
      <w:pPr>
        <w:tabs>
          <w:tab w:val="left" w:pos="2025"/>
        </w:tabs>
        <w:ind w:left="2025" w:hanging="1080"/>
      </w:pPr>
      <w:rPr>
        <w:rFonts w:hint="default"/>
      </w:rPr>
    </w:lvl>
    <w:lvl w:ilvl="4" w:tentative="0">
      <w:start w:val="1"/>
      <w:numFmt w:val="decimal"/>
      <w:lvlText w:val="%1.%2.%3.%4.%5"/>
      <w:lvlJc w:val="left"/>
      <w:pPr>
        <w:tabs>
          <w:tab w:val="left" w:pos="2340"/>
        </w:tabs>
        <w:ind w:left="2340" w:hanging="1080"/>
      </w:pPr>
      <w:rPr>
        <w:rFonts w:hint="default"/>
      </w:rPr>
    </w:lvl>
    <w:lvl w:ilvl="5" w:tentative="0">
      <w:start w:val="1"/>
      <w:numFmt w:val="decimal"/>
      <w:lvlText w:val="%1.%2.%3.%4.%5.%6"/>
      <w:lvlJc w:val="left"/>
      <w:pPr>
        <w:tabs>
          <w:tab w:val="left" w:pos="3015"/>
        </w:tabs>
        <w:ind w:left="3015" w:hanging="1440"/>
      </w:pPr>
      <w:rPr>
        <w:rFonts w:hint="default"/>
      </w:rPr>
    </w:lvl>
    <w:lvl w:ilvl="6" w:tentative="0">
      <w:start w:val="1"/>
      <w:numFmt w:val="decimal"/>
      <w:lvlText w:val="%1.%2.%3.%4.%5.%6.%7"/>
      <w:lvlJc w:val="left"/>
      <w:pPr>
        <w:tabs>
          <w:tab w:val="left" w:pos="3690"/>
        </w:tabs>
        <w:ind w:left="3690" w:hanging="1800"/>
      </w:pPr>
      <w:rPr>
        <w:rFonts w:hint="default"/>
      </w:rPr>
    </w:lvl>
    <w:lvl w:ilvl="7" w:tentative="0">
      <w:start w:val="1"/>
      <w:numFmt w:val="decimal"/>
      <w:lvlText w:val="%1.%2.%3.%4.%5.%6.%7.%8"/>
      <w:lvlJc w:val="left"/>
      <w:pPr>
        <w:tabs>
          <w:tab w:val="left" w:pos="4005"/>
        </w:tabs>
        <w:ind w:left="4005" w:hanging="1800"/>
      </w:pPr>
      <w:rPr>
        <w:rFonts w:hint="default"/>
      </w:rPr>
    </w:lvl>
    <w:lvl w:ilvl="8" w:tentative="0">
      <w:start w:val="1"/>
      <w:numFmt w:val="decimal"/>
      <w:lvlText w:val="%1.%2.%3.%4.%5.%6.%7.%8.%9"/>
      <w:lvlJc w:val="left"/>
      <w:pPr>
        <w:tabs>
          <w:tab w:val="left" w:pos="4680"/>
        </w:tabs>
        <w:ind w:left="4680" w:hanging="2160"/>
      </w:pPr>
      <w:rPr>
        <w:rFonts w:hint="default"/>
      </w:rPr>
    </w:lvl>
  </w:abstractNum>
  <w:abstractNum w:abstractNumId="13">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4ADC2A19"/>
    <w:multiLevelType w:val="multilevel"/>
    <w:tmpl w:val="4ADC2A19"/>
    <w:lvl w:ilvl="0" w:tentative="0">
      <w:start w:val="2"/>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lvlOverride w:ilvl="0">
      <w:startOverride w:val="1"/>
    </w:lvlOverride>
  </w:num>
  <w:num w:numId="2">
    <w:abstractNumId w:val="1"/>
  </w:num>
  <w:num w:numId="3">
    <w:abstractNumId w:val="3"/>
  </w:num>
  <w:num w:numId="4">
    <w:abstractNumId w:val="17"/>
  </w:num>
  <w:num w:numId="5">
    <w:abstractNumId w:val="16"/>
  </w:num>
  <w:num w:numId="6">
    <w:abstractNumId w:val="13"/>
  </w:num>
  <w:num w:numId="7">
    <w:abstractNumId w:val="0"/>
  </w:num>
  <w:num w:numId="8">
    <w:abstractNumId w:val="14"/>
  </w:num>
  <w:num w:numId="9">
    <w:abstractNumId w:val="4"/>
  </w:num>
  <w:num w:numId="10">
    <w:abstractNumId w:val="12"/>
  </w:num>
  <w:num w:numId="11">
    <w:abstractNumId w:val="11"/>
  </w:num>
  <w:num w:numId="12">
    <w:abstractNumId w:val="10"/>
  </w:num>
  <w:num w:numId="13">
    <w:abstractNumId w:val="20"/>
  </w:num>
  <w:num w:numId="14">
    <w:abstractNumId w:val="5"/>
  </w:num>
  <w:num w:numId="15">
    <w:abstractNumId w:val="18"/>
  </w:num>
  <w:num w:numId="16">
    <w:abstractNumId w:val="8"/>
  </w:num>
  <w:num w:numId="17">
    <w:abstractNumId w:val="15"/>
  </w:num>
  <w:num w:numId="18">
    <w:abstractNumId w:val="6"/>
  </w:num>
  <w:num w:numId="19">
    <w:abstractNumId w:val="1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4544BB"/>
    <w:rsid w:val="005054B5"/>
    <w:rsid w:val="00511485"/>
    <w:rsid w:val="00542854"/>
    <w:rsid w:val="00545874"/>
    <w:rsid w:val="00553854"/>
    <w:rsid w:val="006E4DAE"/>
    <w:rsid w:val="007A5220"/>
    <w:rsid w:val="007C756C"/>
    <w:rsid w:val="00801945"/>
    <w:rsid w:val="00822326"/>
    <w:rsid w:val="00845AC9"/>
    <w:rsid w:val="008E4121"/>
    <w:rsid w:val="009F7297"/>
    <w:rsid w:val="00A50D6E"/>
    <w:rsid w:val="00C56CAD"/>
    <w:rsid w:val="00C86501"/>
    <w:rsid w:val="00CD3B18"/>
    <w:rsid w:val="00D71D8C"/>
    <w:rsid w:val="00D75658"/>
    <w:rsid w:val="00D908A5"/>
    <w:rsid w:val="00E6627F"/>
    <w:rsid w:val="00FA526C"/>
    <w:rsid w:val="01980809"/>
    <w:rsid w:val="05006FA0"/>
    <w:rsid w:val="06421AB1"/>
    <w:rsid w:val="07161791"/>
    <w:rsid w:val="084429CB"/>
    <w:rsid w:val="08694ADA"/>
    <w:rsid w:val="09407E21"/>
    <w:rsid w:val="0A9A3C00"/>
    <w:rsid w:val="0AE11E48"/>
    <w:rsid w:val="0BF136BB"/>
    <w:rsid w:val="0C045CD2"/>
    <w:rsid w:val="0CDF06FD"/>
    <w:rsid w:val="0D8152E8"/>
    <w:rsid w:val="0D8D2929"/>
    <w:rsid w:val="0E294FAB"/>
    <w:rsid w:val="0E4105B3"/>
    <w:rsid w:val="105C59F3"/>
    <w:rsid w:val="10D149BD"/>
    <w:rsid w:val="11A42212"/>
    <w:rsid w:val="137179C0"/>
    <w:rsid w:val="167654DF"/>
    <w:rsid w:val="16A36F9A"/>
    <w:rsid w:val="199B7D6D"/>
    <w:rsid w:val="1A251978"/>
    <w:rsid w:val="1A3C0A9F"/>
    <w:rsid w:val="1A4C5B34"/>
    <w:rsid w:val="1B62425E"/>
    <w:rsid w:val="1B9B22B5"/>
    <w:rsid w:val="1C245DE6"/>
    <w:rsid w:val="1D461912"/>
    <w:rsid w:val="1D633DE0"/>
    <w:rsid w:val="1F1539B4"/>
    <w:rsid w:val="1F9E3FD7"/>
    <w:rsid w:val="20630372"/>
    <w:rsid w:val="210359FE"/>
    <w:rsid w:val="210C2156"/>
    <w:rsid w:val="216E2E07"/>
    <w:rsid w:val="22535329"/>
    <w:rsid w:val="22BF6C29"/>
    <w:rsid w:val="22C869D7"/>
    <w:rsid w:val="2301305E"/>
    <w:rsid w:val="233D3FD3"/>
    <w:rsid w:val="242C59D1"/>
    <w:rsid w:val="24EE7B33"/>
    <w:rsid w:val="255A3784"/>
    <w:rsid w:val="261C0F45"/>
    <w:rsid w:val="2988523F"/>
    <w:rsid w:val="2A1810D7"/>
    <w:rsid w:val="2A4464A6"/>
    <w:rsid w:val="2B8F5A11"/>
    <w:rsid w:val="2CC3315B"/>
    <w:rsid w:val="2E306885"/>
    <w:rsid w:val="32711968"/>
    <w:rsid w:val="348E0D5D"/>
    <w:rsid w:val="354A32AA"/>
    <w:rsid w:val="35504E75"/>
    <w:rsid w:val="370D4E81"/>
    <w:rsid w:val="39144DD2"/>
    <w:rsid w:val="39613E61"/>
    <w:rsid w:val="3A817547"/>
    <w:rsid w:val="3B91650A"/>
    <w:rsid w:val="3C47493F"/>
    <w:rsid w:val="3D116FAF"/>
    <w:rsid w:val="40B056D5"/>
    <w:rsid w:val="40F2232A"/>
    <w:rsid w:val="413E03B5"/>
    <w:rsid w:val="422B07EA"/>
    <w:rsid w:val="433C464F"/>
    <w:rsid w:val="45816D95"/>
    <w:rsid w:val="45BC0B50"/>
    <w:rsid w:val="47F7074A"/>
    <w:rsid w:val="48BB5163"/>
    <w:rsid w:val="498664A7"/>
    <w:rsid w:val="4BA44348"/>
    <w:rsid w:val="4BC27EF0"/>
    <w:rsid w:val="4BD95E6C"/>
    <w:rsid w:val="4DBE3804"/>
    <w:rsid w:val="4E5221B2"/>
    <w:rsid w:val="4ECA1C10"/>
    <w:rsid w:val="500819AE"/>
    <w:rsid w:val="52A95F17"/>
    <w:rsid w:val="54A35848"/>
    <w:rsid w:val="55137FB5"/>
    <w:rsid w:val="56A0651B"/>
    <w:rsid w:val="5CE9656C"/>
    <w:rsid w:val="5DE55A9A"/>
    <w:rsid w:val="5E363818"/>
    <w:rsid w:val="5E421EBB"/>
    <w:rsid w:val="5F4F61BA"/>
    <w:rsid w:val="5F9100C4"/>
    <w:rsid w:val="61C679A6"/>
    <w:rsid w:val="62113364"/>
    <w:rsid w:val="629F1549"/>
    <w:rsid w:val="633406B9"/>
    <w:rsid w:val="65FE204E"/>
    <w:rsid w:val="66CD6C6A"/>
    <w:rsid w:val="68BC1C18"/>
    <w:rsid w:val="6C3237AC"/>
    <w:rsid w:val="6CF57457"/>
    <w:rsid w:val="6D6E5707"/>
    <w:rsid w:val="6D757E5C"/>
    <w:rsid w:val="6DBB2FB8"/>
    <w:rsid w:val="6E7252CC"/>
    <w:rsid w:val="7151618F"/>
    <w:rsid w:val="73E10AC3"/>
    <w:rsid w:val="76AC3FB9"/>
    <w:rsid w:val="77D008D6"/>
    <w:rsid w:val="785574EC"/>
    <w:rsid w:val="78E967AD"/>
    <w:rsid w:val="79C925F3"/>
    <w:rsid w:val="7B0503DB"/>
    <w:rsid w:val="7B2E0E6C"/>
    <w:rsid w:val="7CC65E6E"/>
    <w:rsid w:val="7CE37D39"/>
    <w:rsid w:val="7D8D6193"/>
    <w:rsid w:val="7E7E2AD4"/>
    <w:rsid w:val="7F141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1"/>
    <w:link w:val="108"/>
    <w:qFormat/>
    <w:uiPriority w:val="0"/>
    <w:rPr>
      <w:rFonts w:ascii="宋体" w:hAnsi="Courier New" w:cstheme="minorBidi"/>
      <w:szCs w:val="22"/>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2">
    <w:name w:val="Body Text Indent 2"/>
    <w:basedOn w:val="1"/>
    <w:link w:val="134"/>
    <w:qFormat/>
    <w:uiPriority w:val="0"/>
    <w:pPr>
      <w:spacing w:line="360" w:lineRule="auto"/>
      <w:ind w:left="718" w:leftChars="342"/>
    </w:pPr>
    <w:rPr>
      <w:rFonts w:ascii="宋体" w:hAnsi="宋体"/>
      <w:sz w:val="24"/>
    </w:rPr>
  </w:style>
  <w:style w:type="paragraph" w:styleId="53">
    <w:name w:val="endnote text"/>
    <w:basedOn w:val="1"/>
    <w:link w:val="141"/>
    <w:semiHidden/>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14"/>
    <w:qFormat/>
    <w:uiPriority w:val="0"/>
    <w:rPr>
      <w:rFonts w:asciiTheme="minorHAnsi" w:hAnsiTheme="minorHAnsi" w:eastAsiaTheme="minorEastAsia" w:cstheme="minorBidi"/>
      <w:sz w:val="18"/>
      <w:szCs w:val="18"/>
    </w:rPr>
  </w:style>
  <w:style w:type="paragraph" w:styleId="56">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7">
    <w:name w:val="envelope return"/>
    <w:basedOn w:val="1"/>
    <w:qFormat/>
    <w:uiPriority w:val="0"/>
    <w:pPr>
      <w:snapToGrid w:val="0"/>
    </w:pPr>
    <w:rPr>
      <w:rFonts w:ascii="Arial" w:hAnsi="Arial" w:cs="Arial"/>
    </w:rPr>
  </w:style>
  <w:style w:type="paragraph" w:styleId="58">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9">
    <w:name w:val="Signature"/>
    <w:basedOn w:val="1"/>
    <w:link w:val="146"/>
    <w:qFormat/>
    <w:uiPriority w:val="0"/>
    <w:pPr>
      <w:ind w:left="100" w:leftChars="2100"/>
    </w:pPr>
  </w:style>
  <w:style w:type="paragraph" w:styleId="60">
    <w:name w:val="toc 1"/>
    <w:basedOn w:val="1"/>
    <w:next w:val="1"/>
    <w:qFormat/>
    <w:uiPriority w:val="39"/>
    <w:pPr>
      <w:spacing w:before="120" w:after="120"/>
      <w:jc w:val="left"/>
    </w:pPr>
    <w:rPr>
      <w:b/>
      <w:bCs/>
      <w:caps/>
      <w:sz w:val="20"/>
      <w:szCs w:val="2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semiHidden/>
    <w:qFormat/>
    <w:uiPriority w:val="0"/>
  </w:style>
  <w:style w:type="paragraph" w:styleId="65">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tabs>
        <w:tab w:val="left" w:pos="360"/>
        <w:tab w:val="left" w:pos="709"/>
      </w:tabs>
      <w:spacing w:line="300" w:lineRule="auto"/>
      <w:ind w:left="363" w:hanging="170"/>
    </w:pPr>
    <w:rPr>
      <w:spacing w:val="20"/>
      <w:szCs w:val="20"/>
    </w:rPr>
  </w:style>
  <w:style w:type="paragraph" w:styleId="68">
    <w:name w:val="footnote text"/>
    <w:basedOn w:val="1"/>
    <w:link w:val="156"/>
    <w:semiHidden/>
    <w:qFormat/>
    <w:uiPriority w:val="0"/>
    <w:pPr>
      <w:snapToGrid w:val="0"/>
      <w:jc w:val="left"/>
    </w:pPr>
    <w:rPr>
      <w:sz w:val="18"/>
      <w:szCs w:val="18"/>
    </w:rPr>
  </w:style>
  <w:style w:type="paragraph" w:styleId="69">
    <w:name w:val="toc 6"/>
    <w:basedOn w:val="1"/>
    <w:next w:val="1"/>
    <w:qFormat/>
    <w:uiPriority w:val="0"/>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57"/>
    <w:qFormat/>
    <w:uiPriority w:val="0"/>
    <w:pPr>
      <w:spacing w:line="360" w:lineRule="auto"/>
      <w:ind w:firstLine="480" w:firstLineChars="200"/>
    </w:pPr>
    <w:rPr>
      <w:rFonts w:ascii="宋体" w:hAnsi="宋体"/>
      <w:sz w:val="24"/>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ind w:left="200" w:leftChars="200" w:hanging="200" w:hangingChars="200"/>
    </w:pPr>
  </w:style>
  <w:style w:type="paragraph" w:styleId="75">
    <w:name w:val="toc 2"/>
    <w:basedOn w:val="1"/>
    <w:next w:val="1"/>
    <w:qFormat/>
    <w:uiPriority w:val="0"/>
    <w:pPr>
      <w:ind w:left="210"/>
      <w:jc w:val="left"/>
    </w:pPr>
    <w:rPr>
      <w:smallCaps/>
      <w:sz w:val="20"/>
      <w:szCs w:val="20"/>
    </w:rPr>
  </w:style>
  <w:style w:type="paragraph" w:styleId="76">
    <w:name w:val="toc 9"/>
    <w:basedOn w:val="1"/>
    <w:next w:val="1"/>
    <w:qFormat/>
    <w:uiPriority w:val="0"/>
    <w:pPr>
      <w:ind w:left="1680"/>
      <w:jc w:val="left"/>
    </w:pPr>
    <w:rPr>
      <w:sz w:val="18"/>
      <w:szCs w:val="18"/>
    </w:rPr>
  </w:style>
  <w:style w:type="paragraph" w:styleId="77">
    <w:name w:val="Body Text 2"/>
    <w:basedOn w:val="1"/>
    <w:link w:val="119"/>
    <w:qFormat/>
    <w:uiPriority w:val="0"/>
    <w:rPr>
      <w:rFonts w:asciiTheme="minorHAnsi" w:hAnsiTheme="minorHAnsi" w:eastAsiaTheme="minorEastAsia" w:cstheme="minorBidi"/>
      <w:sz w:val="18"/>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ind w:left="200" w:leftChars="200"/>
    </w:pPr>
  </w:style>
  <w:style w:type="paragraph" w:styleId="85">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6">
    <w:name w:val="annotation subject"/>
    <w:basedOn w:val="29"/>
    <w:next w:val="29"/>
    <w:link w:val="116"/>
    <w:qFormat/>
    <w:uiPriority w:val="0"/>
    <w:rPr>
      <w:rFonts w:eastAsiaTheme="minorEastAsia"/>
      <w:b/>
      <w:bCs/>
    </w:rPr>
  </w:style>
  <w:style w:type="paragraph" w:styleId="87">
    <w:name w:val="Body Text First Indent"/>
    <w:basedOn w:val="35"/>
    <w:link w:val="117"/>
    <w:qFormat/>
    <w:uiPriority w:val="0"/>
    <w:pPr>
      <w:widowControl/>
      <w:ind w:firstLine="420" w:firstLineChars="100"/>
      <w:jc w:val="left"/>
    </w:pPr>
    <w:rPr>
      <w:rFonts w:ascii="楷体_GB2312" w:eastAsia="楷体_GB2312"/>
      <w:b/>
      <w:sz w:val="30"/>
    </w:rPr>
  </w:style>
  <w:style w:type="paragraph" w:styleId="88">
    <w:name w:val="Body Text First Indent 2"/>
    <w:basedOn w:val="36"/>
    <w:link w:val="127"/>
    <w:qFormat/>
    <w:uiPriority w:val="0"/>
    <w:pPr>
      <w:ind w:firstLine="420" w:firstLineChars="200"/>
    </w:pPr>
    <w:rPr>
      <w:rFonts w:ascii="Times New Roman" w:hAnsi="Times New Roman"/>
    </w:rPr>
  </w:style>
  <w:style w:type="table" w:styleId="90">
    <w:name w:val="Table Grid"/>
    <w:basedOn w:val="8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7">
    <w:name w:val="标题 1 Char"/>
    <w:basedOn w:val="91"/>
    <w:link w:val="4"/>
    <w:qFormat/>
    <w:uiPriority w:val="0"/>
    <w:rPr>
      <w:rFonts w:ascii="宋体" w:hAnsi="宋体" w:eastAsia="宋体" w:cs="Times New Roman"/>
      <w:b/>
      <w:bCs/>
      <w:sz w:val="48"/>
      <w:szCs w:val="24"/>
    </w:rPr>
  </w:style>
  <w:style w:type="character" w:customStyle="1" w:styleId="98">
    <w:name w:val="标题 2 Char"/>
    <w:basedOn w:val="91"/>
    <w:link w:val="5"/>
    <w:qFormat/>
    <w:uiPriority w:val="0"/>
    <w:rPr>
      <w:rFonts w:ascii="宋体" w:hAnsi="宋体" w:eastAsia="宋体" w:cs="Times New Roman"/>
      <w:b/>
      <w:kern w:val="0"/>
      <w:sz w:val="30"/>
      <w:szCs w:val="20"/>
    </w:rPr>
  </w:style>
  <w:style w:type="character" w:customStyle="1" w:styleId="99">
    <w:name w:val="标题 3 Char"/>
    <w:basedOn w:val="91"/>
    <w:link w:val="6"/>
    <w:qFormat/>
    <w:uiPriority w:val="0"/>
    <w:rPr>
      <w:rFonts w:ascii="宋体" w:hAnsi="宋体" w:eastAsia="宋体" w:cs="Times New Roman"/>
      <w:b/>
      <w:kern w:val="0"/>
      <w:sz w:val="28"/>
      <w:szCs w:val="20"/>
    </w:rPr>
  </w:style>
  <w:style w:type="character" w:customStyle="1" w:styleId="100">
    <w:name w:val="标题 4 Char"/>
    <w:basedOn w:val="91"/>
    <w:link w:val="7"/>
    <w:qFormat/>
    <w:uiPriority w:val="0"/>
    <w:rPr>
      <w:rFonts w:ascii="Arial" w:hAnsi="Arial" w:eastAsia="黑体" w:cs="Times New Roman"/>
      <w:b/>
      <w:bCs/>
      <w:sz w:val="28"/>
      <w:szCs w:val="28"/>
    </w:rPr>
  </w:style>
  <w:style w:type="character" w:customStyle="1" w:styleId="101">
    <w:name w:val="标题 5 Char"/>
    <w:basedOn w:val="91"/>
    <w:link w:val="8"/>
    <w:qFormat/>
    <w:uiPriority w:val="0"/>
    <w:rPr>
      <w:rFonts w:ascii="Arial" w:hAnsi="Arial" w:eastAsia="宋体" w:cs="Times New Roman"/>
      <w:kern w:val="0"/>
      <w:sz w:val="22"/>
      <w:szCs w:val="20"/>
    </w:rPr>
  </w:style>
  <w:style w:type="character" w:customStyle="1" w:styleId="102">
    <w:name w:val="标题 6 Char"/>
    <w:basedOn w:val="91"/>
    <w:link w:val="9"/>
    <w:qFormat/>
    <w:uiPriority w:val="0"/>
    <w:rPr>
      <w:rFonts w:ascii="Calibri" w:hAnsi="Arial" w:eastAsia="宋体" w:cs="Times New Roman"/>
      <w:i/>
      <w:kern w:val="0"/>
      <w:sz w:val="22"/>
      <w:szCs w:val="20"/>
    </w:rPr>
  </w:style>
  <w:style w:type="character" w:customStyle="1" w:styleId="103">
    <w:name w:val="标题 7 Char"/>
    <w:basedOn w:val="91"/>
    <w:link w:val="10"/>
    <w:qFormat/>
    <w:uiPriority w:val="0"/>
    <w:rPr>
      <w:rFonts w:ascii="Arial" w:hAnsi="Arial" w:eastAsia="宋体" w:cs="Times New Roman"/>
      <w:kern w:val="0"/>
      <w:sz w:val="20"/>
      <w:szCs w:val="20"/>
    </w:rPr>
  </w:style>
  <w:style w:type="character" w:customStyle="1" w:styleId="104">
    <w:name w:val="标题 8 Char"/>
    <w:basedOn w:val="91"/>
    <w:link w:val="11"/>
    <w:qFormat/>
    <w:uiPriority w:val="0"/>
    <w:rPr>
      <w:rFonts w:ascii="Arial" w:hAnsi="Arial" w:eastAsia="宋体" w:cs="Times New Roman"/>
      <w:i/>
      <w:kern w:val="0"/>
      <w:sz w:val="20"/>
      <w:szCs w:val="20"/>
    </w:rPr>
  </w:style>
  <w:style w:type="character" w:customStyle="1" w:styleId="105">
    <w:name w:val="标题 9 Char"/>
    <w:basedOn w:val="91"/>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6"/>
    <w:qFormat/>
    <w:uiPriority w:val="0"/>
    <w:rPr>
      <w:sz w:val="18"/>
    </w:rPr>
  </w:style>
  <w:style w:type="character" w:customStyle="1" w:styleId="112">
    <w:name w:val="页眉 Char"/>
    <w:link w:val="58"/>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5"/>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6"/>
    <w:qFormat/>
    <w:uiPriority w:val="0"/>
    <w:rPr>
      <w:b/>
      <w:bCs/>
      <w:szCs w:val="24"/>
    </w:rPr>
  </w:style>
  <w:style w:type="character" w:customStyle="1" w:styleId="117">
    <w:name w:val="正文首行缩进 Char"/>
    <w:link w:val="87"/>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7"/>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customStyle="1" w:styleId="122">
    <w:name w:val="列出段落1"/>
    <w:basedOn w:val="1"/>
    <w:link w:val="121"/>
    <w:qFormat/>
    <w:uiPriority w:val="0"/>
    <w:pPr>
      <w:ind w:firstLine="420" w:firstLineChars="200"/>
    </w:pPr>
    <w:rPr>
      <w:rFonts w:eastAsiaTheme="minorEastAsia" w:cstheme="minorBidi"/>
      <w:szCs w:val="22"/>
    </w:rPr>
  </w:style>
  <w:style w:type="character" w:customStyle="1" w:styleId="123">
    <w:name w:val="标题 Char"/>
    <w:link w:val="85"/>
    <w:qFormat/>
    <w:uiPriority w:val="0"/>
    <w:rPr>
      <w:rFonts w:ascii="Arial" w:hAnsi="Arial"/>
      <w:b/>
      <w:bCs/>
      <w:sz w:val="32"/>
      <w:szCs w:val="32"/>
    </w:rPr>
  </w:style>
  <w:style w:type="character" w:customStyle="1" w:styleId="124">
    <w:name w:val="页眉 Char1"/>
    <w:basedOn w:val="91"/>
    <w:semiHidden/>
    <w:qFormat/>
    <w:uiPriority w:val="99"/>
    <w:rPr>
      <w:rFonts w:ascii="Calibri" w:hAnsi="Calibri" w:eastAsia="宋体" w:cs="Times New Roman"/>
      <w:sz w:val="18"/>
      <w:szCs w:val="18"/>
    </w:rPr>
  </w:style>
  <w:style w:type="character" w:customStyle="1" w:styleId="125">
    <w:name w:val="HTML 预设格式 Char"/>
    <w:basedOn w:val="91"/>
    <w:link w:val="81"/>
    <w:qFormat/>
    <w:uiPriority w:val="0"/>
    <w:rPr>
      <w:rFonts w:ascii="黑体" w:hAnsi="Courier New" w:eastAsia="黑体" w:cs="Courier New"/>
      <w:kern w:val="0"/>
      <w:sz w:val="20"/>
      <w:szCs w:val="20"/>
    </w:rPr>
  </w:style>
  <w:style w:type="character" w:customStyle="1" w:styleId="126">
    <w:name w:val="正文文本缩进 Char1"/>
    <w:basedOn w:val="91"/>
    <w:link w:val="36"/>
    <w:semiHidden/>
    <w:qFormat/>
    <w:uiPriority w:val="99"/>
    <w:rPr>
      <w:rFonts w:ascii="Calibri" w:hAnsi="Calibri" w:eastAsia="宋体" w:cs="Times New Roman"/>
      <w:szCs w:val="24"/>
    </w:rPr>
  </w:style>
  <w:style w:type="character" w:customStyle="1" w:styleId="127">
    <w:name w:val="正文首行缩进 2 Char"/>
    <w:basedOn w:val="126"/>
    <w:link w:val="88"/>
    <w:qFormat/>
    <w:uiPriority w:val="0"/>
    <w:rPr>
      <w:rFonts w:ascii="Times New Roman" w:hAnsi="Times New Roman" w:eastAsia="宋体" w:cs="Times New Roman"/>
      <w:szCs w:val="24"/>
    </w:rPr>
  </w:style>
  <w:style w:type="character" w:customStyle="1" w:styleId="128">
    <w:name w:val="正文文本 3 Char1"/>
    <w:basedOn w:val="91"/>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1"/>
    <w:semiHidden/>
    <w:qFormat/>
    <w:uiPriority w:val="99"/>
    <w:rPr>
      <w:rFonts w:ascii="Calibri" w:hAnsi="Calibri" w:eastAsia="宋体" w:cs="Times New Roman"/>
      <w:szCs w:val="24"/>
    </w:rPr>
  </w:style>
  <w:style w:type="character" w:customStyle="1" w:styleId="131">
    <w:name w:val="称呼 Char"/>
    <w:basedOn w:val="91"/>
    <w:link w:val="31"/>
    <w:qFormat/>
    <w:uiPriority w:val="0"/>
    <w:rPr>
      <w:rFonts w:ascii="Calibri" w:hAnsi="Calibri" w:eastAsia="宋体" w:cs="Times New Roman"/>
      <w:szCs w:val="24"/>
    </w:rPr>
  </w:style>
  <w:style w:type="character" w:customStyle="1" w:styleId="132">
    <w:name w:val="正文文本 2 Char1"/>
    <w:basedOn w:val="91"/>
    <w:semiHidden/>
    <w:qFormat/>
    <w:uiPriority w:val="99"/>
    <w:rPr>
      <w:rFonts w:ascii="Calibri" w:hAnsi="Calibri" w:eastAsia="宋体" w:cs="Times New Roman"/>
      <w:szCs w:val="24"/>
    </w:rPr>
  </w:style>
  <w:style w:type="character" w:customStyle="1" w:styleId="133">
    <w:name w:val="副标题 Char"/>
    <w:basedOn w:val="91"/>
    <w:link w:val="65"/>
    <w:qFormat/>
    <w:uiPriority w:val="0"/>
    <w:rPr>
      <w:rFonts w:ascii="Arial" w:hAnsi="Arial" w:eastAsia="宋体" w:cs="Arial"/>
      <w:b/>
      <w:bCs/>
      <w:kern w:val="28"/>
      <w:sz w:val="32"/>
      <w:szCs w:val="32"/>
    </w:rPr>
  </w:style>
  <w:style w:type="character" w:customStyle="1" w:styleId="134">
    <w:name w:val="正文文本缩进 2 Char"/>
    <w:basedOn w:val="91"/>
    <w:link w:val="52"/>
    <w:qFormat/>
    <w:uiPriority w:val="0"/>
    <w:rPr>
      <w:rFonts w:ascii="宋体" w:hAnsi="宋体" w:eastAsia="宋体" w:cs="Times New Roman"/>
      <w:sz w:val="24"/>
      <w:szCs w:val="24"/>
    </w:rPr>
  </w:style>
  <w:style w:type="character" w:customStyle="1" w:styleId="135">
    <w:name w:val="HTML 地址 Char"/>
    <w:basedOn w:val="91"/>
    <w:link w:val="42"/>
    <w:qFormat/>
    <w:uiPriority w:val="0"/>
    <w:rPr>
      <w:rFonts w:ascii="Calibri" w:hAnsi="Calibri" w:eastAsia="宋体" w:cs="Times New Roman"/>
      <w:i/>
      <w:iCs/>
      <w:szCs w:val="24"/>
    </w:rPr>
  </w:style>
  <w:style w:type="character" w:customStyle="1" w:styleId="136">
    <w:name w:val="批注文字 Char1"/>
    <w:basedOn w:val="91"/>
    <w:semiHidden/>
    <w:qFormat/>
    <w:uiPriority w:val="99"/>
    <w:rPr>
      <w:rFonts w:ascii="Calibri" w:hAnsi="Calibri" w:eastAsia="宋体" w:cs="Times New Roman"/>
      <w:szCs w:val="24"/>
    </w:rPr>
  </w:style>
  <w:style w:type="character" w:customStyle="1" w:styleId="137">
    <w:name w:val="日期 Char"/>
    <w:basedOn w:val="91"/>
    <w:link w:val="51"/>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1"/>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1"/>
    <w:link w:val="53"/>
    <w:semiHidden/>
    <w:qFormat/>
    <w:uiPriority w:val="0"/>
    <w:rPr>
      <w:rFonts w:ascii="Calibri" w:hAnsi="Calibri" w:eastAsia="宋体" w:cs="Times New Roman"/>
      <w:szCs w:val="24"/>
    </w:rPr>
  </w:style>
  <w:style w:type="character" w:customStyle="1" w:styleId="142">
    <w:name w:val="结束语 Char"/>
    <w:basedOn w:val="91"/>
    <w:link w:val="33"/>
    <w:qFormat/>
    <w:uiPriority w:val="0"/>
    <w:rPr>
      <w:rFonts w:ascii="Calibri" w:hAnsi="Calibri" w:eastAsia="宋体" w:cs="Times New Roman"/>
      <w:szCs w:val="24"/>
    </w:rPr>
  </w:style>
  <w:style w:type="character" w:customStyle="1" w:styleId="143">
    <w:name w:val="注释标题 Char"/>
    <w:basedOn w:val="91"/>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1"/>
    <w:qFormat/>
    <w:uiPriority w:val="10"/>
    <w:rPr>
      <w:rFonts w:eastAsia="宋体" w:asciiTheme="majorHAnsi" w:hAnsiTheme="majorHAnsi" w:cstheme="majorBidi"/>
      <w:b/>
      <w:bCs/>
      <w:sz w:val="32"/>
      <w:szCs w:val="32"/>
    </w:rPr>
  </w:style>
  <w:style w:type="character" w:customStyle="1" w:styleId="146">
    <w:name w:val="签名 Char"/>
    <w:basedOn w:val="91"/>
    <w:link w:val="59"/>
    <w:qFormat/>
    <w:uiPriority w:val="0"/>
    <w:rPr>
      <w:rFonts w:ascii="Calibri" w:hAnsi="Calibri" w:eastAsia="宋体" w:cs="Times New Roman"/>
      <w:szCs w:val="24"/>
    </w:rPr>
  </w:style>
  <w:style w:type="character" w:customStyle="1" w:styleId="147">
    <w:name w:val="信息标题 Char"/>
    <w:basedOn w:val="91"/>
    <w:link w:val="80"/>
    <w:qFormat/>
    <w:uiPriority w:val="0"/>
    <w:rPr>
      <w:rFonts w:ascii="Arial" w:hAnsi="Arial" w:eastAsia="宋体" w:cs="Arial"/>
      <w:sz w:val="24"/>
      <w:szCs w:val="24"/>
      <w:shd w:val="pct20" w:color="auto" w:fill="auto"/>
    </w:rPr>
  </w:style>
  <w:style w:type="character" w:customStyle="1" w:styleId="148">
    <w:name w:val="批注框文本 Char1"/>
    <w:basedOn w:val="91"/>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1"/>
    <w:link w:val="3"/>
    <w:semiHidden/>
    <w:qFormat/>
    <w:uiPriority w:val="0"/>
    <w:rPr>
      <w:rFonts w:ascii="Courier New" w:hAnsi="Courier New" w:eastAsia="宋体" w:cs="Courier New"/>
      <w:sz w:val="24"/>
      <w:szCs w:val="24"/>
    </w:rPr>
  </w:style>
  <w:style w:type="character" w:customStyle="1" w:styleId="151">
    <w:name w:val="页脚 Char1"/>
    <w:basedOn w:val="91"/>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1"/>
    <w:semiHidden/>
    <w:qFormat/>
    <w:uiPriority w:val="99"/>
    <w:rPr>
      <w:rFonts w:ascii="宋体" w:hAnsi="Courier New" w:eastAsia="宋体" w:cs="Courier New"/>
      <w:szCs w:val="21"/>
    </w:rPr>
  </w:style>
  <w:style w:type="character" w:customStyle="1" w:styleId="154">
    <w:name w:val="电子邮件签名 Char"/>
    <w:basedOn w:val="91"/>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1"/>
    <w:link w:val="68"/>
    <w:semiHidden/>
    <w:qFormat/>
    <w:uiPriority w:val="0"/>
    <w:rPr>
      <w:rFonts w:ascii="Calibri" w:hAnsi="Calibri" w:eastAsia="宋体" w:cs="Times New Roman"/>
      <w:sz w:val="18"/>
      <w:szCs w:val="18"/>
    </w:rPr>
  </w:style>
  <w:style w:type="character" w:customStyle="1" w:styleId="157">
    <w:name w:val="正文文本缩进 3 Char"/>
    <w:basedOn w:val="91"/>
    <w:link w:val="71"/>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12"/>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7"/>
    <w:next w:val="67"/>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8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89"/>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1"/>
    <w:qFormat/>
    <w:uiPriority w:val="0"/>
    <w:rPr>
      <w:rFonts w:hint="eastAsia" w:ascii="宋体" w:hAnsi="宋体" w:eastAsia="宋体" w:cs="宋体"/>
      <w:color w:val="000000"/>
      <w:sz w:val="22"/>
      <w:szCs w:val="22"/>
      <w:u w:val="none"/>
    </w:rPr>
  </w:style>
  <w:style w:type="character" w:customStyle="1" w:styleId="212">
    <w:name w:val="font01"/>
    <w:basedOn w:val="91"/>
    <w:qFormat/>
    <w:uiPriority w:val="0"/>
    <w:rPr>
      <w:rFonts w:hint="eastAsia" w:ascii="宋体" w:hAnsi="宋体" w:eastAsia="宋体" w:cs="宋体"/>
      <w:color w:val="333333"/>
      <w:sz w:val="22"/>
      <w:szCs w:val="22"/>
      <w:u w:val="none"/>
    </w:rPr>
  </w:style>
  <w:style w:type="character" w:customStyle="1" w:styleId="213">
    <w:name w:val="font51"/>
    <w:basedOn w:val="91"/>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5">
    <w:name w:val="font41"/>
    <w:basedOn w:val="91"/>
    <w:qFormat/>
    <w:uiPriority w:val="0"/>
    <w:rPr>
      <w:rFonts w:hint="eastAsia" w:ascii="宋体" w:hAnsi="宋体" w:eastAsia="宋体" w:cs="宋体"/>
      <w:color w:val="000000"/>
      <w:sz w:val="22"/>
      <w:szCs w:val="22"/>
      <w:u w:val="none"/>
    </w:rPr>
  </w:style>
  <w:style w:type="character" w:customStyle="1" w:styleId="216">
    <w:name w:val="font61"/>
    <w:basedOn w:val="91"/>
    <w:qFormat/>
    <w:uiPriority w:val="0"/>
    <w:rPr>
      <w:rFonts w:hint="eastAsia" w:ascii="宋体" w:hAnsi="宋体" w:eastAsia="宋体" w:cs="宋体"/>
      <w:color w:val="000000"/>
      <w:sz w:val="22"/>
      <w:szCs w:val="22"/>
      <w:u w:val="none"/>
    </w:rPr>
  </w:style>
  <w:style w:type="character" w:customStyle="1" w:styleId="217">
    <w:name w:val="font21"/>
    <w:basedOn w:val="91"/>
    <w:qFormat/>
    <w:uiPriority w:val="0"/>
    <w:rPr>
      <w:rFonts w:hint="eastAsia" w:ascii="宋体" w:hAnsi="宋体" w:eastAsia="宋体" w:cs="宋体"/>
      <w:color w:val="000000"/>
      <w:sz w:val="22"/>
      <w:szCs w:val="22"/>
      <w:u w:val="none"/>
    </w:rPr>
  </w:style>
  <w:style w:type="character" w:customStyle="1" w:styleId="218">
    <w:name w:val="font151"/>
    <w:basedOn w:val="91"/>
    <w:qFormat/>
    <w:uiPriority w:val="0"/>
    <w:rPr>
      <w:rFonts w:hint="default" w:ascii="Times New Roman" w:hAnsi="Times New Roman" w:cs="Times New Roman"/>
      <w:color w:val="000000"/>
      <w:sz w:val="20"/>
      <w:szCs w:val="20"/>
      <w:u w:val="none"/>
    </w:rPr>
  </w:style>
  <w:style w:type="character" w:customStyle="1" w:styleId="219">
    <w:name w:val="font71"/>
    <w:basedOn w:val="91"/>
    <w:qFormat/>
    <w:uiPriority w:val="0"/>
    <w:rPr>
      <w:rFonts w:hint="default" w:ascii="Times New Roman" w:hAnsi="Times New Roman" w:cs="Times New Roman"/>
      <w:color w:val="000000"/>
      <w:sz w:val="20"/>
      <w:szCs w:val="20"/>
      <w:u w:val="none"/>
    </w:rPr>
  </w:style>
  <w:style w:type="character" w:customStyle="1" w:styleId="220">
    <w:name w:val="font11"/>
    <w:basedOn w:val="91"/>
    <w:qFormat/>
    <w:uiPriority w:val="0"/>
    <w:rPr>
      <w:rFonts w:hint="eastAsia" w:ascii="宋体" w:hAnsi="宋体" w:eastAsia="宋体" w:cs="宋体"/>
      <w:color w:val="000000"/>
      <w:sz w:val="22"/>
      <w:szCs w:val="22"/>
      <w:u w:val="none"/>
    </w:rPr>
  </w:style>
  <w:style w:type="character" w:customStyle="1" w:styleId="221">
    <w:name w:val="font101"/>
    <w:basedOn w:val="91"/>
    <w:qFormat/>
    <w:uiPriority w:val="0"/>
    <w:rPr>
      <w:rFonts w:hint="eastAsia" w:ascii="宋体" w:hAnsi="宋体" w:eastAsia="宋体" w:cs="宋体"/>
      <w:color w:val="000000"/>
      <w:sz w:val="22"/>
      <w:szCs w:val="22"/>
      <w:u w:val="none"/>
    </w:rPr>
  </w:style>
  <w:style w:type="character" w:customStyle="1" w:styleId="222">
    <w:name w:val="font81"/>
    <w:basedOn w:val="91"/>
    <w:qFormat/>
    <w:uiPriority w:val="0"/>
    <w:rPr>
      <w:rFonts w:hint="eastAsia" w:ascii="宋体" w:hAnsi="宋体" w:eastAsia="宋体" w:cs="宋体"/>
      <w:color w:val="000000"/>
      <w:sz w:val="20"/>
      <w:szCs w:val="20"/>
      <w:u w:val="none"/>
    </w:rPr>
  </w:style>
  <w:style w:type="character" w:customStyle="1" w:styleId="223">
    <w:name w:val="font131"/>
    <w:basedOn w:val="9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9918</Words>
  <Characters>56537</Characters>
  <Lines>471</Lines>
  <Paragraphs>132</Paragraphs>
  <TotalTime>39</TotalTime>
  <ScaleCrop>false</ScaleCrop>
  <LinksUpToDate>false</LinksUpToDate>
  <CharactersWithSpaces>66323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2020-09-14T03:18:05Z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