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bookmarkStart w:id="372" w:name="_GoBack"/>
      <w:bookmarkEnd w:id="372"/>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广东省农业科学院动物科学研究所系统微生物实验室水电材料采购项目</w:t>
      </w:r>
      <w:r>
        <w:rPr>
          <w:rFonts w:hint="eastAsia" w:ascii="宋体" w:hAnsi="宋体"/>
          <w:b/>
          <w:color w:val="auto"/>
          <w:sz w:val="28"/>
          <w:szCs w:val="28"/>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202006-184098-0045</w:t>
      </w:r>
      <w:r>
        <w:rPr>
          <w:rFonts w:hint="eastAsia" w:ascii="宋体" w:hAnsi="宋体"/>
          <w:b/>
          <w:color w:val="auto"/>
          <w:sz w:val="28"/>
          <w:szCs w:val="28"/>
          <w:highlight w:val="none"/>
        </w:rPr>
        <w:t xml:space="preserve"> </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rPr>
        <w:t>广东省农业科学院动物科学研究所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5"/>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5"/>
          <w:rFonts w:hint="eastAsia" w:ascii="宋体" w:hAnsi="宋体"/>
          <w:b/>
          <w:color w:val="auto"/>
          <w:sz w:val="30"/>
          <w:szCs w:val="30"/>
          <w:highlight w:val="none"/>
          <w:u w:val="none"/>
        </w:rPr>
        <w:t xml:space="preserve"> 二○二○年</w:t>
      </w:r>
      <w:r>
        <w:rPr>
          <w:rStyle w:val="95"/>
          <w:rFonts w:hint="eastAsia" w:ascii="宋体" w:hAnsi="宋体"/>
          <w:b/>
          <w:color w:val="auto"/>
          <w:sz w:val="30"/>
          <w:szCs w:val="30"/>
          <w:highlight w:val="none"/>
          <w:u w:val="none"/>
          <w:lang w:eastAsia="zh-CN"/>
        </w:rPr>
        <w:t>七</w:t>
      </w:r>
      <w:r>
        <w:rPr>
          <w:rStyle w:val="95"/>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5"/>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5"/>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5"/>
          <w:rFonts w:hint="eastAsia"/>
          <w:color w:val="auto"/>
          <w:sz w:val="28"/>
          <w:szCs w:val="28"/>
          <w:highlight w:val="none"/>
        </w:rPr>
        <w:t>第一章 竞争性磋商</w:t>
      </w:r>
      <w:r>
        <w:rPr>
          <w:rStyle w:val="95"/>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5"/>
          <w:rFonts w:hint="eastAsia"/>
          <w:color w:val="auto"/>
          <w:sz w:val="28"/>
          <w:szCs w:val="28"/>
          <w:highlight w:val="none"/>
        </w:rPr>
        <w:t>第二章 竞争性磋商须</w:t>
      </w:r>
      <w:bookmarkStart w:id="2" w:name="_Hlt509928387"/>
      <w:r>
        <w:rPr>
          <w:rStyle w:val="95"/>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5"/>
          <w:rFonts w:hint="eastAsia"/>
          <w:color w:val="auto"/>
          <w:sz w:val="28"/>
          <w:szCs w:val="28"/>
          <w:highlight w:val="none"/>
        </w:rPr>
        <w:t>第三章 采购人</w:t>
      </w:r>
      <w:bookmarkStart w:id="3" w:name="_Hlt510014101"/>
      <w:r>
        <w:rPr>
          <w:rStyle w:val="95"/>
          <w:rFonts w:hint="eastAsia"/>
          <w:color w:val="auto"/>
          <w:sz w:val="28"/>
          <w:szCs w:val="28"/>
          <w:highlight w:val="none"/>
        </w:rPr>
        <w:t>需</w:t>
      </w:r>
      <w:bookmarkEnd w:id="3"/>
      <w:bookmarkStart w:id="4" w:name="_Hlt510971526"/>
      <w:r>
        <w:rPr>
          <w:rStyle w:val="95"/>
          <w:rFonts w:hint="eastAsia"/>
          <w:color w:val="auto"/>
          <w:sz w:val="28"/>
          <w:szCs w:val="28"/>
          <w:highlight w:val="none"/>
        </w:rPr>
        <w:t>求</w:t>
      </w:r>
      <w:bookmarkEnd w:id="4"/>
      <w:bookmarkStart w:id="5" w:name="_Hlt510014037"/>
      <w:bookmarkStart w:id="6" w:name="_Hlt510014036"/>
      <w:r>
        <w:rPr>
          <w:rStyle w:val="95"/>
          <w:rFonts w:hint="eastAsia"/>
          <w:color w:val="auto"/>
          <w:sz w:val="28"/>
          <w:szCs w:val="28"/>
          <w:highlight w:val="none"/>
        </w:rPr>
        <w:t>书</w:t>
      </w:r>
      <w:bookmarkEnd w:id="5"/>
      <w:bookmarkEnd w:id="6"/>
      <w:bookmarkStart w:id="7" w:name="_Hlt509994711"/>
      <w:bookmarkStart w:id="8" w:name="_Hlt509994710"/>
      <w:bookmarkStart w:id="9" w:name="_Hlt509991847"/>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5</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5"/>
          <w:rFonts w:hint="eastAsia"/>
          <w:color w:val="auto"/>
          <w:sz w:val="28"/>
          <w:szCs w:val="28"/>
          <w:highlight w:val="none"/>
        </w:rPr>
        <w:t xml:space="preserve">第四章 </w:t>
      </w:r>
      <w:bookmarkStart w:id="10" w:name="_Hlt511828826"/>
      <w:r>
        <w:rPr>
          <w:rStyle w:val="95"/>
          <w:rFonts w:hint="eastAsia"/>
          <w:color w:val="auto"/>
          <w:sz w:val="28"/>
          <w:szCs w:val="28"/>
          <w:highlight w:val="none"/>
        </w:rPr>
        <w:t>政府采购合同（</w:t>
      </w:r>
      <w:bookmarkEnd w:id="10"/>
      <w:r>
        <w:rPr>
          <w:rStyle w:val="95"/>
          <w:rFonts w:hint="eastAsia"/>
          <w:color w:val="auto"/>
          <w:sz w:val="28"/>
          <w:szCs w:val="28"/>
          <w:highlight w:val="none"/>
        </w:rPr>
        <w:t>样本）</w:t>
      </w:r>
      <w:r>
        <w:rPr>
          <w:rStyle w:val="95"/>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38</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5"/>
          <w:rFonts w:hint="eastAsia"/>
          <w:color w:val="auto"/>
          <w:sz w:val="28"/>
          <w:szCs w:val="28"/>
          <w:highlight w:val="none"/>
        </w:rPr>
        <w:t>第五章 评分</w:t>
      </w:r>
      <w:bookmarkStart w:id="11" w:name="_Hlt509997395"/>
      <w:r>
        <w:rPr>
          <w:rStyle w:val="95"/>
          <w:rFonts w:hint="eastAsia"/>
          <w:color w:val="auto"/>
          <w:sz w:val="28"/>
          <w:szCs w:val="28"/>
          <w:highlight w:val="none"/>
        </w:rPr>
        <w:t>体</w:t>
      </w:r>
      <w:bookmarkEnd w:id="11"/>
      <w:bookmarkStart w:id="12" w:name="_Hlt475104622"/>
      <w:r>
        <w:rPr>
          <w:rStyle w:val="95"/>
          <w:rFonts w:hint="eastAsia"/>
          <w:color w:val="auto"/>
          <w:sz w:val="28"/>
          <w:szCs w:val="28"/>
          <w:highlight w:val="none"/>
        </w:rPr>
        <w:t>系</w:t>
      </w:r>
      <w:bookmarkEnd w:id="12"/>
      <w:bookmarkStart w:id="13" w:name="_Hlt509932461"/>
      <w:bookmarkStart w:id="14" w:name="_Hlt510014093"/>
      <w:bookmarkStart w:id="15" w:name="_Hlt509932460"/>
      <w:r>
        <w:rPr>
          <w:rStyle w:val="95"/>
          <w:rFonts w:hint="eastAsia"/>
          <w:color w:val="auto"/>
          <w:sz w:val="28"/>
          <w:szCs w:val="28"/>
          <w:highlight w:val="none"/>
        </w:rPr>
        <w:t>与</w:t>
      </w:r>
      <w:bookmarkEnd w:id="13"/>
      <w:bookmarkEnd w:id="14"/>
      <w:bookmarkEnd w:id="15"/>
      <w:bookmarkStart w:id="16" w:name="_Hlt509994748"/>
      <w:r>
        <w:rPr>
          <w:rStyle w:val="95"/>
          <w:rFonts w:hint="eastAsia"/>
          <w:color w:val="auto"/>
          <w:sz w:val="28"/>
          <w:szCs w:val="28"/>
          <w:highlight w:val="none"/>
        </w:rPr>
        <w:t>标</w:t>
      </w:r>
      <w:bookmarkEnd w:id="16"/>
      <w:bookmarkStart w:id="17" w:name="_Hlt509992254"/>
      <w:bookmarkStart w:id="18" w:name="_Hlt510014176"/>
      <w:r>
        <w:rPr>
          <w:rStyle w:val="95"/>
          <w:rFonts w:hint="eastAsia"/>
          <w:color w:val="auto"/>
          <w:sz w:val="28"/>
          <w:szCs w:val="28"/>
          <w:highlight w:val="none"/>
        </w:rPr>
        <w:t>准</w:t>
      </w:r>
      <w:bookmarkEnd w:id="17"/>
      <w:bookmarkEnd w:id="18"/>
      <w:bookmarkStart w:id="19" w:name="_Hlt509991939"/>
      <w:bookmarkStart w:id="20" w:name="_Hlt509991721"/>
      <w:bookmarkStart w:id="21" w:name="_Hlt509991722"/>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43</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5"/>
          <w:rFonts w:hint="eastAsia"/>
          <w:color w:val="auto"/>
          <w:sz w:val="28"/>
          <w:szCs w:val="28"/>
          <w:highlight w:val="none"/>
        </w:rPr>
        <w:t>第六章 附件（格</w:t>
      </w:r>
      <w:bookmarkStart w:id="22" w:name="_Hlt510014049"/>
      <w:r>
        <w:rPr>
          <w:rStyle w:val="95"/>
          <w:rFonts w:hint="eastAsia"/>
          <w:color w:val="auto"/>
          <w:sz w:val="28"/>
          <w:szCs w:val="28"/>
          <w:highlight w:val="none"/>
        </w:rPr>
        <w:t>式</w:t>
      </w:r>
      <w:bookmarkEnd w:id="22"/>
      <w:r>
        <w:rPr>
          <w:rStyle w:val="95"/>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51</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广东省农业科学院动物科学研究所系统微生物实验室水电材料采购项目</w:t>
      </w:r>
      <w:r>
        <w:rPr>
          <w:rFonts w:hint="eastAsia" w:ascii="宋体" w:hAnsi="宋体" w:cs="宋体"/>
          <w:color w:val="auto"/>
          <w:szCs w:val="21"/>
          <w:highlight w:val="none"/>
        </w:rPr>
        <w:t xml:space="preserve"> 招标项目的潜在投标人应在广州市海珠区红卫新村西路29号UP智谷D栋503房获取招标文件，并于2020年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202006-184098-0045</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广东省农业科学院动物科学研究所系统微生物实验室水电材料采购项目</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436011.56</w:t>
      </w:r>
      <w:r>
        <w:rPr>
          <w:rFonts w:hint="eastAsia" w:ascii="宋体" w:hAnsi="宋体" w:cs="宋体"/>
          <w:bCs/>
          <w:color w:val="auto"/>
          <w:szCs w:val="20"/>
          <w:highlight w:val="none"/>
          <w:lang w:val="en-US" w:eastAsia="zh-CN"/>
        </w:rPr>
        <w:t>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w:t>
      </w:r>
      <w:r>
        <w:rPr>
          <w:rFonts w:hint="eastAsia" w:ascii="宋体" w:hAnsi="宋体" w:cs="宋体"/>
          <w:bCs/>
          <w:color w:val="auto"/>
          <w:szCs w:val="20"/>
          <w:highlight w:val="none"/>
          <w:lang w:eastAsia="zh-CN"/>
        </w:rPr>
        <w:t>436011.56</w:t>
      </w:r>
      <w:r>
        <w:rPr>
          <w:rFonts w:hint="eastAsia" w:ascii="宋体" w:hAnsi="宋体" w:cs="宋体"/>
          <w:bCs/>
          <w:color w:val="auto"/>
          <w:szCs w:val="20"/>
          <w:highlight w:val="none"/>
          <w:lang w:val="en-US" w:eastAsia="zh-CN"/>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bCs/>
          <w:color w:val="auto"/>
          <w:szCs w:val="20"/>
          <w:highlight w:val="none"/>
          <w:lang w:eastAsia="zh-CN"/>
        </w:rPr>
        <w:t>广东省农业科学院动物科学研究所系统微生物实验室水电材料采购项目</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广东省农业科学院动物科学研究所系统微生物实验室水电材料采购项目</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eastAsia="zh-CN"/>
              </w:rPr>
              <w:t>436011.56</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eastAsia="zh-CN"/>
        </w:rPr>
        <w:t>436011.56</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bCs/>
          <w:color w:val="auto"/>
          <w:szCs w:val="20"/>
          <w:highlight w:val="none"/>
          <w:lang w:eastAsia="zh-CN"/>
        </w:rPr>
        <w:t>广东省农业科学院动物科学研究所系统微生物实验室水电材料采购项目</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lang w:eastAsia="zh-CN"/>
        </w:rPr>
        <w:t>日历天</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（1）参加本项目磋商的供应商应具备《政府采购法》第二十二条供应商资格条件；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1）具有独立承担民事责任的能力；</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1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①</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由采购人、采购代理机构于投标截止日在上述网站进行查询，同时对信息查询记录和证据截图或下载存档；</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2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②</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color w:val="auto"/>
          <w:szCs w:val="21"/>
          <w:highlight w:val="none"/>
        </w:rPr>
        <w:t>（提供承诺函，格式自拟）。</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04</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10</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点30分（北京时间）（从磋商文件开始发出之日起至供应商提交首次响应文件截止之日止不得少于10日）</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6" w:name="_Toc35393802"/>
      <w:bookmarkStart w:id="27" w:name="_Toc28359093"/>
      <w:bookmarkStart w:id="28" w:name="_Toc28359016"/>
      <w:bookmarkStart w:id="29" w:name="_Toc35393633"/>
      <w:r>
        <w:rPr>
          <w:rFonts w:hint="eastAsia" w:ascii="宋体" w:hAnsi="宋体" w:cs="宋体"/>
          <w:b/>
          <w:bCs/>
          <w:color w:val="auto"/>
          <w:szCs w:val="20"/>
          <w:highlight w:val="none"/>
        </w:rPr>
        <w:t>五、开启</w:t>
      </w:r>
      <w:bookmarkEnd w:id="26"/>
      <w:bookmarkEnd w:id="27"/>
      <w:bookmarkEnd w:id="28"/>
      <w:bookmarkEnd w:id="29"/>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时间：2020年</w:t>
      </w:r>
      <w:r>
        <w:rPr>
          <w:rFonts w:hint="eastAsia" w:ascii="宋体" w:hAnsi="宋体" w:cs="宋体"/>
          <w:bCs/>
          <w:color w:val="auto"/>
          <w:szCs w:val="20"/>
          <w:highlight w:val="none"/>
          <w:lang w:val="en-US" w:eastAsia="zh-CN"/>
        </w:rPr>
        <w:t>07</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1.只接受登记及领购采购文件的供应商投标。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w:t>
      </w:r>
      <w:r>
        <w:rPr>
          <w:rFonts w:hint="eastAsia" w:ascii="宋体" w:hAnsi="宋体" w:cs="宋体"/>
          <w:color w:val="auto"/>
          <w:szCs w:val="21"/>
          <w:highlight w:val="none"/>
        </w:rPr>
        <w:t>广东省农业科学院动物科学研究所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联系方式：020-89001297</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电话：020-89001297</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 </w:t>
      </w:r>
    </w:p>
    <w:p>
      <w:pPr>
        <w:pStyle w:val="46"/>
        <w:rPr>
          <w:rFonts w:hint="eastAsia" w:ascii="宋体"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03</w:t>
      </w:r>
      <w:r>
        <w:rPr>
          <w:rFonts w:ascii="宋体" w:hAnsi="宋体" w:cs="宋体"/>
          <w:bCs/>
          <w:color w:val="auto"/>
          <w:szCs w:val="20"/>
          <w:highlight w:val="none"/>
        </w:rPr>
        <w:t>日</w:t>
      </w:r>
      <w:bookmarkStart w:id="30" w:name="_Toc28489434"/>
      <w:bookmarkStart w:id="31" w:name="_Toc14450807"/>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475104467"/>
      <w:bookmarkStart w:id="33" w:name="_Toc320515015"/>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30"/>
      <w:bookmarkEnd w:id="31"/>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s="宋体"/>
                <w:color w:val="auto"/>
                <w:szCs w:val="21"/>
                <w:highlight w:val="none"/>
              </w:rPr>
              <w:t>本项目招标代理服务费为</w:t>
            </w:r>
            <w:r>
              <w:rPr>
                <w:rFonts w:hint="eastAsia" w:ascii="宋体" w:hAnsi="宋体" w:cs="宋体"/>
                <w:color w:val="auto"/>
                <w:szCs w:val="21"/>
                <w:highlight w:val="none"/>
                <w:lang w:eastAsia="zh-CN"/>
              </w:rPr>
              <w:t>捌</w:t>
            </w:r>
            <w:r>
              <w:rPr>
                <w:rFonts w:hint="eastAsia" w:ascii="宋体" w:hAnsi="宋体" w:cs="宋体"/>
                <w:color w:val="auto"/>
                <w:szCs w:val="21"/>
                <w:highlight w:val="none"/>
              </w:rPr>
              <w:t>仟元整及专家费（专家费按实进行结算）。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eastAsia="宋体" w:cs="宋体"/>
                <w:color w:val="auto"/>
                <w:szCs w:val="21"/>
                <w:highlight w:val="none"/>
              </w:rPr>
              <w:t>中标人在领取《中标通知书》前直接一次性向采购代理机构足额支付招标代理服务费及专家费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20515016"/>
      <w:bookmarkStart w:id="36" w:name="_Toc322680342"/>
      <w:bookmarkStart w:id="37" w:name="_Toc363737682"/>
      <w:bookmarkStart w:id="38" w:name="_Toc320515065"/>
      <w:bookmarkStart w:id="39" w:name="_Toc315793450"/>
      <w:bookmarkStart w:id="40" w:name="_Toc475104468"/>
      <w:bookmarkStart w:id="41" w:name="_Toc323110975"/>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475104469"/>
      <w:bookmarkStart w:id="43" w:name="_Toc320515066"/>
      <w:bookmarkStart w:id="44" w:name="_Toc320515017"/>
      <w:bookmarkStart w:id="45" w:name="_Toc363737683"/>
      <w:bookmarkStart w:id="46" w:name="_Toc322680343"/>
      <w:bookmarkStart w:id="47" w:name="_Toc323110976"/>
      <w:bookmarkStart w:id="48" w:name="_Toc315793451"/>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322680344"/>
      <w:bookmarkStart w:id="50" w:name="_Toc320515067"/>
      <w:bookmarkStart w:id="51" w:name="_Toc475104470"/>
      <w:bookmarkStart w:id="52" w:name="_Toc323110977"/>
      <w:bookmarkStart w:id="53" w:name="_Toc363737684"/>
      <w:bookmarkStart w:id="54" w:name="_Toc320515018"/>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rPr>
        <w:t>广东省农业科学院动物科学研究所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475104471"/>
      <w:bookmarkStart w:id="56" w:name="_Toc363737685"/>
      <w:bookmarkStart w:id="57" w:name="_Toc322680345"/>
      <w:bookmarkStart w:id="58" w:name="_Toc320515068"/>
      <w:bookmarkStart w:id="59" w:name="_Toc323110978"/>
      <w:bookmarkStart w:id="60" w:name="_Toc315793453"/>
      <w:bookmarkStart w:id="61" w:name="_Toc320515019"/>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供应商</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475104472"/>
      <w:bookmarkStart w:id="63" w:name="_Toc363737686"/>
      <w:bookmarkStart w:id="64" w:name="_Toc333236630"/>
      <w:bookmarkStart w:id="65" w:name="_Toc323110980"/>
      <w:bookmarkStart w:id="66" w:name="_Toc315793455"/>
      <w:bookmarkStart w:id="67" w:name="_Toc320515021"/>
      <w:bookmarkStart w:id="68" w:name="_Toc320515070"/>
      <w:bookmarkStart w:id="69" w:name="_Toc322680347"/>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363737687"/>
      <w:bookmarkStart w:id="71" w:name="_Toc475104473"/>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2680348"/>
      <w:bookmarkStart w:id="73" w:name="_Toc320515022"/>
      <w:bookmarkStart w:id="74" w:name="_Toc323110981"/>
      <w:bookmarkStart w:id="75" w:name="_Toc320515071"/>
      <w:bookmarkStart w:id="76"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20515024"/>
      <w:bookmarkStart w:id="79" w:name="_Toc363737689"/>
      <w:bookmarkStart w:id="80" w:name="_Toc322680350"/>
      <w:bookmarkStart w:id="81" w:name="_Toc320515073"/>
      <w:bookmarkStart w:id="82" w:name="_Toc315793458"/>
      <w:bookmarkStart w:id="83" w:name="_Toc475104475"/>
      <w:bookmarkStart w:id="84" w:name="_Toc323110983"/>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15793459"/>
      <w:bookmarkStart w:id="86" w:name="_Toc322680351"/>
      <w:bookmarkStart w:id="87" w:name="_Toc320515074"/>
      <w:bookmarkStart w:id="88" w:name="_Toc363737690"/>
      <w:bookmarkStart w:id="89" w:name="_Toc320515025"/>
      <w:bookmarkStart w:id="90" w:name="_Toc323110984"/>
      <w:bookmarkStart w:id="91" w:name="_Toc475104476"/>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0515026"/>
      <w:bookmarkStart w:id="93" w:name="_Toc320515075"/>
      <w:bookmarkStart w:id="94" w:name="_Toc363737691"/>
      <w:bookmarkStart w:id="95" w:name="_Toc475104477"/>
      <w:bookmarkStart w:id="96" w:name="_Toc323110985"/>
      <w:bookmarkStart w:id="97" w:name="_Toc315793460"/>
      <w:bookmarkStart w:id="98" w:name="_Toc322680352"/>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6"/>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475104478"/>
      <w:bookmarkStart w:id="100" w:name="_Toc322680353"/>
      <w:bookmarkStart w:id="101" w:name="_Toc320515076"/>
      <w:bookmarkStart w:id="102" w:name="_Toc323110986"/>
      <w:bookmarkStart w:id="103" w:name="_Toc320515027"/>
      <w:bookmarkStart w:id="104" w:name="_Toc363737692"/>
      <w:bookmarkStart w:id="105" w:name="_Toc315793461"/>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20515028"/>
      <w:bookmarkStart w:id="107" w:name="_Toc320515077"/>
      <w:bookmarkStart w:id="108" w:name="_Toc363737693"/>
      <w:bookmarkStart w:id="109" w:name="_Toc322680354"/>
      <w:bookmarkStart w:id="110" w:name="_Toc315793462"/>
      <w:bookmarkStart w:id="111" w:name="_Toc475104479"/>
      <w:bookmarkStart w:id="112" w:name="_Toc323110987"/>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475104480"/>
      <w:bookmarkStart w:id="114" w:name="_Toc363737694"/>
      <w:bookmarkStart w:id="115" w:name="_Toc323110988"/>
      <w:bookmarkStart w:id="116" w:name="_Toc320515029"/>
      <w:bookmarkStart w:id="117" w:name="_Toc315793463"/>
      <w:bookmarkStart w:id="118" w:name="_Toc322680355"/>
      <w:bookmarkStart w:id="119" w:name="_Toc320515078"/>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7"/>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475104482"/>
      <w:bookmarkStart w:id="122" w:name="_Toc315793464"/>
      <w:bookmarkStart w:id="123" w:name="_Toc320515079"/>
      <w:bookmarkStart w:id="124" w:name="_Toc363737695"/>
      <w:bookmarkStart w:id="125" w:name="_Toc323110989"/>
      <w:bookmarkStart w:id="126" w:name="_Toc320515030"/>
      <w:bookmarkStart w:id="127" w:name="_Toc322680356"/>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23110990"/>
      <w:bookmarkStart w:id="129" w:name="_Toc475104483"/>
      <w:bookmarkStart w:id="130" w:name="_Toc363737696"/>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15793468"/>
      <w:bookmarkStart w:id="132" w:name="_Toc322680358"/>
      <w:bookmarkStart w:id="133" w:name="_Toc323110991"/>
      <w:bookmarkStart w:id="134" w:name="_Toc320515081"/>
      <w:bookmarkStart w:id="135" w:name="_Toc320515032"/>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保证金：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363737697"/>
      <w:bookmarkStart w:id="137" w:name="_Toc475104484"/>
      <w:r>
        <w:rPr>
          <w:rFonts w:hint="eastAsia" w:ascii="宋体" w:hAnsi="宋体"/>
          <w:b/>
          <w:bCs/>
          <w:color w:val="auto"/>
          <w:sz w:val="24"/>
          <w:highlight w:val="none"/>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63737698"/>
      <w:bookmarkStart w:id="139" w:name="_Toc320515082"/>
      <w:bookmarkStart w:id="140" w:name="_Toc320515033"/>
      <w:bookmarkStart w:id="141" w:name="_Toc333236642"/>
      <w:bookmarkStart w:id="142" w:name="_Toc475104485"/>
      <w:bookmarkStart w:id="143" w:name="_Toc315793469"/>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475104487"/>
      <w:bookmarkStart w:id="147" w:name="_Toc394926941"/>
      <w:bookmarkStart w:id="148" w:name="_Toc351550769"/>
      <w:bookmarkStart w:id="149" w:name="_Toc320515035"/>
      <w:bookmarkStart w:id="150" w:name="_Toc315793471"/>
      <w:bookmarkStart w:id="151" w:name="_Toc322680361"/>
      <w:bookmarkStart w:id="152" w:name="_Toc323110994"/>
      <w:bookmarkStart w:id="153" w:name="_Toc320515084"/>
      <w:bookmarkStart w:id="154" w:name="_Toc363737700"/>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315793300"/>
      <w:bookmarkStart w:id="157"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20515036"/>
      <w:bookmarkStart w:id="160" w:name="_Toc475104494"/>
      <w:bookmarkStart w:id="161" w:name="_Toc315793472"/>
      <w:bookmarkStart w:id="162" w:name="_Toc320515085"/>
      <w:bookmarkStart w:id="163" w:name="_Toc363737701"/>
      <w:bookmarkStart w:id="164" w:name="_Toc320515086"/>
      <w:bookmarkStart w:id="165" w:name="_Toc320515037"/>
      <w:bookmarkStart w:id="166" w:name="_Toc315793473"/>
      <w:bookmarkStart w:id="167" w:name="_Toc323110996"/>
      <w:bookmarkStart w:id="168" w:name="_Toc322680363"/>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363737702"/>
      <w:bookmarkStart w:id="170" w:name="_Toc475104495"/>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475104496"/>
      <w:bookmarkStart w:id="172" w:name="_Toc320515038"/>
      <w:bookmarkStart w:id="173" w:name="_Toc315793474"/>
      <w:bookmarkStart w:id="174" w:name="_Toc320515087"/>
      <w:bookmarkStart w:id="175" w:name="_Toc363737703"/>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22680366"/>
      <w:bookmarkStart w:id="177" w:name="_Toc320515040"/>
      <w:bookmarkStart w:id="178" w:name="_Toc320515089"/>
      <w:bookmarkStart w:id="179" w:name="_Toc323110999"/>
      <w:bookmarkStart w:id="180" w:name="_Toc31579347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475104498"/>
      <w:bookmarkStart w:id="182" w:name="_Toc363737705"/>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363737706"/>
      <w:bookmarkStart w:id="185" w:name="_Toc475104499"/>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475104500"/>
      <w:bookmarkStart w:id="187" w:name="_Toc363737707"/>
      <w:bookmarkStart w:id="188" w:name="_Toc323111001"/>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23111002"/>
      <w:bookmarkStart w:id="190" w:name="_Toc475104501"/>
      <w:bookmarkStart w:id="191" w:name="_Toc363737708"/>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15793480"/>
      <w:bookmarkStart w:id="193" w:name="_Toc323111003"/>
      <w:bookmarkStart w:id="194" w:name="_Toc363737709"/>
      <w:bookmarkStart w:id="195" w:name="_Toc320515093"/>
      <w:bookmarkStart w:id="196" w:name="_Toc320515044"/>
      <w:bookmarkStart w:id="197" w:name="_Toc322680370"/>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363737710"/>
      <w:bookmarkStart w:id="201" w:name="_Toc351716665"/>
      <w:bookmarkStart w:id="202" w:name="_Toc475104503"/>
      <w:bookmarkStart w:id="203" w:name="_Toc322680372"/>
      <w:bookmarkStart w:id="204" w:name="_Toc320515096"/>
      <w:bookmarkStart w:id="205" w:name="_Toc320515047"/>
      <w:bookmarkStart w:id="206" w:name="_Toc315793483"/>
      <w:bookmarkStart w:id="207" w:name="_Toc323111005"/>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51716666"/>
      <w:bookmarkStart w:id="211" w:name="_Toc363737711"/>
      <w:bookmarkStart w:id="212" w:name="_Toc475104504"/>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的规定，对小型和微型企业产品的价格给予6%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320515048"/>
      <w:bookmarkStart w:id="216" w:name="_Toc315793484"/>
      <w:bookmarkStart w:id="217" w:name="_Toc320515097"/>
      <w:bookmarkStart w:id="218" w:name="_Toc363737713"/>
      <w:bookmarkStart w:id="219" w:name="_Toc475104508"/>
      <w:bookmarkStart w:id="220" w:name="_Toc322680374"/>
      <w:bookmarkStart w:id="221" w:name="_Toc323111007"/>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363737714"/>
      <w:bookmarkStart w:id="223" w:name="_Toc475104509"/>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320515099"/>
      <w:bookmarkStart w:id="225" w:name="_Toc363737715"/>
      <w:bookmarkStart w:id="226" w:name="_Toc315793486"/>
      <w:bookmarkStart w:id="227" w:name="_Toc320515050"/>
      <w:bookmarkStart w:id="228" w:name="_Toc475104510"/>
      <w:bookmarkStart w:id="229" w:name="_Toc14450813"/>
      <w:bookmarkStart w:id="230" w:name="_Toc28489462"/>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15793487"/>
      <w:bookmarkStart w:id="232" w:name="_Toc320515051"/>
      <w:bookmarkStart w:id="233" w:name="_Toc320515100"/>
      <w:bookmarkStart w:id="234" w:name="_Toc363737716"/>
      <w:bookmarkStart w:id="235" w:name="_Toc475104511"/>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475104512"/>
      <w:bookmarkStart w:id="237" w:name="_Toc315793488"/>
      <w:bookmarkStart w:id="238" w:name="_Toc320515052"/>
      <w:bookmarkStart w:id="239" w:name="_Toc363737717"/>
      <w:bookmarkStart w:id="240" w:name="_Toc320515101"/>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475104515"/>
      <w:bookmarkStart w:id="242"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475104518"/>
      <w:bookmarkStart w:id="244" w:name="_Toc363737723"/>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475104519"/>
      <w:bookmarkStart w:id="246" w:name="_Toc363737724"/>
      <w:r>
        <w:rPr>
          <w:rFonts w:hint="eastAsia" w:ascii="宋体" w:hAnsi="宋体" w:cs="宋体"/>
          <w:color w:val="auto"/>
          <w:szCs w:val="21"/>
          <w:highlight w:val="none"/>
        </w:rPr>
        <w:t>本项目相关公告在以下媒体发布：中国采购与招标网（网址：www.chinabidding.com.cn）、广州市信怡招标代理有限公司网站（www.gzxyzb.com）和广东省农业科学院动物科学研究所网站（new.gdias.net或www.gdias.com ）。相关公告在法定媒体上公布之日即视为有效送达，不再另行通知。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7" w:name="_Toc475104520"/>
      <w:bookmarkStart w:id="248" w:name="_Toc363737725"/>
      <w:r>
        <w:rPr>
          <w:rFonts w:hint="eastAsia" w:ascii="宋体" w:hAnsi="宋体" w:cs="宋体"/>
          <w:color w:val="auto"/>
          <w:szCs w:val="21"/>
          <w:highlight w:val="none"/>
        </w:rPr>
        <w:t>其他未尽事宜，依照《中华人民共和国政府采购法》和省市相关法律、法规执行。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28489480"/>
      <w:bookmarkStart w:id="253"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09"/>
      <w:bookmarkEnd w:id="254"/>
      <w:bookmarkStart w:id="255" w:name="_Toc321815826"/>
      <w:bookmarkEnd w:id="255"/>
      <w:bookmarkStart w:id="256" w:name="_Toc321815806"/>
      <w:bookmarkEnd w:id="256"/>
      <w:bookmarkStart w:id="257" w:name="_Toc321815819"/>
      <w:bookmarkEnd w:id="257"/>
      <w:bookmarkStart w:id="258" w:name="_Toc321815802"/>
      <w:bookmarkEnd w:id="258"/>
      <w:bookmarkStart w:id="259" w:name="_Toc321815823"/>
      <w:bookmarkEnd w:id="259"/>
      <w:bookmarkStart w:id="260" w:name="_Toc321815821"/>
      <w:bookmarkEnd w:id="260"/>
      <w:bookmarkStart w:id="261" w:name="_Toc321815822"/>
      <w:bookmarkEnd w:id="261"/>
      <w:bookmarkStart w:id="262" w:name="_Toc321815810"/>
      <w:bookmarkEnd w:id="262"/>
      <w:bookmarkStart w:id="263" w:name="_Toc321815812"/>
      <w:bookmarkEnd w:id="263"/>
      <w:bookmarkStart w:id="264" w:name="_Toc321815801"/>
      <w:bookmarkEnd w:id="264"/>
      <w:bookmarkStart w:id="265" w:name="_Toc321815808"/>
      <w:bookmarkEnd w:id="265"/>
      <w:bookmarkStart w:id="266" w:name="_Toc321815818"/>
      <w:bookmarkEnd w:id="266"/>
      <w:bookmarkStart w:id="267" w:name="_Toc321815811"/>
      <w:bookmarkEnd w:id="267"/>
      <w:bookmarkStart w:id="268" w:name="_Toc321815816"/>
      <w:bookmarkEnd w:id="268"/>
      <w:bookmarkStart w:id="269" w:name="_Toc321815813"/>
      <w:bookmarkEnd w:id="269"/>
      <w:bookmarkStart w:id="270" w:name="_Toc321815814"/>
      <w:bookmarkEnd w:id="270"/>
      <w:bookmarkStart w:id="271" w:name="_Toc321815807"/>
      <w:bookmarkEnd w:id="271"/>
      <w:bookmarkStart w:id="272" w:name="_Toc321815815"/>
      <w:bookmarkEnd w:id="272"/>
      <w:bookmarkStart w:id="273" w:name="_Toc321815824"/>
      <w:bookmarkEnd w:id="273"/>
      <w:bookmarkStart w:id="274" w:name="_Toc321815825"/>
      <w:bookmarkEnd w:id="274"/>
      <w:bookmarkStart w:id="275" w:name="_Toc321815805"/>
      <w:bookmarkEnd w:id="275"/>
      <w:bookmarkStart w:id="276" w:name="_Toc321815820"/>
      <w:bookmarkEnd w:id="276"/>
      <w:bookmarkStart w:id="277" w:name="_Toc321815804"/>
      <w:bookmarkEnd w:id="277"/>
      <w:bookmarkStart w:id="278" w:name="_Toc321815817"/>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一、项目情况介绍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（一）项目名称：广东省农业科学院动物科学研究所系统微生物实验室水电材料采购项目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（二）采购人：广东省农业科学院动物科学研究所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（三）项目实施地点：天河区大丰一街1号动科所内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（四）采购预算：人民币436011.56元</w:t>
      </w:r>
    </w:p>
    <w:p>
      <w:pPr>
        <w:tabs>
          <w:tab w:val="left" w:pos="840"/>
        </w:tabs>
        <w:spacing w:line="440" w:lineRule="exact"/>
        <w:rPr>
          <w:rFonts w:ascii="宋体" w:hAnsi="宋体"/>
          <w:b/>
          <w:color w:val="auto"/>
          <w:highlight w:val="none"/>
        </w:rPr>
      </w:pPr>
      <w:r>
        <w:rPr>
          <w:rFonts w:hint="eastAsia" w:ascii="宋体" w:hAnsi="宋体"/>
          <w:b/>
          <w:color w:val="auto"/>
          <w:highlight w:val="none"/>
        </w:rPr>
        <w:t>二、现场踏勘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eastAsia="zh-CN"/>
        </w:rPr>
      </w:pPr>
      <w:r>
        <w:rPr>
          <w:rFonts w:hint="eastAsia"/>
          <w:color w:val="auto"/>
          <w:highlight w:val="none"/>
          <w:lang w:val="zh-CN" w:eastAsia="zh-CN"/>
        </w:rPr>
        <w:t>本项目不集中组织</w:t>
      </w:r>
      <w:r>
        <w:rPr>
          <w:rFonts w:hint="eastAsia"/>
          <w:color w:val="auto"/>
          <w:highlight w:val="none"/>
          <w:lang w:eastAsia="zh-CN"/>
        </w:rPr>
        <w:t>现场踏勘</w:t>
      </w:r>
      <w:r>
        <w:rPr>
          <w:rFonts w:hint="eastAsia"/>
          <w:color w:val="auto"/>
          <w:highlight w:val="none"/>
          <w:lang w:val="zh-CN" w:eastAsia="zh-CN"/>
        </w:rPr>
        <w:t>，由供应商自行踏勘；供应商应充分重视和仔细地进行这种考察，以便供应商获取那些须供应商自己负责的有关编制响应文件和签署合同所涉及现场所有的资料，供应商不进行踏勘的，视为已熟知现场条件，自行承担相关风险。一旦中标，这种考察即被认为其结果已在中标文件中得到充分反映。考察现场的费用由供应商自己承担。</w:t>
      </w:r>
    </w:p>
    <w:bookmarkEnd w:id="280"/>
    <w:p>
      <w:pPr>
        <w:tabs>
          <w:tab w:val="left" w:pos="840"/>
        </w:tabs>
        <w:spacing w:line="440" w:lineRule="exact"/>
        <w:rPr>
          <w:rFonts w:ascii="宋体" w:hAnsi="宋体"/>
          <w:b/>
          <w:color w:val="auto"/>
          <w:highlight w:val="none"/>
          <w:lang w:val="zh-CN"/>
        </w:rPr>
      </w:pPr>
      <w:bookmarkStart w:id="281" w:name="_Toc317609046"/>
      <w:r>
        <w:rPr>
          <w:rFonts w:hint="eastAsia" w:ascii="宋体" w:hAnsi="宋体"/>
          <w:b/>
          <w:color w:val="auto"/>
          <w:highlight w:val="none"/>
          <w:lang w:val="zh-CN"/>
        </w:rPr>
        <w:t>三、采购项目商务要求</w:t>
      </w:r>
      <w:bookmarkEnd w:id="281"/>
    </w:p>
    <w:p>
      <w:pPr>
        <w:spacing w:line="440" w:lineRule="exact"/>
        <w:ind w:firstLine="420" w:firstLineChars="200"/>
        <w:rPr>
          <w:rFonts w:ascii="宋体" w:hAnsi="宋体"/>
          <w:color w:val="auto"/>
          <w:highlight w:val="none"/>
          <w:lang w:val="zh-CN"/>
        </w:rPr>
      </w:pPr>
      <w:bookmarkStart w:id="282" w:name="_Toc317609047"/>
      <w:r>
        <w:rPr>
          <w:rFonts w:hint="eastAsia" w:ascii="宋体" w:hAnsi="宋体"/>
          <w:color w:val="auto"/>
          <w:highlight w:val="none"/>
          <w:lang w:val="zh-CN"/>
        </w:rPr>
        <w:t>1</w:t>
      </w:r>
      <w:bookmarkEnd w:id="282"/>
      <w:r>
        <w:rPr>
          <w:rFonts w:hint="eastAsia" w:ascii="宋体" w:hAnsi="宋体"/>
          <w:color w:val="auto"/>
          <w:highlight w:val="none"/>
          <w:lang w:val="zh-CN"/>
        </w:rPr>
        <w:t>、</w:t>
      </w:r>
      <w:r>
        <w:rPr>
          <w:rFonts w:hint="eastAsia" w:ascii="宋体" w:hAnsi="宋体" w:cs="宋体"/>
          <w:bCs/>
          <w:color w:val="auto"/>
          <w:szCs w:val="20"/>
          <w:highlight w:val="none"/>
          <w:lang w:eastAsia="zh-CN"/>
        </w:rPr>
        <w:t>合同履行期限：</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lang w:eastAsia="zh-CN"/>
        </w:rPr>
        <w:t>日历天。</w:t>
      </w:r>
    </w:p>
    <w:p>
      <w:pPr>
        <w:spacing w:line="440" w:lineRule="exact"/>
        <w:ind w:firstLine="420" w:firstLineChars="200"/>
        <w:rPr>
          <w:rFonts w:ascii="宋体" w:hAnsi="宋体"/>
          <w:color w:val="auto"/>
          <w:highlight w:val="none"/>
          <w:lang w:val="zh-CN"/>
        </w:rPr>
      </w:pPr>
      <w:bookmarkStart w:id="283" w:name="_Toc317609048"/>
      <w:r>
        <w:rPr>
          <w:rFonts w:hint="eastAsia" w:ascii="宋体" w:hAnsi="宋体"/>
          <w:color w:val="auto"/>
          <w:highlight w:val="none"/>
          <w:lang w:val="zh-CN"/>
        </w:rPr>
        <w:t>2、质量要求：按国家相关规范规程一次性验收达到合格标准。</w:t>
      </w:r>
      <w:bookmarkEnd w:id="283"/>
    </w:p>
    <w:p>
      <w:pPr>
        <w:spacing w:line="440" w:lineRule="exact"/>
        <w:ind w:firstLine="420" w:firstLineChars="200"/>
        <w:rPr>
          <w:rFonts w:hint="eastAsia" w:ascii="宋体" w:hAnsi="宋体"/>
          <w:color w:val="auto"/>
          <w:highlight w:val="none"/>
          <w:lang w:val="zh-CN"/>
        </w:rPr>
      </w:pPr>
      <w:bookmarkStart w:id="284" w:name="_Toc317609049"/>
      <w:r>
        <w:rPr>
          <w:rFonts w:hint="eastAsia" w:ascii="宋体" w:hAnsi="宋体"/>
          <w:color w:val="auto"/>
          <w:highlight w:val="none"/>
          <w:lang w:val="zh-CN"/>
        </w:rPr>
        <w:t>3、安全文明安装要求：按广州市的相关规定执行。</w:t>
      </w:r>
      <w:bookmarkEnd w:id="284"/>
    </w:p>
    <w:p>
      <w:pPr>
        <w:tabs>
          <w:tab w:val="left" w:pos="840"/>
        </w:tabs>
        <w:spacing w:line="440" w:lineRule="exact"/>
        <w:rPr>
          <w:rFonts w:hint="eastAsia" w:ascii="宋体" w:hAnsi="宋体" w:eastAsia="宋体"/>
          <w:b/>
          <w:color w:val="auto"/>
          <w:highlight w:val="none"/>
          <w:lang w:val="zh-CN" w:eastAsia="zh-CN"/>
        </w:rPr>
      </w:pPr>
      <w:r>
        <w:rPr>
          <w:rFonts w:hint="eastAsia" w:ascii="宋体" w:hAnsi="宋体"/>
          <w:b/>
          <w:color w:val="auto"/>
          <w:highlight w:val="none"/>
          <w:lang w:val="en-US" w:eastAsia="zh-CN"/>
        </w:rPr>
        <w:t>四、</w:t>
      </w:r>
      <w:r>
        <w:rPr>
          <w:rFonts w:hint="eastAsia" w:ascii="宋体" w:hAnsi="宋体"/>
          <w:b/>
          <w:color w:val="auto"/>
          <w:highlight w:val="none"/>
          <w:lang w:val="zh-CN"/>
        </w:rPr>
        <w:t>技术</w:t>
      </w:r>
      <w:r>
        <w:rPr>
          <w:rFonts w:hint="eastAsia" w:ascii="宋体" w:hAnsi="宋体"/>
          <w:b/>
          <w:color w:val="auto"/>
          <w:highlight w:val="none"/>
          <w:lang w:val="en-US" w:eastAsia="zh-CN"/>
        </w:rPr>
        <w:t>要求</w:t>
      </w:r>
    </w:p>
    <w:p>
      <w:pPr>
        <w:spacing w:afterLines="50" w:line="460" w:lineRule="exact"/>
        <w:jc w:val="both"/>
        <w:rPr>
          <w:rFonts w:hint="eastAsia" w:asciiTheme="majorEastAsia" w:hAnsiTheme="majorEastAsia" w:eastAsiaTheme="majorEastAsia" w:cstheme="majorEastAsia"/>
          <w:b/>
          <w:color w:val="auto"/>
          <w:sz w:val="21"/>
          <w:szCs w:val="21"/>
          <w:highlight w:val="none"/>
        </w:rPr>
      </w:pPr>
      <w:bookmarkStart w:id="285" w:name="_Toc456951827"/>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lang w:val="en-US" w:eastAsia="zh-CN"/>
        </w:rPr>
        <w:t>一</w:t>
      </w: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强电项目概况与技术要求</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 xml:space="preserve">、实验室电气系统配电设备技术要求： </w:t>
      </w:r>
    </w:p>
    <w:p>
      <w:pPr>
        <w:spacing w:line="360" w:lineRule="auto"/>
        <w:ind w:left="330" w:leftChars="57"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严格依据以下国家有关现行</w:t>
      </w:r>
      <w:r>
        <w:rPr>
          <w:rFonts w:hint="eastAsia" w:asciiTheme="majorEastAsia" w:hAnsiTheme="majorEastAsia" w:eastAsiaTheme="majorEastAsia" w:cstheme="majorEastAsia"/>
          <w:bCs/>
          <w:color w:val="auto"/>
          <w:sz w:val="21"/>
          <w:szCs w:val="21"/>
          <w:highlight w:val="none"/>
        </w:rPr>
        <w:t>法律法规、国家标准提供相关产品与服务，必须</w:t>
      </w:r>
      <w:r>
        <w:rPr>
          <w:rFonts w:hint="eastAsia" w:asciiTheme="majorEastAsia" w:hAnsiTheme="majorEastAsia" w:eastAsiaTheme="majorEastAsia" w:cstheme="majorEastAsia"/>
          <w:color w:val="auto"/>
          <w:sz w:val="21"/>
          <w:szCs w:val="21"/>
          <w:highlight w:val="none"/>
        </w:rPr>
        <w:t>满足实验室仪器的用电安全、可靠、经济等要求。</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《检测和校准实验室能力的通用要求》GB/T27025-2008 </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《建筑设计防火规范》GB 50016-2014</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《低压配电设计规范》GB 50054-2011</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《供配电系统设计规范》GB 50052-2009</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《生物安全实验室建筑技术规范》GB 50346-2011</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《建筑照明设计标准》GB 50034-2013</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《建筑物防雷设计规范》GB 50057-2010</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《电力工程电缆设计规范》GB 50217-2007</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《建筑电气工程施工质量验收规范》GB 50303-2015</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《公共建筑节能设计标准》GB 50189-2005</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《通用用电设备配电设计规范》GB 50055-2011</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《建筑物电子信息系统防雷技术规范》 GB 50343-2004</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13</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《民用建筑电气设计规范》JGJ 16-2008</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《科学实验建筑设计规范》JGJ 91-1993</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其它现行的国家标准、行业标准及地方标准。</w:t>
      </w:r>
    </w:p>
    <w:p>
      <w:pPr>
        <w:spacing w:line="360" w:lineRule="auto"/>
        <w:ind w:firstLine="105" w:firstLineChars="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二</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技术要求：</w:t>
      </w:r>
    </w:p>
    <w:bookmarkEnd w:id="285"/>
    <w:p>
      <w:pPr>
        <w:spacing w:line="360" w:lineRule="auto"/>
        <w:ind w:firstLine="105" w:firstLineChars="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b/>
          <w:color w:val="auto"/>
          <w:sz w:val="21"/>
          <w:szCs w:val="21"/>
          <w:highlight w:val="none"/>
        </w:rPr>
        <w:t>1</w:t>
      </w: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 xml:space="preserve">动力箱 </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▲（1）电箱设备内元器件应有“3C”认证；</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（2）电箱内一次元器件（断路器、接触器、热继电器、双电源切换开关、浪涌保护器）和二次元器件及导线应采用全新正品，但所有一次元件产品及性能必须统一；</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▲（3）箱体材料采用冷轧钢板，箱体板材厚度不小于1.5mm，落地柜板材厚度不小于2.0mm，箱体表面经过除油、除锈、磷化处理、喷粉烘烤或喷塑处理。</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（4）箱体必须为全封闭型，箱门上须装防尘垫，装以锁扣或其他相同经批准的锁。整个箱体的防护等级不低于IP41。</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（5）箱内设备必须包括所规定额定电流的镀锡铜母线，以及足够截面的多接线端子的中性线和地线母线。</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为了使带电部分和电线在打开前门板时能够完全屏蔽，所有在箱内的电线、母线等都应加以遮护，并应提供一块1.5mm厚的阻燃前护板（控制箱可以例外）。只有断路器的操作手把和其周围的绝缘部分可以突出在阻燃前护板上。</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（7）必须配置一个接地端子，使箱体可以接地。装有二次元件的箱门应通过软编制铜带与接地端子相连。</w:t>
      </w:r>
    </w:p>
    <w:p>
      <w:pPr>
        <w:spacing w:line="360" w:lineRule="auto"/>
        <w:ind w:left="48" w:leftChars="23"/>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2</w:t>
      </w: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 xml:space="preserve">电线电缆 </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(1)符合GB/T12706、GB 12666等中国国家标准。</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(2)电线、电缆的生产厂应有主管部门颁发的生产许可证。</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▲(3)电线电缆应有国家认可的质量检测机构的检验合格报告和“3C”认证。</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▲(4)阻燃、耐火电缆应通过国家级相关质量监督检验机构的型式认可检验。</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(5)电缆盘上应表明电缆型号、规格、电压等级、长度及出厂日期。并与产品合格证相符。电缆盘应完好无损。</w:t>
      </w:r>
    </w:p>
    <w:p>
      <w:pPr>
        <w:spacing w:line="360" w:lineRule="auto"/>
        <w:ind w:left="48" w:leftChars="23" w:firstLine="105" w:firstLineChars="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(6)用铜质材料，含铜量不低于99.99%。</w:t>
      </w:r>
    </w:p>
    <w:p>
      <w:pPr>
        <w:spacing w:line="360" w:lineRule="auto"/>
        <w:ind w:left="48" w:leftChars="23" w:firstLine="105" w:firstLineChars="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(7)线、电缆的绝缘材链必须符合电压等级和设计要求。</w:t>
      </w:r>
    </w:p>
    <w:p>
      <w:pPr>
        <w:spacing w:line="360" w:lineRule="auto"/>
        <w:ind w:left="573" w:leftChars="73" w:hanging="420" w:hanging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(8)电缆未受到机械外力的损伤，铠装无锈蚀，缆线顺直无皱折和扭曲现象。塑料电缆外皮绝缘层无老化和龟裂现象。</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(9)电缆终端头应与电缆相匹配的，附件齐全，封套必须与电缆规格尺寸匹配，应紧裹电缆及其各条导线。套管应完好无损，不得有裂纹和损伤，并应有合格证和实验数据纪录。</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(10)电缆芯线和电线绝缘层的颜色必须满足以下要求：相线：黄、绿、红；零线：淡蓝；地线：黄/绿；控制线：白</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(11)与低压柜相连电缆的电缆头制作必须用户内热缩式。</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(12)ZC-YJV：交联聚乙烯绝缘、聚乙烯护套C类阻燃电力电缆。要求材料具有阻止或延缓火焰蔓延。通过GB／T 17650.2(等同IEC60754-2)、GB／T17651.2(等同IEC61034-2)和GB／T18380.3(等同IEC60332-3)三项标准试验合格。</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(13)ZR-BVV-450V/750V：C阻燃聚氯乙烯绝缘铜芯电线具有阻止或延缓火焰蔓延、可保持线路完整性。能通过GB／T17650.2(等同IEC 60754-2)、CB／T 17651.2(等同IEC61034-2)、GB／T 18380.3(等同IEC 60332-3)及GB／T12666.6(等效IEC60331)四项标准试验合格。</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(14)工频额定电压：U0/U：0.6/1kV。工作温度：电缆导体的最高额定温度90℃。线芯短路温度：短路时最长持续时间不超过5s，电缆导体最高温度不超过250℃。电缆应具有无卤、低烟、耐火等特性。</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(15)电缆燃烧时的阻燃性能应能满足GB18380-2001规定的C类成束电缆垂直燃烧试验。</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电缆燃烧时的低烟性能应能满足IEC 61034(1997)规定的试验条件下，燃烧时产生的烟浓度其最小透光率不小于70%。</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(17)电缆燃烧时逸出的气体的PH值和导电率测试按IEC60754（1997）规定，PH值不小于4.6，导电率不大于10μs/mm。</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(18)在火焰燃烧条件下电缆的线路完整性试验应满足IEC60331-21：1999的要求。供火温度750℃、供火时间90分钟，2A熔断器不断；指示灯不熄。</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(19)电缆导体符合国家标准，多股同现应紧压成导体，其组成、性能和外观应符合GB/T3956-1997标准的规定，紧压系数不小于0.90。</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(20)多芯电缆成缆线芯应有非吸湿性阻燃填充，填充材料应阻燃，并与电缆的工作温度相适应，对绝缘材料有无害影响。</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(21)护套采用阻燃护套材料，标称厚度按GB2952-89的规定，最薄点的厚度不小于标称值的80%-0.2mm；护套材料应具有良好的抗日照、紫外线老化性能。</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(22)电缆的护套表面应有生产厂家、电缆型号、额定电压和生产年份的连续标记，标志应字迹清楚、容易辨认、耐擦。</w:t>
      </w:r>
    </w:p>
    <w:p>
      <w:pPr>
        <w:spacing w:line="360" w:lineRule="auto"/>
        <w:ind w:left="48" w:leftChars="23"/>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3</w:t>
      </w: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电缆桥架：采用镀锌钢制线槽、桥架</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(1)电缆桥架含配套电气系统所需的电缆梯架、电缆托盘、金属线槽等电缆承载体。</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(2)符合JB/T10216、CECS 31等标准要求。</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(3)电缆桥架应在工厂加工完成后在运抵施工现场，尽可能减少在工地切割桥架，严禁在工地加工、制作水平弯、垂直弯以及分支接头等桥架的连接段。</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(4)电缆桥架的膨胀节必须使用制造厂生产的标准伸缩接合板。</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电缆梯架须由热浸镀锌低碳钢制作。电缆梯架的两条边框至少必须为40mm宽的顶缘卷边以增加强度，板材厚度不小于2.5mm。梯级的中心间隔约为300mm，并具一定的宽度以用不同的方法固定电缆，包括尼龙带扣、鞍行夹、冲孔带、电缆夹等。梯架盖板板材厚度不小于1.2mm。</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(6)电缆桥架表面进行热浸镀锌或喷粉烘烤处理。</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(7)电缆托盘须由低碳钢制作，电缆托盘尺寸与板材厚度要求符合规范规定，若规范不一致之处，选用较高标准。</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(8)金属线槽必须用镀锌钢板制作，其最小长度为2米。金属线槽内外应无毛刺，配件应齐全。金属线槽镀锌钢板的厚度要求符合规范规定，若规范不一致之处，选用较高标准。</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(9)所有电缆桥架、梯架和金属线槽都必须加装盖板，并配置锁扣。</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(10)敷设消防电缆的封闭式线槽应外刷防火涂料，要求在线槽生产厂内完成防火涂料喷涂工作，不允许在现场手工涂刷，耐火时间级别应满足设计要求。</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(11)桥架和金属线槽要求采用无折弯式。</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（12）动力、照明的电源线路。所有线管、底盒采用PVC套管或方形线槽。</w:t>
      </w:r>
    </w:p>
    <w:p>
      <w:pPr>
        <w:spacing w:line="360" w:lineRule="auto"/>
        <w:ind w:left="48" w:leftChars="23"/>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4</w:t>
      </w: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照明灯具</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（1）符合GB7000.12、GB13037、GB9472、GB2313、IEC598等中国国家标准及国际标准；</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（2）配套电气系统灯具必须符合中华人民共和国国家标准(GB 50591-2010):洁净室施工及验收规范及设计要求。</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（3）带透光板的灯具，透光板的透光率在85%以上。</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（4）灯盘、紫外灯等应通过CCC国家强制认证；</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（5）照明灯具的防护等级不低于IP54；</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（6）灯具外壳有单独的接地端子，且接地牢固。</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（7）灯具、镇流器的保用时间应不少于5年，光源的保用时间应不少于8000小时；</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（8）选用高效节能灯具。</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（9）支架灯、灯盘采用LED节能灯具。输入100-240VAC 50/60HZ；色温：2700-6500K；显色指数80；工作温度：-20~50℃；等级IP54；LED寿命：50000H。</w:t>
      </w:r>
    </w:p>
    <w:p>
      <w:pPr>
        <w:spacing w:line="360" w:lineRule="auto"/>
        <w:ind w:left="48" w:leftChars="23"/>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5</w:t>
      </w: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开关、插座</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(1)符合GB16911标准要求。</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▲(2)应有国家认可的质量检测机构出具的检验合格报告和“3C”认证。</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(3)所有开关、插座必须使用同一品牌同一系列的产品。</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(4)开关、插座采用磷青铜簧片，银或银合金触点。</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(5)开关面板采用大翘板型。</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(6)插座均带有安全门，安装高度≥1m(相对每层平面)需带有开断功能。</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(7)开关、插座的壳体必须采用阻燃材料制造。</w:t>
      </w:r>
    </w:p>
    <w:p>
      <w:pPr>
        <w:spacing w:line="360" w:lineRule="auto"/>
        <w:ind w:left="48" w:leftChars="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(8)工业插座应具有优良的防水、防尘和防爆性能；</w:t>
      </w:r>
    </w:p>
    <w:p>
      <w:pPr>
        <w:snapToGrid w:val="0"/>
        <w:spacing w:line="440" w:lineRule="exact"/>
        <w:ind w:firstLine="211" w:firstLineChars="100"/>
        <w:jc w:val="both"/>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lang w:val="en-US" w:eastAsia="zh-CN"/>
        </w:rPr>
        <w:t>二</w:t>
      </w: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给排水系统项目概况与技术要求</w:t>
      </w:r>
    </w:p>
    <w:p>
      <w:pPr>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bCs/>
          <w:color w:val="auto"/>
          <w:sz w:val="21"/>
          <w:szCs w:val="21"/>
          <w:highlight w:val="none"/>
        </w:rPr>
        <w:t>给排水</w:t>
      </w:r>
      <w:r>
        <w:rPr>
          <w:rFonts w:hint="eastAsia" w:asciiTheme="majorEastAsia" w:hAnsiTheme="majorEastAsia" w:eastAsiaTheme="majorEastAsia" w:cstheme="majorEastAsia"/>
          <w:color w:val="auto"/>
          <w:sz w:val="21"/>
          <w:szCs w:val="21"/>
          <w:highlight w:val="none"/>
        </w:rPr>
        <w:t>材料及技术要求：</w:t>
      </w:r>
    </w:p>
    <w:p>
      <w:pPr>
        <w:spacing w:line="360" w:lineRule="auto"/>
        <w:ind w:firstLine="371" w:firstLineChars="177"/>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依据以下国</w:t>
      </w:r>
      <w:r>
        <w:rPr>
          <w:rFonts w:hint="eastAsia" w:asciiTheme="majorEastAsia" w:hAnsiTheme="majorEastAsia" w:eastAsiaTheme="majorEastAsia" w:cstheme="majorEastAsia"/>
          <w:bCs/>
          <w:color w:val="auto"/>
          <w:sz w:val="21"/>
          <w:szCs w:val="21"/>
          <w:highlight w:val="none"/>
        </w:rPr>
        <w:t>家法律法规、国家标准提供相关产品与服务：</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1）《建筑给排水设计规范》（GB50015-2003）</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2）《室外给水设计规范》（GB50013-2006）</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3）《室外排水设计规范》（GB50014-2006）</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4）《科学实验室建筑设计规范》（JGJ 91-93）</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5）其它现行的国家标准、行业标准及地方标准。</w:t>
      </w:r>
    </w:p>
    <w:p>
      <w:pPr>
        <w:autoSpaceDE w:val="0"/>
        <w:autoSpaceDN w:val="0"/>
        <w:adjustRightInd w:val="0"/>
        <w:spacing w:line="360" w:lineRule="auto"/>
        <w:ind w:left="720" w:hanging="630" w:hangingChars="3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给水系统技术要求：</w:t>
      </w:r>
    </w:p>
    <w:p>
      <w:pPr>
        <w:spacing w:line="360" w:lineRule="auto"/>
        <w:ind w:firstLine="422" w:firstLineChars="20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lang w:val="en-US" w:eastAsia="zh-CN"/>
        </w:rPr>
        <w:t>1</w:t>
      </w: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给水工程</w:t>
      </w:r>
    </w:p>
    <w:p>
      <w:pPr>
        <w:spacing w:line="360" w:lineRule="auto"/>
        <w:ind w:left="525" w:leftChars="200" w:hanging="105" w:hangingChars="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管材选用：实验室室内生活给水管材选用：PP-R给水管（管材压力等级：1.6 MPa）；采用S5系列PPR管热熔焊接连接。</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实验室室内生活给水管道，横管安装时宜有0.002～0.005的坡度向泄水装置。</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w:t>
      </w:r>
      <w:r>
        <w:rPr>
          <w:rFonts w:hint="eastAsia" w:asciiTheme="majorEastAsia" w:hAnsiTheme="majorEastAsia" w:eastAsiaTheme="majorEastAsia" w:cstheme="majorEastAsia"/>
          <w:color w:val="auto"/>
          <w:sz w:val="21"/>
          <w:szCs w:val="21"/>
          <w:highlight w:val="none"/>
        </w:rPr>
        <w:t>实验室给水管道上的阀门，DN≤50时用截止阀，DN＞50时用闸阀或碟阀。</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管道试验压力：市政供水管网和户内给水支管，试验压力本工程为 0.60 MPa 。</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管道支架及管道补偿标准：</w:t>
      </w:r>
    </w:p>
    <w:p>
      <w:pPr>
        <w:spacing w:line="360" w:lineRule="auto"/>
        <w:ind w:left="525" w:leftChars="200" w:hanging="105" w:hangingChars="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①尽量利用管道自然转弯补偿管道伸缩；直线管段（横干管，立管）较长时，每隔30m设金属波纹管伸缩器，补偿管道热胀冷缩。</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②给水主管安装管卡时，层高H≤5米每层设一个；层高H＞5米时每层设两个。</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6 </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实验室各用水点采用铜芯球阀连接。</w:t>
      </w:r>
    </w:p>
    <w:p>
      <w:pPr>
        <w:numPr>
          <w:ilvl w:val="0"/>
          <w:numId w:val="0"/>
        </w:numPr>
        <w:autoSpaceDE w:val="0"/>
        <w:autoSpaceDN w:val="0"/>
        <w:adjustRightInd w:val="0"/>
        <w:spacing w:line="360" w:lineRule="auto"/>
        <w:ind w:left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排水系统技术要求：</w:t>
      </w:r>
    </w:p>
    <w:p>
      <w:pPr>
        <w:spacing w:line="360" w:lineRule="auto"/>
        <w:ind w:left="689" w:leftChars="228"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材料：室内排水管（含接室外第一个检查井的出户管）管材采用：硬质聚氯乙烯（UPVC）管。</w:t>
      </w:r>
    </w:p>
    <w:p>
      <w:pPr>
        <w:autoSpaceDE w:val="0"/>
        <w:autoSpaceDN w:val="0"/>
        <w:adjustRightIn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本系统排水主要是实验室污水，污水管汇总后排入楼下综合处理池。</w:t>
      </w:r>
    </w:p>
    <w:p>
      <w:pPr>
        <w:autoSpaceDE w:val="0"/>
        <w:autoSpaceDN w:val="0"/>
        <w:adjustRightIn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排水管道采用UPVC塑料管及管件。管径用公称内径DN表示。</w:t>
      </w:r>
    </w:p>
    <w:p>
      <w:pPr>
        <w:autoSpaceDE w:val="0"/>
        <w:autoSpaceDN w:val="0"/>
        <w:adjustRightInd w:val="0"/>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UPVC排水管安装坡度：DN50 i=0.025,DN75 i=0.015,DN110 i=0.012</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排水立管与排水管端部连接，宜采用45°斜三通或45°斜四通和顺水三通或顺水四通。排水立管与排出管端部的连接宜采用两个45°弯头或弯曲半径不小于4倍管径的90°弯头。</w:t>
      </w:r>
    </w:p>
    <w:p>
      <w:pPr>
        <w:spacing w:line="360" w:lineRule="auto"/>
        <w:ind w:left="840" w:leftChars="200" w:hanging="420" w:hanging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实验水盆排水管与排水横管垂直连接，应采用90°斜三通。</w:t>
      </w:r>
    </w:p>
    <w:p>
      <w:pPr>
        <w:spacing w:line="360" w:lineRule="auto"/>
        <w:ind w:left="735" w:leftChars="200" w:hanging="315" w:hangingChars="15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有实验水盆的房间设置地漏，所有水盆（包括地漏）自带或配备存水弯，其水封深度不少于50毫米。</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实验室和卫生间的排水立管分别设置。</w:t>
      </w:r>
    </w:p>
    <w:p>
      <w:pPr>
        <w:spacing w:line="360" w:lineRule="auto"/>
        <w:ind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9</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排水管接口形式：硬质聚氯乙烯管采用溶剂（或粘胶）粘接。</w:t>
      </w:r>
    </w:p>
    <w:p>
      <w:pPr>
        <w:autoSpaceDE w:val="0"/>
        <w:autoSpaceDN w:val="0"/>
        <w:adjustRightInd w:val="0"/>
        <w:spacing w:line="360" w:lineRule="auto"/>
        <w:ind w:left="569" w:leftChars="171"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管道实压：按照《建筑设计防火给排水及采暖工程施工质量验收规范》(GB50262-2002)的要求分别对各个系统进行管道压力实验。</w:t>
      </w:r>
    </w:p>
    <w:p>
      <w:pPr>
        <w:autoSpaceDE w:val="0"/>
        <w:autoSpaceDN w:val="0"/>
        <w:adjustRightInd w:val="0"/>
        <w:spacing w:line="360" w:lineRule="auto"/>
        <w:ind w:left="569" w:leftChars="171" w:hanging="210" w:hanging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11</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其它未尽事宜应尊照《建筑设计防火给排水及采暖工程施工质量验收规》(GB50262-2002)及有关技术标准和规范执行。</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en-US" w:eastAsia="zh-CN"/>
        </w:rPr>
        <w:t>五</w:t>
      </w:r>
      <w:r>
        <w:rPr>
          <w:rFonts w:hint="eastAsia" w:ascii="宋体" w:hAnsi="宋体"/>
          <w:b/>
          <w:color w:val="auto"/>
          <w:highlight w:val="none"/>
          <w:lang w:val="zh-CN"/>
        </w:rPr>
        <w:t>、其他</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1.本次报价包括以上清单中所有内容，供应商必须给出清单所有项目的综合单价（综合单价须有明细内容）和合价，若有缺项漏项，应视为均摊在其他费用中。</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3.各供应商必须给出产品的详细资料，包括技术标准、产品配置、尺寸等，以便采购人综合进行评定。</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4.供应商必须保证：报价所列内容使得整个工程在功能上的完整性，并正常运行，验收合格。</w:t>
      </w:r>
    </w:p>
    <w:p>
      <w:pPr>
        <w:spacing w:line="440" w:lineRule="exact"/>
        <w:ind w:firstLine="420" w:firstLineChars="200"/>
        <w:rPr>
          <w:rFonts w:hint="eastAsia" w:ascii="宋体" w:hAnsi="宋体"/>
          <w:color w:val="auto"/>
          <w:highlight w:val="none"/>
        </w:rPr>
      </w:pPr>
      <w:r>
        <w:rPr>
          <w:rFonts w:hint="eastAsia" w:ascii="宋体" w:hAnsi="宋体"/>
          <w:color w:val="auto"/>
          <w:highlight w:val="none"/>
        </w:rPr>
        <w:t>5.中标人责任:中标人在施工过程中需要负责处理好与周边的关系及经济问题，发生任何纠纷以及产生所有费用均由中标人自行承担。</w:t>
      </w:r>
    </w:p>
    <w:p>
      <w:pPr>
        <w:tabs>
          <w:tab w:val="left" w:pos="840"/>
        </w:tabs>
        <w:spacing w:line="440" w:lineRule="exact"/>
        <w:rPr>
          <w:rFonts w:hint="eastAsia" w:ascii="宋体" w:hAnsi="宋体" w:eastAsia="宋体" w:cs="Times New Roman"/>
          <w:b/>
          <w:color w:val="auto"/>
          <w:highlight w:val="none"/>
          <w:lang w:val="zh-CN" w:eastAsia="zh-CN"/>
        </w:rPr>
      </w:pPr>
      <w:r>
        <w:rPr>
          <w:rFonts w:hint="eastAsia" w:ascii="宋体" w:hAnsi="宋体" w:cs="Times New Roman"/>
          <w:b/>
          <w:color w:val="auto"/>
          <w:highlight w:val="none"/>
          <w:lang w:val="en-US" w:eastAsia="zh-CN"/>
        </w:rPr>
        <w:t>六</w:t>
      </w:r>
      <w:r>
        <w:rPr>
          <w:rFonts w:hint="eastAsia" w:ascii="宋体" w:hAnsi="宋体" w:cs="Times New Roman"/>
          <w:b/>
          <w:color w:val="auto"/>
          <w:highlight w:val="none"/>
          <w:lang w:val="zh-CN"/>
        </w:rPr>
        <w:t>、主要材料设备</w:t>
      </w:r>
      <w:r>
        <w:rPr>
          <w:rFonts w:hint="eastAsia" w:ascii="宋体" w:hAnsi="宋体" w:cs="Times New Roman"/>
          <w:b/>
          <w:color w:val="auto"/>
          <w:highlight w:val="none"/>
          <w:lang w:val="en-US" w:eastAsia="zh-CN"/>
        </w:rPr>
        <w:t>采购一览表</w:t>
      </w:r>
    </w:p>
    <w:tbl>
      <w:tblPr>
        <w:tblStyle w:val="90"/>
        <w:tblW w:w="9428" w:type="dxa"/>
        <w:tblInd w:w="0" w:type="dxa"/>
        <w:tblLayout w:type="fixed"/>
        <w:tblCellMar>
          <w:top w:w="15" w:type="dxa"/>
          <w:left w:w="15" w:type="dxa"/>
          <w:bottom w:w="15" w:type="dxa"/>
          <w:right w:w="15" w:type="dxa"/>
        </w:tblCellMar>
      </w:tblPr>
      <w:tblGrid>
        <w:gridCol w:w="554"/>
        <w:gridCol w:w="1200"/>
        <w:gridCol w:w="2686"/>
        <w:gridCol w:w="675"/>
        <w:gridCol w:w="763"/>
        <w:gridCol w:w="3550"/>
      </w:tblGrid>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货物名称</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型号规格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数量</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单位</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kern w:val="0"/>
                <w:sz w:val="21"/>
                <w:szCs w:val="21"/>
                <w:highlight w:val="none"/>
              </w:rPr>
              <w:t>参考品牌</w:t>
            </w:r>
          </w:p>
        </w:tc>
      </w:tr>
      <w:tr>
        <w:tblPrEx>
          <w:tblCellMar>
            <w:top w:w="15" w:type="dxa"/>
            <w:left w:w="15" w:type="dxa"/>
            <w:bottom w:w="15" w:type="dxa"/>
            <w:right w:w="15" w:type="dxa"/>
          </w:tblCellMar>
        </w:tblPrEx>
        <w:trPr>
          <w:trHeight w:val="540" w:hRule="atLeast"/>
        </w:trPr>
        <w:tc>
          <w:tcPr>
            <w:tcW w:w="94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color w:val="auto"/>
                <w:kern w:val="0"/>
                <w:sz w:val="21"/>
                <w:szCs w:val="21"/>
                <w:highlight w:val="none"/>
              </w:rPr>
            </w:pPr>
            <w:r>
              <w:rPr>
                <w:rFonts w:hint="eastAsia" w:asciiTheme="majorEastAsia" w:hAnsiTheme="majorEastAsia" w:eastAsiaTheme="majorEastAsia" w:cstheme="majorEastAsia"/>
                <w:b/>
                <w:bCs/>
                <w:color w:val="auto"/>
                <w:kern w:val="0"/>
                <w:sz w:val="21"/>
                <w:szCs w:val="21"/>
                <w:highlight w:val="none"/>
                <w:lang w:val="en-US" w:eastAsia="zh-CN"/>
              </w:rPr>
              <w:t>一、电气系统配电设备</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一层总配电箱1APS</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成套配电箱1APS-照明</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成套配电箱1APS-排风</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成套配电箱1APS-空调</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成套配电箱APS-洁净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成套配电箱1APS-洁净1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成套配电箱1APS4</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成套配电箱1APS5</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成套配电箱1APS6</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成套配电箱1APS7</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二层总配电箱2APS</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成套配电箱2APS-照明</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成套配电箱2APS-排风</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成套配电箱2APS-空调</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成套配电箱2APS-洁净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成套配电箱2APS4</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成套配电箱2APS5</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成套配电箱2APS6</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成套配电箱2APS7</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成套配电箱2APS-洁净1</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成套配电箱2APS-洁净2</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成套配电箱2APS-洁净3</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电箱：东莞基业、白云电器、正泰、德力西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开关：施耐德、正泰、德力西</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空气漏电开关：正泰、德力西、施耐德</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动力线路(铜芯) 导线截面绝缘导线ZRYJV  5X4mm2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785</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动力线路(铜芯) 导线截面绝缘导线ZRYJV  5X10mm2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90</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31</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动力线路(铜芯) 导线截面绝缘导线ZRYJV  5X16mm2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350</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32</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动力线路(铜芯) 导线截面绝缘导线ZRYJV  3X25+2X16mm2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250</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动力线路(铜芯) 导线截面绝缘导线ZRYJV  3X35+2X16mm2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动力线路(铜芯) 导线截面绝缘导线ZRYJV  3X50+2X25mm2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动力线路(铜芯) 导线截面绝缘导线ZRYJV  3X185+2X95mm2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动力线路(铜芯) 导线截面绝缘导线ZRYJV  3X240+2X120mm2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动力线路(铜芯) 导线截面绝缘导线ZRYJV  5X2.5mm2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710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电力电缆头5X2.5m2</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电力电缆头5X4m2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电力电缆头5X10mm2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电力电缆头5X16mm2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电力电缆头3X25+2X16mm2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电力电缆头3X35+2X16mm2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电力电缆头3X50+2X25mm2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电力电缆头3X185+2X95mm2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电力电缆头3X240+2X120mm2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1.管内穿线 动力线路(铜芯) 导线截面绝缘导线ZRBVV 2.5mm2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6900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1.管内穿线 动力线路(铜芯) 导线截面绝缘导线ZRBVV 4mm2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18000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电线电缆</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1.管内穿线 动力线路(铜芯) 导线截面绝缘导线ZRBVV 6mm2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350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广州电缆、珠江电缆、庆丰电缆</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桥架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规格：100*50mm，含配件0.8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800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南粤、耐坚、华朔</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桥架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规格：300*100mm，含配件1.2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南粤、耐坚、华朔</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电线套管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dn20PC管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3400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南粤、耐坚、华朔</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电线套管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dn25PC管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12035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南粤、耐坚、华朔</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接线盒</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86型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906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插座</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单相二三极插座 10A 250V</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152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松本、TCL、正泰、德力西</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插座</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单相二三极插座</w:t>
            </w:r>
            <w:r>
              <w:rPr>
                <w:rFonts w:hint="default" w:asciiTheme="majorEastAsia" w:hAnsiTheme="majorEastAsia" w:eastAsiaTheme="majorEastAsia" w:cstheme="majorEastAsia"/>
                <w:color w:val="auto"/>
                <w:kern w:val="0"/>
                <w:sz w:val="21"/>
                <w:szCs w:val="21"/>
                <w:highlight w:val="none"/>
                <w:lang w:val="en-US" w:eastAsia="zh-CN"/>
              </w:rPr>
              <w:t xml:space="preserve"> 16A 250V</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57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松本、TCL、正泰、德力西</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照明</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68W LED灯（600*600）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60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三雄、佛山照明、欧普</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照明</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120W LED灯（1200*600）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65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三雄、佛山照明、欧普</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吸顶式净化灯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ajorEastAsia" w:hAnsiTheme="majorEastAsia" w:eastAsiaTheme="majorEastAsia" w:cstheme="majorEastAsia"/>
                <w:color w:val="auto"/>
                <w:kern w:val="0"/>
                <w:sz w:val="21"/>
                <w:szCs w:val="21"/>
                <w:highlight w:val="none"/>
                <w:lang w:val="en-US"/>
              </w:rPr>
            </w:pPr>
            <w:r>
              <w:rPr>
                <w:rFonts w:hint="eastAsia" w:asciiTheme="majorEastAsia" w:hAnsiTheme="majorEastAsia" w:eastAsiaTheme="majorEastAsia" w:cstheme="majorEastAsia"/>
                <w:color w:val="auto"/>
                <w:kern w:val="0"/>
                <w:sz w:val="21"/>
                <w:szCs w:val="21"/>
                <w:highlight w:val="none"/>
                <w:lang w:val="en-US" w:eastAsia="zh-CN"/>
              </w:rPr>
              <w:t>MX-Y36X2/SD01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天方、洁千里、易众</w:t>
            </w: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吸顶式净化灯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MX-Y18X2/SD01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天方、洁千里、易众</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吸顶式洁净荧光灯(带应急）</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MX-Y36X2/SD01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天方、洁千里、易众</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不锈钢紫外灯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1X30W</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天方、洁千里、易众</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不锈钢紫外灯</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1X40W</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天方、洁千里、易众</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一联开关</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250V—10A</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34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松本、施耐德、正泰、德力西</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一联双位开关</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250V—10A</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松本、施耐德、正泰、德力西</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三位开关</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250V—10A</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松本、施耐德、正泰、德力西</w:t>
            </w: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延时开关</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延时开关0~60min</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4</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松本、施耐德、正泰、德力西</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空气开关</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NM1系列塑料外壳式断路器380V  20A /3P空气开关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松本、施耐德、正泰、德力西</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空气开关</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NM1系列塑料外壳式断路器380V  25A /3P空气开关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14</w:t>
            </w:r>
          </w:p>
        </w:tc>
        <w:tc>
          <w:tcPr>
            <w:tcW w:w="76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松本、施耐德、正泰、德力西</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空气开关接线箱</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内带 NM1系列塑料外壳式断路器380V  20A /3P空气开关</w:t>
            </w:r>
          </w:p>
        </w:tc>
        <w:tc>
          <w:tcPr>
            <w:tcW w:w="6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3</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东莞基业、正泰、德力西</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71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空气开关接线箱</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内带 NM1系列塑料外壳式断路器380V  25A /3P空气开关</w:t>
            </w:r>
          </w:p>
        </w:tc>
        <w:tc>
          <w:tcPr>
            <w:tcW w:w="67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东莞基业、正泰、德力西</w:t>
            </w: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72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空气开关接线箱</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内带 NM1系列塑料外壳式断路器380V  32A /3P空气开关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11</w:t>
            </w:r>
          </w:p>
        </w:tc>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套</w:t>
            </w:r>
          </w:p>
        </w:tc>
        <w:tc>
          <w:tcPr>
            <w:tcW w:w="3550"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东莞基业、正泰、德力西</w:t>
            </w:r>
          </w:p>
        </w:tc>
      </w:tr>
      <w:tr>
        <w:tblPrEx>
          <w:tblCellMar>
            <w:top w:w="15" w:type="dxa"/>
            <w:left w:w="15" w:type="dxa"/>
            <w:bottom w:w="15" w:type="dxa"/>
            <w:right w:w="15" w:type="dxa"/>
          </w:tblCellMar>
        </w:tblPrEx>
        <w:trPr>
          <w:trHeight w:val="360" w:hRule="atLeast"/>
        </w:trPr>
        <w:tc>
          <w:tcPr>
            <w:tcW w:w="94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kern w:val="0"/>
                <w:sz w:val="21"/>
                <w:szCs w:val="21"/>
                <w:highlight w:val="none"/>
                <w:lang w:eastAsia="zh-CN"/>
              </w:rPr>
              <w:t>二、</w:t>
            </w:r>
            <w:r>
              <w:rPr>
                <w:rFonts w:hint="eastAsia" w:asciiTheme="majorEastAsia" w:hAnsiTheme="majorEastAsia" w:eastAsiaTheme="majorEastAsia" w:cstheme="majorEastAsia"/>
                <w:b/>
                <w:bCs/>
                <w:color w:val="auto"/>
                <w:kern w:val="0"/>
                <w:sz w:val="21"/>
                <w:szCs w:val="21"/>
                <w:highlight w:val="none"/>
              </w:rPr>
              <w:t>给排水部分</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塑料管(PP-R管)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1.PP-R给水管 DN20；</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2.管道安装、管道消毒、冲洗；</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3.刚性防水套管制作、安装。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235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联塑、雄塑、祥塑</w:t>
            </w:r>
          </w:p>
        </w:tc>
      </w:tr>
      <w:tr>
        <w:tblPrEx>
          <w:tblCellMar>
            <w:top w:w="15" w:type="dxa"/>
            <w:left w:w="15" w:type="dxa"/>
            <w:bottom w:w="15" w:type="dxa"/>
            <w:right w:w="15" w:type="dxa"/>
          </w:tblCellMar>
        </w:tblPrEx>
        <w:trPr>
          <w:trHeight w:val="11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塑料管(PP-R管)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1.PP-R给水管 DN25；</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2.管道安装、管道消毒、冲洗；</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3.刚性防水套管制作、安装。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85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联塑、雄塑、祥塑</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塑料管(PP-R管)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1.PP-R给水管 DN32；</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2.管道安装、管道消毒、冲洗；</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3.刚性防水套管制作、安装。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65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联塑、雄塑、祥塑</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塑料管(PP-R管)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1.PP-R给水管 DN40；</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2.管道安装、管道消毒、冲洗；</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3.刚性防水套管制作、安装。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联塑、雄塑、祥塑</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塑料管(PVC-U管)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1.PVC-U塑料管 DN50；</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2.管道安装；</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3.刚性防水套管制作、安装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350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联塑、雄塑、祥塑</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塑料管(PVC-U管)</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1.PVC-U塑料管 DN75；</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2.管道安装；</w:t>
            </w:r>
            <w:r>
              <w:rPr>
                <w:rFonts w:hint="eastAsia" w:asciiTheme="majorEastAsia" w:hAnsiTheme="majorEastAsia" w:eastAsiaTheme="majorEastAsia" w:cstheme="majorEastAsia"/>
                <w:color w:val="auto"/>
                <w:kern w:val="0"/>
                <w:sz w:val="21"/>
                <w:szCs w:val="21"/>
                <w:highlight w:val="none"/>
                <w:lang w:val="en-US" w:eastAsia="zh-CN"/>
              </w:rPr>
              <w:br w:type="textWrapping"/>
            </w:r>
            <w:r>
              <w:rPr>
                <w:rFonts w:hint="eastAsia" w:asciiTheme="majorEastAsia" w:hAnsiTheme="majorEastAsia" w:eastAsiaTheme="majorEastAsia" w:cstheme="majorEastAsia"/>
                <w:color w:val="auto"/>
                <w:kern w:val="0"/>
                <w:sz w:val="21"/>
                <w:szCs w:val="21"/>
                <w:highlight w:val="none"/>
                <w:lang w:val="en-US" w:eastAsia="zh-CN"/>
              </w:rPr>
              <w:t>3.刚性防水套管制作、安装</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m</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联塑、雄塑、祥塑</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地漏</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不锈钢，DN50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角阀</w:t>
            </w:r>
          </w:p>
        </w:tc>
        <w:tc>
          <w:tcPr>
            <w:tcW w:w="26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dn20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56</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铜质截止阀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dn20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铜质截止阀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dn25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铜质截止阀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dn40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个</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水管配件</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弯头、三通、直通等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联塑、雄塑、祥塑</w:t>
            </w:r>
          </w:p>
        </w:tc>
      </w:tr>
      <w:tr>
        <w:tblPrEx>
          <w:tblCellMar>
            <w:top w:w="15" w:type="dxa"/>
            <w:left w:w="15" w:type="dxa"/>
            <w:bottom w:w="15" w:type="dxa"/>
            <w:right w:w="15" w:type="dxa"/>
          </w:tblCellMar>
        </w:tblPrEx>
        <w:trPr>
          <w:trHeight w:val="390" w:hRule="atLeast"/>
        </w:trPr>
        <w:tc>
          <w:tcPr>
            <w:tcW w:w="94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b/>
                <w:bCs/>
                <w:color w:val="auto"/>
                <w:kern w:val="0"/>
                <w:sz w:val="21"/>
                <w:szCs w:val="21"/>
                <w:highlight w:val="none"/>
                <w:lang w:val="en-US" w:eastAsia="zh-CN"/>
              </w:rPr>
              <w:t>三、水电安装辅材</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水电安装辅材</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包含但不限于安装上述水电材料所需的各种胶水，粘胶带，胶布，扎丝，帮扎带，支架，吊架，焊条，锁母，电工套管，涂料、油漆、松节油、银粉、水泥、沙子、铁钉、膨胀螺丝，螺栓、螺帽、铁线、粉线、测水平管、生料带、钢锯条、切割机砂轮片、砂纸、钢丝刷子、橡胶垫、橡胶石棉板等水电安装辅助性材料</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批</w:t>
            </w:r>
          </w:p>
        </w:tc>
        <w:tc>
          <w:tcPr>
            <w:tcW w:w="3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auto"/>
                <w:kern w:val="0"/>
                <w:sz w:val="21"/>
                <w:szCs w:val="21"/>
                <w:highlight w:val="none"/>
                <w:lang w:val="en-US" w:eastAsia="zh-CN"/>
              </w:rPr>
            </w:pPr>
          </w:p>
        </w:tc>
      </w:tr>
    </w:tbl>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上</w:t>
      </w:r>
      <w:r>
        <w:rPr>
          <w:rFonts w:hint="eastAsia" w:ascii="宋体" w:hAnsi="宋体"/>
          <w:color w:val="auto"/>
          <w:szCs w:val="21"/>
          <w:highlight w:val="none"/>
        </w:rPr>
        <w:t>表中所列的性能参数、规格、型号为基准符合参数，投标人可选用其他性能参数、规格、型号产品替代，但替代产品的性能参数、规格、型号在实质性要求和条件上要相当于或优于参考的产品性能参数。</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en-US" w:eastAsia="zh-CN"/>
        </w:rPr>
        <w:t>七、</w:t>
      </w:r>
      <w:r>
        <w:rPr>
          <w:rFonts w:hint="eastAsia" w:ascii="宋体" w:hAnsi="宋体"/>
          <w:b/>
          <w:color w:val="auto"/>
          <w:highlight w:val="none"/>
          <w:lang w:val="zh-CN"/>
        </w:rPr>
        <w:t>质量保修期及售后服务要求</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1、免费质保期期限（自验收合格之日起计）：</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质量保修期</w:t>
      </w:r>
      <w:r>
        <w:rPr>
          <w:rFonts w:hint="eastAsia" w:ascii="宋体" w:hAnsi="宋体" w:cs="宋体"/>
          <w:color w:val="auto"/>
          <w:szCs w:val="21"/>
          <w:highlight w:val="none"/>
          <w:lang w:val="en-US" w:eastAsia="zh-CN"/>
        </w:rPr>
        <w:t>至少</w:t>
      </w:r>
      <w:r>
        <w:rPr>
          <w:rFonts w:hint="eastAsia" w:ascii="宋体" w:hAnsi="宋体" w:cs="宋体"/>
          <w:color w:val="auto"/>
          <w:szCs w:val="21"/>
          <w:highlight w:val="none"/>
          <w:u w:val="none"/>
          <w:lang w:eastAsia="zh-CN"/>
        </w:rPr>
        <w:t>一</w:t>
      </w:r>
      <w:r>
        <w:rPr>
          <w:rFonts w:hint="eastAsia" w:ascii="宋体" w:hAnsi="宋体" w:cs="宋体"/>
          <w:color w:val="auto"/>
          <w:szCs w:val="21"/>
          <w:highlight w:val="none"/>
          <w:lang w:val="zh-CN"/>
        </w:rPr>
        <w:t>年。</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以上要求，若国家或生产厂家对本项目所涉及货物及其服务的质保期规定高于本项目要求的，应按照国家或生产厂家的规定执行。</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质量保修期内中标人对所供项目内容实行包修、包换、包维护保养</w:t>
      </w:r>
      <w:r>
        <w:rPr>
          <w:rFonts w:hint="eastAsia" w:ascii="宋体" w:hAnsi="宋体" w:cs="宋体"/>
          <w:color w:val="auto"/>
          <w:szCs w:val="21"/>
          <w:highlight w:val="none"/>
        </w:rPr>
        <w:t>，结合具体工程要求</w:t>
      </w:r>
      <w:r>
        <w:rPr>
          <w:rFonts w:hint="eastAsia" w:ascii="宋体" w:hAnsi="宋体" w:cs="宋体"/>
          <w:color w:val="auto"/>
          <w:szCs w:val="21"/>
          <w:highlight w:val="none"/>
          <w:lang w:val="zh-CN"/>
        </w:rPr>
        <w:t>。免费质保期所涉及服务的一切费用均包含在投标报价中。</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人承诺，质保期内产品实行“三包”服务：包退：产品在验收时，如发现严重的质量问题,可给予退货或更换；包换：用户在正常使用的情况下，如出现较大问题,导致不能正常使用,且产品无法修复情况下,无条件更换同一款式，规格及材质的全新产品；包修: 因生产原因造成的产品质量问题(非人为损坏或不可避免的自然灾害除外),不收取任何维修服务费和零件费。在质保期满后, 酌情收取维修或更换的材料成本费用。</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3、服务响应时间：投标人承诺在质保期内收到采购人有关售后服务的要求，电话或传真后，在3小时内安排专人到现场进行处理并在8小时内解决问题。若问题严重无法短时间解决的，必须在3小时内回复何时解决及解决办法，并做出书面解释。</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4、投标人应在广东省内有专业的售后服务机构和人员，并提供售后服务机构相关信息、联系电话及联系人。</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5、配件：投标人承诺在质保期内免费提供有效的常用配件。</w:t>
      </w:r>
    </w:p>
    <w:p>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6、培训：投标人承诺在合同签订后，组织采购人相关管理人员进行产品使用和日常保养的知识培训，培训费用由投标人承担。</w:t>
      </w:r>
    </w:p>
    <w:p>
      <w:pPr>
        <w:tabs>
          <w:tab w:val="left" w:pos="840"/>
        </w:tabs>
        <w:spacing w:line="440" w:lineRule="exact"/>
        <w:rPr>
          <w:rFonts w:ascii="宋体" w:hAnsi="宋体"/>
          <w:b/>
          <w:color w:val="auto"/>
          <w:highlight w:val="none"/>
        </w:rPr>
      </w:pPr>
      <w:r>
        <w:rPr>
          <w:rFonts w:hint="eastAsia" w:ascii="宋体" w:hAnsi="宋体"/>
          <w:b/>
          <w:color w:val="auto"/>
          <w:highlight w:val="none"/>
          <w:lang w:val="en-US" w:eastAsia="zh-CN"/>
        </w:rPr>
        <w:t>八</w:t>
      </w:r>
      <w:r>
        <w:rPr>
          <w:rFonts w:hint="eastAsia" w:ascii="宋体" w:hAnsi="宋体"/>
          <w:b/>
          <w:color w:val="auto"/>
          <w:highlight w:val="none"/>
          <w:lang w:val="zh-CN"/>
        </w:rPr>
        <w:t>、支付方式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采购人按下述进度以转账方式支付相应款项。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hint="eastAsia" w:ascii="宋体" w:hAnsi="宋体" w:eastAsia="宋体"/>
          <w:color w:val="auto"/>
          <w:szCs w:val="21"/>
          <w:highlight w:val="none"/>
          <w:lang w:val="en-US" w:eastAsia="zh-CN"/>
        </w:rPr>
      </w:pPr>
      <w:r>
        <w:rPr>
          <w:rFonts w:hint="eastAsia" w:cs="Calibri"/>
          <w:color w:val="auto"/>
          <w:szCs w:val="21"/>
          <w:highlight w:val="none"/>
        </w:rPr>
        <w:t>（1）</w:t>
      </w:r>
      <w:r>
        <w:rPr>
          <w:rFonts w:hint="eastAsia" w:ascii="宋体" w:hAnsi="宋体"/>
          <w:color w:val="auto"/>
          <w:szCs w:val="21"/>
          <w:highlight w:val="none"/>
        </w:rPr>
        <w:t>合同签订生效后，采购人支付</w:t>
      </w:r>
      <w:r>
        <w:rPr>
          <w:rFonts w:hint="eastAsia" w:ascii="宋体" w:hAnsi="宋体"/>
          <w:color w:val="auto"/>
          <w:szCs w:val="21"/>
          <w:highlight w:val="none"/>
          <w:lang w:eastAsia="zh-CN"/>
        </w:rPr>
        <w:t>成交</w:t>
      </w:r>
      <w:r>
        <w:rPr>
          <w:rFonts w:hint="eastAsia" w:ascii="宋体" w:hAnsi="宋体"/>
          <w:color w:val="auto"/>
          <w:szCs w:val="21"/>
          <w:highlight w:val="none"/>
        </w:rPr>
        <w:t>人合同金额30%预付款</w:t>
      </w:r>
      <w:r>
        <w:rPr>
          <w:rFonts w:hint="eastAsia" w:ascii="宋体" w:hAnsi="宋体"/>
          <w:color w:val="auto"/>
          <w:szCs w:val="21"/>
          <w:highlight w:val="none"/>
          <w:lang w:eastAsia="zh-CN"/>
        </w:rPr>
        <w:t>；</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w:t>
      </w:r>
      <w:r>
        <w:rPr>
          <w:rFonts w:hint="eastAsia" w:cs="Calibri"/>
          <w:color w:val="auto"/>
          <w:szCs w:val="21"/>
          <w:highlight w:val="none"/>
          <w:lang w:val="en-US" w:eastAsia="zh-CN"/>
        </w:rPr>
        <w:t>所有货物到达安装现场</w:t>
      </w:r>
      <w:r>
        <w:rPr>
          <w:rFonts w:hint="eastAsia" w:ascii="宋体" w:hAnsi="宋体"/>
          <w:color w:val="auto"/>
          <w:szCs w:val="21"/>
          <w:highlight w:val="none"/>
        </w:rPr>
        <w:t>并经采购人确认</w:t>
      </w:r>
      <w:r>
        <w:rPr>
          <w:rFonts w:hint="eastAsia" w:ascii="宋体" w:hAnsi="宋体"/>
          <w:color w:val="auto"/>
          <w:szCs w:val="21"/>
          <w:highlight w:val="none"/>
          <w:lang w:val="en-US" w:eastAsia="zh-CN"/>
        </w:rPr>
        <w:t>后</w:t>
      </w:r>
      <w:r>
        <w:rPr>
          <w:rFonts w:hint="eastAsia" w:ascii="宋体" w:hAnsi="宋体"/>
          <w:color w:val="auto"/>
          <w:szCs w:val="21"/>
          <w:highlight w:val="none"/>
        </w:rPr>
        <w:t>，采购人按合同金额向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w:t>
      </w:r>
      <w:r>
        <w:rPr>
          <w:rFonts w:hint="eastAsia" w:ascii="宋体" w:hAnsi="宋体"/>
          <w:color w:val="auto"/>
          <w:szCs w:val="21"/>
          <w:highlight w:val="none"/>
          <w:lang w:val="en-US" w:eastAsia="zh-CN"/>
        </w:rPr>
        <w:t>8</w:t>
      </w:r>
      <w:r>
        <w:rPr>
          <w:rFonts w:hint="eastAsia" w:ascii="宋体" w:hAnsi="宋体"/>
          <w:color w:val="auto"/>
          <w:szCs w:val="21"/>
          <w:highlight w:val="none"/>
        </w:rPr>
        <w:t>0%的款项；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u w:val="none"/>
        </w:rPr>
        <w:t>项目完成</w:t>
      </w:r>
      <w:r>
        <w:rPr>
          <w:rFonts w:hint="eastAsia" w:ascii="宋体" w:hAnsi="宋体" w:cs="宋体"/>
          <w:color w:val="auto"/>
          <w:szCs w:val="21"/>
          <w:highlight w:val="none"/>
          <w:u w:val="none"/>
          <w:lang w:val="en-US" w:eastAsia="zh-CN"/>
        </w:rPr>
        <w:t>并经</w:t>
      </w:r>
      <w:r>
        <w:rPr>
          <w:rFonts w:hint="eastAsia" w:asciiTheme="minorEastAsia" w:hAnsiTheme="minorEastAsia" w:eastAsiaTheme="minorEastAsia" w:cstheme="minorEastAsia"/>
          <w:color w:val="auto"/>
          <w:szCs w:val="21"/>
          <w:highlight w:val="none"/>
          <w:u w:val="none"/>
          <w:lang w:eastAsia="zh-CN"/>
        </w:rPr>
        <w:t>采购人</w:t>
      </w:r>
      <w:r>
        <w:rPr>
          <w:rFonts w:hint="eastAsia" w:asciiTheme="minorEastAsia" w:hAnsiTheme="minorEastAsia" w:eastAsiaTheme="minorEastAsia" w:cstheme="minorEastAsia"/>
          <w:color w:val="auto"/>
          <w:szCs w:val="21"/>
          <w:highlight w:val="none"/>
          <w:u w:val="none"/>
        </w:rPr>
        <w:t>及上级主管部门</w:t>
      </w:r>
      <w:r>
        <w:rPr>
          <w:rFonts w:hint="eastAsia" w:ascii="宋体" w:hAnsi="宋体" w:cs="宋体"/>
          <w:color w:val="auto"/>
          <w:szCs w:val="21"/>
          <w:highlight w:val="none"/>
          <w:u w:val="none"/>
          <w:lang w:val="en-US" w:eastAsia="zh-CN"/>
        </w:rPr>
        <w:t>验收合格等</w:t>
      </w:r>
      <w:r>
        <w:rPr>
          <w:rFonts w:hint="eastAsia" w:ascii="宋体" w:hAnsi="宋体" w:cs="宋体"/>
          <w:color w:val="auto"/>
          <w:szCs w:val="21"/>
          <w:highlight w:val="none"/>
          <w:u w:val="none"/>
        </w:rPr>
        <w:t>手续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采购人自收到发票后</w:t>
      </w:r>
      <w:r>
        <w:rPr>
          <w:rFonts w:hint="eastAsia" w:ascii="宋体" w:hAnsi="宋体" w:cs="宋体"/>
          <w:color w:val="auto"/>
          <w:szCs w:val="21"/>
          <w:highlight w:val="none"/>
        </w:rPr>
        <w:t>30日内将资金支付到</w:t>
      </w: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账户，支付至结算金额的95%，余下5%作为本项目质保金，质保期到期后无责免息支付给</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。若</w:t>
      </w:r>
      <w:r>
        <w:rPr>
          <w:rFonts w:hint="eastAsia" w:ascii="宋体" w:hAnsi="宋体" w:cs="宋体"/>
          <w:color w:val="auto"/>
          <w:szCs w:val="21"/>
          <w:highlight w:val="none"/>
          <w:lang w:eastAsia="zh-CN"/>
        </w:rPr>
        <w:t>成交人</w:t>
      </w:r>
      <w:r>
        <w:rPr>
          <w:rFonts w:hint="eastAsia" w:ascii="宋体" w:hAnsi="宋体" w:cs="宋体"/>
          <w:color w:val="auto"/>
          <w:szCs w:val="21"/>
          <w:highlight w:val="none"/>
        </w:rPr>
        <w:t>在质量保证期内未完全履行缺陷保修义务的，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人有权扣除质量保证金，并保留进一步索赔的权利。</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w:t>
      </w:r>
      <w:r>
        <w:rPr>
          <w:rFonts w:hint="eastAsia" w:ascii="宋体" w:hAnsi="宋体"/>
          <w:color w:val="auto"/>
          <w:szCs w:val="21"/>
          <w:highlight w:val="none"/>
          <w:lang w:eastAsia="zh-CN"/>
        </w:rPr>
        <w:t>成交</w:t>
      </w:r>
      <w:r>
        <w:rPr>
          <w:rFonts w:hint="eastAsia" w:ascii="宋体" w:hAnsi="宋体"/>
          <w:color w:val="auto"/>
          <w:szCs w:val="21"/>
          <w:highlight w:val="none"/>
        </w:rPr>
        <w:t>人向采购人申请支付货款时需提供：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成交</w:t>
      </w:r>
      <w:r>
        <w:rPr>
          <w:rFonts w:hint="eastAsia" w:ascii="宋体" w:hAnsi="宋体"/>
          <w:color w:val="auto"/>
          <w:szCs w:val="21"/>
          <w:highlight w:val="none"/>
        </w:rPr>
        <w:t>人开具正式全额发票；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（3）验收调试报告加盖采购人公章；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成交</w:t>
      </w:r>
      <w:r>
        <w:rPr>
          <w:rFonts w:hint="eastAsia" w:ascii="宋体" w:hAnsi="宋体"/>
          <w:color w:val="auto"/>
          <w:szCs w:val="21"/>
          <w:highlight w:val="none"/>
          <w:lang w:eastAsia="zh-CN"/>
        </w:rPr>
        <w:t>）</w:t>
      </w:r>
      <w:r>
        <w:rPr>
          <w:rFonts w:hint="eastAsia" w:ascii="宋体" w:hAnsi="宋体"/>
          <w:color w:val="auto"/>
          <w:szCs w:val="21"/>
          <w:highlight w:val="none"/>
        </w:rPr>
        <w:t>通知书。</w:t>
      </w:r>
    </w:p>
    <w:p>
      <w:pPr>
        <w:spacing w:line="440" w:lineRule="exact"/>
        <w:ind w:firstLine="420" w:firstLineChars="200"/>
        <w:rPr>
          <w:rFonts w:ascii="宋体" w:hAnsi="宋体"/>
          <w:color w:val="auto"/>
          <w:szCs w:val="21"/>
          <w:highlight w:val="none"/>
        </w:rPr>
      </w:pP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r>
        <w:rPr>
          <w:rFonts w:hint="eastAsia" w:ascii="宋体" w:hAnsi="宋体"/>
          <w:color w:val="auto"/>
          <w:szCs w:val="21"/>
          <w:highlight w:val="none"/>
        </w:rPr>
        <w:t>注：本合同条款仅供参考，甲乙双方可根据实际情况进行补充，但不得对采购文件作实质性修改。</w:t>
      </w:r>
    </w:p>
    <w:p>
      <w:pPr>
        <w:jc w:val="center"/>
        <w:rPr>
          <w:rFonts w:hint="eastAsia" w:asciiTheme="minorEastAsia" w:hAnsiTheme="minorEastAsia" w:eastAsiaTheme="minorEastAsia" w:cstheme="minorEastAsia"/>
          <w:b/>
          <w:color w:val="auto"/>
          <w:sz w:val="52"/>
          <w:szCs w:val="52"/>
          <w:highlight w:val="none"/>
        </w:rPr>
      </w:pPr>
      <w:bookmarkStart w:id="286" w:name="_Toc293341641"/>
      <w:bookmarkStart w:id="287" w:name="_Toc303110406"/>
    </w:p>
    <w:p>
      <w:pPr>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 购 合 同</w:t>
      </w:r>
    </w:p>
    <w:p>
      <w:pPr>
        <w:jc w:val="right"/>
        <w:rPr>
          <w:rFonts w:hint="eastAsia" w:asciiTheme="minorEastAsia" w:hAnsiTheme="minorEastAsia" w:eastAsiaTheme="minorEastAsia" w:cstheme="minorEastAsia"/>
          <w:color w:val="auto"/>
          <w:sz w:val="28"/>
          <w:highlight w:val="none"/>
        </w:rPr>
      </w:pPr>
    </w:p>
    <w:p>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甲  方：</w:t>
      </w:r>
    </w:p>
    <w:p>
      <w:pPr>
        <w:spacing w:line="360" w:lineRule="auto"/>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乙  方：</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根据《中华人民共和国采购法》、《中华人民共和国合同法》及</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日竞争性磋商文件（招标编号：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，采购代理机构：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）、投标文件的要求，经双方协商一致，签订本合同。具体条款如下：</w:t>
      </w:r>
    </w:p>
    <w:p>
      <w:pPr>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 合同设备</w:t>
      </w:r>
    </w:p>
    <w:p>
      <w:pPr>
        <w:ind w:firstLine="48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乙方负责向甲方提供下表中所列</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采购项目和相关的安装调试服务。</w:t>
      </w:r>
    </w:p>
    <w:p>
      <w:pPr>
        <w:ind w:left="840"/>
        <w:rPr>
          <w:rFonts w:hint="eastAsia" w:asciiTheme="minorEastAsia" w:hAnsiTheme="minorEastAsia" w:eastAsiaTheme="minorEastAsia" w:cstheme="minorEastAsia"/>
          <w:color w:val="auto"/>
          <w:highlight w:val="none"/>
        </w:rPr>
      </w:pPr>
    </w:p>
    <w:tbl>
      <w:tblPr>
        <w:tblStyle w:val="90"/>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260"/>
        <w:gridCol w:w="787"/>
        <w:gridCol w:w="788"/>
        <w:gridCol w:w="751"/>
        <w:gridCol w:w="1034"/>
        <w:gridCol w:w="735"/>
        <w:gridCol w:w="75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ind w:left="-2" w:firstLine="2"/>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品名</w:t>
            </w:r>
          </w:p>
        </w:tc>
        <w:tc>
          <w:tcPr>
            <w:tcW w:w="1260"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规格型号</w:t>
            </w:r>
          </w:p>
        </w:tc>
        <w:tc>
          <w:tcPr>
            <w:tcW w:w="1260"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产地厂家</w:t>
            </w:r>
          </w:p>
        </w:tc>
        <w:tc>
          <w:tcPr>
            <w:tcW w:w="787"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788"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51"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w:t>
            </w:r>
          </w:p>
        </w:tc>
        <w:tc>
          <w:tcPr>
            <w:tcW w:w="1034"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w:t>
            </w:r>
          </w:p>
        </w:tc>
        <w:tc>
          <w:tcPr>
            <w:tcW w:w="735"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随机配件</w:t>
            </w:r>
          </w:p>
        </w:tc>
        <w:tc>
          <w:tcPr>
            <w:tcW w:w="751"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824" w:type="dxa"/>
          </w:tcPr>
          <w:p>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1260" w:type="dxa"/>
          </w:tcPr>
          <w:p>
            <w:pPr>
              <w:rPr>
                <w:rFonts w:hint="eastAsia" w:asciiTheme="minorEastAsia" w:hAnsiTheme="minorEastAsia" w:eastAsiaTheme="minorEastAsia" w:cstheme="minorEastAsia"/>
                <w:color w:val="auto"/>
                <w:highlight w:val="none"/>
              </w:rPr>
            </w:pPr>
          </w:p>
        </w:tc>
        <w:tc>
          <w:tcPr>
            <w:tcW w:w="787" w:type="dxa"/>
          </w:tcPr>
          <w:p>
            <w:pPr>
              <w:rPr>
                <w:rFonts w:hint="eastAsia" w:asciiTheme="minorEastAsia" w:hAnsiTheme="minorEastAsia" w:eastAsiaTheme="minorEastAsia" w:cstheme="minorEastAsia"/>
                <w:color w:val="auto"/>
                <w:highlight w:val="none"/>
              </w:rPr>
            </w:pPr>
          </w:p>
        </w:tc>
        <w:tc>
          <w:tcPr>
            <w:tcW w:w="788"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1034" w:type="dxa"/>
          </w:tcPr>
          <w:p>
            <w:pPr>
              <w:rPr>
                <w:rFonts w:hint="eastAsia" w:asciiTheme="minorEastAsia" w:hAnsiTheme="minorEastAsia" w:eastAsiaTheme="minorEastAsia" w:cstheme="minorEastAsia"/>
                <w:color w:val="auto"/>
                <w:highlight w:val="none"/>
              </w:rPr>
            </w:pPr>
          </w:p>
        </w:tc>
        <w:tc>
          <w:tcPr>
            <w:tcW w:w="735" w:type="dxa"/>
          </w:tcPr>
          <w:p>
            <w:pPr>
              <w:rPr>
                <w:rFonts w:hint="eastAsia" w:asciiTheme="minorEastAsia" w:hAnsiTheme="minorEastAsia" w:eastAsiaTheme="minorEastAsia" w:cstheme="minorEastAsia"/>
                <w:color w:val="auto"/>
                <w:highlight w:val="none"/>
              </w:rPr>
            </w:pPr>
          </w:p>
        </w:tc>
        <w:tc>
          <w:tcPr>
            <w:tcW w:w="751" w:type="dxa"/>
          </w:tcPr>
          <w:p>
            <w:pPr>
              <w:rPr>
                <w:rFonts w:hint="eastAsia" w:asciiTheme="minorEastAsia" w:hAnsiTheme="minorEastAsia" w:eastAsiaTheme="minorEastAsia" w:cstheme="minorEastAsia"/>
                <w:color w:val="auto"/>
                <w:highlight w:val="none"/>
              </w:rPr>
            </w:pPr>
          </w:p>
        </w:tc>
        <w:tc>
          <w:tcPr>
            <w:tcW w:w="824" w:type="dxa"/>
          </w:tcPr>
          <w:p>
            <w:pPr>
              <w:rPr>
                <w:rFonts w:hint="eastAsia" w:asciiTheme="minorEastAsia" w:hAnsiTheme="minorEastAsia" w:eastAsiaTheme="minorEastAsia" w:cstheme="minorEastAsia"/>
                <w:color w:val="auto"/>
                <w:highlight w:val="none"/>
              </w:rPr>
            </w:pPr>
          </w:p>
        </w:tc>
      </w:tr>
    </w:tbl>
    <w:p>
      <w:pPr>
        <w:ind w:firstLine="420" w:firstLineChars="200"/>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 2. 合同总价</w:t>
      </w:r>
    </w:p>
    <w:p>
      <w:pPr>
        <w:spacing w:line="360" w:lineRule="auto"/>
        <w:ind w:left="315" w:left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（大写） ，即RMB￥</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元，该合同总金额是设计、设备制造、包装、仓储、运输、安装及验收合格之前及保修期与备品备件发生的所有含税费用。本合同执行期间合同总金额不变。</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3、结算方式</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3.1、支付方式：</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甲方按下述进度以转账方式支付相应款项。</w:t>
      </w:r>
    </w:p>
    <w:p>
      <w:pPr>
        <w:snapToGrid w:val="0"/>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3.2、支付进度：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3.2.1付款采用</w:t>
      </w:r>
      <w:r>
        <w:rPr>
          <w:rFonts w:hint="eastAsia" w:asciiTheme="minorEastAsia" w:hAnsiTheme="minorEastAsia" w:eastAsiaTheme="minorEastAsia" w:cstheme="minorEastAsia"/>
          <w:color w:val="auto"/>
          <w:szCs w:val="21"/>
          <w:highlight w:val="none"/>
          <w:u w:val="single"/>
        </w:rPr>
        <w:t xml:space="preserve"> 分期付款 </w:t>
      </w:r>
      <w:r>
        <w:rPr>
          <w:rFonts w:hint="eastAsia" w:asciiTheme="minorEastAsia" w:hAnsiTheme="minorEastAsia" w:eastAsiaTheme="minorEastAsia" w:cstheme="minorEastAsia"/>
          <w:color w:val="auto"/>
          <w:szCs w:val="21"/>
          <w:highlight w:val="none"/>
        </w:rPr>
        <w:t>方式；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3.2.2具体付款方式：</w:t>
      </w:r>
    </w:p>
    <w:p>
      <w:pPr>
        <w:spacing w:line="360" w:lineRule="auto"/>
        <w:ind w:firstLine="420" w:firstLineChars="2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3．2.2.1合同签订生效后，甲方支付乙方合同金额30%预付款</w:t>
      </w:r>
    </w:p>
    <w:p>
      <w:pPr>
        <w:spacing w:line="360" w:lineRule="auto"/>
        <w:ind w:firstLine="420" w:firstLineChars="2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3.2.2.2</w:t>
      </w:r>
      <w:r>
        <w:rPr>
          <w:rFonts w:hint="eastAsia" w:cs="Calibri"/>
          <w:color w:val="auto"/>
          <w:szCs w:val="21"/>
          <w:highlight w:val="none"/>
          <w:u w:val="none"/>
          <w:lang w:val="en-US" w:eastAsia="zh-CN"/>
        </w:rPr>
        <w:t>所有货物到达安装现场</w:t>
      </w:r>
      <w:r>
        <w:rPr>
          <w:rFonts w:hint="eastAsia" w:ascii="宋体" w:hAnsi="宋体"/>
          <w:color w:val="auto"/>
          <w:szCs w:val="21"/>
          <w:highlight w:val="none"/>
          <w:u w:val="none"/>
        </w:rPr>
        <w:t>并经</w:t>
      </w:r>
      <w:r>
        <w:rPr>
          <w:rFonts w:hint="eastAsia" w:ascii="宋体" w:hAnsi="宋体"/>
          <w:color w:val="auto"/>
          <w:szCs w:val="21"/>
          <w:highlight w:val="none"/>
          <w:u w:val="none"/>
          <w:lang w:val="en-US" w:eastAsia="zh-CN"/>
        </w:rPr>
        <w:t>甲方</w:t>
      </w:r>
      <w:r>
        <w:rPr>
          <w:rFonts w:hint="eastAsia" w:ascii="宋体" w:hAnsi="宋体"/>
          <w:color w:val="auto"/>
          <w:szCs w:val="21"/>
          <w:highlight w:val="none"/>
          <w:u w:val="none"/>
        </w:rPr>
        <w:t>确认</w:t>
      </w:r>
      <w:r>
        <w:rPr>
          <w:rFonts w:hint="eastAsia" w:ascii="宋体" w:hAnsi="宋体"/>
          <w:color w:val="auto"/>
          <w:szCs w:val="21"/>
          <w:highlight w:val="none"/>
          <w:u w:val="none"/>
          <w:lang w:val="en-US" w:eastAsia="zh-CN"/>
        </w:rPr>
        <w:t>后</w:t>
      </w:r>
      <w:r>
        <w:rPr>
          <w:rFonts w:hint="eastAsia" w:ascii="宋体" w:hAnsi="宋体"/>
          <w:color w:val="auto"/>
          <w:szCs w:val="21"/>
          <w:highlight w:val="none"/>
          <w:u w:val="none"/>
        </w:rPr>
        <w:t>，</w:t>
      </w:r>
      <w:r>
        <w:rPr>
          <w:rFonts w:hint="eastAsia" w:ascii="宋体" w:hAnsi="宋体"/>
          <w:color w:val="auto"/>
          <w:szCs w:val="21"/>
          <w:highlight w:val="none"/>
          <w:u w:val="none"/>
          <w:lang w:val="en-US" w:eastAsia="zh-CN"/>
        </w:rPr>
        <w:t>甲方</w:t>
      </w:r>
      <w:r>
        <w:rPr>
          <w:rFonts w:hint="eastAsia" w:ascii="宋体" w:hAnsi="宋体"/>
          <w:color w:val="auto"/>
          <w:szCs w:val="21"/>
          <w:highlight w:val="none"/>
          <w:u w:val="none"/>
        </w:rPr>
        <w:t>按合同金额向</w:t>
      </w:r>
      <w:r>
        <w:rPr>
          <w:rFonts w:hint="eastAsia" w:ascii="宋体" w:hAnsi="宋体"/>
          <w:color w:val="auto"/>
          <w:szCs w:val="21"/>
          <w:highlight w:val="none"/>
          <w:u w:val="none"/>
          <w:lang w:val="en-US" w:eastAsia="zh-CN"/>
        </w:rPr>
        <w:t>乙方</w:t>
      </w:r>
      <w:r>
        <w:rPr>
          <w:rFonts w:hint="eastAsia" w:ascii="宋体" w:hAnsi="宋体"/>
          <w:color w:val="auto"/>
          <w:szCs w:val="21"/>
          <w:highlight w:val="none"/>
          <w:u w:val="none"/>
        </w:rPr>
        <w:t>支付至</w:t>
      </w:r>
      <w:r>
        <w:rPr>
          <w:rFonts w:hint="eastAsia" w:ascii="宋体" w:hAnsi="宋体"/>
          <w:color w:val="auto"/>
          <w:szCs w:val="21"/>
          <w:highlight w:val="none"/>
          <w:u w:val="none"/>
          <w:lang w:val="en-US" w:eastAsia="zh-CN"/>
        </w:rPr>
        <w:t>8</w:t>
      </w:r>
      <w:r>
        <w:rPr>
          <w:rFonts w:hint="eastAsia" w:ascii="宋体" w:hAnsi="宋体"/>
          <w:color w:val="auto"/>
          <w:szCs w:val="21"/>
          <w:highlight w:val="none"/>
          <w:u w:val="none"/>
        </w:rPr>
        <w:t>0%的款项；</w:t>
      </w:r>
    </w:p>
    <w:p>
      <w:pPr>
        <w:spacing w:line="360" w:lineRule="auto"/>
        <w:ind w:firstLine="420" w:firstLineChars="200"/>
        <w:rPr>
          <w:rFonts w:hint="eastAsia" w:asciiTheme="minorEastAsia" w:hAnsiTheme="minorEastAsia" w:eastAsiaTheme="minorEastAsia" w:cstheme="minorEastAsia"/>
          <w:color w:val="auto"/>
          <w:szCs w:val="21"/>
          <w:highlight w:val="none"/>
          <w:u w:val="none"/>
        </w:rPr>
      </w:pPr>
      <w:r>
        <w:rPr>
          <w:rFonts w:hint="eastAsia" w:asciiTheme="minorEastAsia" w:hAnsiTheme="minorEastAsia" w:eastAsiaTheme="minorEastAsia" w:cstheme="minorEastAsia"/>
          <w:color w:val="auto"/>
          <w:szCs w:val="21"/>
          <w:highlight w:val="none"/>
          <w:u w:val="none"/>
        </w:rPr>
        <w:t>3.2.2.</w:t>
      </w:r>
      <w:r>
        <w:rPr>
          <w:rFonts w:hint="eastAsia" w:asciiTheme="minorEastAsia" w:hAnsiTheme="minorEastAsia" w:eastAsiaTheme="minorEastAsia" w:cstheme="minorEastAsia"/>
          <w:color w:val="auto"/>
          <w:szCs w:val="21"/>
          <w:highlight w:val="none"/>
          <w:u w:val="none"/>
          <w:lang w:val="en-US" w:eastAsia="zh-CN"/>
        </w:rPr>
        <w:t>3</w:t>
      </w:r>
      <w:r>
        <w:rPr>
          <w:rFonts w:hint="eastAsia" w:ascii="宋体" w:hAnsi="宋体" w:cs="宋体"/>
          <w:color w:val="auto"/>
          <w:szCs w:val="21"/>
          <w:highlight w:val="none"/>
          <w:u w:val="none"/>
        </w:rPr>
        <w:t>项目完成</w:t>
      </w:r>
      <w:r>
        <w:rPr>
          <w:rFonts w:hint="eastAsia" w:ascii="宋体" w:hAnsi="宋体" w:cs="宋体"/>
          <w:color w:val="auto"/>
          <w:szCs w:val="21"/>
          <w:highlight w:val="none"/>
          <w:u w:val="none"/>
          <w:lang w:val="en-US" w:eastAsia="zh-CN"/>
        </w:rPr>
        <w:t>并经</w:t>
      </w:r>
      <w:r>
        <w:rPr>
          <w:rFonts w:hint="eastAsia" w:asciiTheme="minorEastAsia" w:hAnsiTheme="minorEastAsia" w:eastAsiaTheme="minorEastAsia" w:cstheme="minorEastAsia"/>
          <w:color w:val="auto"/>
          <w:szCs w:val="21"/>
          <w:highlight w:val="none"/>
          <w:u w:val="none"/>
        </w:rPr>
        <w:t>甲方及上级主管部门</w:t>
      </w:r>
      <w:r>
        <w:rPr>
          <w:rFonts w:hint="eastAsia" w:ascii="宋体" w:hAnsi="宋体" w:cs="宋体"/>
          <w:color w:val="auto"/>
          <w:szCs w:val="21"/>
          <w:highlight w:val="none"/>
          <w:u w:val="none"/>
          <w:lang w:val="en-US" w:eastAsia="zh-CN"/>
        </w:rPr>
        <w:t>验收合格等</w:t>
      </w:r>
      <w:r>
        <w:rPr>
          <w:rFonts w:hint="eastAsia" w:ascii="宋体" w:hAnsi="宋体" w:cs="宋体"/>
          <w:color w:val="auto"/>
          <w:szCs w:val="21"/>
          <w:highlight w:val="none"/>
          <w:u w:val="none"/>
        </w:rPr>
        <w:t>手续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甲方自收到发票</w:t>
      </w:r>
      <w:r>
        <w:rPr>
          <w:rFonts w:hint="eastAsia" w:ascii="宋体" w:hAnsi="宋体" w:cs="宋体"/>
          <w:color w:val="auto"/>
          <w:szCs w:val="21"/>
          <w:highlight w:val="none"/>
          <w:u w:val="none"/>
        </w:rPr>
        <w:t>后30日内将资金支付到</w:t>
      </w:r>
      <w:r>
        <w:rPr>
          <w:rFonts w:hint="eastAsia" w:ascii="宋体" w:hAnsi="宋体" w:cs="宋体"/>
          <w:color w:val="auto"/>
          <w:szCs w:val="21"/>
          <w:highlight w:val="none"/>
          <w:u w:val="none"/>
          <w:lang w:val="en-US" w:eastAsia="zh-CN"/>
        </w:rPr>
        <w:t>乙方</w:t>
      </w:r>
      <w:r>
        <w:rPr>
          <w:rFonts w:hint="eastAsia" w:ascii="宋体" w:hAnsi="宋体" w:cs="宋体"/>
          <w:color w:val="auto"/>
          <w:szCs w:val="21"/>
          <w:highlight w:val="none"/>
          <w:u w:val="none"/>
        </w:rPr>
        <w:t>账户，支付至结算金额的95%，余下5%作为本项目质保金，质保期到期后无责免息支付给</w:t>
      </w:r>
      <w:r>
        <w:rPr>
          <w:rFonts w:hint="eastAsia" w:ascii="宋体" w:hAnsi="宋体" w:cs="宋体"/>
          <w:color w:val="auto"/>
          <w:szCs w:val="21"/>
          <w:highlight w:val="none"/>
          <w:u w:val="none"/>
          <w:lang w:eastAsia="zh-CN"/>
        </w:rPr>
        <w:t>乙方</w:t>
      </w:r>
      <w:r>
        <w:rPr>
          <w:rFonts w:hint="eastAsia" w:ascii="宋体" w:hAnsi="宋体" w:cs="宋体"/>
          <w:color w:val="auto"/>
          <w:szCs w:val="21"/>
          <w:highlight w:val="none"/>
          <w:u w:val="none"/>
        </w:rPr>
        <w:t>。若</w:t>
      </w:r>
      <w:r>
        <w:rPr>
          <w:rFonts w:hint="eastAsia" w:ascii="宋体" w:hAnsi="宋体" w:cs="宋体"/>
          <w:color w:val="auto"/>
          <w:szCs w:val="21"/>
          <w:highlight w:val="none"/>
          <w:u w:val="none"/>
          <w:lang w:eastAsia="zh-CN"/>
        </w:rPr>
        <w:t>乙方</w:t>
      </w:r>
      <w:r>
        <w:rPr>
          <w:rFonts w:hint="eastAsia" w:ascii="宋体" w:hAnsi="宋体" w:cs="宋体"/>
          <w:color w:val="auto"/>
          <w:szCs w:val="21"/>
          <w:highlight w:val="none"/>
          <w:u w:val="none"/>
        </w:rPr>
        <w:t>在质量保证期内未完全履行缺陷保修义务的，</w:t>
      </w:r>
      <w:r>
        <w:rPr>
          <w:rFonts w:hint="eastAsia" w:ascii="宋体" w:hAnsi="宋体" w:cs="宋体"/>
          <w:color w:val="auto"/>
          <w:szCs w:val="21"/>
          <w:highlight w:val="none"/>
          <w:u w:val="none"/>
          <w:lang w:eastAsia="zh-CN"/>
        </w:rPr>
        <w:t>甲方</w:t>
      </w:r>
      <w:r>
        <w:rPr>
          <w:rFonts w:hint="eastAsia" w:ascii="宋体" w:hAnsi="宋体" w:cs="宋体"/>
          <w:color w:val="auto"/>
          <w:szCs w:val="21"/>
          <w:highlight w:val="none"/>
          <w:u w:val="none"/>
        </w:rPr>
        <w:t>有权扣除质量保证金，并保留进一步索赔的权利。</w:t>
      </w:r>
    </w:p>
    <w:p>
      <w:pPr>
        <w:spacing w:line="360" w:lineRule="auto"/>
        <w:ind w:left="420" w:hanging="420" w:hangingChars="200"/>
        <w:rPr>
          <w:rFonts w:hint="eastAsia"/>
          <w:color w:val="auto"/>
          <w:highlight w:val="none"/>
        </w:rPr>
      </w:pPr>
      <w:r>
        <w:rPr>
          <w:rFonts w:hint="eastAsia" w:asciiTheme="minorEastAsia" w:hAnsiTheme="minorEastAsia" w:eastAsiaTheme="minorEastAsia" w:cstheme="minorEastAsia"/>
          <w:color w:val="auto"/>
          <w:szCs w:val="21"/>
          <w:highlight w:val="none"/>
        </w:rPr>
        <w:t>3.3乙方向甲方申请支付货款时需提供：（1）合同；（2）乙方开具正式全额发票；（3）验收调试报告加盖甲方公章；（4）中标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成交</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通知书。</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 合同组成</w:t>
      </w:r>
    </w:p>
    <w:p>
      <w:pPr>
        <w:spacing w:line="360" w:lineRule="auto"/>
        <w:ind w:left="420" w:left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详细价格、技术说明及其它有关合同设备的特定信息由合同附件说明。所有附件及本项目的招投标文件、会议纪要、协议等均为本合同不可分割之一部分。</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 技术要求</w:t>
      </w:r>
    </w:p>
    <w:p>
      <w:pPr>
        <w:spacing w:line="360" w:lineRule="auto"/>
        <w:ind w:left="315" w:leftChars="15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乙方所提供设备，必须符合国家有关规范和环保要求及甲方的技术要求，并提供设备的厂试测验报告。</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 设备包装、交货、安装、调试及验收</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合同设备的包装：</w:t>
      </w:r>
    </w:p>
    <w:p>
      <w:pPr>
        <w:spacing w:line="360" w:lineRule="auto"/>
        <w:ind w:left="630" w:leftChars="300" w:firstLine="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设备的交货：</w:t>
      </w:r>
    </w:p>
    <w:p>
      <w:pPr>
        <w:numPr>
          <w:ilvl w:val="0"/>
          <w:numId w:val="7"/>
        </w:numPr>
        <w:tabs>
          <w:tab w:val="left" w:pos="945"/>
          <w:tab w:val="clear" w:pos="1352"/>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乙方交付使用时间：中标人签订合同后起30天内完成全部货物的安装、调试和验收。</w:t>
      </w:r>
    </w:p>
    <w:p>
      <w:pPr>
        <w:numPr>
          <w:ilvl w:val="0"/>
          <w:numId w:val="7"/>
        </w:numPr>
        <w:tabs>
          <w:tab w:val="left" w:pos="945"/>
          <w:tab w:val="clear" w:pos="1352"/>
        </w:tabs>
        <w:spacing w:line="360" w:lineRule="auto"/>
        <w:ind w:hanging="827"/>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乙方交货地点：广州市内用户指定地点。</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合同设备的安装调试：</w:t>
      </w:r>
    </w:p>
    <w:p>
      <w:pPr>
        <w:numPr>
          <w:ilvl w:val="0"/>
          <w:numId w:val="8"/>
        </w:numPr>
        <w:tabs>
          <w:tab w:val="left" w:pos="945"/>
          <w:tab w:val="clear" w:pos="1215"/>
        </w:tabs>
        <w:spacing w:line="360" w:lineRule="auto"/>
        <w:ind w:hanging="69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乙方负责合同项下的安装调试，一切费用由乙方负责。</w:t>
      </w:r>
    </w:p>
    <w:p>
      <w:pPr>
        <w:numPr>
          <w:ilvl w:val="0"/>
          <w:numId w:val="8"/>
        </w:numPr>
        <w:tabs>
          <w:tab w:val="left" w:pos="945"/>
          <w:tab w:val="clear" w:pos="1215"/>
        </w:tabs>
        <w:spacing w:line="360" w:lineRule="auto"/>
        <w:ind w:hanging="69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乙方安装时须对各安装场地内的其它设备、设施有良好保护措施。</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6.4 设备的验收：</w:t>
      </w:r>
    </w:p>
    <w:p>
      <w:pPr>
        <w:numPr>
          <w:ilvl w:val="0"/>
          <w:numId w:val="9"/>
        </w:numPr>
        <w:tabs>
          <w:tab w:val="left" w:pos="945"/>
          <w:tab w:val="clear" w:pos="1215"/>
        </w:tabs>
        <w:spacing w:line="360" w:lineRule="auto"/>
        <w:ind w:left="945" w:right="-420" w:righ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合同设备安装调试完成正常工作15个工作日，验收应在甲乙双方共同参加下进行。</w:t>
      </w:r>
    </w:p>
    <w:p>
      <w:pPr>
        <w:numPr>
          <w:ilvl w:val="0"/>
          <w:numId w:val="9"/>
        </w:numPr>
        <w:tabs>
          <w:tab w:val="left" w:pos="945"/>
          <w:tab w:val="clear" w:pos="1215"/>
        </w:tabs>
        <w:spacing w:line="360" w:lineRule="auto"/>
        <w:ind w:left="945" w:right="-420" w:righ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numPr>
          <w:ilvl w:val="0"/>
          <w:numId w:val="9"/>
        </w:numPr>
        <w:tabs>
          <w:tab w:val="left" w:pos="945"/>
          <w:tab w:val="clear" w:pos="1215"/>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如果合同设备运输和安装调试过程中因事故造成货物短缺、损坏，乙方应及时安排换装，以保证合同设备安装调试的成功完成。换货的相关费用由乙方承担。</w:t>
      </w:r>
    </w:p>
    <w:p>
      <w:pPr>
        <w:numPr>
          <w:ilvl w:val="0"/>
          <w:numId w:val="9"/>
        </w:numPr>
        <w:tabs>
          <w:tab w:val="left" w:pos="945"/>
          <w:tab w:val="clear" w:pos="1215"/>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国内产品或合资厂的产品必须具备出厂合格证。</w:t>
      </w:r>
    </w:p>
    <w:p>
      <w:pPr>
        <w:numPr>
          <w:ilvl w:val="0"/>
          <w:numId w:val="9"/>
        </w:numPr>
        <w:tabs>
          <w:tab w:val="left" w:pos="945"/>
          <w:tab w:val="clear" w:pos="1215"/>
        </w:tabs>
        <w:spacing w:line="360" w:lineRule="auto"/>
        <w:ind w:left="94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进口产品必须具备省级（或相当于省级）商检部门的检验证明。</w:t>
      </w:r>
    </w:p>
    <w:p>
      <w:pPr>
        <w:spacing w:line="360" w:lineRule="auto"/>
        <w:ind w:left="458" w:hanging="457" w:hangingChars="218"/>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6.5  乙方保证合同项下提供的设备不侵犯任何第三方的专利、商标或版权。否则，乙方须承担对第三方的专利或版权的侵权责任并承担因此而发生的所有费用。</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 质量保证及售后服务</w:t>
      </w:r>
    </w:p>
    <w:p>
      <w:pPr>
        <w:numPr>
          <w:ilvl w:val="0"/>
          <w:numId w:val="10"/>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乙方保证合同设备是全新、未曾使用过的，其质量、规格及技术特征符合合同附件的要求。保证备品配件在同机型设备停产后3年以上的供应。</w:t>
      </w:r>
    </w:p>
    <w:p>
      <w:pPr>
        <w:numPr>
          <w:ilvl w:val="0"/>
          <w:numId w:val="10"/>
        </w:numPr>
        <w:tabs>
          <w:tab w:val="left" w:pos="540"/>
          <w:tab w:val="left" w:pos="1320"/>
          <w:tab w:val="clear" w:pos="720"/>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合同设备保质保用期为设备最终验收合格并经本项目有关部门验收签字之日起不少于12个月。</w:t>
      </w:r>
    </w:p>
    <w:p>
      <w:pPr>
        <w:numPr>
          <w:ilvl w:val="0"/>
          <w:numId w:val="10"/>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保质保用期内出现产品质量及安装问题，由乙方负责包修、包换或包退，并承担因此而产生的一切费用。乙方应在收到甲方通知后24小时内派员到现场免费维修(技术要求另有规定除外)。</w:t>
      </w:r>
    </w:p>
    <w:p>
      <w:pPr>
        <w:numPr>
          <w:ilvl w:val="0"/>
          <w:numId w:val="10"/>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因设备的质量问题而发生争议，由广东省或广州市质检部门进行质量鉴定。设备符合质量标准的，鉴定费用由甲方承担；设备不符合质量标准的，鉴定费用由乙方承担。</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 技术服务</w:t>
      </w:r>
    </w:p>
    <w:p>
      <w:pPr>
        <w:numPr>
          <w:ilvl w:val="0"/>
          <w:numId w:val="11"/>
        </w:numPr>
        <w:tabs>
          <w:tab w:val="left" w:pos="540"/>
          <w:tab w:val="clear" w:pos="720"/>
        </w:tabs>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乙方应派员到甲方指定地点配合工作。</w:t>
      </w:r>
    </w:p>
    <w:p>
      <w:pPr>
        <w:numPr>
          <w:ilvl w:val="0"/>
          <w:numId w:val="11"/>
        </w:numPr>
        <w:tabs>
          <w:tab w:val="left" w:pos="540"/>
          <w:tab w:val="clear" w:pos="720"/>
        </w:tabs>
        <w:spacing w:line="360" w:lineRule="auto"/>
        <w:ind w:left="540" w:hanging="5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乙方按甲方提供的合同执行进度计划，再配合甲方及有关单位，以此做好合同执行进度上的配合工作。</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 不可抗力</w:t>
      </w:r>
    </w:p>
    <w:p>
      <w:pPr>
        <w:spacing w:line="360" w:lineRule="auto"/>
        <w:ind w:right="-420" w:righ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不可抗力指战争、严重火灾、洪水、台风、地震等或其它双方认定的不可抗力事件。</w:t>
      </w:r>
    </w:p>
    <w:p>
      <w:pPr>
        <w:spacing w:line="360" w:lineRule="auto"/>
        <w:ind w:left="420" w:right="-200" w:hanging="420" w:hanging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360" w:lineRule="auto"/>
        <w:ind w:left="528" w:leftChars="-57" w:hanging="648" w:hangingChars="2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 索赔</w:t>
      </w:r>
    </w:p>
    <w:p>
      <w:pPr>
        <w:spacing w:line="360" w:lineRule="auto"/>
        <w:ind w:left="444" w:leftChars="-57" w:hanging="564" w:hangingChars="26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10.1  如有异议，甲方有权根据有关政府部门的检验结果向乙方提出索赔。</w:t>
      </w:r>
    </w:p>
    <w:p>
      <w:pPr>
        <w:spacing w:line="360" w:lineRule="auto"/>
        <w:ind w:left="549" w:leftChars="-57" w:hanging="669" w:hangingChars="319"/>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Cs w:val="21"/>
          <w:highlight w:val="none"/>
        </w:rPr>
        <w:t>10.2  在合同执行期间，如果乙方对甲方提出的索赔和差异负有责任，乙方应按照甲方同意的下列一种或多种方式解决索赔事宜：</w:t>
      </w:r>
    </w:p>
    <w:p>
      <w:pPr>
        <w:numPr>
          <w:ilvl w:val="0"/>
          <w:numId w:val="12"/>
        </w:numPr>
        <w:tabs>
          <w:tab w:val="clear" w:pos="1215"/>
        </w:tabs>
        <w:spacing w:line="360" w:lineRule="auto"/>
        <w:ind w:left="840" w:hanging="3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乙方同意退货，并按合同规定的同种货币将货款退还给甲方，并承担由此发生的一切损失和费用。</w:t>
      </w:r>
    </w:p>
    <w:p>
      <w:pPr>
        <w:numPr>
          <w:ilvl w:val="0"/>
          <w:numId w:val="12"/>
        </w:numPr>
        <w:tabs>
          <w:tab w:val="clear" w:pos="1215"/>
        </w:tabs>
        <w:spacing w:line="360" w:lineRule="auto"/>
        <w:ind w:left="840" w:hanging="3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根据货物低劣程度、损坏程度以及甲方所遭受损失的数额甲乙双方商定降低货物的价格。</w:t>
      </w:r>
    </w:p>
    <w:p>
      <w:pPr>
        <w:numPr>
          <w:ilvl w:val="0"/>
          <w:numId w:val="12"/>
        </w:numPr>
        <w:tabs>
          <w:tab w:val="clear" w:pos="1215"/>
        </w:tabs>
        <w:spacing w:line="360" w:lineRule="auto"/>
        <w:ind w:left="840" w:hanging="315"/>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用符合规格、质量和性能要求的新零件、部件或货物来更换有缺陷的部分或修补缺陷的部分，乙方应承担一切费用和风险并负有甲方所发生的一切直接费用。同时，相应延长质量保证期。</w:t>
      </w:r>
    </w:p>
    <w:p>
      <w:pPr>
        <w:tabs>
          <w:tab w:val="left" w:pos="540"/>
        </w:tabs>
        <w:spacing w:line="360" w:lineRule="auto"/>
        <w:ind w:left="565" w:leftChars="-85" w:hanging="743" w:hangingChars="354"/>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如果在甲方发出索赔通知后</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天内，乙方未作答复，上述索赔应视为已被乙方接受。甲方将从合同款项中扣回索赔金额。如果这些金额不足以补偿索赔金额，甲方有权向乙方提出不足部分的补偿。</w:t>
      </w:r>
    </w:p>
    <w:p>
      <w:pPr>
        <w:spacing w:line="360" w:lineRule="auto"/>
        <w:ind w:left="528" w:leftChars="-57" w:hanging="648" w:hangingChars="269"/>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 违约与处罚</w:t>
      </w:r>
    </w:p>
    <w:p>
      <w:pPr>
        <w:spacing w:line="360" w:lineRule="auto"/>
        <w:ind w:left="645" w:leftChars="-57" w:hanging="765" w:hangingChars="31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color w:val="auto"/>
          <w:szCs w:val="21"/>
          <w:highlight w:val="none"/>
        </w:rPr>
        <w:t xml:space="preserve">  甲方应依合同规定时间内，向乙方支付货款，每拖延一天乙方可向甲方加收合同金额的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乙方未能按时交货，每拖延一天，须向甲方支付合同金额的</w:t>
      </w:r>
      <w:r>
        <w:rPr>
          <w:rFonts w:hint="eastAsia" w:asciiTheme="minorEastAsia" w:hAnsiTheme="minorEastAsia" w:eastAsiaTheme="minorEastAsia" w:cstheme="minorEastAsia"/>
          <w:color w:val="auto"/>
          <w:szCs w:val="21"/>
          <w:highlight w:val="none"/>
          <w:shd w:val="clear" w:color="auto" w:fill="FFFFFF"/>
        </w:rPr>
        <w:t>3‰</w:t>
      </w:r>
      <w:r>
        <w:rPr>
          <w:rFonts w:hint="eastAsia" w:asciiTheme="minorEastAsia" w:hAnsiTheme="minorEastAsia" w:eastAsiaTheme="minorEastAsia" w:cstheme="minorEastAsia"/>
          <w:color w:val="auto"/>
          <w:szCs w:val="21"/>
          <w:highlight w:val="none"/>
        </w:rPr>
        <w:t>的违约金。</w:t>
      </w:r>
    </w:p>
    <w:p>
      <w:pPr>
        <w:spacing w:line="360" w:lineRule="auto"/>
        <w:ind w:left="549" w:leftChars="-57" w:hanging="669" w:hangingChars="31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乙方交付的货物不符合合同规定的，甲方有权拒收，乙方向甲方支付合同金额的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甲方无正当理由拒收货物的，甲方向乙方支付合同金额的</w:t>
      </w:r>
      <w:r>
        <w:rPr>
          <w:rFonts w:hint="eastAsia" w:asciiTheme="minorEastAsia" w:hAnsiTheme="minorEastAsia" w:eastAsiaTheme="minorEastAsia" w:cstheme="minorEastAsia"/>
          <w:color w:val="auto"/>
          <w:szCs w:val="21"/>
          <w:highlight w:val="none"/>
          <w:shd w:val="clear" w:color="auto" w:fill="FFFFFF"/>
        </w:rPr>
        <w:t>5%</w:t>
      </w:r>
      <w:r>
        <w:rPr>
          <w:rFonts w:hint="eastAsia" w:asciiTheme="minorEastAsia" w:hAnsiTheme="minorEastAsia" w:eastAsiaTheme="minorEastAsia" w:cstheme="minorEastAsia"/>
          <w:color w:val="auto"/>
          <w:szCs w:val="21"/>
          <w:highlight w:val="none"/>
        </w:rPr>
        <w:t>的违约金。</w:t>
      </w:r>
    </w:p>
    <w:p>
      <w:pPr>
        <w:spacing w:line="360" w:lineRule="auto"/>
        <w:ind w:left="444" w:leftChars="-57" w:hanging="564" w:hangingChars="26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乙方未能交付货物，则向甲方支付合同金额的</w:t>
      </w:r>
      <w:r>
        <w:rPr>
          <w:rFonts w:hint="eastAsia" w:asciiTheme="minorEastAsia" w:hAnsiTheme="minorEastAsia" w:eastAsiaTheme="minorEastAsia" w:cstheme="minorEastAsia"/>
          <w:color w:val="auto"/>
          <w:szCs w:val="21"/>
          <w:highlight w:val="none"/>
          <w:shd w:val="clear" w:color="auto" w:fill="FFFFFF"/>
        </w:rPr>
        <w:t>7.5%</w:t>
      </w:r>
      <w:r>
        <w:rPr>
          <w:rFonts w:hint="eastAsia" w:asciiTheme="minorEastAsia" w:hAnsiTheme="minorEastAsia" w:eastAsiaTheme="minorEastAsia" w:cstheme="minorEastAsia"/>
          <w:color w:val="auto"/>
          <w:szCs w:val="21"/>
          <w:highlight w:val="none"/>
        </w:rPr>
        <w:t>的违约金。</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12、合同终止</w:t>
      </w:r>
    </w:p>
    <w:p>
      <w:pPr>
        <w:spacing w:line="360" w:lineRule="auto"/>
        <w:ind w:left="525" w:leftChars="250" w:firstLine="12" w:firstLineChars="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天内仍未能改正违约的，另一方可立即终止本合同。</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 法律诉讼</w:t>
      </w:r>
    </w:p>
    <w:p>
      <w:pPr>
        <w:spacing w:line="360" w:lineRule="auto"/>
        <w:ind w:left="630" w:left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签约双方在履约中发生争执和分歧，双方应通过友好协商解决，若经协商不能达成协议时，则由合同签订地或招标人所在地人民法院提起诉讼。受理期间，双方应继续执行合同其余部分。</w:t>
      </w:r>
    </w:p>
    <w:p>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 其它</w:t>
      </w:r>
    </w:p>
    <w:p>
      <w:pPr>
        <w:spacing w:line="360" w:lineRule="auto"/>
        <w:ind w:left="600" w:hanging="600" w:hanging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14</w:t>
      </w:r>
      <w:r>
        <w:rPr>
          <w:rFonts w:hint="eastAsia" w:asciiTheme="minorEastAsia" w:hAnsiTheme="minorEastAsia" w:eastAsiaTheme="minorEastAsia" w:cstheme="minorEastAsia"/>
          <w:color w:val="auto"/>
          <w:szCs w:val="21"/>
          <w:highlight w:val="none"/>
        </w:rPr>
        <w:t>.1 本合同正本四份，具有同等法律效力，甲、乙双方各执一份，省教育装备中心一份，采购代理机构一份。合同自签字之日起即时生效。</w:t>
      </w:r>
    </w:p>
    <w:p>
      <w:p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下列文件是本合同的一部分，并与本合同一起阅读和解释</w:t>
      </w:r>
    </w:p>
    <w:p>
      <w:pPr>
        <w:numPr>
          <w:ilvl w:val="0"/>
          <w:numId w:val="13"/>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中标人提交的投标函和投标一览表；</w:t>
      </w:r>
    </w:p>
    <w:p>
      <w:pPr>
        <w:numPr>
          <w:ilvl w:val="0"/>
          <w:numId w:val="13"/>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资格声明函；</w:t>
      </w:r>
    </w:p>
    <w:p>
      <w:pPr>
        <w:numPr>
          <w:ilvl w:val="0"/>
          <w:numId w:val="13"/>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中标通知书；</w:t>
      </w:r>
    </w:p>
    <w:p>
      <w:pPr>
        <w:numPr>
          <w:ilvl w:val="0"/>
          <w:numId w:val="13"/>
        </w:numPr>
        <w:snapToGrid w:val="0"/>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其他相关投标文件。 </w:t>
      </w:r>
    </w:p>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  本合同未尽事宜，由双方协商处理。</w:t>
      </w:r>
    </w:p>
    <w:p>
      <w:pPr>
        <w:spacing w:line="360" w:lineRule="auto"/>
        <w:ind w:left="718" w:left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                                    乙方： </w:t>
      </w:r>
    </w:p>
    <w:p>
      <w:pPr>
        <w:spacing w:line="360" w:lineRule="auto"/>
        <w:ind w:left="718" w:left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签约代表：                                签约代表：</w:t>
      </w:r>
    </w:p>
    <w:p>
      <w:pPr>
        <w:spacing w:line="360" w:lineRule="auto"/>
        <w:ind w:left="718" w:leftChars="34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地址：</w:t>
      </w:r>
    </w:p>
    <w:p>
      <w:pPr>
        <w:spacing w:line="360" w:lineRule="auto"/>
        <w:ind w:firstLine="42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                     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6"/>
    <w:bookmarkEnd w:id="287"/>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pStyle w:val="46"/>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288" w:name="OLE_LINK4"/>
    </w:p>
    <w:p>
      <w:pPr>
        <w:pStyle w:val="4"/>
        <w:autoSpaceDE w:val="0"/>
        <w:rPr>
          <w:b w:val="0"/>
          <w:bCs w:val="0"/>
          <w:color w:val="auto"/>
          <w:sz w:val="44"/>
          <w:highlight w:val="none"/>
        </w:rPr>
      </w:pPr>
      <w:bookmarkStart w:id="289" w:name="_Toc475104528"/>
      <w:r>
        <w:rPr>
          <w:rFonts w:hint="eastAsia"/>
          <w:color w:val="auto"/>
          <w:sz w:val="44"/>
          <w:highlight w:val="none"/>
        </w:rPr>
        <w:t>第五章 评分体系与标准</w:t>
      </w:r>
      <w:bookmarkEnd w:id="289"/>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14"/>
        </w:numPr>
        <w:autoSpaceDE w:val="0"/>
        <w:autoSpaceDN w:val="0"/>
        <w:adjustRightInd w:val="0"/>
        <w:snapToGrid w:val="0"/>
        <w:spacing w:line="360" w:lineRule="auto"/>
        <w:outlineLvl w:val="0"/>
        <w:rPr>
          <w:rFonts w:ascii="宋体" w:hAnsi="宋体"/>
          <w:bCs/>
          <w:color w:val="auto"/>
          <w:szCs w:val="21"/>
          <w:highlight w:val="none"/>
        </w:rPr>
      </w:pPr>
      <w:bookmarkStart w:id="290" w:name="_Toc475104529"/>
      <w:bookmarkStart w:id="291" w:name="_Toc98579065"/>
      <w:bookmarkStart w:id="292" w:name="_Toc42394513"/>
      <w:bookmarkStart w:id="293" w:name="_Toc98579007"/>
      <w:bookmarkStart w:id="294" w:name="_Toc98580289"/>
      <w:bookmarkStart w:id="295" w:name="_Toc98579606"/>
      <w:bookmarkStart w:id="296" w:name="_Toc101843128"/>
      <w:bookmarkStart w:id="297" w:name="_Toc101771375"/>
      <w:bookmarkStart w:id="298" w:name="_Toc101951266"/>
      <w:bookmarkStart w:id="299" w:name="_Toc101775128"/>
      <w:bookmarkStart w:id="300" w:name="_Toc264203535"/>
      <w:bookmarkStart w:id="301" w:name="_Toc50276153"/>
      <w:bookmarkStart w:id="302" w:name="_Toc42394669"/>
      <w:bookmarkStart w:id="303" w:name="_Toc41723931"/>
      <w:bookmarkStart w:id="304" w:name="_Toc41884701"/>
      <w:bookmarkStart w:id="305" w:name="_Toc42313167"/>
      <w:bookmarkStart w:id="306" w:name="_Toc34535380"/>
      <w:bookmarkStart w:id="307" w:name="_Toc148060906"/>
      <w:bookmarkStart w:id="308" w:name="_Toc68620012"/>
      <w:bookmarkStart w:id="309" w:name="_Toc125770208"/>
      <w:bookmarkStart w:id="310" w:name="_Toc104874465"/>
      <w:bookmarkStart w:id="311" w:name="_Toc108001800"/>
      <w:bookmarkStart w:id="312" w:name="_Toc95304223"/>
      <w:bookmarkStart w:id="313" w:name="_Toc28489533"/>
      <w:bookmarkStart w:id="314" w:name="_Toc28142601"/>
      <w:bookmarkStart w:id="315" w:name="_Toc138568672"/>
      <w:bookmarkStart w:id="316" w:name="_Toc169334816"/>
      <w:bookmarkStart w:id="317" w:name="_Toc102211724"/>
      <w:bookmarkStart w:id="318" w:name="_Toc138506092"/>
      <w:bookmarkStart w:id="319" w:name="_Toc124646434"/>
      <w:bookmarkStart w:id="320" w:name="_Toc35834934"/>
      <w:bookmarkStart w:id="321" w:name="_Toc101553661"/>
      <w:bookmarkStart w:id="322" w:name="_Toc131922503"/>
      <w:bookmarkStart w:id="323" w:name="_Toc95249607"/>
      <w:bookmarkStart w:id="324" w:name="_Toc108243616"/>
      <w:bookmarkStart w:id="325" w:name="_Toc101553556"/>
      <w:bookmarkStart w:id="326" w:name="_Toc124401382"/>
      <w:bookmarkStart w:id="327" w:name="_Toc66722112"/>
      <w:bookmarkStart w:id="328" w:name="_Toc131904930"/>
      <w:bookmarkStart w:id="329" w:name="_Toc113277292"/>
      <w:bookmarkStart w:id="330" w:name="_Toc104902929"/>
      <w:bookmarkStart w:id="331" w:name="_Toc67911942"/>
      <w:bookmarkStart w:id="332" w:name="_Toc150050902"/>
      <w:bookmarkStart w:id="333" w:name="_Toc124570687"/>
      <w:bookmarkStart w:id="334" w:name="_Toc148420070"/>
      <w:r>
        <w:rPr>
          <w:rFonts w:hint="eastAsia" w:ascii="宋体" w:hAnsi="宋体"/>
          <w:bCs/>
          <w:color w:val="auto"/>
          <w:szCs w:val="21"/>
          <w:highlight w:val="none"/>
        </w:rPr>
        <w:t>本评审办法采用综合评分法。</w:t>
      </w:r>
      <w:bookmarkEnd w:id="290"/>
    </w:p>
    <w:p>
      <w:pPr>
        <w:numPr>
          <w:ilvl w:val="0"/>
          <w:numId w:val="14"/>
        </w:numPr>
        <w:autoSpaceDE w:val="0"/>
        <w:autoSpaceDN w:val="0"/>
        <w:adjustRightInd w:val="0"/>
        <w:snapToGrid w:val="0"/>
        <w:spacing w:line="360" w:lineRule="auto"/>
        <w:outlineLvl w:val="0"/>
        <w:rPr>
          <w:rFonts w:ascii="宋体" w:cs="宋体"/>
          <w:color w:val="auto"/>
          <w:highlight w:val="none"/>
        </w:rPr>
      </w:pPr>
      <w:bookmarkStart w:id="335" w:name="_Toc475104530"/>
      <w:bookmarkStart w:id="336"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14"/>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35"/>
    </w:p>
    <w:bookmarkEnd w:id="291"/>
    <w:bookmarkEnd w:id="292"/>
    <w:bookmarkEnd w:id="293"/>
    <w:bookmarkEnd w:id="294"/>
    <w:bookmarkEnd w:id="295"/>
    <w:bookmarkEnd w:id="296"/>
    <w:bookmarkEnd w:id="297"/>
    <w:bookmarkEnd w:id="298"/>
    <w:bookmarkEnd w:id="299"/>
    <w:bookmarkEnd w:id="300"/>
    <w:bookmarkEnd w:id="301"/>
    <w:bookmarkEnd w:id="302"/>
    <w:bookmarkEnd w:id="336"/>
    <w:p>
      <w:pPr>
        <w:numPr>
          <w:ilvl w:val="0"/>
          <w:numId w:val="14"/>
        </w:numPr>
        <w:autoSpaceDE w:val="0"/>
        <w:autoSpaceDN w:val="0"/>
        <w:adjustRightInd w:val="0"/>
        <w:snapToGrid w:val="0"/>
        <w:spacing w:line="360" w:lineRule="auto"/>
        <w:outlineLvl w:val="0"/>
        <w:rPr>
          <w:rFonts w:ascii="宋体" w:hAnsi="宋体"/>
          <w:bCs/>
          <w:color w:val="auto"/>
          <w:szCs w:val="21"/>
          <w:highlight w:val="none"/>
        </w:rPr>
      </w:pPr>
      <w:bookmarkStart w:id="337"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14"/>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37"/>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38" w:name="_Toc333236678"/>
            <w:bookmarkStart w:id="339"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40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14"/>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38"/>
    <w:bookmarkEnd w:id="339"/>
    <w:p>
      <w:pPr>
        <w:numPr>
          <w:ilvl w:val="0"/>
          <w:numId w:val="14"/>
        </w:numPr>
        <w:autoSpaceDE w:val="0"/>
        <w:autoSpaceDN w:val="0"/>
        <w:adjustRightInd w:val="0"/>
        <w:snapToGrid w:val="0"/>
        <w:spacing w:line="360" w:lineRule="auto"/>
        <w:outlineLvl w:val="0"/>
        <w:rPr>
          <w:rFonts w:ascii="宋体" w:hAnsi="宋体"/>
          <w:color w:val="auto"/>
          <w:szCs w:val="21"/>
          <w:highlight w:val="none"/>
        </w:rPr>
      </w:pPr>
      <w:bookmarkStart w:id="340" w:name="_Toc333236680"/>
      <w:bookmarkStart w:id="341"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1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1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03"/>
    <w:bookmarkEnd w:id="304"/>
    <w:bookmarkEnd w:id="305"/>
    <w:bookmarkEnd w:id="340"/>
    <w:bookmarkEnd w:id="341"/>
    <w:p>
      <w:pPr>
        <w:numPr>
          <w:ilvl w:val="0"/>
          <w:numId w:val="14"/>
        </w:numPr>
        <w:autoSpaceDE w:val="0"/>
        <w:autoSpaceDN w:val="0"/>
        <w:adjustRightInd w:val="0"/>
        <w:snapToGrid w:val="0"/>
        <w:spacing w:line="360" w:lineRule="auto"/>
        <w:outlineLvl w:val="0"/>
        <w:rPr>
          <w:rFonts w:ascii="宋体" w:hAnsi="宋体"/>
          <w:color w:val="auto"/>
          <w:szCs w:val="21"/>
          <w:highlight w:val="none"/>
        </w:rPr>
      </w:pPr>
      <w:bookmarkStart w:id="342" w:name="_Toc333236685"/>
      <w:bookmarkStart w:id="343" w:name="_Toc475104535"/>
      <w:r>
        <w:rPr>
          <w:rFonts w:hint="eastAsia" w:ascii="宋体" w:hAnsi="宋体"/>
          <w:color w:val="auto"/>
          <w:szCs w:val="21"/>
          <w:highlight w:val="none"/>
        </w:rPr>
        <w:t>价格评定</w:t>
      </w:r>
    </w:p>
    <w:p>
      <w:pPr>
        <w:numPr>
          <w:ilvl w:val="1"/>
          <w:numId w:val="1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14"/>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的规定，对小型和微型企业产品的价格给予6%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14"/>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14"/>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14"/>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14"/>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14"/>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42"/>
      <w:bookmarkEnd w:id="343"/>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44" w:name="_Toc475104536"/>
      <w:r>
        <w:rPr>
          <w:rFonts w:hint="eastAsia"/>
          <w:color w:val="auto"/>
          <w:sz w:val="24"/>
          <w:highlight w:val="none"/>
        </w:rPr>
        <w:t>资格性审查及符合性检查表</w:t>
      </w:r>
      <w:bookmarkEnd w:id="344"/>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项目编号：                                   </w:t>
      </w:r>
    </w:p>
    <w:tbl>
      <w:tblPr>
        <w:tblStyle w:val="90"/>
        <w:tblW w:w="97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3"/>
        <w:gridCol w:w="2268"/>
        <w:gridCol w:w="5807"/>
        <w:gridCol w:w="9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blHeader/>
          <w:jc w:val="center"/>
        </w:trPr>
        <w:tc>
          <w:tcPr>
            <w:tcW w:w="713"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226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5807"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912"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37" w:hRule="atLeast"/>
          <w:jc w:val="center"/>
        </w:trPr>
        <w:tc>
          <w:tcPr>
            <w:tcW w:w="713" w:type="dxa"/>
            <w:tcBorders>
              <w:top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2268" w:type="dxa"/>
            <w:tcBorders>
              <w:top w:val="single" w:color="auto" w:sz="4" w:space="0"/>
              <w:bottom w:val="single" w:color="auto" w:sz="4" w:space="0"/>
            </w:tcBorders>
            <w:vAlign w:val="center"/>
          </w:tcPr>
          <w:p>
            <w:pPr>
              <w:rPr>
                <w:rFonts w:ascii="宋体" w:hAnsi="宋体" w:cs="宋体"/>
                <w:color w:val="auto"/>
                <w:highlight w:val="none"/>
              </w:rPr>
            </w:pPr>
            <w:r>
              <w:rPr>
                <w:rFonts w:hint="eastAsia" w:ascii="宋体" w:hAnsi="宋体"/>
                <w:color w:val="auto"/>
                <w:szCs w:val="21"/>
                <w:highlight w:val="none"/>
                <w:lang w:val="zh-CN"/>
              </w:rPr>
              <w:t>对所投产品设备技术参数、性能指标、质量及特别带“▲”的响应情况和符合性</w:t>
            </w:r>
          </w:p>
        </w:tc>
        <w:tc>
          <w:tcPr>
            <w:tcW w:w="5807" w:type="dxa"/>
            <w:tcBorders>
              <w:top w:val="single" w:color="auto" w:sz="4" w:space="0"/>
              <w:bottom w:val="single" w:color="auto" w:sz="4" w:space="0"/>
            </w:tcBorders>
            <w:vAlign w:val="center"/>
          </w:tcPr>
          <w:p>
            <w:pPr>
              <w:widowControl/>
              <w:jc w:val="left"/>
              <w:rPr>
                <w:rFonts w:cs="宋体"/>
                <w:color w:val="auto"/>
                <w:kern w:val="0"/>
                <w:sz w:val="22"/>
                <w:szCs w:val="22"/>
                <w:highlight w:val="none"/>
              </w:rPr>
            </w:pPr>
            <w:r>
              <w:rPr>
                <w:rFonts w:hint="eastAsia" w:cs="宋体"/>
                <w:color w:val="auto"/>
                <w:kern w:val="0"/>
                <w:sz w:val="22"/>
                <w:szCs w:val="22"/>
                <w:highlight w:val="none"/>
              </w:rPr>
              <w:t>技术指标响应情况：完全满足或优于招标参数，得10分，每负偏离一个“▲”的，扣2分；每负偏离一个非“▲”条款的，扣1分，扣完为止。</w:t>
            </w:r>
          </w:p>
          <w:p>
            <w:pPr>
              <w:widowControl/>
              <w:jc w:val="left"/>
              <w:rPr>
                <w:color w:val="auto"/>
                <w:highlight w:val="none"/>
              </w:rPr>
            </w:pPr>
            <w:r>
              <w:rPr>
                <w:rFonts w:hint="eastAsia" w:cs="宋体"/>
                <w:color w:val="auto"/>
                <w:kern w:val="0"/>
                <w:sz w:val="22"/>
                <w:szCs w:val="22"/>
                <w:highlight w:val="none"/>
              </w:rPr>
              <w:t>（注：产品设备技术参数，需提供彩页等证明材料，证明材料必须逐项对应招标文件的技术条款。不能提供证明材料的，扣除该产品的全部技</w:t>
            </w:r>
          </w:p>
        </w:tc>
        <w:tc>
          <w:tcPr>
            <w:tcW w:w="912" w:type="dxa"/>
            <w:tcBorders>
              <w:top w:val="single" w:color="auto" w:sz="4" w:space="0"/>
              <w:bottom w:val="single" w:color="auto" w:sz="4" w:space="0"/>
            </w:tcBorders>
            <w:vAlign w:val="center"/>
          </w:tcPr>
          <w:p>
            <w:pPr>
              <w:pStyle w:val="210"/>
              <w:jc w:val="center"/>
              <w:rPr>
                <w:rFonts w:hint="default" w:ascii="宋体" w:hAnsi="宋体" w:eastAsia="宋体" w:cs="宋体"/>
                <w:bCs/>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71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2268" w:type="dxa"/>
            <w:tcBorders>
              <w:top w:val="single" w:color="auto" w:sz="4" w:space="0"/>
              <w:bottom w:val="single" w:color="auto" w:sz="4" w:space="0"/>
            </w:tcBorders>
            <w:vAlign w:val="center"/>
          </w:tcPr>
          <w:p>
            <w:pPr>
              <w:widowControl/>
              <w:jc w:val="left"/>
              <w:rPr>
                <w:rFonts w:hint="eastAsia" w:cs="宋体"/>
                <w:color w:val="auto"/>
                <w:kern w:val="0"/>
                <w:sz w:val="22"/>
                <w:szCs w:val="22"/>
                <w:highlight w:val="none"/>
              </w:rPr>
            </w:pPr>
            <w:r>
              <w:rPr>
                <w:rFonts w:hint="eastAsia" w:cs="宋体"/>
                <w:color w:val="auto"/>
                <w:kern w:val="0"/>
                <w:sz w:val="22"/>
                <w:szCs w:val="22"/>
                <w:highlight w:val="none"/>
              </w:rPr>
              <w:t>合同履行期进度计划承诺</w:t>
            </w:r>
          </w:p>
        </w:tc>
        <w:tc>
          <w:tcPr>
            <w:tcW w:w="5807" w:type="dxa"/>
            <w:tcBorders>
              <w:top w:val="single" w:color="auto" w:sz="4" w:space="0"/>
              <w:bottom w:val="single" w:color="auto" w:sz="4" w:space="0"/>
            </w:tcBorders>
            <w:vAlign w:val="center"/>
          </w:tcPr>
          <w:p>
            <w:pPr>
              <w:widowControl/>
              <w:jc w:val="left"/>
              <w:rPr>
                <w:rFonts w:hint="eastAsia" w:cs="宋体"/>
                <w:color w:val="auto"/>
                <w:kern w:val="0"/>
                <w:sz w:val="22"/>
                <w:szCs w:val="22"/>
                <w:highlight w:val="none"/>
              </w:rPr>
            </w:pPr>
            <w:r>
              <w:rPr>
                <w:rFonts w:hint="eastAsia" w:cs="宋体"/>
                <w:color w:val="auto"/>
                <w:kern w:val="0"/>
                <w:sz w:val="22"/>
                <w:szCs w:val="22"/>
                <w:highlight w:val="none"/>
                <w:lang w:val="en-GB"/>
              </w:rPr>
              <w:t>本项目竞争性磋商文件规定的</w:t>
            </w:r>
            <w:r>
              <w:rPr>
                <w:rFonts w:hint="eastAsia" w:cs="宋体"/>
                <w:color w:val="auto"/>
                <w:kern w:val="0"/>
                <w:sz w:val="22"/>
                <w:szCs w:val="22"/>
                <w:highlight w:val="none"/>
                <w:lang w:val="en-GB" w:eastAsia="zh-CN"/>
              </w:rPr>
              <w:t>合同履行期限</w:t>
            </w:r>
            <w:r>
              <w:rPr>
                <w:rFonts w:hint="eastAsia" w:cs="宋体"/>
                <w:color w:val="auto"/>
                <w:kern w:val="0"/>
                <w:sz w:val="22"/>
                <w:szCs w:val="22"/>
                <w:highlight w:val="none"/>
                <w:lang w:val="en-GB"/>
              </w:rPr>
              <w:t>为</w:t>
            </w:r>
            <w:r>
              <w:rPr>
                <w:rFonts w:hint="eastAsia" w:cs="宋体"/>
                <w:color w:val="auto"/>
                <w:kern w:val="0"/>
                <w:sz w:val="22"/>
                <w:szCs w:val="22"/>
                <w:highlight w:val="none"/>
                <w:lang w:val="en-US" w:eastAsia="zh-CN"/>
              </w:rPr>
              <w:t>45</w:t>
            </w:r>
            <w:r>
              <w:rPr>
                <w:rFonts w:hint="eastAsia" w:cs="宋体"/>
                <w:color w:val="auto"/>
                <w:kern w:val="0"/>
                <w:sz w:val="22"/>
                <w:szCs w:val="22"/>
                <w:highlight w:val="none"/>
              </w:rPr>
              <w:t>日历天</w:t>
            </w:r>
            <w:r>
              <w:rPr>
                <w:rFonts w:hint="eastAsia" w:cs="宋体"/>
                <w:color w:val="auto"/>
                <w:kern w:val="0"/>
                <w:sz w:val="22"/>
                <w:szCs w:val="22"/>
                <w:highlight w:val="none"/>
                <w:lang w:val="en-GB"/>
              </w:rPr>
              <w:t>，</w:t>
            </w:r>
            <w:r>
              <w:rPr>
                <w:rFonts w:hint="eastAsia" w:cs="宋体"/>
                <w:color w:val="auto"/>
                <w:kern w:val="0"/>
                <w:sz w:val="22"/>
                <w:szCs w:val="22"/>
                <w:highlight w:val="none"/>
                <w:lang w:val="en-GB" w:eastAsia="zh-CN"/>
              </w:rPr>
              <w:t>合同履行期限</w:t>
            </w:r>
            <w:r>
              <w:rPr>
                <w:rFonts w:hint="eastAsia" w:cs="宋体"/>
                <w:color w:val="auto"/>
                <w:kern w:val="0"/>
                <w:sz w:val="22"/>
                <w:szCs w:val="22"/>
                <w:highlight w:val="none"/>
                <w:lang w:val="en-GB"/>
              </w:rPr>
              <w:t>为</w:t>
            </w:r>
            <w:r>
              <w:rPr>
                <w:rFonts w:hint="eastAsia" w:cs="宋体"/>
                <w:color w:val="auto"/>
                <w:kern w:val="0"/>
                <w:sz w:val="22"/>
                <w:szCs w:val="22"/>
                <w:highlight w:val="none"/>
                <w:lang w:val="en-US" w:eastAsia="zh-CN"/>
              </w:rPr>
              <w:t>45</w:t>
            </w:r>
            <w:r>
              <w:rPr>
                <w:rFonts w:hint="eastAsia" w:cs="宋体"/>
                <w:color w:val="auto"/>
                <w:kern w:val="0"/>
                <w:sz w:val="22"/>
                <w:szCs w:val="22"/>
                <w:highlight w:val="none"/>
              </w:rPr>
              <w:t>日历天</w:t>
            </w:r>
            <w:r>
              <w:rPr>
                <w:rFonts w:hint="eastAsia" w:cs="宋体"/>
                <w:color w:val="auto"/>
                <w:kern w:val="0"/>
                <w:sz w:val="22"/>
                <w:szCs w:val="22"/>
                <w:highlight w:val="none"/>
                <w:lang w:val="en-GB"/>
              </w:rPr>
              <w:t>的不得分，每承诺提前</w:t>
            </w:r>
            <w:r>
              <w:rPr>
                <w:rFonts w:hint="eastAsia" w:cs="宋体"/>
                <w:color w:val="auto"/>
                <w:kern w:val="0"/>
                <w:sz w:val="22"/>
                <w:szCs w:val="22"/>
                <w:highlight w:val="none"/>
                <w:lang w:val="en-US" w:eastAsia="zh-CN"/>
              </w:rPr>
              <w:t>1</w:t>
            </w:r>
            <w:r>
              <w:rPr>
                <w:rFonts w:hint="eastAsia" w:cs="宋体"/>
                <w:color w:val="auto"/>
                <w:kern w:val="0"/>
                <w:sz w:val="22"/>
                <w:szCs w:val="22"/>
                <w:highlight w:val="none"/>
              </w:rPr>
              <w:t>日历天</w:t>
            </w:r>
            <w:r>
              <w:rPr>
                <w:rFonts w:hint="eastAsia" w:cs="宋体"/>
                <w:color w:val="auto"/>
                <w:kern w:val="0"/>
                <w:sz w:val="22"/>
                <w:szCs w:val="22"/>
                <w:highlight w:val="none"/>
                <w:lang w:val="en-GB"/>
              </w:rPr>
              <w:t>的得</w:t>
            </w:r>
            <w:r>
              <w:rPr>
                <w:rFonts w:hint="eastAsia" w:cs="宋体"/>
                <w:color w:val="auto"/>
                <w:kern w:val="0"/>
                <w:sz w:val="22"/>
                <w:szCs w:val="22"/>
                <w:highlight w:val="none"/>
              </w:rPr>
              <w:t>1</w:t>
            </w:r>
            <w:r>
              <w:rPr>
                <w:rFonts w:hint="eastAsia" w:cs="宋体"/>
                <w:color w:val="auto"/>
                <w:kern w:val="0"/>
                <w:sz w:val="22"/>
                <w:szCs w:val="22"/>
                <w:highlight w:val="none"/>
                <w:lang w:val="en-GB"/>
              </w:rPr>
              <w:t>分，此项满分为</w:t>
            </w:r>
            <w:r>
              <w:rPr>
                <w:rFonts w:hint="eastAsia" w:cs="宋体"/>
                <w:color w:val="auto"/>
                <w:kern w:val="0"/>
                <w:sz w:val="22"/>
                <w:szCs w:val="22"/>
                <w:highlight w:val="none"/>
                <w:lang w:val="en-US" w:eastAsia="zh-CN"/>
              </w:rPr>
              <w:t>5</w:t>
            </w:r>
            <w:r>
              <w:rPr>
                <w:rFonts w:hint="eastAsia" w:cs="宋体"/>
                <w:color w:val="auto"/>
                <w:kern w:val="0"/>
                <w:sz w:val="22"/>
                <w:szCs w:val="22"/>
                <w:highlight w:val="none"/>
                <w:lang w:val="en-GB"/>
              </w:rPr>
              <w:t>分。</w:t>
            </w:r>
          </w:p>
        </w:tc>
        <w:tc>
          <w:tcPr>
            <w:tcW w:w="912" w:type="dxa"/>
            <w:tcBorders>
              <w:top w:val="single" w:color="auto" w:sz="4" w:space="0"/>
              <w:bottom w:val="single" w:color="auto" w:sz="4" w:space="0"/>
            </w:tcBorders>
            <w:vAlign w:val="center"/>
          </w:tcPr>
          <w:p>
            <w:pPr>
              <w:widowControl/>
              <w:snapToGrid w:val="0"/>
              <w:jc w:val="center"/>
              <w:rPr>
                <w:rFonts w:hint="eastAsia" w:ascii="宋体" w:hAnsi="宋体" w:eastAsia="宋体" w:cs="宋体"/>
                <w:color w:val="auto"/>
                <w:highlight w:val="none"/>
                <w:lang w:eastAsia="zh-CN"/>
              </w:rPr>
            </w:pPr>
            <w:r>
              <w:rPr>
                <w:rFonts w:hint="eastAsia" w:ascii="宋体" w:hAnsi="宋体"/>
                <w:bCs/>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713" w:type="dxa"/>
            <w:tcBorders>
              <w:top w:val="single" w:color="auto" w:sz="4" w:space="0"/>
              <w:bottom w:val="single" w:color="auto" w:sz="4" w:space="0"/>
            </w:tcBorders>
            <w:vAlign w:val="center"/>
          </w:tcPr>
          <w:p>
            <w:pPr>
              <w:snapToGrid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2268" w:type="dxa"/>
            <w:tcBorders>
              <w:top w:val="single" w:color="auto" w:sz="4" w:space="0"/>
              <w:bottom w:val="single" w:color="auto" w:sz="4" w:space="0"/>
            </w:tcBorders>
            <w:vAlign w:val="center"/>
          </w:tcPr>
          <w:p>
            <w:pPr>
              <w:jc w:val="center"/>
              <w:rPr>
                <w:rFonts w:hint="eastAsia" w:cs="宋体"/>
                <w:color w:val="auto"/>
                <w:kern w:val="0"/>
                <w:sz w:val="22"/>
                <w:szCs w:val="22"/>
                <w:highlight w:val="none"/>
              </w:rPr>
            </w:pPr>
            <w:r>
              <w:rPr>
                <w:rFonts w:hint="eastAsia" w:cs="宋体"/>
                <w:color w:val="auto"/>
                <w:kern w:val="0"/>
                <w:sz w:val="22"/>
                <w:szCs w:val="22"/>
                <w:highlight w:val="none"/>
              </w:rPr>
              <w:t>产品质量保证</w:t>
            </w:r>
          </w:p>
        </w:tc>
        <w:tc>
          <w:tcPr>
            <w:tcW w:w="5807" w:type="dxa"/>
            <w:tcBorders>
              <w:top w:val="single" w:color="auto" w:sz="4" w:space="0"/>
              <w:bottom w:val="single" w:color="auto" w:sz="4" w:space="0"/>
            </w:tcBorders>
            <w:vAlign w:val="center"/>
          </w:tcPr>
          <w:p>
            <w:pPr>
              <w:widowControl/>
              <w:jc w:val="left"/>
              <w:rPr>
                <w:rFonts w:hint="eastAsia" w:cs="宋体"/>
                <w:color w:val="auto"/>
                <w:kern w:val="0"/>
                <w:sz w:val="22"/>
                <w:szCs w:val="22"/>
                <w:highlight w:val="none"/>
                <w:lang w:val="en-GB"/>
              </w:rPr>
            </w:pPr>
            <w:r>
              <w:rPr>
                <w:rFonts w:hint="eastAsia" w:cs="宋体"/>
                <w:color w:val="auto"/>
                <w:kern w:val="0"/>
                <w:sz w:val="22"/>
                <w:szCs w:val="22"/>
                <w:highlight w:val="none"/>
                <w:lang w:val="en-GB" w:eastAsia="zh-CN"/>
              </w:rPr>
              <w:t>所投电线电缆需符合GB/T19666-2005/GB/T12706.1-2008检测标准，在20℃时导体直流电阻≤0.461欧姆，成品耐压试验3.5KV5Min不击穿，成束燃烧试验3.5L/m，40min试样上炭化长度不超过喷底边向上2.5m，停火的试样上的有焰燃烧时间不超过1H，</w:t>
            </w:r>
            <w:r>
              <w:rPr>
                <w:rFonts w:hint="eastAsia" w:cs="宋体"/>
                <w:color w:val="auto"/>
                <w:kern w:val="0"/>
                <w:sz w:val="22"/>
                <w:szCs w:val="22"/>
                <w:highlight w:val="none"/>
                <w:lang w:val="en-US" w:eastAsia="zh-CN"/>
              </w:rPr>
              <w:t>每一项满足要求的得1.5分，满分7.5分，</w:t>
            </w:r>
            <w:r>
              <w:rPr>
                <w:rFonts w:hint="eastAsia" w:cs="宋体"/>
                <w:color w:val="auto"/>
                <w:kern w:val="0"/>
                <w:sz w:val="22"/>
                <w:szCs w:val="22"/>
                <w:highlight w:val="none"/>
                <w:lang w:val="en-GB" w:eastAsia="zh-CN"/>
              </w:rPr>
              <w:t>其他不得分。（提供由市级或以上有资质的第三方检测机构出具的检测报告复印件，不提供不得分）。</w:t>
            </w:r>
          </w:p>
        </w:tc>
        <w:tc>
          <w:tcPr>
            <w:tcW w:w="912" w:type="dxa"/>
            <w:tcBorders>
              <w:top w:val="single" w:color="auto" w:sz="4" w:space="0"/>
              <w:bottom w:val="single" w:color="auto" w:sz="4" w:space="0"/>
            </w:tcBorders>
            <w:vAlign w:val="center"/>
          </w:tcPr>
          <w:p>
            <w:pPr>
              <w:pStyle w:val="210"/>
              <w:jc w:val="center"/>
              <w:rPr>
                <w:rFonts w:hint="default" w:ascii="宋体" w:hAnsi="宋体" w:eastAsia="宋体"/>
                <w:bCs/>
                <w:color w:val="auto"/>
                <w:kern w:val="0"/>
                <w:szCs w:val="21"/>
                <w:highlight w:val="none"/>
                <w:lang w:val="en-US" w:eastAsia="zh-CN"/>
              </w:rPr>
            </w:pPr>
            <w:r>
              <w:rPr>
                <w:rFonts w:hint="eastAsia" w:ascii="宋体" w:hAnsi="宋体"/>
                <w:color w:val="auto"/>
                <w:szCs w:val="21"/>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71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p>
        </w:tc>
        <w:tc>
          <w:tcPr>
            <w:tcW w:w="2268" w:type="dxa"/>
            <w:tcBorders>
              <w:top w:val="single" w:color="auto" w:sz="4" w:space="0"/>
              <w:bottom w:val="single" w:color="auto" w:sz="4" w:space="0"/>
            </w:tcBorders>
            <w:vAlign w:val="center"/>
          </w:tcPr>
          <w:p>
            <w:pPr>
              <w:widowControl/>
              <w:jc w:val="left"/>
              <w:rPr>
                <w:rFonts w:hint="eastAsia" w:cs="宋体"/>
                <w:color w:val="auto"/>
                <w:kern w:val="0"/>
                <w:sz w:val="22"/>
                <w:szCs w:val="22"/>
                <w:highlight w:val="none"/>
              </w:rPr>
            </w:pPr>
            <w:r>
              <w:rPr>
                <w:rFonts w:hint="eastAsia" w:cs="宋体"/>
                <w:color w:val="auto"/>
                <w:kern w:val="0"/>
                <w:sz w:val="22"/>
                <w:szCs w:val="22"/>
                <w:highlight w:val="none"/>
                <w:lang w:val="en-US" w:eastAsia="zh-CN"/>
              </w:rPr>
              <w:t>施工材料</w:t>
            </w:r>
          </w:p>
        </w:tc>
        <w:tc>
          <w:tcPr>
            <w:tcW w:w="5807" w:type="dxa"/>
            <w:tcBorders>
              <w:top w:val="single" w:color="auto" w:sz="4" w:space="0"/>
              <w:bottom w:val="single" w:color="auto" w:sz="4" w:space="0"/>
            </w:tcBorders>
            <w:vAlign w:val="center"/>
          </w:tcPr>
          <w:p>
            <w:pPr>
              <w:widowControl/>
              <w:jc w:val="left"/>
              <w:rPr>
                <w:rFonts w:hint="eastAsia" w:cs="宋体"/>
                <w:color w:val="auto"/>
                <w:kern w:val="0"/>
                <w:sz w:val="22"/>
                <w:szCs w:val="22"/>
                <w:highlight w:val="none"/>
              </w:rPr>
            </w:pPr>
            <w:r>
              <w:rPr>
                <w:rFonts w:hint="eastAsia" w:cs="宋体"/>
                <w:color w:val="auto"/>
                <w:kern w:val="0"/>
                <w:sz w:val="22"/>
                <w:szCs w:val="22"/>
                <w:highlight w:val="none"/>
                <w:lang w:val="en-US" w:eastAsia="zh-CN"/>
              </w:rPr>
              <w:t>按照本第三章采购人需求书附表《</w:t>
            </w:r>
            <w:r>
              <w:rPr>
                <w:rFonts w:hint="eastAsia" w:cs="宋体"/>
                <w:color w:val="auto"/>
                <w:kern w:val="0"/>
                <w:sz w:val="22"/>
                <w:szCs w:val="22"/>
                <w:highlight w:val="none"/>
                <w:lang w:val="zh-CN"/>
              </w:rPr>
              <w:t>主要材料设备</w:t>
            </w:r>
            <w:r>
              <w:rPr>
                <w:rFonts w:hint="eastAsia" w:cs="宋体"/>
                <w:color w:val="auto"/>
                <w:kern w:val="0"/>
                <w:sz w:val="22"/>
                <w:szCs w:val="22"/>
                <w:highlight w:val="none"/>
                <w:lang w:val="en-US" w:eastAsia="zh-CN"/>
              </w:rPr>
              <w:t>采购一览表》表中所提供选材范围95%≤选材比率≤100%选用的，得7.5分，90%≤选材比率＜95%选用的，得3分，80%≤选材比率＜90%选用的，得1分，其他得0分。</w:t>
            </w:r>
          </w:p>
        </w:tc>
        <w:tc>
          <w:tcPr>
            <w:tcW w:w="912" w:type="dxa"/>
            <w:tcBorders>
              <w:top w:val="single" w:color="auto" w:sz="4" w:space="0"/>
              <w:bottom w:val="single" w:color="auto" w:sz="4" w:space="0"/>
            </w:tcBorders>
            <w:vAlign w:val="center"/>
          </w:tcPr>
          <w:p>
            <w:pPr>
              <w:pStyle w:val="21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788" w:type="dxa"/>
            <w:gridSpan w:val="3"/>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912" w:type="dxa"/>
            <w:tcBorders>
              <w:top w:val="single" w:color="auto" w:sz="4" w:space="0"/>
              <w:bottom w:val="single" w:color="auto" w:sz="4" w:space="0"/>
            </w:tcBorders>
            <w:vAlign w:val="center"/>
          </w:tcPr>
          <w:p>
            <w:pPr>
              <w:snapToGrid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color w:val="auto"/>
          <w:highlight w:val="none"/>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 xml:space="preserve">项目编号：                                                  </w:t>
      </w:r>
      <w:r>
        <w:rPr>
          <w:rFonts w:hint="eastAsia" w:ascii="宋体" w:hAnsi="宋体" w:cs="宋体"/>
          <w:color w:val="auto"/>
          <w:highlight w:val="none"/>
        </w:rPr>
        <w:t xml:space="preserve"> </w:t>
      </w:r>
    </w:p>
    <w:tbl>
      <w:tblPr>
        <w:tblStyle w:val="90"/>
        <w:tblW w:w="96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1"/>
        <w:gridCol w:w="1088"/>
        <w:gridCol w:w="7062"/>
        <w:gridCol w:w="9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4" w:hRule="atLeast"/>
          <w:tblHeader/>
          <w:jc w:val="center"/>
        </w:trPr>
        <w:tc>
          <w:tcPr>
            <w:tcW w:w="531"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108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706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959"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531"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1088" w:type="dxa"/>
            <w:tcBorders>
              <w:top w:val="single" w:color="auto" w:sz="4" w:space="0"/>
              <w:bottom w:val="single" w:color="auto" w:sz="4" w:space="0"/>
            </w:tcBorders>
            <w:vAlign w:val="center"/>
          </w:tcPr>
          <w:p>
            <w:pPr>
              <w:pStyle w:val="183"/>
              <w:jc w:val="center"/>
              <w:rPr>
                <w:rFonts w:ascii="宋体" w:hAnsi="宋体" w:cs="宋体"/>
                <w:color w:val="auto"/>
                <w:highlight w:val="none"/>
              </w:rPr>
            </w:pPr>
            <w:r>
              <w:rPr>
                <w:rFonts w:hint="eastAsia" w:ascii="宋体" w:hAnsi="宋体"/>
                <w:color w:val="auto"/>
                <w:szCs w:val="21"/>
                <w:highlight w:val="none"/>
                <w:lang w:val="en-GB"/>
              </w:rPr>
              <w:t>同类项目业绩</w:t>
            </w:r>
          </w:p>
        </w:tc>
        <w:tc>
          <w:tcPr>
            <w:tcW w:w="7062" w:type="dxa"/>
            <w:tcBorders>
              <w:top w:val="single" w:color="auto" w:sz="4" w:space="0"/>
              <w:bottom w:val="single" w:color="auto" w:sz="4" w:space="0"/>
            </w:tcBorders>
            <w:vAlign w:val="center"/>
          </w:tcPr>
          <w:p>
            <w:pPr>
              <w:rPr>
                <w:rFonts w:ascii="宋体" w:hAnsi="宋体" w:cs="宋体"/>
                <w:color w:val="auto"/>
                <w:highlight w:val="none"/>
              </w:rPr>
            </w:pPr>
            <w:r>
              <w:rPr>
                <w:rFonts w:hint="eastAsia" w:cs="宋体"/>
                <w:color w:val="auto"/>
                <w:kern w:val="0"/>
                <w:szCs w:val="21"/>
                <w:highlight w:val="none"/>
              </w:rPr>
              <w:t>提供2019年以来完成类似项目业</w:t>
            </w:r>
            <w:r>
              <w:rPr>
                <w:rFonts w:hint="eastAsia" w:cs="宋体"/>
                <w:b w:val="0"/>
                <w:bCs w:val="0"/>
                <w:color w:val="auto"/>
                <w:kern w:val="0"/>
                <w:szCs w:val="21"/>
                <w:highlight w:val="none"/>
              </w:rPr>
              <w:t>绩（</w:t>
            </w:r>
            <w:r>
              <w:rPr>
                <w:rFonts w:hint="eastAsia" w:cs="宋体"/>
                <w:b w:val="0"/>
                <w:bCs w:val="0"/>
                <w:color w:val="auto"/>
                <w:kern w:val="0"/>
                <w:szCs w:val="21"/>
                <w:highlight w:val="none"/>
                <w:lang w:val="en-US" w:eastAsia="zh-CN"/>
              </w:rPr>
              <w:t>附</w:t>
            </w:r>
            <w:r>
              <w:rPr>
                <w:rFonts w:hint="eastAsia" w:ascii="宋体" w:hAnsi="宋体"/>
                <w:b w:val="0"/>
                <w:bCs w:val="0"/>
                <w:color w:val="auto"/>
                <w:szCs w:val="21"/>
                <w:highlight w:val="none"/>
              </w:rPr>
              <w:t>上成交/中标通知书或合同复印件</w:t>
            </w:r>
            <w:r>
              <w:rPr>
                <w:rFonts w:hint="eastAsia" w:cs="宋体"/>
                <w:b w:val="0"/>
                <w:bCs w:val="0"/>
                <w:color w:val="auto"/>
                <w:kern w:val="0"/>
                <w:szCs w:val="21"/>
                <w:highlight w:val="none"/>
              </w:rPr>
              <w:t>）</w:t>
            </w:r>
            <w:r>
              <w:rPr>
                <w:rFonts w:hint="eastAsia" w:cs="宋体"/>
                <w:color w:val="auto"/>
                <w:kern w:val="0"/>
                <w:szCs w:val="21"/>
                <w:highlight w:val="none"/>
              </w:rPr>
              <w:t>每提供一份业绩得</w:t>
            </w:r>
            <w:r>
              <w:rPr>
                <w:rFonts w:hint="eastAsia" w:cs="宋体"/>
                <w:color w:val="auto"/>
                <w:kern w:val="0"/>
                <w:szCs w:val="21"/>
                <w:highlight w:val="none"/>
                <w:lang w:val="en-US" w:eastAsia="zh-CN"/>
              </w:rPr>
              <w:t>2</w:t>
            </w:r>
            <w:r>
              <w:rPr>
                <w:rFonts w:hint="eastAsia" w:cs="宋体"/>
                <w:color w:val="auto"/>
                <w:kern w:val="0"/>
                <w:szCs w:val="21"/>
                <w:highlight w:val="none"/>
              </w:rPr>
              <w:t>分，满分</w:t>
            </w:r>
            <w:r>
              <w:rPr>
                <w:rFonts w:hint="eastAsia" w:cs="宋体"/>
                <w:color w:val="auto"/>
                <w:kern w:val="0"/>
                <w:szCs w:val="21"/>
                <w:highlight w:val="none"/>
                <w:lang w:val="en-US" w:eastAsia="zh-CN"/>
              </w:rPr>
              <w:t>10</w:t>
            </w:r>
            <w:r>
              <w:rPr>
                <w:rFonts w:hint="eastAsia" w:cs="宋体"/>
                <w:color w:val="auto"/>
                <w:kern w:val="0"/>
                <w:szCs w:val="21"/>
                <w:highlight w:val="none"/>
              </w:rPr>
              <w:t>分。</w:t>
            </w:r>
          </w:p>
        </w:tc>
        <w:tc>
          <w:tcPr>
            <w:tcW w:w="959" w:type="dxa"/>
            <w:tcBorders>
              <w:top w:val="single" w:color="auto" w:sz="4" w:space="0"/>
              <w:bottom w:val="single" w:color="auto" w:sz="4" w:space="0"/>
            </w:tcBorders>
            <w:vAlign w:val="center"/>
          </w:tcPr>
          <w:p>
            <w:pPr>
              <w:pStyle w:val="183"/>
              <w:jc w:val="center"/>
              <w:rPr>
                <w:rFonts w:hint="eastAsia" w:ascii="宋体" w:hAnsi="宋体" w:eastAsia="宋体" w:cs="宋体"/>
                <w:color w:val="auto"/>
                <w:highlight w:val="none"/>
                <w:lang w:val="en-US" w:eastAsia="zh-CN"/>
              </w:rPr>
            </w:pPr>
            <w:r>
              <w:rPr>
                <w:rFonts w:hint="eastAsia" w:ascii="宋体" w:hAnsi="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31"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w:t>
            </w:r>
          </w:p>
        </w:tc>
        <w:tc>
          <w:tcPr>
            <w:tcW w:w="1088" w:type="dxa"/>
            <w:tcBorders>
              <w:top w:val="single" w:color="auto" w:sz="4" w:space="0"/>
              <w:bottom w:val="single" w:color="auto" w:sz="4" w:space="0"/>
            </w:tcBorders>
            <w:vAlign w:val="center"/>
          </w:tcPr>
          <w:p>
            <w:pPr>
              <w:jc w:val="center"/>
              <w:rPr>
                <w:rFonts w:hint="eastAsia" w:ascii="宋体" w:hAnsi="宋体" w:cs="宋体"/>
                <w:color w:val="auto"/>
                <w:highlight w:val="none"/>
              </w:rPr>
            </w:pPr>
            <w:r>
              <w:rPr>
                <w:rFonts w:hint="eastAsia" w:cs="宋体"/>
                <w:color w:val="auto"/>
                <w:kern w:val="0"/>
                <w:szCs w:val="21"/>
                <w:highlight w:val="none"/>
              </w:rPr>
              <w:t>售后服务方案</w:t>
            </w:r>
          </w:p>
        </w:tc>
        <w:tc>
          <w:tcPr>
            <w:tcW w:w="7062" w:type="dxa"/>
            <w:tcBorders>
              <w:top w:val="single" w:color="auto" w:sz="4" w:space="0"/>
              <w:bottom w:val="single" w:color="auto" w:sz="4" w:space="0"/>
            </w:tcBorders>
            <w:vAlign w:val="center"/>
          </w:tcPr>
          <w:p>
            <w:pPr>
              <w:widowControl/>
              <w:jc w:val="left"/>
              <w:rPr>
                <w:rFonts w:hint="eastAsia" w:ascii="宋体" w:hAnsi="宋体"/>
                <w:color w:val="auto"/>
                <w:szCs w:val="21"/>
                <w:highlight w:val="none"/>
                <w:lang w:val="zh-CN"/>
              </w:rPr>
            </w:pPr>
            <w:r>
              <w:rPr>
                <w:rFonts w:hint="eastAsia" w:ascii="宋体" w:hAnsi="宋体"/>
                <w:color w:val="auto"/>
                <w:szCs w:val="21"/>
                <w:highlight w:val="none"/>
                <w:lang w:val="zh-CN"/>
              </w:rPr>
              <w:t>对比投标人对本项目售后服务要求的响应情况：</w:t>
            </w:r>
          </w:p>
          <w:p>
            <w:pPr>
              <w:widowControl/>
              <w:jc w:val="left"/>
              <w:rPr>
                <w:rFonts w:cs="宋体"/>
                <w:color w:val="auto"/>
                <w:kern w:val="0"/>
                <w:szCs w:val="21"/>
                <w:highlight w:val="none"/>
              </w:rPr>
            </w:pPr>
            <w:r>
              <w:rPr>
                <w:rFonts w:hint="eastAsia" w:ascii="宋体" w:hAnsi="宋体"/>
                <w:color w:val="auto"/>
                <w:szCs w:val="21"/>
                <w:highlight w:val="none"/>
                <w:lang w:val="en-US" w:eastAsia="zh-CN"/>
              </w:rPr>
              <w:t>1.</w:t>
            </w:r>
            <w:r>
              <w:rPr>
                <w:rFonts w:hint="eastAsia" w:ascii="宋体" w:hAnsi="宋体" w:cs="宋体"/>
                <w:color w:val="auto"/>
                <w:szCs w:val="21"/>
                <w:highlight w:val="none"/>
                <w:lang w:val="zh-CN"/>
              </w:rPr>
              <w:t>完全满足或优于招标要求的，</w:t>
            </w:r>
            <w:r>
              <w:rPr>
                <w:rFonts w:hint="eastAsia" w:cs="宋体"/>
                <w:color w:val="auto"/>
                <w:kern w:val="0"/>
                <w:szCs w:val="21"/>
                <w:highlight w:val="none"/>
              </w:rPr>
              <w:t>提供详尽的售后服务方案，实施步骤清晰，承诺细致、满足用户要求，得</w:t>
            </w:r>
            <w:r>
              <w:rPr>
                <w:rFonts w:hint="eastAsia" w:cs="宋体"/>
                <w:color w:val="auto"/>
                <w:kern w:val="0"/>
                <w:szCs w:val="21"/>
                <w:highlight w:val="none"/>
                <w:lang w:val="en-US" w:eastAsia="zh-CN"/>
              </w:rPr>
              <w:t>8-10</w:t>
            </w:r>
            <w:r>
              <w:rPr>
                <w:rFonts w:hint="eastAsia" w:cs="宋体"/>
                <w:color w:val="auto"/>
                <w:kern w:val="0"/>
                <w:szCs w:val="21"/>
                <w:highlight w:val="none"/>
              </w:rPr>
              <w:t>分。</w:t>
            </w:r>
          </w:p>
          <w:p>
            <w:pPr>
              <w:widowControl/>
              <w:jc w:val="left"/>
              <w:rPr>
                <w:rFonts w:cs="宋体"/>
                <w:color w:val="auto"/>
                <w:kern w:val="0"/>
                <w:szCs w:val="21"/>
                <w:highlight w:val="none"/>
              </w:rPr>
            </w:pPr>
            <w:r>
              <w:rPr>
                <w:rFonts w:hint="eastAsia" w:cs="宋体"/>
                <w:color w:val="auto"/>
                <w:kern w:val="0"/>
                <w:szCs w:val="21"/>
                <w:highlight w:val="none"/>
              </w:rPr>
              <w:t>2.有提供售后服务方案，但叙述一般，步骤较清晰，承诺一般、满足用户要求一般，得</w:t>
            </w:r>
            <w:r>
              <w:rPr>
                <w:rFonts w:hint="eastAsia" w:cs="宋体"/>
                <w:color w:val="auto"/>
                <w:kern w:val="0"/>
                <w:szCs w:val="21"/>
                <w:highlight w:val="none"/>
                <w:lang w:val="en-US" w:eastAsia="zh-CN"/>
              </w:rPr>
              <w:t>4-7</w:t>
            </w:r>
            <w:r>
              <w:rPr>
                <w:rFonts w:hint="eastAsia" w:cs="宋体"/>
                <w:color w:val="auto"/>
                <w:kern w:val="0"/>
                <w:szCs w:val="21"/>
                <w:highlight w:val="none"/>
              </w:rPr>
              <w:t>分。</w:t>
            </w:r>
          </w:p>
          <w:p>
            <w:pPr>
              <w:widowControl/>
              <w:jc w:val="left"/>
              <w:rPr>
                <w:rFonts w:cs="宋体"/>
                <w:color w:val="auto"/>
                <w:kern w:val="0"/>
                <w:szCs w:val="21"/>
                <w:highlight w:val="none"/>
              </w:rPr>
            </w:pPr>
            <w:r>
              <w:rPr>
                <w:rFonts w:hint="eastAsia" w:cs="宋体"/>
                <w:color w:val="auto"/>
                <w:kern w:val="0"/>
                <w:szCs w:val="21"/>
                <w:highlight w:val="none"/>
              </w:rPr>
              <w:t>3.有提供售后服务方案，但叙述不强，步骤不清晰，承诺不完整、满足用户要求较差，得</w:t>
            </w:r>
            <w:r>
              <w:rPr>
                <w:rFonts w:hint="eastAsia" w:cs="宋体"/>
                <w:color w:val="auto"/>
                <w:kern w:val="0"/>
                <w:szCs w:val="21"/>
                <w:highlight w:val="none"/>
                <w:lang w:val="en-US" w:eastAsia="zh-CN"/>
              </w:rPr>
              <w:t>1-3</w:t>
            </w:r>
            <w:r>
              <w:rPr>
                <w:rFonts w:hint="eastAsia" w:cs="宋体"/>
                <w:color w:val="auto"/>
                <w:kern w:val="0"/>
                <w:szCs w:val="21"/>
                <w:highlight w:val="none"/>
              </w:rPr>
              <w:t>分。</w:t>
            </w:r>
          </w:p>
          <w:p>
            <w:pPr>
              <w:jc w:val="left"/>
              <w:rPr>
                <w:rFonts w:hint="eastAsia" w:ascii="宋体" w:hAnsi="宋体" w:cs="宋体"/>
                <w:color w:val="auto"/>
                <w:highlight w:val="none"/>
              </w:rPr>
            </w:pPr>
            <w:r>
              <w:rPr>
                <w:rFonts w:hint="eastAsia" w:cs="宋体"/>
                <w:color w:val="auto"/>
                <w:kern w:val="0"/>
                <w:szCs w:val="21"/>
                <w:highlight w:val="none"/>
              </w:rPr>
              <w:t>4.其他不得分。</w:t>
            </w:r>
          </w:p>
        </w:tc>
        <w:tc>
          <w:tcPr>
            <w:tcW w:w="959" w:type="dxa"/>
            <w:tcBorders>
              <w:top w:val="single" w:color="auto" w:sz="4" w:space="0"/>
              <w:bottom w:val="single" w:color="auto" w:sz="4" w:space="0"/>
            </w:tcBorders>
            <w:vAlign w:val="center"/>
          </w:tcPr>
          <w:p>
            <w:pPr>
              <w:jc w:val="center"/>
              <w:rPr>
                <w:rFonts w:hint="eastAsia" w:ascii="宋体" w:hAnsi="宋体" w:eastAsia="宋体" w:cs="宋体"/>
                <w:color w:val="auto"/>
                <w:highlight w:val="none"/>
                <w:lang w:val="en-US" w:eastAsia="zh-CN"/>
              </w:rPr>
            </w:pPr>
            <w:r>
              <w:rPr>
                <w:rFonts w:hint="eastAsia" w:ascii="宋体" w:hAnsi="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531"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3</w:t>
            </w:r>
          </w:p>
        </w:tc>
        <w:tc>
          <w:tcPr>
            <w:tcW w:w="1088" w:type="dxa"/>
            <w:tcBorders>
              <w:top w:val="single" w:color="auto" w:sz="4" w:space="0"/>
              <w:bottom w:val="single" w:color="auto" w:sz="4" w:space="0"/>
            </w:tcBorders>
            <w:vAlign w:val="center"/>
          </w:tcPr>
          <w:p>
            <w:pPr>
              <w:jc w:val="center"/>
              <w:rPr>
                <w:rFonts w:hint="eastAsia" w:ascii="宋体" w:hAnsi="宋体" w:cs="宋体"/>
                <w:color w:val="auto"/>
                <w:highlight w:val="none"/>
              </w:rPr>
            </w:pPr>
            <w:r>
              <w:rPr>
                <w:rFonts w:hint="eastAsia" w:cs="宋体"/>
                <w:color w:val="auto"/>
                <w:kern w:val="0"/>
                <w:szCs w:val="21"/>
                <w:highlight w:val="none"/>
              </w:rPr>
              <w:t>质量保修期年限</w:t>
            </w:r>
          </w:p>
        </w:tc>
        <w:tc>
          <w:tcPr>
            <w:tcW w:w="7062"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本项目竞争性磋商文件规定的</w:t>
            </w:r>
            <w:r>
              <w:rPr>
                <w:rFonts w:hint="eastAsia" w:cs="宋体"/>
                <w:color w:val="auto"/>
                <w:kern w:val="0"/>
                <w:sz w:val="22"/>
                <w:szCs w:val="22"/>
                <w:highlight w:val="none"/>
              </w:rPr>
              <w:t>质量保修期不低于一年，每增</w:t>
            </w:r>
            <w:r>
              <w:rPr>
                <w:rFonts w:hint="eastAsia" w:cs="宋体"/>
                <w:color w:val="auto"/>
                <w:kern w:val="0"/>
                <w:szCs w:val="21"/>
                <w:highlight w:val="none"/>
              </w:rPr>
              <w:t>加一年得1分。</w:t>
            </w:r>
          </w:p>
          <w:p>
            <w:pPr>
              <w:jc w:val="left"/>
              <w:rPr>
                <w:rFonts w:hint="eastAsia" w:ascii="宋体" w:hAnsi="宋体" w:cs="宋体"/>
                <w:color w:val="auto"/>
                <w:highlight w:val="none"/>
              </w:rPr>
            </w:pPr>
            <w:r>
              <w:rPr>
                <w:rFonts w:hint="eastAsia" w:cs="宋体"/>
                <w:color w:val="auto"/>
                <w:kern w:val="0"/>
                <w:szCs w:val="21"/>
                <w:highlight w:val="none"/>
              </w:rPr>
              <w:t>此项满分为</w:t>
            </w:r>
            <w:r>
              <w:rPr>
                <w:rFonts w:hint="eastAsia" w:cs="宋体"/>
                <w:color w:val="auto"/>
                <w:kern w:val="0"/>
                <w:szCs w:val="21"/>
                <w:highlight w:val="none"/>
                <w:lang w:val="en-US" w:eastAsia="zh-CN"/>
              </w:rPr>
              <w:t>5</w:t>
            </w:r>
            <w:r>
              <w:rPr>
                <w:rFonts w:hint="eastAsia" w:cs="宋体"/>
                <w:color w:val="auto"/>
                <w:kern w:val="0"/>
                <w:szCs w:val="21"/>
                <w:highlight w:val="none"/>
              </w:rPr>
              <w:t>分。</w:t>
            </w:r>
          </w:p>
        </w:tc>
        <w:tc>
          <w:tcPr>
            <w:tcW w:w="959" w:type="dxa"/>
            <w:tcBorders>
              <w:top w:val="single" w:color="auto" w:sz="4" w:space="0"/>
              <w:bottom w:val="single" w:color="auto" w:sz="4" w:space="0"/>
            </w:tcBorders>
            <w:vAlign w:val="center"/>
          </w:tcPr>
          <w:p>
            <w:pPr>
              <w:jc w:val="center"/>
              <w:rPr>
                <w:rFonts w:hint="eastAsia" w:ascii="宋体" w:hAnsi="宋体" w:eastAsia="宋体" w:cs="宋体"/>
                <w:color w:val="auto"/>
                <w:highlight w:val="none"/>
                <w:lang w:eastAsia="zh-CN"/>
              </w:rPr>
            </w:pPr>
            <w:r>
              <w:rPr>
                <w:rFonts w:hint="eastAsia" w:ascii="宋体" w:hAnsi="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531"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1088" w:type="dxa"/>
            <w:tcBorders>
              <w:top w:val="single" w:color="auto" w:sz="4" w:space="0"/>
              <w:bottom w:val="single" w:color="auto" w:sz="4" w:space="0"/>
            </w:tcBorders>
            <w:vAlign w:val="center"/>
          </w:tcPr>
          <w:p>
            <w:pPr>
              <w:pStyle w:val="183"/>
              <w:jc w:val="center"/>
              <w:rPr>
                <w:rFonts w:hint="eastAsia" w:cs="宋体"/>
                <w:color w:val="auto"/>
                <w:kern w:val="0"/>
                <w:szCs w:val="21"/>
                <w:highlight w:val="none"/>
              </w:rPr>
            </w:pPr>
            <w:r>
              <w:rPr>
                <w:rFonts w:hint="eastAsia" w:cs="宋体"/>
                <w:color w:val="auto"/>
                <w:kern w:val="0"/>
                <w:szCs w:val="21"/>
                <w:highlight w:val="none"/>
              </w:rPr>
              <w:t>售后服务响应时间</w:t>
            </w:r>
          </w:p>
        </w:tc>
        <w:tc>
          <w:tcPr>
            <w:tcW w:w="7062"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1.售后服务响应时间最快能到达现场的，得</w:t>
            </w:r>
            <w:r>
              <w:rPr>
                <w:rFonts w:hint="eastAsia" w:cs="宋体"/>
                <w:color w:val="auto"/>
                <w:kern w:val="0"/>
                <w:szCs w:val="21"/>
                <w:highlight w:val="none"/>
                <w:lang w:val="en-US" w:eastAsia="zh-CN"/>
              </w:rPr>
              <w:t>5</w:t>
            </w:r>
            <w:r>
              <w:rPr>
                <w:rFonts w:hint="eastAsia" w:cs="宋体"/>
                <w:color w:val="auto"/>
                <w:kern w:val="0"/>
                <w:szCs w:val="21"/>
                <w:highlight w:val="none"/>
              </w:rPr>
              <w:t>分。</w:t>
            </w:r>
          </w:p>
          <w:p>
            <w:pPr>
              <w:widowControl/>
              <w:jc w:val="left"/>
              <w:rPr>
                <w:rFonts w:cs="宋体"/>
                <w:color w:val="auto"/>
                <w:kern w:val="0"/>
                <w:szCs w:val="21"/>
                <w:highlight w:val="none"/>
              </w:rPr>
            </w:pPr>
            <w:r>
              <w:rPr>
                <w:rFonts w:hint="eastAsia" w:cs="宋体"/>
                <w:color w:val="auto"/>
                <w:kern w:val="0"/>
                <w:szCs w:val="21"/>
                <w:highlight w:val="none"/>
              </w:rPr>
              <w:t>2.售后服务响应时间比较快能到达现场的，得</w:t>
            </w:r>
            <w:r>
              <w:rPr>
                <w:rFonts w:hint="eastAsia" w:cs="宋体"/>
                <w:color w:val="auto"/>
                <w:kern w:val="0"/>
                <w:szCs w:val="21"/>
                <w:highlight w:val="none"/>
                <w:lang w:val="en-US" w:eastAsia="zh-CN"/>
              </w:rPr>
              <w:t>3</w:t>
            </w:r>
            <w:r>
              <w:rPr>
                <w:rFonts w:hint="eastAsia" w:cs="宋体"/>
                <w:color w:val="auto"/>
                <w:kern w:val="0"/>
                <w:szCs w:val="21"/>
                <w:highlight w:val="none"/>
              </w:rPr>
              <w:t>分。</w:t>
            </w:r>
          </w:p>
          <w:p>
            <w:pPr>
              <w:widowControl/>
              <w:jc w:val="left"/>
              <w:rPr>
                <w:rFonts w:cs="宋体"/>
                <w:color w:val="auto"/>
                <w:kern w:val="0"/>
                <w:szCs w:val="21"/>
                <w:highlight w:val="none"/>
              </w:rPr>
            </w:pPr>
            <w:r>
              <w:rPr>
                <w:rFonts w:hint="eastAsia" w:cs="宋体"/>
                <w:color w:val="auto"/>
                <w:kern w:val="0"/>
                <w:szCs w:val="21"/>
                <w:highlight w:val="none"/>
              </w:rPr>
              <w:t>3.售后服务响应时间一般，得1分。</w:t>
            </w:r>
          </w:p>
          <w:p>
            <w:pPr>
              <w:rPr>
                <w:rFonts w:hint="eastAsia" w:cs="宋体"/>
                <w:color w:val="auto"/>
                <w:kern w:val="0"/>
                <w:szCs w:val="21"/>
                <w:highlight w:val="none"/>
              </w:rPr>
            </w:pPr>
            <w:r>
              <w:rPr>
                <w:rFonts w:hint="eastAsia" w:cs="宋体"/>
                <w:color w:val="auto"/>
                <w:kern w:val="0"/>
                <w:szCs w:val="21"/>
                <w:highlight w:val="none"/>
              </w:rPr>
              <w:t>4.其他不得分。</w:t>
            </w:r>
          </w:p>
        </w:tc>
        <w:tc>
          <w:tcPr>
            <w:tcW w:w="959" w:type="dxa"/>
            <w:tcBorders>
              <w:top w:val="single" w:color="auto" w:sz="4" w:space="0"/>
              <w:bottom w:val="single" w:color="auto" w:sz="4" w:space="0"/>
            </w:tcBorders>
            <w:vAlign w:val="center"/>
          </w:tcPr>
          <w:p>
            <w:pPr>
              <w:pStyle w:val="183"/>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8681" w:type="dxa"/>
            <w:gridSpan w:val="3"/>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959"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rPr>
            </w:pPr>
            <w:r>
              <w:rPr>
                <w:rFonts w:hint="eastAsia" w:ascii="宋体" w:hAnsi="宋体" w:cs="宋体"/>
                <w:color w:val="auto"/>
                <w:highlight w:val="none"/>
                <w:lang w:val="en-US" w:eastAsia="zh-CN"/>
              </w:rPr>
              <w:t>30</w:t>
            </w:r>
          </w:p>
        </w:tc>
      </w:tr>
    </w:tbl>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4、磋商报价得分四舍五入后，小数点后保留两位有效数。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45" w:name="_Toc475104537"/>
      <w:bookmarkStart w:id="346"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45"/>
      <w:bookmarkEnd w:id="346"/>
    </w:p>
    <w:p>
      <w:pPr>
        <w:spacing w:line="360" w:lineRule="auto"/>
        <w:rPr>
          <w:rFonts w:ascii="宋体" w:hAnsi="宋体"/>
          <w:bCs/>
          <w:color w:val="auto"/>
          <w:sz w:val="28"/>
          <w:highlight w:val="none"/>
        </w:rPr>
      </w:pPr>
      <w:bookmarkStart w:id="347" w:name="_Toc34535358"/>
      <w:bookmarkStart w:id="348" w:name="_Toc35834912"/>
      <w:bookmarkStart w:id="349" w:name="_Toc14450838"/>
      <w:bookmarkStart w:id="350" w:name="_Toc109467908"/>
      <w:bookmarkStart w:id="351" w:name="_Toc28489496"/>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52" w:name="_Toc163481918"/>
      <w:r>
        <w:rPr>
          <w:rFonts w:hint="eastAsia"/>
          <w:color w:val="auto"/>
          <w:szCs w:val="30"/>
          <w:highlight w:val="none"/>
        </w:rPr>
        <w:br w:type="page"/>
      </w:r>
    </w:p>
    <w:p>
      <w:pPr>
        <w:pStyle w:val="5"/>
        <w:numPr>
          <w:ilvl w:val="0"/>
          <w:numId w:val="15"/>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5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cs="宋体"/>
                <w:color w:val="auto"/>
                <w:kern w:val="0"/>
                <w:sz w:val="22"/>
                <w:szCs w:val="22"/>
                <w:highlight w:val="none"/>
                <w:lang w:val="en-GB" w:eastAsia="zh-CN"/>
              </w:rPr>
              <w:t>市级或以上有资质的第三方检测机构出具的检测报告</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6"/>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rPr>
          <w:b/>
          <w:color w:val="auto"/>
          <w:szCs w:val="21"/>
          <w:highlight w:val="none"/>
        </w:rPr>
      </w:pPr>
    </w:p>
    <w:p>
      <w:pPr>
        <w:pStyle w:val="2"/>
        <w:rPr>
          <w:color w:val="auto"/>
          <w:highlight w:val="none"/>
        </w:rPr>
      </w:pPr>
    </w:p>
    <w:p>
      <w:pPr>
        <w:rPr>
          <w:color w:val="auto"/>
          <w:szCs w:val="30"/>
          <w:highlight w:val="none"/>
        </w:rPr>
      </w:pPr>
      <w:r>
        <w:rPr>
          <w:rFonts w:hint="eastAsia"/>
          <w:color w:val="auto"/>
          <w:szCs w:val="30"/>
          <w:highlight w:val="none"/>
        </w:rPr>
        <w:br w:type="page"/>
      </w:r>
    </w:p>
    <w:p>
      <w:pPr>
        <w:pStyle w:val="5"/>
        <w:numPr>
          <w:ilvl w:val="0"/>
          <w:numId w:val="15"/>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53" w:name="_Toc55816096"/>
      <w:bookmarkStart w:id="354" w:name="_Toc109467909"/>
      <w:bookmarkStart w:id="355" w:name="_Toc34535359"/>
      <w:bookmarkStart w:id="356" w:name="_Toc35834913"/>
      <w:bookmarkStart w:id="357" w:name="_Toc28489497"/>
      <w:bookmarkStart w:id="358" w:name="_Toc86065029"/>
      <w:bookmarkStart w:id="359" w:name="_Toc25224019"/>
      <w:bookmarkStart w:id="360" w:name="_Toc14450839"/>
      <w:bookmarkStart w:id="361" w:name="_Toc4144835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62" w:name="_Toc223939105"/>
      <w:r>
        <w:rPr>
          <w:rFonts w:hint="eastAsia" w:hAnsi="宋体"/>
          <w:color w:val="auto"/>
          <w:szCs w:val="21"/>
          <w:highlight w:val="none"/>
        </w:rPr>
        <w:t>现任我单位职务，为法定代表人，特此证明。</w:t>
      </w:r>
      <w:bookmarkEnd w:id="362"/>
      <w:bookmarkStart w:id="363"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63"/>
      <w:bookmarkStart w:id="364"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64"/>
      <w:bookmarkStart w:id="365"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365"/>
      <w:bookmarkStart w:id="366"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66"/>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90"/>
        <w:tblW w:w="9050" w:type="dxa"/>
        <w:tblInd w:w="0" w:type="dxa"/>
        <w:tblLayout w:type="fixed"/>
        <w:tblCellMar>
          <w:top w:w="15" w:type="dxa"/>
          <w:left w:w="15" w:type="dxa"/>
          <w:bottom w:w="15" w:type="dxa"/>
          <w:right w:w="15" w:type="dxa"/>
        </w:tblCellMar>
      </w:tblPr>
      <w:tblGrid>
        <w:gridCol w:w="554"/>
        <w:gridCol w:w="1025"/>
        <w:gridCol w:w="2274"/>
        <w:gridCol w:w="700"/>
        <w:gridCol w:w="755"/>
        <w:gridCol w:w="1080"/>
        <w:gridCol w:w="1402"/>
        <w:gridCol w:w="1260"/>
      </w:tblGrid>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序号</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货物名称</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型号规格</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数量</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单价（元）</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金额合计（元）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所投品牌</w:t>
            </w:r>
          </w:p>
        </w:tc>
      </w:tr>
      <w:tr>
        <w:tblPrEx>
          <w:tblCellMar>
            <w:top w:w="15" w:type="dxa"/>
            <w:left w:w="15" w:type="dxa"/>
            <w:bottom w:w="15" w:type="dxa"/>
            <w:right w:w="15" w:type="dxa"/>
          </w:tblCellMar>
        </w:tblPrEx>
        <w:trPr>
          <w:trHeight w:val="540" w:hRule="atLeast"/>
        </w:trPr>
        <w:tc>
          <w:tcPr>
            <w:tcW w:w="9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一、</w:t>
            </w:r>
            <w:r>
              <w:rPr>
                <w:rFonts w:hint="eastAsia" w:asciiTheme="majorEastAsia" w:hAnsiTheme="majorEastAsia" w:eastAsiaTheme="majorEastAsia" w:cstheme="majorEastAsia"/>
                <w:b/>
                <w:bCs/>
                <w:color w:val="auto"/>
                <w:kern w:val="0"/>
                <w:sz w:val="21"/>
                <w:szCs w:val="21"/>
                <w:highlight w:val="none"/>
              </w:rPr>
              <w:t>电气系统配电设备</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一层总配电箱1APS</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成套配电箱1APS-照明</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成套配电箱1APS-排风</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成套配电箱1APS-空调</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成套配电箱APS-洁净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成套配电箱1APS-洁净1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成套配电箱1APS2</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成套配电箱1APS3</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成套配电箱1APS4</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成套配电箱1APS5</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成套配电箱1APS6</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成套配电箱1APS7</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二层总配电箱2APS</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成套配电箱2APS-照明</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成套配电箱2APS-排风</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成套配电箱2APS-空调</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成套配电箱2APS-洁净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成套配电箱2APS2</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成套配电箱2APS3</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成套配电箱2APS4</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成套配电箱2APS5</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成套配电箱2APS6</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成套配电箱2APS7</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成套配电箱2APS-洁净1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成套配电箱2APS-洁净2</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成套配电箱2APS-洁净3</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悬挂嵌入式配电箱安装；成套配电箱安装；端子板接线；焊、压接线端子；盘柜配线；空气漏电开关采用正泰品牌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kern w:val="0"/>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29</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动力线路(铜芯) 导线截面绝缘导线ZRYJV  5X4mm2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785</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动力线路(铜芯) 导线截面绝缘导线ZRYJV  5X10mm2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90</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31</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动力线路(铜芯) 导线截面绝缘导线ZRYJV  5X16mm2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350</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动力线路(铜芯) 导线截面绝缘导线ZRYJV  3X25+2X16mm2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250</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动力线路(铜芯) 导线截面绝缘导线ZRYJV  3X35+2X16mm2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110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动力线路(铜芯) 导线截面绝缘导线ZRYJV  3X50+2X25mm2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动力线路(铜芯) 导线截面绝缘导线ZRYJV  3X185+2X95mm2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动力线路(铜芯) 导线截面绝缘导线ZRYJV  3X240+2X120mm2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动力线路(铜芯) 导线截面绝缘导线ZRYJV  5X2.5mm2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710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38</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电力电缆头5X2.5m2</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电力电缆头5X4m2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电力电缆头5X10mm2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电力电缆头5X16mm2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18</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电力电缆头3X25+2X16mm2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电力电缆头3X35+2X16mm2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电力电缆头3X50+2X25mm2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电力电缆头3X185+2X95mm2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电力电缆头3X240+2X120mm2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1.管内穿线 动力线路(铜芯) 导线截面绝缘导线ZRBVV 2.5mm2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6900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1.管内穿线 动力线路(铜芯) 导线截面绝缘导线ZRBVV 4mm2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18000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54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电线电缆</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1.管内穿线 动力线路(铜芯) 导线截面绝缘导线ZRBVV 6mm2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350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桥架</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规格：100*50mm，含配件0.8</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桥架</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规格：300*100mm，含配件1.2</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电线套管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dn20PC管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3400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电线套管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dn25PC管</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12035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接线盒</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86型</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906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插座</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单相二三极插座 10A 250V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152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插座</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单相二三极插座 16A 250V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57</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照明</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68W LED灯（600*600）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照明</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120W LED灯（1200*600）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65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吸顶式净化灯</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MX-Y36X2/SD01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465"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吸顶式净化灯</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MX-Y18X2/SD01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吸顶式洁净荧光灯(带应急）</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MX-Y36X2/SD01</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不锈钢紫外灯</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1X30W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不锈钢紫外灯</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1X40W</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14</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一联开关</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250V—10A</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34</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一联双位开关</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250V—10A</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三位开关</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250V—10A</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延时开关</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延时开关0~60min</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空气开关</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NM1系列塑料外壳式断路器380V  20A /3P空气开关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空气开关</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NM1系列塑料外壳式断路器380V  25A /3P空气开关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14</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空气开关接线箱</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内带 NM1系列塑料外壳式断路器380V  20A /3P空气开关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空气开关接线箱</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内带 NM1系列塑料外壳式断路器380V  25A /3P空气开关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空气开关接线箱</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 内带 NM1系列塑料外壳式断路器380V  32A /3P空气开关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60" w:hRule="atLeast"/>
        </w:trPr>
        <w:tc>
          <w:tcPr>
            <w:tcW w:w="9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ajorEastAsia" w:hAnsiTheme="majorEastAsia" w:eastAsiaTheme="majorEastAsia" w:cstheme="majorEastAsia"/>
                <w:b/>
                <w:bCs/>
                <w:color w:val="auto"/>
                <w:kern w:val="0"/>
                <w:sz w:val="21"/>
                <w:szCs w:val="21"/>
                <w:highlight w:val="none"/>
                <w:lang w:eastAsia="zh-CN"/>
              </w:rPr>
              <w:t>二、</w:t>
            </w:r>
            <w:r>
              <w:rPr>
                <w:rFonts w:hint="eastAsia" w:asciiTheme="majorEastAsia" w:hAnsiTheme="majorEastAsia" w:eastAsiaTheme="majorEastAsia" w:cstheme="majorEastAsia"/>
                <w:b/>
                <w:bCs/>
                <w:color w:val="auto"/>
                <w:kern w:val="0"/>
                <w:sz w:val="21"/>
                <w:szCs w:val="21"/>
                <w:highlight w:val="none"/>
              </w:rPr>
              <w:t>给排水部分</w:t>
            </w: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塑料管(PP-R管)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1.PP-R给水管 DN20；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2.管道安装、管道消毒、冲洗；</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3.刚性防水套管制作、安装。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235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117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塑料管(PP-R管)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1.PP-R给水管 DN25；</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2.管道安装、管道消毒、冲洗；</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3.刚性防水套管制作、安装。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塑料管(PP-R管)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1.PP-R给水管 DN32；</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2.管道安装、管道消毒、冲洗；</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3.刚性防水套管制作、安装。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65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81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塑料管(PP-R管)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1.PP-R给水管 DN40；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2.管道安装、管道消毒、冲洗；</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3.刚性防水套管制作、安装。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塑料管(PVC-U管)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1.PVC-U塑料管 DN50；</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2.管道安装；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3.刚性防水套管制作、安装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350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塑料管(PVC-U管)</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1.PVC-U塑料管 DN75；</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2.管道安装；</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3.刚性防水套管制作、安装</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地漏</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不锈钢，DN50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角阀</w:t>
            </w:r>
          </w:p>
        </w:tc>
        <w:tc>
          <w:tcPr>
            <w:tcW w:w="2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dn20</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56</w:t>
            </w:r>
          </w:p>
        </w:tc>
        <w:tc>
          <w:tcPr>
            <w:tcW w:w="7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铜质截止阀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dn20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铜质截止阀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dn25</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铜质截止阀</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dn40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水管配件</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弯头、三通、直通等</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r>
        <w:tblPrEx>
          <w:tblCellMar>
            <w:top w:w="15" w:type="dxa"/>
            <w:left w:w="15" w:type="dxa"/>
            <w:bottom w:w="15" w:type="dxa"/>
            <w:right w:w="15" w:type="dxa"/>
          </w:tblCellMar>
        </w:tblPrEx>
        <w:trPr>
          <w:trHeight w:val="390" w:hRule="atLeast"/>
        </w:trPr>
        <w:tc>
          <w:tcPr>
            <w:tcW w:w="9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ajorEastAsia" w:hAnsiTheme="majorEastAsia" w:eastAsiaTheme="majorEastAsia" w:cstheme="majorEastAsia"/>
                <w:b/>
                <w:bCs/>
                <w:color w:val="auto"/>
                <w:kern w:val="0"/>
                <w:sz w:val="21"/>
                <w:szCs w:val="21"/>
                <w:highlight w:val="none"/>
                <w:lang w:eastAsia="zh-CN"/>
              </w:rPr>
              <w:t>三、水电安装辅材</w:t>
            </w:r>
          </w:p>
        </w:tc>
      </w:tr>
      <w:tr>
        <w:tblPrEx>
          <w:tblCellMar>
            <w:top w:w="15" w:type="dxa"/>
            <w:left w:w="15" w:type="dxa"/>
            <w:bottom w:w="15" w:type="dxa"/>
            <w:right w:w="15" w:type="dxa"/>
          </w:tblCellMar>
        </w:tblPrEx>
        <w:trPr>
          <w:trHeight w:val="39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水电安装辅材</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包含但不限于安装上述水电材料所需的各种胶水，粘胶带，胶布，扎丝，帮扎带，支架，吊架，焊条，锁母，电工套管，涂料、油漆、松节油、银粉、水泥、沙子、铁钉、膨胀螺丝，螺栓、螺帽、铁线、粉线、测水平管、生料带、钢锯条、切割机砂轮片、砂纸、钢丝刷子、橡胶垫、橡胶石棉板等水电安装辅助性材料</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auto"/>
                <w:sz w:val="21"/>
                <w:szCs w:val="21"/>
                <w:highlight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auto"/>
                <w:sz w:val="21"/>
                <w:szCs w:val="21"/>
                <w:highlight w:val="none"/>
              </w:rPr>
            </w:pPr>
          </w:p>
        </w:tc>
      </w:tr>
    </w:tbl>
    <w:p>
      <w:pPr>
        <w:pStyle w:val="46"/>
        <w:spacing w:line="360" w:lineRule="auto"/>
        <w:jc w:val="left"/>
        <w:rPr>
          <w:rFonts w:hAnsi="宋体"/>
          <w:color w:val="auto"/>
          <w:sz w:val="24"/>
          <w:szCs w:val="24"/>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hint="eastAsia" w:ascii="宋体" w:hAns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eastAsia="zh-CN"/>
        </w:rPr>
        <w:t>供应商在进行上述报价时应充分考虑上述水电材料采购安装所需的辅材，所需的辅材不再另行计费。本项目所涉及辅材包含但不限于</w:t>
      </w:r>
      <w:r>
        <w:rPr>
          <w:rFonts w:hint="eastAsia" w:ascii="宋体" w:hAnsi="宋体"/>
          <w:b/>
          <w:color w:val="auto"/>
          <w:szCs w:val="21"/>
          <w:highlight w:val="none"/>
        </w:rPr>
        <w:t>各种胶水，粘胶带，胶布，扎丝，帮扎带，支架，吊架，焊条，锁母，电工套管，涂料、油漆、松节油、银粉、水泥、沙子、铁钉、膨胀螺丝，螺栓、螺帽、铁线、粉线、测水平管、生料带、钢锯条、切割机砂轮片、砂纸、钢丝刷子、橡胶垫、橡胶石棉板</w:t>
      </w:r>
      <w:r>
        <w:rPr>
          <w:rFonts w:hint="eastAsia" w:ascii="宋体" w:hAnsi="宋体"/>
          <w:b/>
          <w:color w:val="auto"/>
          <w:szCs w:val="21"/>
          <w:highlight w:val="none"/>
          <w:lang w:eastAsia="zh-CN"/>
        </w:rPr>
        <w:t>等水电安装辅助性材料。</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lang w:val="en-US" w:eastAsia="zh-CN"/>
        </w:rPr>
        <w:t>4.</w:t>
      </w:r>
      <w:r>
        <w:rPr>
          <w:rFonts w:hint="eastAsia" w:ascii="宋体" w:hAnsi="宋体"/>
          <w:b/>
          <w:color w:val="auto"/>
          <w:szCs w:val="21"/>
          <w:highlight w:val="none"/>
        </w:rPr>
        <w:t>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2" w:type="default"/>
          <w:footerReference r:id="rId13"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5"/>
          <w:rFonts w:hint="eastAsia" w:ascii="宋体" w:hAnsi="宋体"/>
          <w:color w:val="auto"/>
          <w:szCs w:val="21"/>
          <w:highlight w:val="none"/>
        </w:rPr>
        <w:t>http://hzs.nd</w:t>
      </w:r>
      <w:r>
        <w:rPr>
          <w:rStyle w:val="95"/>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67" w:name="OLE_LINK14"/>
      <w:bookmarkStart w:id="368"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369" w:name="_Toc512331248"/>
    </w:p>
    <w:p>
      <w:pPr>
        <w:pStyle w:val="6"/>
        <w:rPr>
          <w:bCs/>
          <w:color w:val="auto"/>
          <w:szCs w:val="28"/>
          <w:highlight w:val="none"/>
        </w:rPr>
      </w:pPr>
      <w:r>
        <w:rPr>
          <w:rFonts w:hint="eastAsia"/>
          <w:bCs/>
          <w:color w:val="auto"/>
          <w:szCs w:val="28"/>
          <w:highlight w:val="none"/>
        </w:rPr>
        <w:t>附件12 残疾人福利性单位声明函（如适用）</w:t>
      </w:r>
      <w:bookmarkEnd w:id="369"/>
    </w:p>
    <w:p>
      <w:pPr>
        <w:rPr>
          <w:color w:val="auto"/>
          <w:highlight w:val="none"/>
        </w:rPr>
      </w:pPr>
    </w:p>
    <w:bookmarkEnd w:id="367"/>
    <w:bookmarkEnd w:id="368"/>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70" w:name="_Toc81142098"/>
      <w:bookmarkStart w:id="371" w:name="_Toc109467914"/>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70"/>
    <w:bookmarkEnd w:id="371"/>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w:t>
      </w:r>
      <w:r>
        <w:rPr>
          <w:rFonts w:hint="eastAsia" w:ascii="宋体" w:hAnsi="宋体"/>
          <w:color w:val="auto"/>
          <w:szCs w:val="21"/>
          <w:highlight w:val="none"/>
          <w:lang w:val="zh-CN"/>
        </w:rPr>
        <w:t>对所投产品设备技术参数、性能指标、质量及特别带“▲”的响应情况和符合性</w:t>
      </w:r>
      <w:r>
        <w:rPr>
          <w:rFonts w:hint="eastAsia" w:ascii="宋体" w:hAnsi="宋体" w:cs="Times New Roman"/>
          <w:bCs/>
          <w:color w:val="auto"/>
          <w:szCs w:val="21"/>
          <w:highlight w:val="none"/>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）合同履行期进度计划承诺；</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）产品质量保证</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（4）施工材料。</w:t>
      </w:r>
    </w:p>
    <w:p>
      <w:pPr>
        <w:pStyle w:val="46"/>
        <w:numPr>
          <w:ilvl w:val="0"/>
          <w:numId w:val="0"/>
        </w:numPr>
        <w:rPr>
          <w:rFonts w:hint="eastAsia"/>
          <w:color w:val="auto"/>
          <w:highlight w:val="none"/>
          <w:lang w:val="en-US" w:eastAsia="zh-CN"/>
        </w:rPr>
      </w:pPr>
      <w:r>
        <w:rPr>
          <w:rFonts w:hint="eastAsia"/>
          <w:color w:val="auto"/>
          <w:highlight w:val="none"/>
          <w:lang w:val="en-US" w:eastAsia="zh-CN"/>
        </w:rPr>
        <w:t xml:space="preserve">     </w:t>
      </w:r>
    </w:p>
    <w:p>
      <w:pPr>
        <w:pStyle w:val="46"/>
        <w:numPr>
          <w:ilvl w:val="0"/>
          <w:numId w:val="0"/>
        </w:numPr>
        <w:rPr>
          <w:rFonts w:hint="eastAsia"/>
          <w:color w:val="auto"/>
          <w:highlight w:val="none"/>
          <w:lang w:val="en-US" w:eastAsia="zh-CN"/>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从事</w:t>
            </w:r>
            <w:r>
              <w:rPr>
                <w:rFonts w:hint="eastAsia" w:asciiTheme="majorEastAsia" w:hAnsiTheme="majorEastAsia" w:eastAsiaTheme="majorEastAsia" w:cstheme="majorEastAsia"/>
                <w:color w:val="auto"/>
                <w:sz w:val="21"/>
                <w:szCs w:val="21"/>
                <w:highlight w:val="none"/>
              </w:rPr>
              <w:t>同类</w:t>
            </w:r>
            <w:r>
              <w:rPr>
                <w:rFonts w:hint="eastAsia" w:asciiTheme="majorEastAsia" w:hAnsiTheme="majorEastAsia" w:eastAsiaTheme="majorEastAsia" w:cstheme="maj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成果质量</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注：1.在合同执行期间，成交供应商须设立驻场项目负责人和专业专职的主要技术及服务人员，并在上表中列明；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88"/>
      <w:bookmarkEnd w:id="347"/>
      <w:bookmarkEnd w:id="348"/>
      <w:bookmarkEnd w:id="349"/>
      <w:bookmarkEnd w:id="350"/>
      <w:bookmarkEnd w:id="351"/>
      <w:bookmarkEnd w:id="353"/>
      <w:bookmarkEnd w:id="354"/>
      <w:bookmarkEnd w:id="355"/>
      <w:bookmarkEnd w:id="356"/>
      <w:bookmarkEnd w:id="357"/>
      <w:bookmarkEnd w:id="358"/>
      <w:bookmarkEnd w:id="359"/>
      <w:bookmarkEnd w:id="360"/>
      <w:bookmarkEnd w:id="361"/>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AAD48F0"/>
    <w:multiLevelType w:val="multilevel"/>
    <w:tmpl w:val="0AAD48F0"/>
    <w:lvl w:ilvl="0" w:tentative="0">
      <w:start w:val="1"/>
      <w:numFmt w:val="decimal"/>
      <w:lvlText w:val="%1)"/>
      <w:lvlJc w:val="left"/>
      <w:pPr>
        <w:tabs>
          <w:tab w:val="left" w:pos="1215"/>
        </w:tabs>
        <w:ind w:left="1215" w:hanging="42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5B21310"/>
    <w:multiLevelType w:val="multilevel"/>
    <w:tmpl w:val="15B21310"/>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D0B7790"/>
    <w:multiLevelType w:val="multilevel"/>
    <w:tmpl w:val="1D0B7790"/>
    <w:lvl w:ilvl="0" w:tentative="0">
      <w:start w:val="1"/>
      <w:numFmt w:val="decimal"/>
      <w:lvlText w:val="8.%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7FB0DF5"/>
    <w:multiLevelType w:val="multilevel"/>
    <w:tmpl w:val="27FB0DF5"/>
    <w:lvl w:ilvl="0" w:tentative="0">
      <w:start w:val="1"/>
      <w:numFmt w:val="decimal"/>
      <w:lvlText w:val="%1)"/>
      <w:lvlJc w:val="left"/>
      <w:pPr>
        <w:tabs>
          <w:tab w:val="left" w:pos="1352"/>
        </w:tabs>
        <w:ind w:left="1352" w:hanging="420"/>
      </w:pPr>
      <w:rPr>
        <w:rFonts w:hint="eastAsia"/>
      </w:rPr>
    </w:lvl>
    <w:lvl w:ilvl="1" w:tentative="0">
      <w:start w:val="1"/>
      <w:numFmt w:val="lowerLetter"/>
      <w:lvlText w:val="%2)"/>
      <w:lvlJc w:val="left"/>
      <w:pPr>
        <w:tabs>
          <w:tab w:val="left" w:pos="1457"/>
        </w:tabs>
        <w:ind w:left="1457" w:hanging="420"/>
      </w:pPr>
    </w:lvl>
    <w:lvl w:ilvl="2" w:tentative="0">
      <w:start w:val="1"/>
      <w:numFmt w:val="lowerRoman"/>
      <w:lvlText w:val="%3."/>
      <w:lvlJc w:val="right"/>
      <w:pPr>
        <w:tabs>
          <w:tab w:val="left" w:pos="1877"/>
        </w:tabs>
        <w:ind w:left="1877" w:hanging="420"/>
      </w:pPr>
    </w:lvl>
    <w:lvl w:ilvl="3" w:tentative="0">
      <w:start w:val="1"/>
      <w:numFmt w:val="decimal"/>
      <w:lvlText w:val="%4."/>
      <w:lvlJc w:val="left"/>
      <w:pPr>
        <w:tabs>
          <w:tab w:val="left" w:pos="2297"/>
        </w:tabs>
        <w:ind w:left="2297" w:hanging="420"/>
      </w:pPr>
    </w:lvl>
    <w:lvl w:ilvl="4" w:tentative="0">
      <w:start w:val="1"/>
      <w:numFmt w:val="lowerLetter"/>
      <w:lvlText w:val="%5)"/>
      <w:lvlJc w:val="left"/>
      <w:pPr>
        <w:tabs>
          <w:tab w:val="left" w:pos="2717"/>
        </w:tabs>
        <w:ind w:left="2717" w:hanging="420"/>
      </w:pPr>
    </w:lvl>
    <w:lvl w:ilvl="5" w:tentative="0">
      <w:start w:val="1"/>
      <w:numFmt w:val="lowerRoman"/>
      <w:lvlText w:val="%6."/>
      <w:lvlJc w:val="right"/>
      <w:pPr>
        <w:tabs>
          <w:tab w:val="left" w:pos="3137"/>
        </w:tabs>
        <w:ind w:left="3137" w:hanging="420"/>
      </w:pPr>
    </w:lvl>
    <w:lvl w:ilvl="6" w:tentative="0">
      <w:start w:val="1"/>
      <w:numFmt w:val="decimal"/>
      <w:lvlText w:val="%7."/>
      <w:lvlJc w:val="left"/>
      <w:pPr>
        <w:tabs>
          <w:tab w:val="left" w:pos="3557"/>
        </w:tabs>
        <w:ind w:left="3557" w:hanging="420"/>
      </w:pPr>
    </w:lvl>
    <w:lvl w:ilvl="7" w:tentative="0">
      <w:start w:val="1"/>
      <w:numFmt w:val="lowerLetter"/>
      <w:lvlText w:val="%8)"/>
      <w:lvlJc w:val="left"/>
      <w:pPr>
        <w:tabs>
          <w:tab w:val="left" w:pos="3977"/>
        </w:tabs>
        <w:ind w:left="3977" w:hanging="420"/>
      </w:pPr>
    </w:lvl>
    <w:lvl w:ilvl="8" w:tentative="0">
      <w:start w:val="1"/>
      <w:numFmt w:val="lowerRoman"/>
      <w:lvlText w:val="%9."/>
      <w:lvlJc w:val="right"/>
      <w:pPr>
        <w:tabs>
          <w:tab w:val="left" w:pos="4397"/>
        </w:tabs>
        <w:ind w:left="4397" w:hanging="420"/>
      </w:pPr>
    </w:lvl>
  </w:abstractNum>
  <w:abstractNum w:abstractNumId="9">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55392391"/>
    <w:multiLevelType w:val="multilevel"/>
    <w:tmpl w:val="55392391"/>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79E4400"/>
    <w:multiLevelType w:val="multilevel"/>
    <w:tmpl w:val="779E4400"/>
    <w:lvl w:ilvl="0" w:tentative="0">
      <w:start w:val="1"/>
      <w:numFmt w:val="decimal"/>
      <w:lvlText w:val="7.%1"/>
      <w:lvlJc w:val="left"/>
      <w:pPr>
        <w:tabs>
          <w:tab w:val="left" w:pos="720"/>
        </w:tabs>
        <w:ind w:left="720" w:hanging="720"/>
      </w:pPr>
      <w:rPr>
        <w:rFonts w:hint="eastAsia" w:eastAsia="楷体_GB231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7E5E3B11"/>
    <w:multiLevelType w:val="multilevel"/>
    <w:tmpl w:val="7E5E3B11"/>
    <w:lvl w:ilvl="0" w:tentative="0">
      <w:start w:val="1"/>
      <w:numFmt w:val="decimal"/>
      <w:lvlText w:val="%1)"/>
      <w:lvlJc w:val="left"/>
      <w:pPr>
        <w:tabs>
          <w:tab w:val="left" w:pos="1215"/>
        </w:tabs>
        <w:ind w:left="1215"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12"/>
  </w:num>
  <w:num w:numId="5">
    <w:abstractNumId w:val="11"/>
  </w:num>
  <w:num w:numId="6">
    <w:abstractNumId w:val="9"/>
  </w:num>
  <w:num w:numId="7">
    <w:abstractNumId w:val="8"/>
  </w:num>
  <w:num w:numId="8">
    <w:abstractNumId w:val="15"/>
  </w:num>
  <w:num w:numId="9">
    <w:abstractNumId w:val="3"/>
  </w:num>
  <w:num w:numId="10">
    <w:abstractNumId w:val="13"/>
  </w:num>
  <w:num w:numId="11">
    <w:abstractNumId w:val="6"/>
  </w:num>
  <w:num w:numId="12">
    <w:abstractNumId w:val="10"/>
  </w:num>
  <w:num w:numId="13">
    <w:abstractNumId w:val="4"/>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5006FA0"/>
    <w:rsid w:val="07161791"/>
    <w:rsid w:val="08694ADA"/>
    <w:rsid w:val="0AE11E48"/>
    <w:rsid w:val="0C045CD2"/>
    <w:rsid w:val="0D8152E8"/>
    <w:rsid w:val="0E294FAB"/>
    <w:rsid w:val="11A42212"/>
    <w:rsid w:val="167654DF"/>
    <w:rsid w:val="16A36F9A"/>
    <w:rsid w:val="199B7D6D"/>
    <w:rsid w:val="1A251978"/>
    <w:rsid w:val="1B62425E"/>
    <w:rsid w:val="1B9B22B5"/>
    <w:rsid w:val="1C245DE6"/>
    <w:rsid w:val="1D461912"/>
    <w:rsid w:val="1F1539B4"/>
    <w:rsid w:val="1F9E3FD7"/>
    <w:rsid w:val="210C2156"/>
    <w:rsid w:val="216E2E07"/>
    <w:rsid w:val="22535329"/>
    <w:rsid w:val="2301305E"/>
    <w:rsid w:val="233D3FD3"/>
    <w:rsid w:val="255A3784"/>
    <w:rsid w:val="2988523F"/>
    <w:rsid w:val="2A1810D7"/>
    <w:rsid w:val="2A4464A6"/>
    <w:rsid w:val="2B8F5A11"/>
    <w:rsid w:val="2CC3315B"/>
    <w:rsid w:val="348E0D5D"/>
    <w:rsid w:val="354A32AA"/>
    <w:rsid w:val="370D4E81"/>
    <w:rsid w:val="39144DD2"/>
    <w:rsid w:val="3A817547"/>
    <w:rsid w:val="3B91650A"/>
    <w:rsid w:val="3C47493F"/>
    <w:rsid w:val="40F2232A"/>
    <w:rsid w:val="413E03B5"/>
    <w:rsid w:val="433C464F"/>
    <w:rsid w:val="45816D95"/>
    <w:rsid w:val="45BC0B50"/>
    <w:rsid w:val="47F7074A"/>
    <w:rsid w:val="48BB5163"/>
    <w:rsid w:val="4BA44348"/>
    <w:rsid w:val="4BC27EF0"/>
    <w:rsid w:val="4DBE3804"/>
    <w:rsid w:val="4E5221B2"/>
    <w:rsid w:val="500819AE"/>
    <w:rsid w:val="52A95F17"/>
    <w:rsid w:val="5CE9656C"/>
    <w:rsid w:val="5E363818"/>
    <w:rsid w:val="5E421EBB"/>
    <w:rsid w:val="5F9100C4"/>
    <w:rsid w:val="61C679A6"/>
    <w:rsid w:val="62113364"/>
    <w:rsid w:val="629F1549"/>
    <w:rsid w:val="68BC1C18"/>
    <w:rsid w:val="6C3237AC"/>
    <w:rsid w:val="6CF57457"/>
    <w:rsid w:val="6D6E5707"/>
    <w:rsid w:val="6D757E5C"/>
    <w:rsid w:val="6E7252CC"/>
    <w:rsid w:val="7151618F"/>
    <w:rsid w:val="73E10AC3"/>
    <w:rsid w:val="77D008D6"/>
    <w:rsid w:val="7B2E0E6C"/>
    <w:rsid w:val="7CC65E6E"/>
    <w:rsid w:val="7CE37D39"/>
    <w:rsid w:val="7D8D6193"/>
    <w:rsid w:val="7E7E2AD4"/>
    <w:rsid w:val="7F14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8"/>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4"/>
    <w:qFormat/>
    <w:uiPriority w:val="0"/>
    <w:pPr>
      <w:spacing w:line="360" w:lineRule="auto"/>
      <w:ind w:left="718" w:leftChars="342"/>
    </w:pPr>
    <w:rPr>
      <w:rFonts w:ascii="宋体" w:hAnsi="宋体"/>
      <w:sz w:val="24"/>
    </w:rPr>
  </w:style>
  <w:style w:type="paragraph" w:styleId="54">
    <w:name w:val="endnote text"/>
    <w:basedOn w:val="1"/>
    <w:link w:val="141"/>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4"/>
    <w:qFormat/>
    <w:uiPriority w:val="0"/>
    <w:rPr>
      <w:rFonts w:asciiTheme="minorHAnsi" w:hAnsiTheme="minorHAnsi" w:eastAsiaTheme="minorEastAsia" w:cstheme="minorBidi"/>
      <w:sz w:val="18"/>
      <w:szCs w:val="18"/>
    </w:rPr>
  </w:style>
  <w:style w:type="paragraph" w:styleId="57">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6"/>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6"/>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7"/>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19"/>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6"/>
    <w:qFormat/>
    <w:uiPriority w:val="0"/>
    <w:rPr>
      <w:rFonts w:eastAsiaTheme="minorEastAsia"/>
      <w:b/>
      <w:bCs/>
    </w:rPr>
  </w:style>
  <w:style w:type="paragraph" w:styleId="88">
    <w:name w:val="Body Text First Indent"/>
    <w:basedOn w:val="35"/>
    <w:link w:val="117"/>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7"/>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Char"/>
    <w:basedOn w:val="92"/>
    <w:link w:val="4"/>
    <w:qFormat/>
    <w:uiPriority w:val="0"/>
    <w:rPr>
      <w:rFonts w:ascii="宋体" w:hAnsi="宋体" w:eastAsia="宋体" w:cs="Times New Roman"/>
      <w:b/>
      <w:bCs/>
      <w:sz w:val="48"/>
      <w:szCs w:val="24"/>
    </w:rPr>
  </w:style>
  <w:style w:type="character" w:customStyle="1" w:styleId="98">
    <w:name w:val="标题 2 Char"/>
    <w:basedOn w:val="92"/>
    <w:link w:val="5"/>
    <w:qFormat/>
    <w:uiPriority w:val="0"/>
    <w:rPr>
      <w:rFonts w:ascii="宋体" w:hAnsi="宋体" w:eastAsia="宋体" w:cs="Times New Roman"/>
      <w:b/>
      <w:kern w:val="0"/>
      <w:sz w:val="30"/>
      <w:szCs w:val="20"/>
    </w:rPr>
  </w:style>
  <w:style w:type="character" w:customStyle="1" w:styleId="99">
    <w:name w:val="标题 3 Char"/>
    <w:basedOn w:val="92"/>
    <w:link w:val="6"/>
    <w:qFormat/>
    <w:uiPriority w:val="0"/>
    <w:rPr>
      <w:rFonts w:ascii="宋体" w:hAnsi="宋体" w:eastAsia="宋体" w:cs="Times New Roman"/>
      <w:b/>
      <w:kern w:val="0"/>
      <w:sz w:val="28"/>
      <w:szCs w:val="20"/>
    </w:rPr>
  </w:style>
  <w:style w:type="character" w:customStyle="1" w:styleId="100">
    <w:name w:val="标题 4 Char"/>
    <w:basedOn w:val="92"/>
    <w:link w:val="7"/>
    <w:qFormat/>
    <w:uiPriority w:val="0"/>
    <w:rPr>
      <w:rFonts w:ascii="Arial" w:hAnsi="Arial" w:eastAsia="黑体" w:cs="Times New Roman"/>
      <w:b/>
      <w:bCs/>
      <w:sz w:val="28"/>
      <w:szCs w:val="28"/>
    </w:rPr>
  </w:style>
  <w:style w:type="character" w:customStyle="1" w:styleId="101">
    <w:name w:val="标题 5 Char"/>
    <w:basedOn w:val="92"/>
    <w:link w:val="8"/>
    <w:qFormat/>
    <w:uiPriority w:val="0"/>
    <w:rPr>
      <w:rFonts w:ascii="Arial" w:hAnsi="Arial" w:eastAsia="宋体" w:cs="Times New Roman"/>
      <w:kern w:val="0"/>
      <w:sz w:val="22"/>
      <w:szCs w:val="20"/>
    </w:rPr>
  </w:style>
  <w:style w:type="character" w:customStyle="1" w:styleId="102">
    <w:name w:val="标题 6 Char"/>
    <w:basedOn w:val="92"/>
    <w:link w:val="9"/>
    <w:qFormat/>
    <w:uiPriority w:val="0"/>
    <w:rPr>
      <w:rFonts w:ascii="Calibri" w:hAnsi="Arial" w:eastAsia="宋体" w:cs="Times New Roman"/>
      <w:i/>
      <w:kern w:val="0"/>
      <w:sz w:val="22"/>
      <w:szCs w:val="20"/>
    </w:rPr>
  </w:style>
  <w:style w:type="character" w:customStyle="1" w:styleId="103">
    <w:name w:val="标题 7 Char"/>
    <w:basedOn w:val="92"/>
    <w:link w:val="10"/>
    <w:qFormat/>
    <w:uiPriority w:val="0"/>
    <w:rPr>
      <w:rFonts w:ascii="Arial" w:hAnsi="Arial" w:eastAsia="宋体" w:cs="Times New Roman"/>
      <w:kern w:val="0"/>
      <w:sz w:val="20"/>
      <w:szCs w:val="20"/>
    </w:rPr>
  </w:style>
  <w:style w:type="character" w:customStyle="1" w:styleId="104">
    <w:name w:val="标题 8 Char"/>
    <w:basedOn w:val="92"/>
    <w:link w:val="11"/>
    <w:qFormat/>
    <w:uiPriority w:val="0"/>
    <w:rPr>
      <w:rFonts w:ascii="Arial" w:hAnsi="Arial" w:eastAsia="宋体" w:cs="Times New Roman"/>
      <w:i/>
      <w:kern w:val="0"/>
      <w:sz w:val="20"/>
      <w:szCs w:val="20"/>
    </w:rPr>
  </w:style>
  <w:style w:type="character" w:customStyle="1" w:styleId="105">
    <w:name w:val="标题 9 Char"/>
    <w:basedOn w:val="92"/>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7"/>
    <w:qFormat/>
    <w:uiPriority w:val="0"/>
    <w:rPr>
      <w:sz w:val="18"/>
    </w:rPr>
  </w:style>
  <w:style w:type="character" w:customStyle="1" w:styleId="112">
    <w:name w:val="页眉 Char"/>
    <w:link w:val="59"/>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6"/>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7"/>
    <w:qFormat/>
    <w:uiPriority w:val="0"/>
    <w:rPr>
      <w:b/>
      <w:bCs/>
      <w:szCs w:val="24"/>
    </w:rPr>
  </w:style>
  <w:style w:type="character" w:customStyle="1" w:styleId="117">
    <w:name w:val="正文首行缩进 Char"/>
    <w:link w:val="88"/>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8"/>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customStyle="1"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6"/>
    <w:qFormat/>
    <w:uiPriority w:val="0"/>
    <w:rPr>
      <w:rFonts w:ascii="Arial" w:hAnsi="Arial"/>
      <w:b/>
      <w:bCs/>
      <w:sz w:val="32"/>
      <w:szCs w:val="32"/>
    </w:rPr>
  </w:style>
  <w:style w:type="character" w:customStyle="1" w:styleId="124">
    <w:name w:val="页眉 Char1"/>
    <w:basedOn w:val="92"/>
    <w:semiHidden/>
    <w:qFormat/>
    <w:uiPriority w:val="99"/>
    <w:rPr>
      <w:rFonts w:ascii="Calibri" w:hAnsi="Calibri" w:eastAsia="宋体" w:cs="Times New Roman"/>
      <w:sz w:val="18"/>
      <w:szCs w:val="18"/>
    </w:rPr>
  </w:style>
  <w:style w:type="character" w:customStyle="1" w:styleId="125">
    <w:name w:val="HTML 预设格式 Char"/>
    <w:basedOn w:val="92"/>
    <w:link w:val="82"/>
    <w:qFormat/>
    <w:uiPriority w:val="0"/>
    <w:rPr>
      <w:rFonts w:ascii="黑体" w:hAnsi="Courier New" w:eastAsia="黑体" w:cs="Courier New"/>
      <w:kern w:val="0"/>
      <w:sz w:val="20"/>
      <w:szCs w:val="20"/>
    </w:rPr>
  </w:style>
  <w:style w:type="character" w:customStyle="1" w:styleId="126">
    <w:name w:val="正文文本缩进 Char1"/>
    <w:basedOn w:val="92"/>
    <w:link w:val="36"/>
    <w:semiHidden/>
    <w:qFormat/>
    <w:uiPriority w:val="99"/>
    <w:rPr>
      <w:rFonts w:ascii="Calibri" w:hAnsi="Calibri" w:eastAsia="宋体" w:cs="Times New Roman"/>
      <w:szCs w:val="24"/>
    </w:rPr>
  </w:style>
  <w:style w:type="character" w:customStyle="1" w:styleId="127">
    <w:name w:val="正文首行缩进 2 Char"/>
    <w:basedOn w:val="126"/>
    <w:link w:val="89"/>
    <w:qFormat/>
    <w:uiPriority w:val="0"/>
    <w:rPr>
      <w:rFonts w:ascii="Times New Roman" w:hAnsi="Times New Roman" w:eastAsia="宋体" w:cs="Times New Roman"/>
      <w:szCs w:val="24"/>
    </w:rPr>
  </w:style>
  <w:style w:type="character" w:customStyle="1" w:styleId="128">
    <w:name w:val="正文文本 3 Char1"/>
    <w:basedOn w:val="92"/>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2"/>
    <w:semiHidden/>
    <w:qFormat/>
    <w:uiPriority w:val="99"/>
    <w:rPr>
      <w:rFonts w:ascii="Calibri" w:hAnsi="Calibri" w:eastAsia="宋体" w:cs="Times New Roman"/>
      <w:szCs w:val="24"/>
    </w:rPr>
  </w:style>
  <w:style w:type="character" w:customStyle="1" w:styleId="131">
    <w:name w:val="称呼 Char"/>
    <w:basedOn w:val="92"/>
    <w:link w:val="31"/>
    <w:qFormat/>
    <w:uiPriority w:val="0"/>
    <w:rPr>
      <w:rFonts w:ascii="Calibri" w:hAnsi="Calibri" w:eastAsia="宋体" w:cs="Times New Roman"/>
      <w:szCs w:val="24"/>
    </w:rPr>
  </w:style>
  <w:style w:type="character" w:customStyle="1" w:styleId="132">
    <w:name w:val="正文文本 2 Char1"/>
    <w:basedOn w:val="92"/>
    <w:semiHidden/>
    <w:qFormat/>
    <w:uiPriority w:val="99"/>
    <w:rPr>
      <w:rFonts w:ascii="Calibri" w:hAnsi="Calibri" w:eastAsia="宋体" w:cs="Times New Roman"/>
      <w:szCs w:val="24"/>
    </w:rPr>
  </w:style>
  <w:style w:type="character" w:customStyle="1" w:styleId="133">
    <w:name w:val="副标题 Char"/>
    <w:basedOn w:val="92"/>
    <w:link w:val="66"/>
    <w:qFormat/>
    <w:uiPriority w:val="0"/>
    <w:rPr>
      <w:rFonts w:ascii="Arial" w:hAnsi="Arial" w:eastAsia="宋体" w:cs="Arial"/>
      <w:b/>
      <w:bCs/>
      <w:kern w:val="28"/>
      <w:sz w:val="32"/>
      <w:szCs w:val="32"/>
    </w:rPr>
  </w:style>
  <w:style w:type="character" w:customStyle="1" w:styleId="134">
    <w:name w:val="正文文本缩进 2 Char"/>
    <w:basedOn w:val="92"/>
    <w:link w:val="53"/>
    <w:qFormat/>
    <w:uiPriority w:val="0"/>
    <w:rPr>
      <w:rFonts w:ascii="宋体" w:hAnsi="宋体" w:eastAsia="宋体" w:cs="Times New Roman"/>
      <w:sz w:val="24"/>
      <w:szCs w:val="24"/>
    </w:rPr>
  </w:style>
  <w:style w:type="character" w:customStyle="1" w:styleId="135">
    <w:name w:val="HTML 地址 Char"/>
    <w:basedOn w:val="92"/>
    <w:link w:val="42"/>
    <w:qFormat/>
    <w:uiPriority w:val="0"/>
    <w:rPr>
      <w:rFonts w:ascii="Calibri" w:hAnsi="Calibri" w:eastAsia="宋体" w:cs="Times New Roman"/>
      <w:i/>
      <w:iCs/>
      <w:szCs w:val="24"/>
    </w:rPr>
  </w:style>
  <w:style w:type="character" w:customStyle="1" w:styleId="136">
    <w:name w:val="批注文字 Char1"/>
    <w:basedOn w:val="92"/>
    <w:semiHidden/>
    <w:qFormat/>
    <w:uiPriority w:val="99"/>
    <w:rPr>
      <w:rFonts w:ascii="Calibri" w:hAnsi="Calibri" w:eastAsia="宋体" w:cs="Times New Roman"/>
      <w:szCs w:val="24"/>
    </w:rPr>
  </w:style>
  <w:style w:type="character" w:customStyle="1" w:styleId="137">
    <w:name w:val="日期 Char"/>
    <w:basedOn w:val="92"/>
    <w:link w:val="52"/>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2"/>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2"/>
    <w:link w:val="54"/>
    <w:semiHidden/>
    <w:qFormat/>
    <w:uiPriority w:val="0"/>
    <w:rPr>
      <w:rFonts w:ascii="Calibri" w:hAnsi="Calibri" w:eastAsia="宋体" w:cs="Times New Roman"/>
      <w:szCs w:val="24"/>
    </w:rPr>
  </w:style>
  <w:style w:type="character" w:customStyle="1" w:styleId="142">
    <w:name w:val="结束语 Char"/>
    <w:basedOn w:val="92"/>
    <w:link w:val="33"/>
    <w:qFormat/>
    <w:uiPriority w:val="0"/>
    <w:rPr>
      <w:rFonts w:ascii="Calibri" w:hAnsi="Calibri" w:eastAsia="宋体" w:cs="Times New Roman"/>
      <w:szCs w:val="24"/>
    </w:rPr>
  </w:style>
  <w:style w:type="character" w:customStyle="1" w:styleId="143">
    <w:name w:val="注释标题 Char"/>
    <w:basedOn w:val="92"/>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2"/>
    <w:qFormat/>
    <w:uiPriority w:val="10"/>
    <w:rPr>
      <w:rFonts w:eastAsia="宋体" w:asciiTheme="majorHAnsi" w:hAnsiTheme="majorHAnsi" w:cstheme="majorBidi"/>
      <w:b/>
      <w:bCs/>
      <w:sz w:val="32"/>
      <w:szCs w:val="32"/>
    </w:rPr>
  </w:style>
  <w:style w:type="character" w:customStyle="1" w:styleId="146">
    <w:name w:val="签名 Char"/>
    <w:basedOn w:val="92"/>
    <w:link w:val="60"/>
    <w:qFormat/>
    <w:uiPriority w:val="0"/>
    <w:rPr>
      <w:rFonts w:ascii="Calibri" w:hAnsi="Calibri" w:eastAsia="宋体" w:cs="Times New Roman"/>
      <w:szCs w:val="24"/>
    </w:rPr>
  </w:style>
  <w:style w:type="character" w:customStyle="1" w:styleId="147">
    <w:name w:val="信息标题 Char"/>
    <w:basedOn w:val="92"/>
    <w:link w:val="81"/>
    <w:qFormat/>
    <w:uiPriority w:val="0"/>
    <w:rPr>
      <w:rFonts w:ascii="Arial" w:hAnsi="Arial" w:eastAsia="宋体" w:cs="Arial"/>
      <w:sz w:val="24"/>
      <w:szCs w:val="24"/>
      <w:shd w:val="pct20" w:color="auto" w:fill="auto"/>
    </w:rPr>
  </w:style>
  <w:style w:type="character" w:customStyle="1" w:styleId="148">
    <w:name w:val="批注框文本 Char1"/>
    <w:basedOn w:val="92"/>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2"/>
    <w:link w:val="3"/>
    <w:semiHidden/>
    <w:qFormat/>
    <w:uiPriority w:val="0"/>
    <w:rPr>
      <w:rFonts w:ascii="Courier New" w:hAnsi="Courier New" w:eastAsia="宋体" w:cs="Courier New"/>
      <w:sz w:val="24"/>
      <w:szCs w:val="24"/>
    </w:rPr>
  </w:style>
  <w:style w:type="character" w:customStyle="1" w:styleId="151">
    <w:name w:val="页脚 Char1"/>
    <w:basedOn w:val="92"/>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2"/>
    <w:semiHidden/>
    <w:qFormat/>
    <w:uiPriority w:val="99"/>
    <w:rPr>
      <w:rFonts w:ascii="宋体" w:hAnsi="Courier New" w:eastAsia="宋体" w:cs="Courier New"/>
      <w:szCs w:val="21"/>
    </w:rPr>
  </w:style>
  <w:style w:type="character" w:customStyle="1" w:styleId="154">
    <w:name w:val="电子邮件签名 Char"/>
    <w:basedOn w:val="92"/>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2"/>
    <w:link w:val="69"/>
    <w:semiHidden/>
    <w:qFormat/>
    <w:uiPriority w:val="0"/>
    <w:rPr>
      <w:rFonts w:ascii="Calibri" w:hAnsi="Calibri" w:eastAsia="宋体" w:cs="Times New Roman"/>
      <w:sz w:val="18"/>
      <w:szCs w:val="18"/>
    </w:rPr>
  </w:style>
  <w:style w:type="character" w:customStyle="1" w:styleId="157">
    <w:name w:val="正文文本缩进 3 Char"/>
    <w:basedOn w:val="92"/>
    <w:link w:val="72"/>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8"/>
    <w:next w:val="68"/>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修订2"/>
    <w:hidden/>
    <w:semiHidden/>
    <w:qFormat/>
    <w:uiPriority w:val="99"/>
    <w:rPr>
      <w:rFonts w:ascii="Calibri" w:hAnsi="Calibri" w:eastAsia="宋体" w:cs="Times New Roman"/>
      <w:kern w:val="2"/>
      <w:sz w:val="21"/>
      <w:szCs w:val="24"/>
      <w:lang w:val="en-US" w:eastAsia="zh-CN" w:bidi="ar-SA"/>
    </w:rPr>
  </w:style>
  <w:style w:type="paragraph" w:customStyle="1" w:styleId="2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font31"/>
    <w:basedOn w:val="92"/>
    <w:qFormat/>
    <w:uiPriority w:val="0"/>
    <w:rPr>
      <w:rFonts w:hint="eastAsia" w:ascii="宋体" w:hAnsi="宋体" w:eastAsia="宋体" w:cs="宋体"/>
      <w:color w:val="000000"/>
      <w:sz w:val="22"/>
      <w:szCs w:val="22"/>
      <w:u w:val="none"/>
    </w:rPr>
  </w:style>
  <w:style w:type="character" w:customStyle="1" w:styleId="212">
    <w:name w:val="font01"/>
    <w:basedOn w:val="92"/>
    <w:qFormat/>
    <w:uiPriority w:val="0"/>
    <w:rPr>
      <w:rFonts w:hint="eastAsia" w:ascii="宋体" w:hAnsi="宋体" w:eastAsia="宋体" w:cs="宋体"/>
      <w:color w:val="333333"/>
      <w:sz w:val="22"/>
      <w:szCs w:val="22"/>
      <w:u w:val="none"/>
    </w:rPr>
  </w:style>
  <w:style w:type="character" w:customStyle="1" w:styleId="213">
    <w:name w:val="font51"/>
    <w:basedOn w:val="92"/>
    <w:qFormat/>
    <w:uiPriority w:val="0"/>
    <w:rPr>
      <w:rFonts w:hint="eastAsia" w:ascii="宋体" w:hAnsi="宋体" w:eastAsia="宋体" w:cs="宋体"/>
      <w:color w:val="000000"/>
      <w:sz w:val="22"/>
      <w:szCs w:val="22"/>
      <w:u w:val="none"/>
    </w:rPr>
  </w:style>
  <w:style w:type="paragraph" w:customStyle="1" w:styleId="214">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5">
    <w:name w:val="font41"/>
    <w:basedOn w:val="92"/>
    <w:qFormat/>
    <w:uiPriority w:val="0"/>
    <w:rPr>
      <w:rFonts w:hint="eastAsia" w:ascii="宋体" w:hAnsi="宋体" w:eastAsia="宋体" w:cs="宋体"/>
      <w:color w:val="000000"/>
      <w:sz w:val="22"/>
      <w:szCs w:val="22"/>
      <w:u w:val="none"/>
    </w:rPr>
  </w:style>
  <w:style w:type="character" w:customStyle="1" w:styleId="216">
    <w:name w:val="font61"/>
    <w:basedOn w:val="92"/>
    <w:qFormat/>
    <w:uiPriority w:val="0"/>
    <w:rPr>
      <w:rFonts w:hint="eastAsia" w:ascii="宋体" w:hAnsi="宋体" w:eastAsia="宋体" w:cs="宋体"/>
      <w:color w:val="000000"/>
      <w:sz w:val="22"/>
      <w:szCs w:val="22"/>
      <w:u w:val="none"/>
    </w:rPr>
  </w:style>
  <w:style w:type="character" w:customStyle="1" w:styleId="217">
    <w:name w:val="font21"/>
    <w:basedOn w:val="92"/>
    <w:qFormat/>
    <w:uiPriority w:val="0"/>
    <w:rPr>
      <w:rFonts w:hint="eastAsia" w:ascii="宋体" w:hAnsi="宋体" w:eastAsia="宋体" w:cs="宋体"/>
      <w:color w:val="000000"/>
      <w:sz w:val="22"/>
      <w:szCs w:val="22"/>
      <w:u w:val="none"/>
    </w:rPr>
  </w:style>
  <w:style w:type="character" w:customStyle="1" w:styleId="218">
    <w:name w:val="font151"/>
    <w:basedOn w:val="92"/>
    <w:qFormat/>
    <w:uiPriority w:val="0"/>
    <w:rPr>
      <w:rFonts w:hint="default" w:ascii="Times New Roman" w:hAnsi="Times New Roman" w:cs="Times New Roman"/>
      <w:color w:val="000000"/>
      <w:sz w:val="20"/>
      <w:szCs w:val="20"/>
      <w:u w:val="none"/>
    </w:rPr>
  </w:style>
  <w:style w:type="character" w:customStyle="1" w:styleId="219">
    <w:name w:val="font7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69</TotalTime>
  <ScaleCrop>false</ScaleCrop>
  <LinksUpToDate>false</LinksUpToDate>
  <CharactersWithSpaces>178505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2020-07-03T07:48:38Z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