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right="560"/>
        <w:rPr>
          <w:rFonts w:ascii="宋体" w:hAnsi="宋体"/>
          <w:b/>
          <w:bCs/>
          <w:color w:val="auto"/>
          <w:sz w:val="28"/>
          <w:szCs w:val="28"/>
        </w:rPr>
      </w:pPr>
    </w:p>
    <w:p>
      <w:pPr>
        <w:spacing w:beforeLines="100" w:line="360" w:lineRule="auto"/>
        <w:jc w:val="center"/>
        <w:rPr>
          <w:rFonts w:ascii="宋体" w:hAnsi="宋体"/>
          <w:b/>
          <w:bCs/>
          <w:color w:val="auto"/>
          <w:spacing w:val="100"/>
          <w:sz w:val="96"/>
          <w:szCs w:val="96"/>
        </w:rPr>
      </w:pPr>
      <w:r>
        <w:rPr>
          <w:rFonts w:hint="eastAsia" w:ascii="宋体" w:hAnsi="宋体"/>
          <w:b/>
          <w:bCs/>
          <w:color w:val="auto"/>
          <w:spacing w:val="100"/>
          <w:sz w:val="96"/>
          <w:szCs w:val="96"/>
        </w:rPr>
        <w:t>政府采购</w:t>
      </w:r>
    </w:p>
    <w:p>
      <w:pPr>
        <w:spacing w:line="360" w:lineRule="auto"/>
        <w:rPr>
          <w:rFonts w:ascii="宋体" w:hAnsi="宋体"/>
          <w:b/>
          <w:bCs/>
          <w:color w:val="auto"/>
          <w:spacing w:val="100"/>
          <w:sz w:val="28"/>
          <w:szCs w:val="28"/>
        </w:rPr>
      </w:pPr>
    </w:p>
    <w:p>
      <w:pPr>
        <w:spacing w:line="360" w:lineRule="auto"/>
        <w:jc w:val="center"/>
        <w:rPr>
          <w:rFonts w:ascii="宋体" w:hAnsi="宋体"/>
          <w:b/>
          <w:color w:val="auto"/>
          <w:sz w:val="28"/>
          <w:szCs w:val="28"/>
        </w:rPr>
      </w:pPr>
      <w:r>
        <w:rPr>
          <w:rFonts w:hint="eastAsia" w:ascii="宋体" w:hAnsi="宋体"/>
          <w:b/>
          <w:color w:val="auto"/>
          <w:sz w:val="28"/>
          <w:szCs w:val="28"/>
        </w:rPr>
        <w:t xml:space="preserve">项目名称：广东省农业科学院动物科学研究所系统微生物研究实验室内部改造工程 </w:t>
      </w:r>
    </w:p>
    <w:p>
      <w:pPr>
        <w:spacing w:line="360" w:lineRule="auto"/>
        <w:jc w:val="center"/>
        <w:rPr>
          <w:rFonts w:ascii="宋体" w:hAnsi="宋体"/>
          <w:b/>
          <w:color w:val="auto"/>
          <w:sz w:val="28"/>
          <w:szCs w:val="28"/>
        </w:rPr>
      </w:pPr>
      <w:r>
        <w:rPr>
          <w:rFonts w:hint="eastAsia" w:ascii="宋体" w:hAnsi="宋体"/>
          <w:b/>
          <w:color w:val="auto"/>
          <w:sz w:val="28"/>
          <w:szCs w:val="28"/>
        </w:rPr>
        <w:t xml:space="preserve">项目编号：202006-184098-0042 </w:t>
      </w:r>
    </w:p>
    <w:p>
      <w:pPr>
        <w:spacing w:line="360" w:lineRule="auto"/>
        <w:rPr>
          <w:rFonts w:ascii="宋体" w:hAnsi="宋体"/>
          <w:color w:val="auto"/>
          <w:sz w:val="84"/>
        </w:rPr>
      </w:pPr>
    </w:p>
    <w:p>
      <w:pPr>
        <w:spacing w:line="360" w:lineRule="auto"/>
        <w:ind w:firstLine="1687" w:firstLineChars="200"/>
        <w:rPr>
          <w:rFonts w:ascii="宋体" w:hAnsi="宋体"/>
          <w:b/>
          <w:color w:val="auto"/>
          <w:sz w:val="84"/>
        </w:rPr>
      </w:pPr>
      <w:r>
        <w:rPr>
          <w:rFonts w:hint="eastAsia" w:ascii="宋体" w:hAnsi="宋体"/>
          <w:b/>
          <w:color w:val="auto"/>
          <w:sz w:val="84"/>
        </w:rPr>
        <w:t>竞争性磋商文件</w:t>
      </w:r>
    </w:p>
    <w:p>
      <w:pPr>
        <w:spacing w:line="360" w:lineRule="auto"/>
        <w:rPr>
          <w:rFonts w:ascii="宋体" w:hAnsi="宋体"/>
          <w:color w:val="auto"/>
          <w:sz w:val="32"/>
          <w:szCs w:val="32"/>
        </w:rPr>
      </w:pPr>
    </w:p>
    <w:p>
      <w:pPr>
        <w:spacing w:line="360" w:lineRule="auto"/>
        <w:rPr>
          <w:rFonts w:ascii="宋体" w:hAnsi="宋体"/>
          <w:color w:val="auto"/>
          <w:sz w:val="32"/>
          <w:szCs w:val="32"/>
        </w:rPr>
      </w:pPr>
    </w:p>
    <w:p>
      <w:pPr>
        <w:spacing w:line="360" w:lineRule="auto"/>
        <w:rPr>
          <w:rFonts w:ascii="宋体" w:hAnsi="宋体"/>
          <w:color w:val="auto"/>
          <w:sz w:val="32"/>
          <w:szCs w:val="32"/>
        </w:rPr>
      </w:pPr>
    </w:p>
    <w:p>
      <w:pPr>
        <w:spacing w:line="360" w:lineRule="auto"/>
        <w:rPr>
          <w:rFonts w:ascii="宋体" w:hAnsi="宋体"/>
          <w:color w:val="auto"/>
          <w:sz w:val="32"/>
          <w:szCs w:val="32"/>
        </w:rPr>
      </w:pPr>
    </w:p>
    <w:p>
      <w:pPr>
        <w:spacing w:line="360" w:lineRule="auto"/>
        <w:rPr>
          <w:rFonts w:ascii="宋体" w:hAnsi="宋体"/>
          <w:color w:val="auto"/>
          <w:sz w:val="32"/>
          <w:szCs w:val="32"/>
        </w:rPr>
      </w:pPr>
    </w:p>
    <w:p>
      <w:pPr>
        <w:spacing w:line="360" w:lineRule="auto"/>
        <w:rPr>
          <w:rFonts w:ascii="宋体" w:hAnsi="宋体"/>
          <w:color w:val="auto"/>
          <w:sz w:val="32"/>
          <w:szCs w:val="32"/>
        </w:rPr>
      </w:pPr>
    </w:p>
    <w:p>
      <w:pPr>
        <w:snapToGrid w:val="0"/>
        <w:spacing w:line="360" w:lineRule="auto"/>
        <w:ind w:firstLine="1205" w:firstLineChars="400"/>
        <w:rPr>
          <w:rFonts w:ascii="宋体" w:hAnsi="宋体"/>
          <w:b/>
          <w:color w:val="auto"/>
          <w:sz w:val="30"/>
          <w:szCs w:val="30"/>
        </w:rPr>
      </w:pPr>
      <w:r>
        <w:rPr>
          <w:rFonts w:hint="eastAsia" w:ascii="宋体" w:hAnsi="宋体"/>
          <w:b/>
          <w:color w:val="auto"/>
          <w:sz w:val="30"/>
          <w:szCs w:val="30"/>
        </w:rPr>
        <w:t>采   购   人：</w:t>
      </w:r>
      <w:r>
        <w:rPr>
          <w:rFonts w:hint="eastAsia" w:ascii="宋体" w:hAnsi="宋体" w:cs="宋体"/>
          <w:b/>
          <w:bCs/>
          <w:color w:val="auto"/>
          <w:sz w:val="30"/>
          <w:szCs w:val="30"/>
        </w:rPr>
        <w:t>广东省农业科学院动物科学研究所</w:t>
      </w:r>
      <w:r>
        <w:rPr>
          <w:rFonts w:hint="eastAsia" w:ascii="宋体" w:hAnsi="宋体"/>
          <w:b/>
          <w:color w:val="auto"/>
          <w:sz w:val="30"/>
          <w:szCs w:val="30"/>
        </w:rPr>
        <w:t xml:space="preserve">  </w:t>
      </w:r>
    </w:p>
    <w:p>
      <w:pPr>
        <w:snapToGrid w:val="0"/>
        <w:spacing w:line="360" w:lineRule="auto"/>
        <w:ind w:firstLine="1205" w:firstLineChars="400"/>
        <w:rPr>
          <w:rFonts w:ascii="宋体" w:hAnsi="宋体"/>
          <w:b/>
          <w:color w:val="auto"/>
          <w:sz w:val="30"/>
          <w:szCs w:val="30"/>
        </w:rPr>
      </w:pPr>
      <w:r>
        <w:rPr>
          <w:rFonts w:hint="eastAsia" w:ascii="宋体" w:hAnsi="宋体"/>
          <w:b/>
          <w:color w:val="auto"/>
          <w:sz w:val="30"/>
          <w:szCs w:val="30"/>
        </w:rPr>
        <w:t>采购代理机构：广州市信怡招标代理有限公司</w:t>
      </w:r>
    </w:p>
    <w:p>
      <w:pPr>
        <w:snapToGrid w:val="0"/>
        <w:spacing w:line="360" w:lineRule="auto"/>
        <w:ind w:firstLine="1205" w:firstLineChars="400"/>
        <w:rPr>
          <w:rStyle w:val="95"/>
          <w:rFonts w:ascii="宋体" w:hAnsi="宋体"/>
          <w:b/>
          <w:color w:val="auto"/>
          <w:sz w:val="30"/>
          <w:szCs w:val="30"/>
        </w:rPr>
        <w:sectPr>
          <w:headerReference r:id="rId5" w:type="first"/>
          <w:footerReference r:id="rId8" w:type="first"/>
          <w:headerReference r:id="rId3" w:type="default"/>
          <w:footerReference r:id="rId6" w:type="default"/>
          <w:headerReference r:id="rId4" w:type="even"/>
          <w:footerReference r:id="rId7" w:type="even"/>
          <w:pgSz w:w="11906" w:h="16838"/>
          <w:pgMar w:top="567" w:right="1304" w:bottom="567" w:left="1361" w:header="567" w:footer="737" w:gutter="0"/>
          <w:cols w:space="720" w:num="1"/>
          <w:titlePg/>
          <w:docGrid w:linePitch="312" w:charSpace="0"/>
        </w:sectPr>
      </w:pPr>
      <w:r>
        <w:rPr>
          <w:rFonts w:hint="eastAsia" w:ascii="宋体" w:hAnsi="宋体"/>
          <w:b/>
          <w:color w:val="auto"/>
          <w:sz w:val="30"/>
          <w:szCs w:val="30"/>
        </w:rPr>
        <w:t>日        期：</w:t>
      </w:r>
      <w:bookmarkStart w:id="0" w:name="_Toc28489433"/>
      <w:bookmarkStart w:id="1" w:name="_Toc14450806"/>
      <w:r>
        <w:rPr>
          <w:rStyle w:val="95"/>
          <w:rFonts w:hint="eastAsia" w:ascii="宋体" w:hAnsi="宋体"/>
          <w:b/>
          <w:color w:val="auto"/>
          <w:sz w:val="30"/>
          <w:szCs w:val="30"/>
          <w:u w:val="none"/>
        </w:rPr>
        <w:t xml:space="preserve"> 二○二○年六月</w:t>
      </w:r>
    </w:p>
    <w:p>
      <w:pPr>
        <w:spacing w:beforeLines="50" w:afterLines="50" w:line="360" w:lineRule="auto"/>
        <w:rPr>
          <w:rFonts w:ascii="宋体" w:hAnsi="宋体"/>
          <w:b/>
          <w:color w:val="auto"/>
          <w:sz w:val="36"/>
        </w:rPr>
      </w:pPr>
    </w:p>
    <w:p>
      <w:pPr>
        <w:spacing w:beforeLines="50" w:afterLines="50" w:line="360" w:lineRule="auto"/>
        <w:jc w:val="center"/>
        <w:rPr>
          <w:rFonts w:ascii="宋体" w:hAnsi="宋体"/>
          <w:b/>
          <w:color w:val="auto"/>
          <w:sz w:val="36"/>
        </w:rPr>
      </w:pPr>
    </w:p>
    <w:p>
      <w:pPr>
        <w:spacing w:line="360" w:lineRule="auto"/>
        <w:jc w:val="center"/>
        <w:rPr>
          <w:rFonts w:ascii="宋体" w:hAnsi="宋体"/>
          <w:b/>
          <w:color w:val="auto"/>
          <w:sz w:val="28"/>
          <w:szCs w:val="28"/>
        </w:rPr>
      </w:pPr>
      <w:r>
        <w:rPr>
          <w:rFonts w:hint="eastAsia" w:ascii="宋体" w:hAnsi="宋体"/>
          <w:b/>
          <w:color w:val="auto"/>
          <w:sz w:val="28"/>
          <w:szCs w:val="28"/>
        </w:rPr>
        <w:t>温馨提示</w:t>
      </w:r>
    </w:p>
    <w:p>
      <w:pPr>
        <w:spacing w:line="360" w:lineRule="auto"/>
        <w:rPr>
          <w:rFonts w:ascii="宋体" w:hAnsi="宋体"/>
          <w:color w:val="auto"/>
          <w:szCs w:val="21"/>
        </w:rPr>
      </w:pPr>
    </w:p>
    <w:p>
      <w:pPr>
        <w:numPr>
          <w:ilvl w:val="0"/>
          <w:numId w:val="1"/>
        </w:numPr>
        <w:tabs>
          <w:tab w:val="left" w:pos="540"/>
        </w:tabs>
        <w:spacing w:line="600" w:lineRule="auto"/>
        <w:ind w:left="851" w:hanging="851"/>
        <w:rPr>
          <w:rFonts w:ascii="宋体" w:hAnsi="宋体"/>
          <w:color w:val="auto"/>
          <w:szCs w:val="21"/>
        </w:rPr>
      </w:pPr>
      <w:r>
        <w:rPr>
          <w:rFonts w:hint="eastAsia" w:ascii="宋体" w:hAnsi="宋体"/>
          <w:color w:val="auto"/>
          <w:szCs w:val="21"/>
        </w:rPr>
        <w:t>如无另行说明，投标/报价文件递交时间为投标/报价文件</w:t>
      </w:r>
      <w:r>
        <w:rPr>
          <w:rFonts w:hint="eastAsia" w:ascii="宋体" w:hAnsi="宋体"/>
          <w:b/>
          <w:color w:val="auto"/>
          <w:szCs w:val="21"/>
          <w:u w:val="single"/>
        </w:rPr>
        <w:t>递交截止时间之前30分钟</w:t>
      </w:r>
      <w:r>
        <w:rPr>
          <w:rFonts w:hint="eastAsia" w:ascii="宋体" w:hAnsi="宋体"/>
          <w:color w:val="auto"/>
          <w:szCs w:val="21"/>
        </w:rPr>
        <w:t>内。</w:t>
      </w:r>
    </w:p>
    <w:p>
      <w:pPr>
        <w:numPr>
          <w:ilvl w:val="0"/>
          <w:numId w:val="1"/>
        </w:numPr>
        <w:tabs>
          <w:tab w:val="left" w:pos="540"/>
        </w:tabs>
        <w:spacing w:line="600" w:lineRule="auto"/>
        <w:ind w:left="851" w:hanging="851"/>
        <w:rPr>
          <w:rFonts w:ascii="宋体" w:hAnsi="宋体"/>
          <w:color w:val="auto"/>
          <w:szCs w:val="21"/>
        </w:rPr>
      </w:pPr>
      <w:r>
        <w:rPr>
          <w:rFonts w:hint="eastAsia" w:ascii="宋体" w:hAnsi="宋体"/>
          <w:color w:val="auto"/>
          <w:szCs w:val="21"/>
        </w:rPr>
        <w:t>为避免因迟到而失去投标/报价资格，请</w:t>
      </w:r>
      <w:r>
        <w:rPr>
          <w:rFonts w:hint="eastAsia" w:ascii="宋体" w:hAnsi="宋体"/>
          <w:b/>
          <w:color w:val="auto"/>
          <w:szCs w:val="21"/>
          <w:u w:val="single"/>
        </w:rPr>
        <w:t>适当提前到达</w:t>
      </w:r>
      <w:r>
        <w:rPr>
          <w:rFonts w:hint="eastAsia" w:ascii="宋体" w:hAnsi="宋体"/>
          <w:color w:val="auto"/>
          <w:szCs w:val="21"/>
        </w:rPr>
        <w:t>。</w:t>
      </w:r>
    </w:p>
    <w:p>
      <w:pPr>
        <w:numPr>
          <w:ilvl w:val="0"/>
          <w:numId w:val="1"/>
        </w:numPr>
        <w:tabs>
          <w:tab w:val="left" w:pos="540"/>
        </w:tabs>
        <w:spacing w:line="600" w:lineRule="auto"/>
        <w:ind w:left="851" w:hanging="851"/>
        <w:rPr>
          <w:rFonts w:ascii="宋体" w:hAnsi="宋体"/>
          <w:color w:val="auto"/>
          <w:szCs w:val="21"/>
        </w:rPr>
      </w:pPr>
      <w:r>
        <w:rPr>
          <w:rFonts w:hint="eastAsia" w:ascii="宋体" w:hAnsi="宋体"/>
          <w:color w:val="auto"/>
          <w:szCs w:val="21"/>
        </w:rPr>
        <w:t>投标/报价文件应按顺序</w:t>
      </w:r>
      <w:r>
        <w:rPr>
          <w:rFonts w:hint="eastAsia" w:ascii="宋体" w:hAnsi="宋体"/>
          <w:b/>
          <w:color w:val="auto"/>
          <w:szCs w:val="21"/>
          <w:u w:val="single"/>
        </w:rPr>
        <w:t>编制页码</w:t>
      </w:r>
      <w:r>
        <w:rPr>
          <w:rFonts w:hint="eastAsia" w:ascii="宋体" w:hAnsi="宋体"/>
          <w:color w:val="auto"/>
          <w:szCs w:val="21"/>
        </w:rPr>
        <w:t>。</w:t>
      </w:r>
    </w:p>
    <w:p>
      <w:pPr>
        <w:numPr>
          <w:ilvl w:val="0"/>
          <w:numId w:val="1"/>
        </w:numPr>
        <w:tabs>
          <w:tab w:val="left" w:pos="540"/>
        </w:tabs>
        <w:spacing w:line="600" w:lineRule="auto"/>
        <w:ind w:left="851" w:hanging="851"/>
        <w:rPr>
          <w:rFonts w:ascii="宋体" w:hAnsi="宋体"/>
          <w:color w:val="auto"/>
          <w:szCs w:val="21"/>
        </w:rPr>
      </w:pPr>
      <w:r>
        <w:rPr>
          <w:rFonts w:hint="eastAsia" w:ascii="宋体" w:hAnsi="宋体"/>
          <w:color w:val="auto"/>
          <w:szCs w:val="21"/>
        </w:rPr>
        <w:t>请仔细检查投标/报价文件是否已按采购文件要求</w:t>
      </w:r>
      <w:r>
        <w:rPr>
          <w:rFonts w:hint="eastAsia" w:ascii="宋体" w:hAnsi="宋体"/>
          <w:b/>
          <w:color w:val="auto"/>
          <w:szCs w:val="21"/>
          <w:u w:val="single"/>
        </w:rPr>
        <w:t>盖章、签名、签署日期</w:t>
      </w:r>
      <w:r>
        <w:rPr>
          <w:rFonts w:hint="eastAsia" w:ascii="宋体" w:hAnsi="宋体"/>
          <w:color w:val="auto"/>
          <w:szCs w:val="21"/>
        </w:rPr>
        <w:t>。</w:t>
      </w:r>
    </w:p>
    <w:p>
      <w:pPr>
        <w:numPr>
          <w:ilvl w:val="0"/>
          <w:numId w:val="1"/>
        </w:numPr>
        <w:tabs>
          <w:tab w:val="left" w:pos="540"/>
        </w:tabs>
        <w:spacing w:line="600" w:lineRule="auto"/>
        <w:ind w:left="851" w:hanging="851"/>
        <w:rPr>
          <w:rFonts w:ascii="宋体" w:hAnsi="宋体"/>
          <w:color w:val="auto"/>
          <w:szCs w:val="21"/>
        </w:rPr>
      </w:pPr>
      <w:r>
        <w:rPr>
          <w:rFonts w:hint="eastAsia" w:ascii="宋体" w:hAnsi="宋体"/>
          <w:color w:val="auto"/>
          <w:szCs w:val="21"/>
        </w:rPr>
        <w:t>请正确填写《报价一览表》。多子包项目请仔细检查子包号，子包号与子包名称必须对应。</w:t>
      </w:r>
    </w:p>
    <w:p>
      <w:pPr>
        <w:numPr>
          <w:ilvl w:val="0"/>
          <w:numId w:val="1"/>
        </w:numPr>
        <w:tabs>
          <w:tab w:val="left" w:pos="540"/>
        </w:tabs>
        <w:spacing w:line="600" w:lineRule="auto"/>
        <w:ind w:left="851" w:hanging="851"/>
        <w:rPr>
          <w:rFonts w:ascii="宋体" w:hAnsi="宋体"/>
          <w:color w:val="auto"/>
          <w:szCs w:val="21"/>
        </w:rPr>
      </w:pPr>
      <w:r>
        <w:rPr>
          <w:rFonts w:hint="eastAsia" w:ascii="宋体" w:hAnsi="宋体"/>
          <w:color w:val="auto"/>
          <w:szCs w:val="21"/>
        </w:rPr>
        <w:t>如投标/报价产品属于许可证管理范围内的，须提交相应的许可证复印件。</w:t>
      </w:r>
    </w:p>
    <w:p>
      <w:pPr>
        <w:numPr>
          <w:ilvl w:val="0"/>
          <w:numId w:val="1"/>
        </w:numPr>
        <w:tabs>
          <w:tab w:val="left" w:pos="540"/>
        </w:tabs>
        <w:spacing w:line="600" w:lineRule="auto"/>
        <w:ind w:left="540" w:hanging="540"/>
        <w:rPr>
          <w:rFonts w:ascii="宋体" w:hAnsi="宋体"/>
          <w:color w:val="auto"/>
          <w:szCs w:val="21"/>
        </w:rPr>
      </w:pPr>
      <w:r>
        <w:rPr>
          <w:rFonts w:hint="eastAsia" w:ascii="Arial" w:hAnsi="宋体" w:cs="Arial"/>
          <w:color w:val="auto"/>
          <w:szCs w:val="21"/>
        </w:rPr>
        <w:t>如投标</w:t>
      </w:r>
      <w:r>
        <w:rPr>
          <w:rFonts w:hint="eastAsia" w:ascii="宋体" w:hAnsi="宋体" w:cs="Arial"/>
          <w:color w:val="auto"/>
          <w:szCs w:val="21"/>
        </w:rPr>
        <w:t>/</w:t>
      </w:r>
      <w:r>
        <w:rPr>
          <w:rFonts w:hint="eastAsia" w:ascii="Arial" w:hAnsi="宋体" w:cs="Arial"/>
          <w:color w:val="auto"/>
          <w:szCs w:val="21"/>
        </w:rPr>
        <w:t>报价供应商以非独立法人注册的分公司名义代表总公司盖章和签署文件的</w:t>
      </w:r>
      <w:r>
        <w:rPr>
          <w:rFonts w:hint="eastAsia" w:ascii="宋体" w:hAnsi="宋体"/>
          <w:color w:val="auto"/>
          <w:szCs w:val="21"/>
        </w:rPr>
        <w:t>，须提供总公司的营业执照副本复印件及总公司针对本项目投标/报价的授权书原件。</w:t>
      </w:r>
    </w:p>
    <w:p>
      <w:pPr>
        <w:numPr>
          <w:ilvl w:val="0"/>
          <w:numId w:val="1"/>
        </w:numPr>
        <w:tabs>
          <w:tab w:val="left" w:pos="540"/>
        </w:tabs>
        <w:spacing w:line="600" w:lineRule="auto"/>
        <w:ind w:left="540" w:hanging="540"/>
        <w:rPr>
          <w:rFonts w:ascii="宋体" w:hAnsi="宋体"/>
          <w:color w:val="auto"/>
          <w:szCs w:val="21"/>
        </w:rPr>
      </w:pPr>
      <w:r>
        <w:rPr>
          <w:rFonts w:hint="eastAsia" w:ascii="宋体" w:hAnsi="宋体"/>
          <w:b/>
          <w:bCs/>
          <w:color w:val="auto"/>
          <w:szCs w:val="21"/>
        </w:rPr>
        <w:t>加★号的条款均被视为重要的指标要求，必须一一响应。若有一项带“★”的指标要求未响应或不满足，将按投标无效处理。</w:t>
      </w:r>
      <w:r>
        <w:rPr>
          <w:rFonts w:hint="eastAsia" w:ascii="宋体" w:hAnsi="宋体"/>
          <w:color w:val="auto"/>
          <w:szCs w:val="21"/>
        </w:rPr>
        <w:t xml:space="preserve"> </w:t>
      </w:r>
    </w:p>
    <w:p>
      <w:pPr>
        <w:numPr>
          <w:ilvl w:val="0"/>
          <w:numId w:val="1"/>
        </w:numPr>
        <w:tabs>
          <w:tab w:val="left" w:pos="540"/>
        </w:tabs>
        <w:spacing w:line="600" w:lineRule="auto"/>
        <w:ind w:left="851" w:hanging="851"/>
        <w:rPr>
          <w:rFonts w:ascii="宋体" w:hAnsi="宋体"/>
          <w:color w:val="auto"/>
          <w:szCs w:val="21"/>
        </w:rPr>
      </w:pPr>
      <w:r>
        <w:rPr>
          <w:rFonts w:hint="eastAsia" w:ascii="宋体" w:hAnsi="宋体"/>
          <w:color w:val="auto"/>
          <w:szCs w:val="21"/>
        </w:rPr>
        <w:t>以联合体形式投标/报价的，请提交《联合体共同投标协议书》。</w:t>
      </w:r>
    </w:p>
    <w:p>
      <w:pPr>
        <w:numPr>
          <w:ilvl w:val="0"/>
          <w:numId w:val="1"/>
        </w:numPr>
        <w:tabs>
          <w:tab w:val="left" w:pos="540"/>
        </w:tabs>
        <w:spacing w:line="600" w:lineRule="auto"/>
        <w:ind w:left="851" w:hanging="851"/>
        <w:rPr>
          <w:rFonts w:ascii="宋体" w:hAnsi="宋体"/>
          <w:color w:val="auto"/>
          <w:szCs w:val="21"/>
        </w:rPr>
      </w:pPr>
      <w:r>
        <w:rPr>
          <w:rFonts w:hint="eastAsia" w:ascii="宋体" w:hAnsi="宋体"/>
          <w:color w:val="auto"/>
          <w:szCs w:val="21"/>
        </w:rPr>
        <w:t>投标/报价供应商为中型、小型、微型企业的，请提交《中小企业声明函》。</w:t>
      </w:r>
    </w:p>
    <w:p>
      <w:pPr>
        <w:numPr>
          <w:ilvl w:val="0"/>
          <w:numId w:val="1"/>
        </w:numPr>
        <w:tabs>
          <w:tab w:val="left" w:pos="540"/>
        </w:tabs>
        <w:spacing w:line="600" w:lineRule="auto"/>
        <w:ind w:left="540" w:hanging="540"/>
        <w:rPr>
          <w:rFonts w:ascii="宋体" w:hAnsi="宋体"/>
          <w:color w:val="auto"/>
          <w:szCs w:val="21"/>
        </w:rPr>
      </w:pPr>
      <w:r>
        <w:rPr>
          <w:rFonts w:hint="eastAsia" w:ascii="宋体" w:hAnsi="宋体"/>
          <w:color w:val="auto"/>
          <w:szCs w:val="21"/>
        </w:rPr>
        <w:t>为了提高政府采购效率，节约社会交易成本与时间，希望购买了采购文件而决定不参加本次投标/报价的供应商，在投标/报价文件递交截止时间的3日前，按《投标/报价邀请函》中的联系方式，以书面形式告知采购代理机构。对您的支持与配合，谨此致谢。</w:t>
      </w:r>
    </w:p>
    <w:p>
      <w:pPr>
        <w:spacing w:beforeLines="50" w:afterLines="50" w:line="600" w:lineRule="auto"/>
        <w:jc w:val="center"/>
        <w:rPr>
          <w:rFonts w:ascii="宋体" w:hAnsi="宋体"/>
          <w:b/>
          <w:color w:val="auto"/>
          <w:sz w:val="36"/>
        </w:rPr>
      </w:pPr>
      <w:r>
        <w:rPr>
          <w:rFonts w:hint="eastAsia" w:ascii="宋体" w:hAnsi="宋体"/>
          <w:color w:val="auto"/>
          <w:szCs w:val="21"/>
        </w:rPr>
        <w:tab/>
      </w:r>
      <w:r>
        <w:rPr>
          <w:rFonts w:hint="eastAsia" w:ascii="宋体" w:hAnsi="宋体"/>
          <w:color w:val="auto"/>
          <w:szCs w:val="21"/>
        </w:rPr>
        <w:t>（本提示内容非采购文件的组成部分，仅为善意提醒。如有不一致，以采购文件为准）</w:t>
      </w:r>
      <w:r>
        <w:rPr>
          <w:rFonts w:hint="eastAsia" w:ascii="宋体" w:hAnsi="宋体"/>
          <w:b/>
          <w:color w:val="auto"/>
          <w:sz w:val="36"/>
        </w:rPr>
        <w:br w:type="page"/>
      </w:r>
      <w:r>
        <w:rPr>
          <w:rFonts w:hint="eastAsia" w:ascii="宋体" w:hAnsi="宋体"/>
          <w:b/>
          <w:color w:val="auto"/>
          <w:sz w:val="36"/>
        </w:rPr>
        <w:t>目   录</w:t>
      </w:r>
    </w:p>
    <w:p>
      <w:pPr>
        <w:spacing w:beforeLines="100" w:afterLines="100" w:line="360" w:lineRule="auto"/>
        <w:rPr>
          <w:rStyle w:val="95"/>
          <w:rFonts w:ascii="宋体" w:hAnsi="宋体"/>
          <w:smallCaps/>
          <w:color w:val="auto"/>
          <w:sz w:val="28"/>
          <w:szCs w:val="28"/>
        </w:rPr>
      </w:pPr>
    </w:p>
    <w:p>
      <w:pPr>
        <w:pStyle w:val="61"/>
        <w:tabs>
          <w:tab w:val="right" w:leader="dot" w:pos="9231"/>
        </w:tabs>
        <w:spacing w:line="360" w:lineRule="auto"/>
        <w:rPr>
          <w:b w:val="0"/>
          <w:bCs w:val="0"/>
          <w:caps w:val="0"/>
          <w:color w:val="auto"/>
          <w:sz w:val="28"/>
          <w:szCs w:val="28"/>
        </w:rPr>
      </w:pPr>
      <w:r>
        <w:rPr>
          <w:rFonts w:ascii="宋体" w:hAnsi="宋体"/>
          <w:bCs w:val="0"/>
          <w:caps w:val="0"/>
          <w:smallCaps/>
          <w:color w:val="auto"/>
          <w:sz w:val="28"/>
          <w:szCs w:val="28"/>
        </w:rPr>
        <w:fldChar w:fldCharType="begin"/>
      </w:r>
      <w:r>
        <w:rPr>
          <w:rStyle w:val="95"/>
          <w:rFonts w:hint="eastAsia" w:ascii="宋体" w:hAnsi="宋体"/>
          <w:bCs w:val="0"/>
          <w:caps w:val="0"/>
          <w:smallCaps/>
          <w:color w:val="auto"/>
          <w:sz w:val="28"/>
          <w:szCs w:val="28"/>
        </w:rPr>
        <w:instrText xml:space="preserve">TOC \o "1-1" \h \z \u</w:instrText>
      </w:r>
      <w:r>
        <w:rPr>
          <w:rFonts w:ascii="宋体" w:hAnsi="宋体"/>
          <w:bCs w:val="0"/>
          <w:caps w:val="0"/>
          <w:smallCaps/>
          <w:color w:val="auto"/>
          <w:sz w:val="28"/>
          <w:szCs w:val="28"/>
        </w:rPr>
        <w:fldChar w:fldCharType="separate"/>
      </w:r>
      <w:r>
        <w:rPr>
          <w:color w:val="auto"/>
        </w:rPr>
        <w:fldChar w:fldCharType="begin"/>
      </w:r>
      <w:r>
        <w:rPr>
          <w:color w:val="auto"/>
        </w:rPr>
        <w:instrText xml:space="preserve"> HYPERLINK \l "_Toc475104466" </w:instrText>
      </w:r>
      <w:r>
        <w:rPr>
          <w:color w:val="auto"/>
        </w:rPr>
        <w:fldChar w:fldCharType="separate"/>
      </w:r>
      <w:r>
        <w:rPr>
          <w:rStyle w:val="95"/>
          <w:rFonts w:hint="eastAsia"/>
          <w:color w:val="auto"/>
          <w:sz w:val="28"/>
          <w:szCs w:val="28"/>
        </w:rPr>
        <w:t>第一章 竞争性磋商邀请</w:t>
      </w:r>
      <w:r>
        <w:rPr>
          <w:color w:val="auto"/>
          <w:sz w:val="28"/>
          <w:szCs w:val="28"/>
        </w:rPr>
        <w:tab/>
      </w:r>
      <w:r>
        <w:rPr>
          <w:color w:val="auto"/>
          <w:sz w:val="28"/>
          <w:szCs w:val="28"/>
        </w:rPr>
        <w:fldChar w:fldCharType="begin"/>
      </w:r>
      <w:r>
        <w:rPr>
          <w:color w:val="auto"/>
          <w:sz w:val="28"/>
          <w:szCs w:val="28"/>
        </w:rPr>
        <w:instrText xml:space="preserve"> PAGEREF _Toc475104466 \h </w:instrText>
      </w:r>
      <w:r>
        <w:rPr>
          <w:color w:val="auto"/>
          <w:sz w:val="28"/>
          <w:szCs w:val="28"/>
        </w:rPr>
        <w:fldChar w:fldCharType="separate"/>
      </w:r>
      <w:r>
        <w:rPr>
          <w:color w:val="auto"/>
          <w:sz w:val="28"/>
          <w:szCs w:val="28"/>
        </w:rPr>
        <w:t>4</w:t>
      </w:r>
      <w:r>
        <w:rPr>
          <w:color w:val="auto"/>
          <w:sz w:val="28"/>
          <w:szCs w:val="28"/>
        </w:rPr>
        <w:fldChar w:fldCharType="end"/>
      </w:r>
      <w:r>
        <w:rPr>
          <w:color w:val="auto"/>
          <w:sz w:val="28"/>
          <w:szCs w:val="28"/>
        </w:rPr>
        <w:fldChar w:fldCharType="end"/>
      </w:r>
    </w:p>
    <w:p>
      <w:pPr>
        <w:pStyle w:val="61"/>
        <w:tabs>
          <w:tab w:val="right" w:leader="dot" w:pos="9231"/>
        </w:tabs>
        <w:spacing w:line="360" w:lineRule="auto"/>
        <w:rPr>
          <w:rFonts w:hint="eastAsia" w:eastAsia="宋体"/>
          <w:b w:val="0"/>
          <w:bCs w:val="0"/>
          <w:caps w:val="0"/>
          <w:color w:val="auto"/>
          <w:sz w:val="28"/>
          <w:szCs w:val="28"/>
          <w:lang w:eastAsia="zh-CN"/>
        </w:rPr>
      </w:pPr>
      <w:r>
        <w:rPr>
          <w:color w:val="auto"/>
        </w:rPr>
        <w:fldChar w:fldCharType="begin"/>
      </w:r>
      <w:r>
        <w:rPr>
          <w:color w:val="auto"/>
        </w:rPr>
        <w:instrText xml:space="preserve"> HYPERLINK \l "_Toc475104467" </w:instrText>
      </w:r>
      <w:r>
        <w:rPr>
          <w:color w:val="auto"/>
        </w:rPr>
        <w:fldChar w:fldCharType="separate"/>
      </w:r>
      <w:r>
        <w:rPr>
          <w:rStyle w:val="95"/>
          <w:rFonts w:hint="eastAsia"/>
          <w:color w:val="auto"/>
          <w:sz w:val="28"/>
          <w:szCs w:val="28"/>
        </w:rPr>
        <w:t>第二章 竞争性磋商须</w:t>
      </w:r>
      <w:bookmarkStart w:id="2" w:name="_Hlt509928387"/>
      <w:r>
        <w:rPr>
          <w:rStyle w:val="95"/>
          <w:rFonts w:hint="eastAsia"/>
          <w:color w:val="auto"/>
          <w:sz w:val="28"/>
          <w:szCs w:val="28"/>
        </w:rPr>
        <w:t>知</w:t>
      </w:r>
      <w:bookmarkEnd w:id="2"/>
      <w:r>
        <w:rPr>
          <w:color w:val="auto"/>
          <w:sz w:val="28"/>
          <w:szCs w:val="28"/>
        </w:rPr>
        <w:tab/>
      </w:r>
      <w:r>
        <w:rPr>
          <w:color w:val="auto"/>
          <w:sz w:val="28"/>
          <w:szCs w:val="28"/>
        </w:rPr>
        <w:fldChar w:fldCharType="end"/>
      </w:r>
      <w:r>
        <w:rPr>
          <w:rFonts w:hint="eastAsia"/>
          <w:color w:val="auto"/>
          <w:sz w:val="28"/>
          <w:szCs w:val="28"/>
          <w:lang w:val="en-US" w:eastAsia="zh-CN"/>
        </w:rPr>
        <w:t>8</w:t>
      </w:r>
    </w:p>
    <w:p>
      <w:pPr>
        <w:pStyle w:val="61"/>
        <w:tabs>
          <w:tab w:val="right" w:leader="dot" w:pos="9231"/>
        </w:tabs>
        <w:spacing w:line="360" w:lineRule="auto"/>
        <w:rPr>
          <w:rFonts w:hint="eastAsia" w:eastAsia="宋体"/>
          <w:b w:val="0"/>
          <w:bCs w:val="0"/>
          <w:caps w:val="0"/>
          <w:color w:val="auto"/>
          <w:sz w:val="28"/>
          <w:szCs w:val="28"/>
          <w:lang w:eastAsia="zh-CN"/>
        </w:rPr>
      </w:pPr>
      <w:r>
        <w:rPr>
          <w:color w:val="auto"/>
        </w:rPr>
        <w:fldChar w:fldCharType="begin"/>
      </w:r>
      <w:r>
        <w:rPr>
          <w:color w:val="auto"/>
        </w:rPr>
        <w:instrText xml:space="preserve"> HYPERLINK \l "_Toc475104521" </w:instrText>
      </w:r>
      <w:r>
        <w:rPr>
          <w:color w:val="auto"/>
        </w:rPr>
        <w:fldChar w:fldCharType="separate"/>
      </w:r>
      <w:r>
        <w:rPr>
          <w:rStyle w:val="95"/>
          <w:rFonts w:hint="eastAsia"/>
          <w:color w:val="auto"/>
          <w:sz w:val="28"/>
          <w:szCs w:val="28"/>
        </w:rPr>
        <w:t>第三章 采购人</w:t>
      </w:r>
      <w:bookmarkStart w:id="3" w:name="_Hlt510014101"/>
      <w:r>
        <w:rPr>
          <w:rStyle w:val="95"/>
          <w:rFonts w:hint="eastAsia"/>
          <w:color w:val="auto"/>
          <w:sz w:val="28"/>
          <w:szCs w:val="28"/>
        </w:rPr>
        <w:t>需</w:t>
      </w:r>
      <w:bookmarkEnd w:id="3"/>
      <w:bookmarkStart w:id="4" w:name="_Hlt510971526"/>
      <w:r>
        <w:rPr>
          <w:rStyle w:val="95"/>
          <w:rFonts w:hint="eastAsia"/>
          <w:color w:val="auto"/>
          <w:sz w:val="28"/>
          <w:szCs w:val="28"/>
        </w:rPr>
        <w:t>求</w:t>
      </w:r>
      <w:bookmarkEnd w:id="4"/>
      <w:bookmarkStart w:id="5" w:name="_Hlt510014036"/>
      <w:bookmarkStart w:id="6" w:name="_Hlt510014037"/>
      <w:r>
        <w:rPr>
          <w:rStyle w:val="95"/>
          <w:rFonts w:hint="eastAsia"/>
          <w:color w:val="auto"/>
          <w:sz w:val="28"/>
          <w:szCs w:val="28"/>
        </w:rPr>
        <w:t>书</w:t>
      </w:r>
      <w:bookmarkEnd w:id="5"/>
      <w:bookmarkEnd w:id="6"/>
      <w:bookmarkStart w:id="7" w:name="_Hlt509991847"/>
      <w:bookmarkStart w:id="8" w:name="_Hlt509994711"/>
      <w:bookmarkStart w:id="9" w:name="_Hlt509994710"/>
      <w:r>
        <w:rPr>
          <w:color w:val="auto"/>
          <w:sz w:val="28"/>
          <w:szCs w:val="28"/>
        </w:rPr>
        <w:tab/>
      </w:r>
      <w:bookmarkEnd w:id="7"/>
      <w:bookmarkEnd w:id="8"/>
      <w:bookmarkEnd w:id="9"/>
      <w:r>
        <w:rPr>
          <w:color w:val="auto"/>
          <w:sz w:val="28"/>
          <w:szCs w:val="28"/>
        </w:rPr>
        <w:fldChar w:fldCharType="end"/>
      </w:r>
      <w:r>
        <w:rPr>
          <w:rFonts w:hint="eastAsia"/>
          <w:color w:val="auto"/>
          <w:sz w:val="28"/>
          <w:szCs w:val="28"/>
        </w:rPr>
        <w:t>2</w:t>
      </w:r>
      <w:r>
        <w:rPr>
          <w:rFonts w:hint="eastAsia"/>
          <w:color w:val="auto"/>
          <w:sz w:val="28"/>
          <w:szCs w:val="28"/>
          <w:lang w:val="en-US" w:eastAsia="zh-CN"/>
        </w:rPr>
        <w:t>5</w:t>
      </w:r>
    </w:p>
    <w:p>
      <w:pPr>
        <w:pStyle w:val="61"/>
        <w:tabs>
          <w:tab w:val="right" w:leader="dot" w:pos="9231"/>
        </w:tabs>
        <w:spacing w:line="360" w:lineRule="auto"/>
        <w:rPr>
          <w:rFonts w:hint="eastAsia" w:eastAsia="宋体"/>
          <w:b w:val="0"/>
          <w:bCs w:val="0"/>
          <w:caps w:val="0"/>
          <w:color w:val="auto"/>
          <w:sz w:val="28"/>
          <w:szCs w:val="28"/>
          <w:lang w:eastAsia="zh-CN"/>
        </w:rPr>
      </w:pPr>
      <w:r>
        <w:rPr>
          <w:color w:val="auto"/>
        </w:rPr>
        <w:fldChar w:fldCharType="begin"/>
      </w:r>
      <w:r>
        <w:rPr>
          <w:color w:val="auto"/>
        </w:rPr>
        <w:instrText xml:space="preserve"> HYPERLINK \l "_Toc475104527" </w:instrText>
      </w:r>
      <w:r>
        <w:rPr>
          <w:color w:val="auto"/>
        </w:rPr>
        <w:fldChar w:fldCharType="separate"/>
      </w:r>
      <w:r>
        <w:rPr>
          <w:rStyle w:val="95"/>
          <w:rFonts w:hint="eastAsia"/>
          <w:color w:val="auto"/>
          <w:sz w:val="28"/>
          <w:szCs w:val="28"/>
        </w:rPr>
        <w:t xml:space="preserve">第四章 </w:t>
      </w:r>
      <w:bookmarkStart w:id="10" w:name="_Hlt511828826"/>
      <w:r>
        <w:rPr>
          <w:rStyle w:val="95"/>
          <w:rFonts w:hint="eastAsia"/>
          <w:color w:val="auto"/>
          <w:sz w:val="28"/>
          <w:szCs w:val="28"/>
        </w:rPr>
        <w:t>政府采购合同（</w:t>
      </w:r>
      <w:bookmarkEnd w:id="10"/>
      <w:r>
        <w:rPr>
          <w:rStyle w:val="95"/>
          <w:rFonts w:hint="eastAsia"/>
          <w:color w:val="auto"/>
          <w:sz w:val="28"/>
          <w:szCs w:val="28"/>
        </w:rPr>
        <w:t>样本）</w:t>
      </w:r>
      <w:r>
        <w:rPr>
          <w:rStyle w:val="95"/>
          <w:rFonts w:hint="eastAsia"/>
          <w:color w:val="auto"/>
          <w:sz w:val="28"/>
          <w:szCs w:val="28"/>
        </w:rPr>
        <w:fldChar w:fldCharType="end"/>
      </w:r>
      <w:r>
        <w:rPr>
          <w:rFonts w:hint="eastAsia"/>
          <w:color w:val="auto"/>
          <w:sz w:val="28"/>
          <w:szCs w:val="28"/>
        </w:rPr>
        <w:t>........................................................................2</w:t>
      </w:r>
      <w:r>
        <w:rPr>
          <w:rFonts w:hint="eastAsia"/>
          <w:color w:val="auto"/>
          <w:sz w:val="28"/>
          <w:szCs w:val="28"/>
          <w:lang w:val="en-US" w:eastAsia="zh-CN"/>
        </w:rPr>
        <w:t>8</w:t>
      </w:r>
    </w:p>
    <w:p>
      <w:pPr>
        <w:pStyle w:val="61"/>
        <w:tabs>
          <w:tab w:val="right" w:leader="dot" w:pos="9231"/>
        </w:tabs>
        <w:spacing w:line="360" w:lineRule="auto"/>
        <w:rPr>
          <w:rFonts w:hint="default" w:eastAsia="宋体"/>
          <w:b w:val="0"/>
          <w:bCs w:val="0"/>
          <w:caps w:val="0"/>
          <w:color w:val="auto"/>
          <w:sz w:val="28"/>
          <w:szCs w:val="28"/>
          <w:lang w:val="en-US" w:eastAsia="zh-CN"/>
        </w:rPr>
      </w:pPr>
      <w:r>
        <w:rPr>
          <w:color w:val="auto"/>
        </w:rPr>
        <w:fldChar w:fldCharType="begin"/>
      </w:r>
      <w:r>
        <w:rPr>
          <w:color w:val="auto"/>
        </w:rPr>
        <w:instrText xml:space="preserve"> HYPERLINK \l "_Toc475104528" </w:instrText>
      </w:r>
      <w:r>
        <w:rPr>
          <w:color w:val="auto"/>
        </w:rPr>
        <w:fldChar w:fldCharType="separate"/>
      </w:r>
      <w:r>
        <w:rPr>
          <w:rStyle w:val="95"/>
          <w:rFonts w:hint="eastAsia"/>
          <w:color w:val="auto"/>
          <w:sz w:val="28"/>
          <w:szCs w:val="28"/>
        </w:rPr>
        <w:t>第五章 评分</w:t>
      </w:r>
      <w:bookmarkStart w:id="11" w:name="_Hlt509997395"/>
      <w:r>
        <w:rPr>
          <w:rStyle w:val="95"/>
          <w:rFonts w:hint="eastAsia"/>
          <w:color w:val="auto"/>
          <w:sz w:val="28"/>
          <w:szCs w:val="28"/>
        </w:rPr>
        <w:t>体</w:t>
      </w:r>
      <w:bookmarkEnd w:id="11"/>
      <w:bookmarkStart w:id="12" w:name="_Hlt475104622"/>
      <w:r>
        <w:rPr>
          <w:rStyle w:val="95"/>
          <w:rFonts w:hint="eastAsia"/>
          <w:color w:val="auto"/>
          <w:sz w:val="28"/>
          <w:szCs w:val="28"/>
        </w:rPr>
        <w:t>系</w:t>
      </w:r>
      <w:bookmarkEnd w:id="12"/>
      <w:bookmarkStart w:id="13" w:name="_Hlt509932460"/>
      <w:bookmarkStart w:id="14" w:name="_Hlt510014093"/>
      <w:bookmarkStart w:id="15" w:name="_Hlt509932461"/>
      <w:r>
        <w:rPr>
          <w:rStyle w:val="95"/>
          <w:rFonts w:hint="eastAsia"/>
          <w:color w:val="auto"/>
          <w:sz w:val="28"/>
          <w:szCs w:val="28"/>
        </w:rPr>
        <w:t>与</w:t>
      </w:r>
      <w:bookmarkEnd w:id="13"/>
      <w:bookmarkEnd w:id="14"/>
      <w:bookmarkEnd w:id="15"/>
      <w:bookmarkStart w:id="16" w:name="_Hlt509994748"/>
      <w:r>
        <w:rPr>
          <w:rStyle w:val="95"/>
          <w:rFonts w:hint="eastAsia"/>
          <w:color w:val="auto"/>
          <w:sz w:val="28"/>
          <w:szCs w:val="28"/>
        </w:rPr>
        <w:t>标</w:t>
      </w:r>
      <w:bookmarkEnd w:id="16"/>
      <w:bookmarkStart w:id="17" w:name="_Hlt510014176"/>
      <w:bookmarkStart w:id="18" w:name="_Hlt509992254"/>
      <w:r>
        <w:rPr>
          <w:rStyle w:val="95"/>
          <w:rFonts w:hint="eastAsia"/>
          <w:color w:val="auto"/>
          <w:sz w:val="28"/>
          <w:szCs w:val="28"/>
        </w:rPr>
        <w:t>准</w:t>
      </w:r>
      <w:bookmarkEnd w:id="17"/>
      <w:bookmarkEnd w:id="18"/>
      <w:bookmarkStart w:id="19" w:name="_Hlt509991722"/>
      <w:bookmarkStart w:id="20" w:name="_Hlt509991721"/>
      <w:bookmarkStart w:id="21" w:name="_Hlt509991939"/>
      <w:r>
        <w:rPr>
          <w:color w:val="auto"/>
          <w:sz w:val="28"/>
          <w:szCs w:val="28"/>
        </w:rPr>
        <w:tab/>
      </w:r>
      <w:bookmarkEnd w:id="19"/>
      <w:bookmarkEnd w:id="20"/>
      <w:bookmarkEnd w:id="21"/>
      <w:r>
        <w:rPr>
          <w:color w:val="auto"/>
          <w:sz w:val="28"/>
          <w:szCs w:val="28"/>
        </w:rPr>
        <w:fldChar w:fldCharType="end"/>
      </w:r>
      <w:r>
        <w:rPr>
          <w:rFonts w:hint="eastAsia"/>
          <w:color w:val="auto"/>
          <w:sz w:val="28"/>
          <w:szCs w:val="28"/>
        </w:rPr>
        <w:t>1</w:t>
      </w:r>
      <w:r>
        <w:rPr>
          <w:rFonts w:hint="eastAsia"/>
          <w:color w:val="auto"/>
          <w:sz w:val="28"/>
          <w:szCs w:val="28"/>
          <w:lang w:val="en-US" w:eastAsia="zh-CN"/>
        </w:rPr>
        <w:t>51</w:t>
      </w:r>
    </w:p>
    <w:p>
      <w:pPr>
        <w:pStyle w:val="61"/>
        <w:tabs>
          <w:tab w:val="right" w:leader="dot" w:pos="9231"/>
        </w:tabs>
        <w:spacing w:line="360" w:lineRule="auto"/>
        <w:rPr>
          <w:rFonts w:hint="eastAsia" w:eastAsia="宋体"/>
          <w:b w:val="0"/>
          <w:bCs w:val="0"/>
          <w:caps w:val="0"/>
          <w:color w:val="auto"/>
          <w:sz w:val="28"/>
          <w:szCs w:val="28"/>
          <w:lang w:eastAsia="zh-CN"/>
        </w:rPr>
      </w:pPr>
      <w:r>
        <w:rPr>
          <w:color w:val="auto"/>
        </w:rPr>
        <w:fldChar w:fldCharType="begin"/>
      </w:r>
      <w:r>
        <w:rPr>
          <w:color w:val="auto"/>
        </w:rPr>
        <w:instrText xml:space="preserve"> HYPERLINK \l "_Toc475104537" </w:instrText>
      </w:r>
      <w:r>
        <w:rPr>
          <w:color w:val="auto"/>
        </w:rPr>
        <w:fldChar w:fldCharType="separate"/>
      </w:r>
      <w:r>
        <w:rPr>
          <w:rStyle w:val="95"/>
          <w:rFonts w:hint="eastAsia"/>
          <w:color w:val="auto"/>
          <w:sz w:val="28"/>
          <w:szCs w:val="28"/>
        </w:rPr>
        <w:t>第六章 附件（格</w:t>
      </w:r>
      <w:bookmarkStart w:id="22" w:name="_Hlt510014049"/>
      <w:r>
        <w:rPr>
          <w:rStyle w:val="95"/>
          <w:rFonts w:hint="eastAsia"/>
          <w:color w:val="auto"/>
          <w:sz w:val="28"/>
          <w:szCs w:val="28"/>
        </w:rPr>
        <w:t>式</w:t>
      </w:r>
      <w:bookmarkEnd w:id="22"/>
      <w:r>
        <w:rPr>
          <w:rStyle w:val="95"/>
          <w:rFonts w:hint="eastAsia"/>
          <w:color w:val="auto"/>
          <w:sz w:val="28"/>
          <w:szCs w:val="28"/>
        </w:rPr>
        <w:t>）</w:t>
      </w:r>
      <w:r>
        <w:rPr>
          <w:color w:val="auto"/>
          <w:sz w:val="28"/>
          <w:szCs w:val="28"/>
        </w:rPr>
        <w:tab/>
      </w:r>
      <w:r>
        <w:rPr>
          <w:color w:val="auto"/>
          <w:sz w:val="28"/>
          <w:szCs w:val="28"/>
        </w:rPr>
        <w:fldChar w:fldCharType="end"/>
      </w:r>
      <w:r>
        <w:rPr>
          <w:rFonts w:hint="eastAsia"/>
          <w:color w:val="auto"/>
          <w:sz w:val="28"/>
          <w:szCs w:val="28"/>
        </w:rPr>
        <w:t>15</w:t>
      </w:r>
      <w:r>
        <w:rPr>
          <w:rFonts w:hint="eastAsia"/>
          <w:color w:val="auto"/>
          <w:sz w:val="28"/>
          <w:szCs w:val="28"/>
          <w:lang w:val="en-US" w:eastAsia="zh-CN"/>
        </w:rPr>
        <w:t>9</w:t>
      </w:r>
    </w:p>
    <w:p>
      <w:pPr>
        <w:pStyle w:val="61"/>
        <w:tabs>
          <w:tab w:val="right" w:leader="dot" w:pos="9231"/>
        </w:tabs>
        <w:spacing w:line="360" w:lineRule="auto"/>
        <w:rPr>
          <w:b w:val="0"/>
          <w:bCs w:val="0"/>
          <w:caps w:val="0"/>
          <w:color w:val="auto"/>
          <w:sz w:val="28"/>
          <w:szCs w:val="28"/>
        </w:rPr>
        <w:sectPr>
          <w:headerReference r:id="rId10" w:type="first"/>
          <w:footerReference r:id="rId12" w:type="first"/>
          <w:headerReference r:id="rId9" w:type="default"/>
          <w:footerReference r:id="rId11" w:type="default"/>
          <w:type w:val="continuous"/>
          <w:pgSz w:w="11906" w:h="16838"/>
          <w:pgMar w:top="567" w:right="1304" w:bottom="567" w:left="1361" w:header="567" w:footer="737" w:gutter="0"/>
          <w:cols w:space="720" w:num="1"/>
          <w:titlePg/>
          <w:docGrid w:linePitch="312" w:charSpace="0"/>
        </w:sectPr>
      </w:pPr>
    </w:p>
    <w:p>
      <w:pPr>
        <w:pStyle w:val="61"/>
        <w:tabs>
          <w:tab w:val="right" w:leader="dot" w:pos="9231"/>
        </w:tabs>
        <w:spacing w:line="360" w:lineRule="auto"/>
        <w:rPr>
          <w:b w:val="0"/>
          <w:bCs w:val="0"/>
          <w:caps w:val="0"/>
          <w:color w:val="auto"/>
          <w:sz w:val="28"/>
          <w:szCs w:val="28"/>
        </w:rPr>
      </w:pPr>
    </w:p>
    <w:p>
      <w:pPr>
        <w:pStyle w:val="61"/>
        <w:tabs>
          <w:tab w:val="right" w:leader="dot" w:pos="9231"/>
        </w:tabs>
        <w:spacing w:line="360" w:lineRule="auto"/>
        <w:rPr>
          <w:b w:val="0"/>
          <w:bCs w:val="0"/>
          <w:caps w:val="0"/>
          <w:color w:val="auto"/>
          <w:sz w:val="28"/>
          <w:szCs w:val="28"/>
        </w:rPr>
      </w:pPr>
    </w:p>
    <w:p>
      <w:pPr>
        <w:snapToGrid w:val="0"/>
        <w:spacing w:beforeLines="100" w:afterLines="100" w:line="360" w:lineRule="auto"/>
        <w:rPr>
          <w:rFonts w:ascii="宋体" w:hAnsi="宋体"/>
          <w:color w:val="auto"/>
          <w:sz w:val="28"/>
        </w:rPr>
      </w:pPr>
      <w:r>
        <w:rPr>
          <w:rFonts w:ascii="宋体" w:hAnsi="宋体"/>
          <w:bCs/>
          <w:caps/>
          <w:smallCaps/>
          <w:color w:val="auto"/>
          <w:sz w:val="28"/>
          <w:szCs w:val="28"/>
        </w:rPr>
        <w:fldChar w:fldCharType="end"/>
      </w:r>
    </w:p>
    <w:p>
      <w:pPr>
        <w:spacing w:line="360" w:lineRule="auto"/>
        <w:rPr>
          <w:rFonts w:ascii="宋体" w:hAnsi="宋体"/>
          <w:color w:val="auto"/>
          <w:sz w:val="28"/>
        </w:rPr>
      </w:pPr>
    </w:p>
    <w:p>
      <w:pPr>
        <w:spacing w:line="360" w:lineRule="auto"/>
        <w:rPr>
          <w:rFonts w:ascii="宋体" w:hAnsi="宋体"/>
          <w:color w:val="auto"/>
          <w:sz w:val="28"/>
        </w:rPr>
      </w:pPr>
    </w:p>
    <w:p>
      <w:pPr>
        <w:spacing w:line="360" w:lineRule="auto"/>
        <w:rPr>
          <w:rFonts w:ascii="宋体" w:hAnsi="宋体"/>
          <w:color w:val="auto"/>
          <w:sz w:val="28"/>
        </w:rPr>
      </w:pPr>
    </w:p>
    <w:p>
      <w:pPr>
        <w:spacing w:line="360" w:lineRule="auto"/>
        <w:rPr>
          <w:rFonts w:ascii="宋体" w:hAnsi="宋体"/>
          <w:color w:val="auto"/>
          <w:sz w:val="28"/>
        </w:rPr>
      </w:pPr>
    </w:p>
    <w:p>
      <w:pPr>
        <w:spacing w:line="360" w:lineRule="auto"/>
        <w:rPr>
          <w:rFonts w:ascii="宋体" w:hAnsi="宋体"/>
          <w:color w:val="auto"/>
          <w:sz w:val="28"/>
        </w:rPr>
      </w:pPr>
    </w:p>
    <w:p>
      <w:pPr>
        <w:pStyle w:val="4"/>
        <w:autoSpaceDE w:val="0"/>
        <w:rPr>
          <w:color w:val="auto"/>
          <w:sz w:val="44"/>
        </w:rPr>
      </w:pPr>
      <w:bookmarkStart w:id="23" w:name="_Toc320515014"/>
      <w:bookmarkStart w:id="24" w:name="_Toc475104466"/>
      <w:r>
        <w:rPr>
          <w:rFonts w:cs="ZWAdobeF"/>
          <w:b w:val="0"/>
          <w:color w:val="auto"/>
          <w:sz w:val="2"/>
          <w:szCs w:val="2"/>
        </w:rPr>
        <w:t>0B0B</w:t>
      </w:r>
      <w:r>
        <w:rPr>
          <w:rFonts w:hint="eastAsia"/>
          <w:color w:val="auto"/>
          <w:sz w:val="44"/>
        </w:rPr>
        <w:t>第一章</w:t>
      </w:r>
      <w:bookmarkStart w:id="25" w:name="_Toc10525513"/>
      <w:r>
        <w:rPr>
          <w:rFonts w:hint="eastAsia"/>
          <w:color w:val="auto"/>
          <w:sz w:val="44"/>
        </w:rPr>
        <w:t xml:space="preserve"> 竞争性磋商邀请</w:t>
      </w:r>
      <w:bookmarkEnd w:id="0"/>
      <w:bookmarkEnd w:id="1"/>
      <w:bookmarkEnd w:id="23"/>
      <w:bookmarkEnd w:id="24"/>
      <w:bookmarkEnd w:id="25"/>
    </w:p>
    <w:p>
      <w:pPr>
        <w:spacing w:line="480" w:lineRule="auto"/>
        <w:jc w:val="center"/>
        <w:rPr>
          <w:rFonts w:ascii="宋体" w:hAnsi="宋体"/>
          <w:b/>
          <w:color w:val="auto"/>
          <w:sz w:val="30"/>
          <w:szCs w:val="30"/>
        </w:rPr>
      </w:pPr>
      <w:r>
        <w:rPr>
          <w:rFonts w:ascii="宋体" w:hAnsi="宋体"/>
          <w:color w:val="auto"/>
        </w:rPr>
        <w:br w:type="page"/>
      </w:r>
      <w:r>
        <w:rPr>
          <w:rFonts w:hint="eastAsia" w:ascii="宋体" w:hAnsi="宋体"/>
          <w:b/>
          <w:color w:val="auto"/>
          <w:sz w:val="30"/>
          <w:szCs w:val="30"/>
        </w:rPr>
        <w:t>竞争性磋商邀请</w:t>
      </w:r>
    </w:p>
    <w:p>
      <w:pPr>
        <w:widowControl/>
        <w:adjustRightInd w:val="0"/>
        <w:snapToGrid w:val="0"/>
        <w:spacing w:before="100" w:beforeAutospacing="1" w:after="100" w:afterAutospacing="1" w:line="360" w:lineRule="auto"/>
        <w:ind w:firstLine="420" w:firstLineChars="200"/>
        <w:jc w:val="center"/>
        <w:rPr>
          <w:rFonts w:ascii="宋体" w:hAnsi="宋体" w:cs="宋体"/>
          <w:color w:val="auto"/>
          <w:szCs w:val="21"/>
        </w:rPr>
      </w:pPr>
      <w:bookmarkStart w:id="409" w:name="_GoBack"/>
      <w:r>
        <w:rPr>
          <w:rFonts w:hint="eastAsia" w:ascii="宋体" w:hAnsi="宋体" w:cs="宋体"/>
          <w:color w:val="auto"/>
          <w:szCs w:val="21"/>
        </w:rPr>
        <w:t>项目概况</w:t>
      </w:r>
    </w:p>
    <w:p>
      <w:pPr>
        <w:widowControl/>
        <w:adjustRightInd w:val="0"/>
        <w:snapToGrid w:val="0"/>
        <w:spacing w:before="100" w:beforeAutospacing="1" w:after="100" w:afterAutospacing="1" w:line="360" w:lineRule="auto"/>
        <w:ind w:firstLine="420" w:firstLineChars="200"/>
        <w:jc w:val="left"/>
        <w:rPr>
          <w:rFonts w:ascii="宋体" w:hAnsi="宋体" w:cs="宋体"/>
          <w:color w:val="auto"/>
          <w:szCs w:val="21"/>
        </w:rPr>
      </w:pPr>
      <w:r>
        <w:rPr>
          <w:rFonts w:hint="eastAsia" w:ascii="宋体" w:hAnsi="宋体" w:cs="宋体"/>
          <w:color w:val="auto"/>
          <w:szCs w:val="21"/>
        </w:rPr>
        <w:t xml:space="preserve">  广东省农业科学院动物科学研究所系统微生物研究实验室内部改造工程 招标项目的潜在投标人应在广州市海珠区红卫新村西路29号UP智谷D栋503房获取招标文件，并于</w:t>
      </w:r>
      <w:r>
        <w:rPr>
          <w:rFonts w:hint="eastAsia" w:ascii="宋体" w:hAnsi="宋体" w:cs="宋体"/>
          <w:color w:val="auto"/>
          <w:szCs w:val="21"/>
        </w:rPr>
        <w:t>2020年</w:t>
      </w:r>
      <w:r>
        <w:rPr>
          <w:rFonts w:hint="eastAsia" w:ascii="宋体" w:hAnsi="宋体" w:cs="宋体"/>
          <w:color w:val="auto"/>
          <w:szCs w:val="21"/>
          <w:lang w:val="en-US" w:eastAsia="zh-CN"/>
        </w:rPr>
        <w:t>6</w:t>
      </w:r>
      <w:r>
        <w:rPr>
          <w:rFonts w:hint="eastAsia" w:ascii="宋体" w:hAnsi="宋体" w:cs="宋体"/>
          <w:color w:val="auto"/>
          <w:szCs w:val="21"/>
        </w:rPr>
        <w:t>月</w:t>
      </w:r>
      <w:r>
        <w:rPr>
          <w:rFonts w:hint="eastAsia" w:ascii="宋体" w:hAnsi="宋体" w:cs="宋体"/>
          <w:color w:val="auto"/>
          <w:szCs w:val="21"/>
          <w:lang w:val="en-US" w:eastAsia="zh-CN"/>
        </w:rPr>
        <w:t>16</w:t>
      </w:r>
      <w:r>
        <w:rPr>
          <w:rFonts w:hint="eastAsia" w:ascii="宋体" w:hAnsi="宋体" w:cs="宋体"/>
          <w:color w:val="auto"/>
          <w:szCs w:val="21"/>
        </w:rPr>
        <w:t>日09点30分</w:t>
      </w:r>
      <w:r>
        <w:rPr>
          <w:rFonts w:hint="eastAsia" w:ascii="宋体" w:hAnsi="宋体" w:cs="宋体"/>
          <w:color w:val="auto"/>
          <w:szCs w:val="21"/>
        </w:rPr>
        <w:t>（北京时间）前递交响应文件。</w:t>
      </w:r>
    </w:p>
    <w:p>
      <w:pPr>
        <w:tabs>
          <w:tab w:val="left" w:pos="840"/>
          <w:tab w:val="left" w:pos="945"/>
        </w:tabs>
        <w:snapToGrid w:val="0"/>
        <w:spacing w:line="360" w:lineRule="auto"/>
        <w:ind w:left="525"/>
        <w:rPr>
          <w:rFonts w:ascii="宋体" w:hAnsi="宋体" w:cs="宋体"/>
          <w:b/>
          <w:bCs/>
          <w:color w:val="auto"/>
          <w:szCs w:val="20"/>
        </w:rPr>
      </w:pPr>
      <w:r>
        <w:rPr>
          <w:rFonts w:hint="eastAsia" w:ascii="宋体" w:hAnsi="宋体" w:cs="宋体"/>
          <w:b/>
          <w:bCs/>
          <w:color w:val="auto"/>
          <w:szCs w:val="20"/>
        </w:rPr>
        <w:t>一、项目基本情况</w:t>
      </w:r>
    </w:p>
    <w:p>
      <w:pPr>
        <w:tabs>
          <w:tab w:val="left" w:pos="840"/>
          <w:tab w:val="left" w:pos="945"/>
        </w:tabs>
        <w:snapToGrid w:val="0"/>
        <w:spacing w:line="360" w:lineRule="auto"/>
        <w:ind w:left="525"/>
        <w:rPr>
          <w:rFonts w:ascii="宋体" w:hAnsi="宋体" w:cs="宋体"/>
          <w:bCs/>
          <w:color w:val="auto"/>
          <w:szCs w:val="20"/>
        </w:rPr>
      </w:pPr>
      <w:r>
        <w:rPr>
          <w:rFonts w:ascii="宋体" w:hAnsi="宋体" w:cs="宋体"/>
          <w:bCs/>
          <w:color w:val="auto"/>
          <w:szCs w:val="20"/>
        </w:rPr>
        <w:t>项目编号：</w:t>
      </w:r>
      <w:r>
        <w:rPr>
          <w:rFonts w:hint="eastAsia" w:ascii="宋体" w:hAnsi="宋体" w:cs="宋体"/>
          <w:bCs/>
          <w:color w:val="auto"/>
          <w:szCs w:val="20"/>
        </w:rPr>
        <w:t>202006-184098-0042</w:t>
      </w:r>
    </w:p>
    <w:p>
      <w:pPr>
        <w:tabs>
          <w:tab w:val="left" w:pos="840"/>
          <w:tab w:val="left" w:pos="945"/>
        </w:tabs>
        <w:snapToGrid w:val="0"/>
        <w:spacing w:line="360" w:lineRule="auto"/>
        <w:ind w:left="525"/>
        <w:rPr>
          <w:rFonts w:ascii="宋体" w:hAnsi="宋体" w:cs="宋体"/>
          <w:bCs/>
          <w:color w:val="auto"/>
          <w:szCs w:val="20"/>
        </w:rPr>
      </w:pPr>
      <w:r>
        <w:rPr>
          <w:rFonts w:ascii="宋体" w:hAnsi="宋体" w:cs="宋体"/>
          <w:bCs/>
          <w:color w:val="auto"/>
          <w:szCs w:val="20"/>
        </w:rPr>
        <w:t>项目名称：</w:t>
      </w:r>
      <w:r>
        <w:rPr>
          <w:rFonts w:hint="eastAsia" w:ascii="宋体" w:hAnsi="宋体" w:cs="宋体"/>
          <w:bCs/>
          <w:color w:val="auto"/>
          <w:szCs w:val="20"/>
        </w:rPr>
        <w:t>广东省农业科学院动物科学研究所系统微生物研究实验室内部改造工程</w:t>
      </w:r>
    </w:p>
    <w:p>
      <w:pPr>
        <w:tabs>
          <w:tab w:val="left" w:pos="840"/>
          <w:tab w:val="left" w:pos="945"/>
        </w:tabs>
        <w:snapToGrid w:val="0"/>
        <w:spacing w:line="360" w:lineRule="auto"/>
        <w:ind w:left="525"/>
        <w:rPr>
          <w:rFonts w:ascii="宋体" w:hAnsi="宋体" w:cs="宋体"/>
          <w:bCs/>
          <w:color w:val="auto"/>
          <w:szCs w:val="20"/>
        </w:rPr>
      </w:pPr>
      <w:r>
        <w:rPr>
          <w:rFonts w:ascii="宋体" w:hAnsi="宋体" w:cs="宋体"/>
          <w:bCs/>
          <w:color w:val="auto"/>
          <w:szCs w:val="20"/>
        </w:rPr>
        <w:t>采购方式：竞争性磋商</w:t>
      </w:r>
    </w:p>
    <w:p>
      <w:pPr>
        <w:tabs>
          <w:tab w:val="left" w:pos="840"/>
          <w:tab w:val="left" w:pos="945"/>
        </w:tabs>
        <w:snapToGrid w:val="0"/>
        <w:spacing w:line="360" w:lineRule="auto"/>
        <w:ind w:left="525"/>
        <w:rPr>
          <w:rFonts w:ascii="宋体" w:hAnsi="宋体" w:cs="宋体"/>
          <w:bCs/>
          <w:color w:val="auto"/>
          <w:szCs w:val="20"/>
        </w:rPr>
      </w:pPr>
      <w:r>
        <w:rPr>
          <w:rFonts w:ascii="宋体" w:hAnsi="宋体" w:cs="宋体"/>
          <w:bCs/>
          <w:color w:val="auto"/>
          <w:szCs w:val="20"/>
        </w:rPr>
        <w:t>预算金额：</w:t>
      </w:r>
      <w:r>
        <w:rPr>
          <w:rFonts w:hint="eastAsia" w:ascii="宋体" w:hAnsi="宋体" w:cs="宋体"/>
          <w:bCs/>
          <w:color w:val="auto"/>
          <w:szCs w:val="20"/>
        </w:rPr>
        <w:t>496652.89</w:t>
      </w:r>
    </w:p>
    <w:p>
      <w:pPr>
        <w:tabs>
          <w:tab w:val="left" w:pos="840"/>
          <w:tab w:val="left" w:pos="945"/>
        </w:tabs>
        <w:snapToGrid w:val="0"/>
        <w:spacing w:line="360" w:lineRule="auto"/>
        <w:ind w:left="525"/>
        <w:rPr>
          <w:rFonts w:ascii="宋体" w:hAnsi="宋体" w:cs="宋体"/>
          <w:bCs/>
          <w:color w:val="auto"/>
          <w:szCs w:val="20"/>
        </w:rPr>
      </w:pPr>
      <w:r>
        <w:rPr>
          <w:rFonts w:ascii="宋体" w:hAnsi="宋体" w:cs="宋体"/>
          <w:bCs/>
          <w:color w:val="auto"/>
          <w:szCs w:val="20"/>
        </w:rPr>
        <w:t>最高限价（如有）：</w:t>
      </w:r>
      <w:r>
        <w:rPr>
          <w:rFonts w:hint="eastAsia" w:ascii="宋体" w:hAnsi="宋体" w:cs="宋体"/>
          <w:bCs/>
          <w:color w:val="auto"/>
          <w:szCs w:val="20"/>
        </w:rPr>
        <w:t>496652.89</w:t>
      </w:r>
    </w:p>
    <w:p>
      <w:pPr>
        <w:tabs>
          <w:tab w:val="left" w:pos="840"/>
          <w:tab w:val="left" w:pos="945"/>
        </w:tabs>
        <w:snapToGrid w:val="0"/>
        <w:spacing w:line="360" w:lineRule="auto"/>
        <w:ind w:left="525"/>
        <w:rPr>
          <w:rFonts w:ascii="宋体" w:hAnsi="宋体" w:cs="宋体"/>
          <w:bCs/>
          <w:color w:val="auto"/>
          <w:szCs w:val="20"/>
        </w:rPr>
      </w:pPr>
      <w:r>
        <w:rPr>
          <w:rFonts w:ascii="宋体" w:hAnsi="宋体" w:cs="宋体"/>
          <w:bCs/>
          <w:color w:val="auto"/>
          <w:szCs w:val="20"/>
        </w:rPr>
        <w:t>采购需求：（包括但不限于标的的名称、数量、简要技术需求或服务要求等）</w:t>
      </w:r>
    </w:p>
    <w:p>
      <w:pPr>
        <w:tabs>
          <w:tab w:val="left" w:pos="840"/>
          <w:tab w:val="left" w:pos="945"/>
        </w:tabs>
        <w:snapToGrid w:val="0"/>
        <w:spacing w:line="360" w:lineRule="auto"/>
        <w:ind w:left="525"/>
        <w:rPr>
          <w:rFonts w:ascii="宋体" w:hAnsi="宋体" w:cs="宋体"/>
          <w:bCs/>
          <w:color w:val="auto"/>
          <w:szCs w:val="20"/>
        </w:rPr>
      </w:pPr>
      <w:r>
        <w:rPr>
          <w:rFonts w:ascii="宋体" w:hAnsi="宋体" w:cs="宋体"/>
          <w:bCs/>
          <w:color w:val="auto"/>
          <w:szCs w:val="20"/>
        </w:rPr>
        <w:t>1、标的名称：</w:t>
      </w:r>
      <w:r>
        <w:rPr>
          <w:rFonts w:hint="eastAsia" w:ascii="宋体" w:hAnsi="宋体" w:cs="宋体"/>
          <w:bCs/>
          <w:color w:val="auto"/>
          <w:szCs w:val="20"/>
        </w:rPr>
        <w:t>广东省农业科学院动物科学研究所系统微生物研究实验室内部改造工程</w:t>
      </w:r>
    </w:p>
    <w:p>
      <w:pPr>
        <w:tabs>
          <w:tab w:val="left" w:pos="840"/>
          <w:tab w:val="left" w:pos="945"/>
        </w:tabs>
        <w:snapToGrid w:val="0"/>
        <w:spacing w:line="360" w:lineRule="auto"/>
        <w:ind w:left="525"/>
        <w:rPr>
          <w:rFonts w:ascii="宋体" w:hAnsi="宋体" w:cs="宋体"/>
          <w:bCs/>
          <w:color w:val="auto"/>
          <w:szCs w:val="20"/>
        </w:rPr>
      </w:pPr>
      <w:r>
        <w:rPr>
          <w:rFonts w:ascii="宋体" w:hAnsi="宋体" w:cs="宋体"/>
          <w:bCs/>
          <w:color w:val="auto"/>
          <w:szCs w:val="20"/>
        </w:rPr>
        <w:t>2、标的数量：1项</w:t>
      </w:r>
    </w:p>
    <w:p>
      <w:pPr>
        <w:tabs>
          <w:tab w:val="left" w:pos="840"/>
          <w:tab w:val="left" w:pos="945"/>
        </w:tabs>
        <w:snapToGrid w:val="0"/>
        <w:spacing w:line="360" w:lineRule="auto"/>
        <w:ind w:left="525"/>
        <w:rPr>
          <w:rFonts w:ascii="宋体" w:hAnsi="宋体" w:cs="宋体"/>
          <w:bCs/>
          <w:color w:val="auto"/>
          <w:szCs w:val="20"/>
        </w:rPr>
      </w:pPr>
      <w:r>
        <w:rPr>
          <w:rFonts w:ascii="宋体" w:hAnsi="宋体" w:cs="宋体"/>
          <w:bCs/>
          <w:color w:val="auto"/>
          <w:szCs w:val="20"/>
        </w:rPr>
        <w:t>3、简要技术需求或服务要求：</w:t>
      </w:r>
    </w:p>
    <w:tbl>
      <w:tblPr>
        <w:tblStyle w:val="90"/>
        <w:tblW w:w="0" w:type="auto"/>
        <w:tblCellSpacing w:w="0" w:type="dxa"/>
        <w:tblInd w:w="999"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4038"/>
        <w:gridCol w:w="2053"/>
        <w:gridCol w:w="212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69" w:hRule="atLeast"/>
          <w:tblCellSpacing w:w="0" w:type="dxa"/>
        </w:trPr>
        <w:tc>
          <w:tcPr>
            <w:tcW w:w="4038" w:type="dxa"/>
            <w:vAlign w:val="center"/>
          </w:tcPr>
          <w:p>
            <w:pPr>
              <w:tabs>
                <w:tab w:val="left" w:pos="840"/>
                <w:tab w:val="left" w:pos="945"/>
              </w:tabs>
              <w:snapToGrid w:val="0"/>
              <w:spacing w:line="360" w:lineRule="auto"/>
              <w:jc w:val="center"/>
              <w:rPr>
                <w:rFonts w:ascii="宋体" w:hAnsi="宋体" w:cs="宋体"/>
                <w:bCs/>
                <w:color w:val="auto"/>
                <w:szCs w:val="20"/>
              </w:rPr>
            </w:pPr>
            <w:r>
              <w:rPr>
                <w:rFonts w:hint="eastAsia" w:ascii="宋体" w:hAnsi="宋体" w:cs="宋体"/>
                <w:bCs/>
                <w:color w:val="auto"/>
                <w:szCs w:val="20"/>
              </w:rPr>
              <w:t>采购内容</w:t>
            </w:r>
          </w:p>
        </w:tc>
        <w:tc>
          <w:tcPr>
            <w:tcW w:w="2053" w:type="dxa"/>
            <w:vAlign w:val="center"/>
          </w:tcPr>
          <w:p>
            <w:pPr>
              <w:tabs>
                <w:tab w:val="left" w:pos="840"/>
                <w:tab w:val="left" w:pos="945"/>
              </w:tabs>
              <w:snapToGrid w:val="0"/>
              <w:spacing w:line="360" w:lineRule="auto"/>
              <w:jc w:val="center"/>
              <w:rPr>
                <w:rFonts w:ascii="宋体" w:hAnsi="宋体" w:cs="宋体"/>
                <w:bCs/>
                <w:color w:val="auto"/>
                <w:szCs w:val="20"/>
              </w:rPr>
            </w:pPr>
            <w:r>
              <w:rPr>
                <w:rFonts w:hint="eastAsia" w:ascii="宋体" w:hAnsi="宋体" w:cs="宋体"/>
                <w:bCs/>
                <w:color w:val="auto"/>
                <w:szCs w:val="20"/>
              </w:rPr>
              <w:t>数量</w:t>
            </w:r>
          </w:p>
        </w:tc>
        <w:tc>
          <w:tcPr>
            <w:tcW w:w="2123" w:type="dxa"/>
            <w:vAlign w:val="center"/>
          </w:tcPr>
          <w:p>
            <w:pPr>
              <w:tabs>
                <w:tab w:val="left" w:pos="840"/>
                <w:tab w:val="left" w:pos="945"/>
              </w:tabs>
              <w:snapToGrid w:val="0"/>
              <w:spacing w:line="360" w:lineRule="auto"/>
              <w:jc w:val="center"/>
              <w:rPr>
                <w:rFonts w:ascii="宋体" w:hAnsi="宋体" w:cs="宋体"/>
                <w:bCs/>
                <w:color w:val="auto"/>
                <w:szCs w:val="20"/>
              </w:rPr>
            </w:pPr>
            <w:r>
              <w:rPr>
                <w:rFonts w:hint="eastAsia" w:ascii="宋体" w:hAnsi="宋体" w:cs="宋体"/>
                <w:bCs/>
                <w:color w:val="auto"/>
                <w:szCs w:val="20"/>
              </w:rPr>
              <w:t>采购预算</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55" w:hRule="atLeast"/>
          <w:tblCellSpacing w:w="0" w:type="dxa"/>
        </w:trPr>
        <w:tc>
          <w:tcPr>
            <w:tcW w:w="4038" w:type="dxa"/>
            <w:vAlign w:val="center"/>
          </w:tcPr>
          <w:p>
            <w:pPr>
              <w:tabs>
                <w:tab w:val="left" w:pos="840"/>
                <w:tab w:val="left" w:pos="945"/>
              </w:tabs>
              <w:snapToGrid w:val="0"/>
              <w:spacing w:line="360" w:lineRule="auto"/>
              <w:jc w:val="center"/>
              <w:rPr>
                <w:rFonts w:ascii="宋体" w:hAnsi="宋体" w:cs="宋体"/>
                <w:bCs/>
                <w:color w:val="auto"/>
                <w:szCs w:val="20"/>
              </w:rPr>
            </w:pPr>
            <w:r>
              <w:rPr>
                <w:rFonts w:hint="eastAsia" w:ascii="宋体" w:hAnsi="宋体" w:cs="宋体"/>
                <w:bCs/>
                <w:color w:val="auto"/>
                <w:szCs w:val="20"/>
              </w:rPr>
              <w:t>广东省农业科学院动物科学研究所系统微生物研究实验室内部改造工程</w:t>
            </w:r>
          </w:p>
        </w:tc>
        <w:tc>
          <w:tcPr>
            <w:tcW w:w="2053" w:type="dxa"/>
            <w:vAlign w:val="center"/>
          </w:tcPr>
          <w:p>
            <w:pPr>
              <w:tabs>
                <w:tab w:val="left" w:pos="840"/>
                <w:tab w:val="left" w:pos="945"/>
              </w:tabs>
              <w:snapToGrid w:val="0"/>
              <w:spacing w:line="360" w:lineRule="auto"/>
              <w:jc w:val="center"/>
              <w:rPr>
                <w:rFonts w:ascii="宋体" w:hAnsi="宋体" w:cs="宋体"/>
                <w:bCs/>
                <w:color w:val="auto"/>
                <w:szCs w:val="20"/>
              </w:rPr>
            </w:pPr>
            <w:r>
              <w:rPr>
                <w:rFonts w:hint="eastAsia" w:ascii="宋体" w:hAnsi="宋体" w:cs="宋体"/>
                <w:bCs/>
                <w:color w:val="auto"/>
                <w:szCs w:val="20"/>
              </w:rPr>
              <w:t>1项</w:t>
            </w:r>
          </w:p>
        </w:tc>
        <w:tc>
          <w:tcPr>
            <w:tcW w:w="2123" w:type="dxa"/>
            <w:vAlign w:val="center"/>
          </w:tcPr>
          <w:p>
            <w:pPr>
              <w:tabs>
                <w:tab w:val="left" w:pos="840"/>
                <w:tab w:val="left" w:pos="945"/>
              </w:tabs>
              <w:snapToGrid w:val="0"/>
              <w:spacing w:line="360" w:lineRule="auto"/>
              <w:jc w:val="center"/>
              <w:rPr>
                <w:rFonts w:ascii="宋体" w:hAnsi="宋体" w:cs="宋体"/>
                <w:bCs/>
                <w:color w:val="auto"/>
                <w:szCs w:val="20"/>
              </w:rPr>
            </w:pPr>
            <w:r>
              <w:rPr>
                <w:rFonts w:hint="eastAsia" w:ascii="宋体" w:hAnsi="宋体" w:cs="宋体"/>
                <w:bCs/>
                <w:color w:val="auto"/>
                <w:szCs w:val="20"/>
              </w:rPr>
              <w:t>496652.89元</w:t>
            </w:r>
          </w:p>
        </w:tc>
      </w:tr>
    </w:tbl>
    <w:p>
      <w:pPr>
        <w:numPr>
          <w:ilvl w:val="0"/>
          <w:numId w:val="2"/>
        </w:numPr>
        <w:tabs>
          <w:tab w:val="left" w:pos="840"/>
          <w:tab w:val="left" w:pos="945"/>
        </w:tabs>
        <w:snapToGrid w:val="0"/>
        <w:spacing w:line="360" w:lineRule="auto"/>
        <w:rPr>
          <w:rFonts w:ascii="宋体" w:hAnsi="宋体" w:cs="宋体"/>
          <w:bCs/>
          <w:color w:val="auto"/>
          <w:szCs w:val="20"/>
        </w:rPr>
      </w:pPr>
      <w:r>
        <w:rPr>
          <w:rFonts w:hint="eastAsia" w:ascii="宋体" w:hAnsi="宋体" w:cs="宋体"/>
          <w:bCs/>
          <w:color w:val="auto"/>
          <w:szCs w:val="20"/>
        </w:rPr>
        <w:t>详细请看第三章采购人需求书 。</w:t>
      </w:r>
    </w:p>
    <w:p>
      <w:pPr>
        <w:numPr>
          <w:ilvl w:val="0"/>
          <w:numId w:val="2"/>
        </w:numPr>
        <w:tabs>
          <w:tab w:val="left" w:pos="840"/>
          <w:tab w:val="left" w:pos="945"/>
        </w:tabs>
        <w:snapToGrid w:val="0"/>
        <w:spacing w:line="360" w:lineRule="auto"/>
        <w:rPr>
          <w:rFonts w:ascii="宋体" w:hAnsi="宋体" w:cs="宋体"/>
          <w:bCs/>
          <w:color w:val="auto"/>
          <w:szCs w:val="20"/>
        </w:rPr>
      </w:pPr>
      <w:r>
        <w:rPr>
          <w:rFonts w:hint="eastAsia" w:ascii="宋体" w:hAnsi="宋体" w:cs="宋体"/>
          <w:bCs/>
          <w:color w:val="auto"/>
          <w:szCs w:val="20"/>
        </w:rPr>
        <w:t>子项目1：最高限价：人民币496652.89元。</w:t>
      </w:r>
    </w:p>
    <w:p>
      <w:pPr>
        <w:numPr>
          <w:ilvl w:val="0"/>
          <w:numId w:val="2"/>
        </w:numPr>
        <w:tabs>
          <w:tab w:val="left" w:pos="840"/>
          <w:tab w:val="left" w:pos="945"/>
        </w:tabs>
        <w:snapToGrid w:val="0"/>
        <w:spacing w:line="360" w:lineRule="auto"/>
        <w:rPr>
          <w:rFonts w:ascii="宋体" w:hAnsi="宋体" w:cs="宋体"/>
          <w:bCs/>
          <w:color w:val="auto"/>
          <w:szCs w:val="20"/>
        </w:rPr>
      </w:pPr>
      <w:r>
        <w:rPr>
          <w:rFonts w:hint="eastAsia" w:ascii="宋体" w:hAnsi="宋体" w:cs="宋体"/>
          <w:bCs/>
          <w:color w:val="auto"/>
          <w:szCs w:val="20"/>
        </w:rPr>
        <w:t>项目基本概况简述：本项目为广东省农业科学院动物科学研究所系统微生物研究实验室内部改造工程。</w:t>
      </w:r>
    </w:p>
    <w:p>
      <w:pPr>
        <w:numPr>
          <w:ilvl w:val="0"/>
          <w:numId w:val="2"/>
        </w:numPr>
        <w:tabs>
          <w:tab w:val="left" w:pos="840"/>
          <w:tab w:val="left" w:pos="945"/>
        </w:tabs>
        <w:snapToGrid w:val="0"/>
        <w:spacing w:line="360" w:lineRule="auto"/>
        <w:rPr>
          <w:rFonts w:ascii="宋体" w:hAnsi="宋体" w:cs="宋体"/>
          <w:bCs/>
          <w:color w:val="auto"/>
          <w:szCs w:val="20"/>
        </w:rPr>
      </w:pPr>
      <w:r>
        <w:rPr>
          <w:rFonts w:hint="eastAsia" w:ascii="宋体" w:hAnsi="宋体" w:cs="宋体"/>
          <w:bCs/>
          <w:color w:val="auto"/>
          <w:szCs w:val="20"/>
        </w:rPr>
        <w:t>需要落实的政府采购政策：</w:t>
      </w:r>
    </w:p>
    <w:p>
      <w:pPr>
        <w:tabs>
          <w:tab w:val="left" w:pos="840"/>
          <w:tab w:val="left" w:pos="945"/>
        </w:tabs>
        <w:snapToGrid w:val="0"/>
        <w:spacing w:line="360" w:lineRule="auto"/>
        <w:ind w:left="947" w:firstLine="420" w:firstLineChars="200"/>
        <w:rPr>
          <w:rFonts w:ascii="宋体" w:hAnsi="宋体" w:cs="宋体"/>
          <w:bCs/>
          <w:color w:val="auto"/>
          <w:szCs w:val="20"/>
        </w:rPr>
      </w:pPr>
      <w:r>
        <w:rPr>
          <w:rFonts w:hint="eastAsia" w:ascii="宋体" w:hAnsi="宋体" w:cs="宋体"/>
          <w:bCs/>
          <w:color w:val="auto"/>
          <w:szCs w:val="20"/>
        </w:rPr>
        <w:t>1)《政府采购促进中小企业发展暂行办法》（财库〔2011〕181号）</w:t>
      </w:r>
    </w:p>
    <w:p>
      <w:pPr>
        <w:tabs>
          <w:tab w:val="left" w:pos="840"/>
          <w:tab w:val="left" w:pos="945"/>
        </w:tabs>
        <w:snapToGrid w:val="0"/>
        <w:spacing w:line="360" w:lineRule="auto"/>
        <w:ind w:left="947" w:firstLine="420" w:firstLineChars="200"/>
        <w:rPr>
          <w:rFonts w:ascii="宋体" w:hAnsi="宋体" w:cs="宋体"/>
          <w:bCs/>
          <w:color w:val="auto"/>
          <w:szCs w:val="20"/>
        </w:rPr>
      </w:pPr>
      <w:r>
        <w:rPr>
          <w:rFonts w:hint="eastAsia" w:ascii="宋体" w:hAnsi="宋体" w:cs="宋体"/>
          <w:bCs/>
          <w:color w:val="auto"/>
          <w:szCs w:val="20"/>
        </w:rPr>
        <w:t>2)《关于政府采购支持监狱企业发展有关问题的通知》(财库〔2014〕68号)</w:t>
      </w:r>
    </w:p>
    <w:p>
      <w:pPr>
        <w:tabs>
          <w:tab w:val="left" w:pos="840"/>
          <w:tab w:val="left" w:pos="945"/>
        </w:tabs>
        <w:snapToGrid w:val="0"/>
        <w:spacing w:line="360" w:lineRule="auto"/>
        <w:ind w:left="947" w:firstLine="420" w:firstLineChars="200"/>
        <w:rPr>
          <w:rFonts w:ascii="宋体" w:hAnsi="宋体" w:cs="宋体"/>
          <w:bCs/>
          <w:color w:val="auto"/>
          <w:szCs w:val="20"/>
        </w:rPr>
      </w:pPr>
      <w:r>
        <w:rPr>
          <w:rFonts w:hint="eastAsia" w:ascii="宋体" w:hAnsi="宋体" w:cs="宋体"/>
          <w:bCs/>
          <w:color w:val="auto"/>
          <w:szCs w:val="20"/>
        </w:rPr>
        <w:t>3)《关于促进残疾人就业政府采购政策的通知》（财库〔2017〕141号)</w:t>
      </w:r>
    </w:p>
    <w:p>
      <w:pPr>
        <w:tabs>
          <w:tab w:val="left" w:pos="840"/>
          <w:tab w:val="left" w:pos="945"/>
        </w:tabs>
        <w:snapToGrid w:val="0"/>
        <w:spacing w:line="360" w:lineRule="auto"/>
        <w:ind w:left="947" w:firstLine="420" w:firstLineChars="200"/>
        <w:rPr>
          <w:rFonts w:ascii="宋体" w:hAnsi="宋体" w:cs="宋体"/>
          <w:bCs/>
          <w:color w:val="auto"/>
          <w:szCs w:val="20"/>
        </w:rPr>
      </w:pPr>
      <w:r>
        <w:rPr>
          <w:rFonts w:hint="eastAsia" w:ascii="宋体" w:hAnsi="宋体" w:cs="宋体"/>
          <w:bCs/>
          <w:color w:val="auto"/>
          <w:szCs w:val="20"/>
        </w:rPr>
        <w:t>4)《关于环境标志产品政府采购实施的意见》(财库〔2006〕90号）</w:t>
      </w:r>
    </w:p>
    <w:p>
      <w:pPr>
        <w:tabs>
          <w:tab w:val="left" w:pos="840"/>
          <w:tab w:val="left" w:pos="945"/>
        </w:tabs>
        <w:snapToGrid w:val="0"/>
        <w:spacing w:line="360" w:lineRule="auto"/>
        <w:ind w:left="947" w:firstLine="420" w:firstLineChars="200"/>
        <w:rPr>
          <w:rFonts w:ascii="宋体" w:hAnsi="宋体" w:cs="宋体"/>
          <w:bCs/>
          <w:color w:val="auto"/>
          <w:szCs w:val="20"/>
        </w:rPr>
      </w:pPr>
      <w:r>
        <w:rPr>
          <w:rFonts w:hint="eastAsia" w:ascii="宋体" w:hAnsi="宋体" w:cs="宋体"/>
          <w:bCs/>
          <w:color w:val="auto"/>
          <w:szCs w:val="20"/>
        </w:rPr>
        <w:t>5)《节能产品政府采购实施意见》的通知（财库〔2004〕185号）。</w:t>
      </w:r>
    </w:p>
    <w:p>
      <w:pPr>
        <w:tabs>
          <w:tab w:val="left" w:pos="840"/>
          <w:tab w:val="left" w:pos="945"/>
        </w:tabs>
        <w:snapToGrid w:val="0"/>
        <w:spacing w:line="360" w:lineRule="auto"/>
        <w:ind w:left="525"/>
        <w:rPr>
          <w:rFonts w:ascii="宋体" w:hAnsi="宋体" w:cs="宋体"/>
          <w:bCs/>
          <w:color w:val="auto"/>
          <w:szCs w:val="20"/>
        </w:rPr>
      </w:pPr>
      <w:r>
        <w:rPr>
          <w:rFonts w:ascii="宋体" w:hAnsi="宋体" w:cs="宋体"/>
          <w:bCs/>
          <w:color w:val="auto"/>
          <w:szCs w:val="20"/>
        </w:rPr>
        <w:t>4、其他：</w:t>
      </w:r>
      <w:r>
        <w:rPr>
          <w:rFonts w:hint="eastAsia" w:ascii="宋体" w:hAnsi="宋体" w:cs="宋体"/>
          <w:bCs/>
          <w:color w:val="auto"/>
          <w:szCs w:val="20"/>
        </w:rPr>
        <w:t>无</w:t>
      </w:r>
    </w:p>
    <w:p>
      <w:pPr>
        <w:tabs>
          <w:tab w:val="left" w:pos="840"/>
          <w:tab w:val="left" w:pos="945"/>
        </w:tabs>
        <w:snapToGrid w:val="0"/>
        <w:spacing w:line="360" w:lineRule="auto"/>
        <w:ind w:left="525"/>
        <w:rPr>
          <w:rFonts w:ascii="宋体" w:hAnsi="宋体" w:cs="宋体"/>
          <w:bCs/>
          <w:color w:val="auto"/>
          <w:szCs w:val="20"/>
        </w:rPr>
      </w:pPr>
      <w:r>
        <w:rPr>
          <w:rFonts w:ascii="宋体" w:hAnsi="宋体" w:cs="宋体"/>
          <w:bCs/>
          <w:color w:val="auto"/>
          <w:szCs w:val="20"/>
        </w:rPr>
        <w:t>合同履行期限：</w:t>
      </w:r>
      <w:r>
        <w:rPr>
          <w:rFonts w:hint="eastAsia" w:ascii="宋体" w:hAnsi="宋体" w:cs="宋体"/>
          <w:bCs/>
          <w:color w:val="auto"/>
          <w:szCs w:val="20"/>
        </w:rPr>
        <w:t>60日历天</w:t>
      </w:r>
      <w:r>
        <w:rPr>
          <w:rFonts w:ascii="宋体" w:hAnsi="宋体" w:cs="宋体"/>
          <w:bCs/>
          <w:color w:val="auto"/>
          <w:szCs w:val="20"/>
        </w:rPr>
        <w:t>。</w:t>
      </w:r>
    </w:p>
    <w:p>
      <w:pPr>
        <w:tabs>
          <w:tab w:val="left" w:pos="840"/>
          <w:tab w:val="left" w:pos="945"/>
        </w:tabs>
        <w:snapToGrid w:val="0"/>
        <w:spacing w:line="360" w:lineRule="auto"/>
        <w:ind w:left="525"/>
        <w:rPr>
          <w:rFonts w:ascii="宋体" w:hAnsi="宋体" w:cs="宋体"/>
          <w:bCs/>
          <w:color w:val="auto"/>
          <w:szCs w:val="20"/>
        </w:rPr>
      </w:pPr>
      <w:r>
        <w:rPr>
          <w:rFonts w:ascii="宋体" w:hAnsi="宋体" w:cs="宋体"/>
          <w:bCs/>
          <w:color w:val="auto"/>
          <w:szCs w:val="20"/>
        </w:rPr>
        <w:t>本项目不接受联合体</w:t>
      </w:r>
      <w:r>
        <w:rPr>
          <w:rFonts w:hint="eastAsia"/>
          <w:color w:val="auto"/>
          <w:szCs w:val="21"/>
        </w:rPr>
        <w:t>磋商</w:t>
      </w:r>
      <w:r>
        <w:rPr>
          <w:rFonts w:ascii="宋体" w:hAnsi="宋体" w:cs="宋体"/>
          <w:bCs/>
          <w:color w:val="auto"/>
          <w:szCs w:val="20"/>
        </w:rPr>
        <w:t>。</w:t>
      </w:r>
    </w:p>
    <w:p>
      <w:pPr>
        <w:tabs>
          <w:tab w:val="left" w:pos="840"/>
          <w:tab w:val="left" w:pos="945"/>
        </w:tabs>
        <w:snapToGrid w:val="0"/>
        <w:spacing w:line="360" w:lineRule="auto"/>
        <w:ind w:left="525"/>
        <w:rPr>
          <w:rFonts w:ascii="宋体" w:hAnsi="宋体" w:cs="宋体"/>
          <w:b/>
          <w:bCs/>
          <w:color w:val="auto"/>
          <w:szCs w:val="20"/>
        </w:rPr>
      </w:pPr>
      <w:r>
        <w:rPr>
          <w:rFonts w:ascii="宋体" w:hAnsi="宋体" w:cs="宋体"/>
          <w:b/>
          <w:bCs/>
          <w:color w:val="auto"/>
          <w:szCs w:val="20"/>
        </w:rPr>
        <w:t>二、申请人的资格要求</w:t>
      </w:r>
    </w:p>
    <w:p>
      <w:pPr>
        <w:tabs>
          <w:tab w:val="left" w:pos="840"/>
          <w:tab w:val="left" w:pos="945"/>
        </w:tabs>
        <w:snapToGrid w:val="0"/>
        <w:spacing w:line="360" w:lineRule="auto"/>
        <w:ind w:left="525"/>
        <w:rPr>
          <w:rFonts w:ascii="宋体" w:hAnsi="宋体" w:cs="宋体"/>
          <w:bCs/>
          <w:color w:val="auto"/>
          <w:szCs w:val="20"/>
        </w:rPr>
      </w:pPr>
      <w:r>
        <w:rPr>
          <w:rFonts w:hint="eastAsia" w:ascii="宋体" w:hAnsi="宋体" w:cs="宋体"/>
          <w:bCs/>
          <w:color w:val="auto"/>
          <w:szCs w:val="20"/>
        </w:rPr>
        <w:t>1.满足《中华人民共和国政府采购法》第二十二条规定；</w:t>
      </w:r>
    </w:p>
    <w:p>
      <w:pPr>
        <w:tabs>
          <w:tab w:val="left" w:pos="840"/>
          <w:tab w:val="left" w:pos="945"/>
        </w:tabs>
        <w:snapToGrid w:val="0"/>
        <w:spacing w:line="360" w:lineRule="auto"/>
        <w:ind w:left="525"/>
        <w:rPr>
          <w:rFonts w:ascii="宋体" w:hAnsi="宋体" w:cs="宋体"/>
          <w:bCs/>
          <w:color w:val="auto"/>
          <w:szCs w:val="20"/>
        </w:rPr>
      </w:pPr>
      <w:r>
        <w:rPr>
          <w:rFonts w:hint="eastAsia" w:ascii="宋体" w:hAnsi="宋体" w:cs="宋体"/>
          <w:bCs/>
          <w:color w:val="auto"/>
          <w:szCs w:val="20"/>
        </w:rPr>
        <w:t>2.落实政府采购政策需满足的资格要求：本项目不属于专门面向中小企业采购的项目。</w:t>
      </w:r>
    </w:p>
    <w:p>
      <w:pPr>
        <w:tabs>
          <w:tab w:val="left" w:pos="840"/>
          <w:tab w:val="left" w:pos="945"/>
        </w:tabs>
        <w:snapToGrid w:val="0"/>
        <w:spacing w:line="360" w:lineRule="auto"/>
        <w:ind w:left="525"/>
        <w:rPr>
          <w:rFonts w:ascii="宋体" w:hAnsi="宋体" w:cs="宋体"/>
          <w:bCs/>
          <w:color w:val="auto"/>
          <w:szCs w:val="20"/>
        </w:rPr>
      </w:pPr>
      <w:r>
        <w:rPr>
          <w:rFonts w:hint="eastAsia" w:ascii="宋体" w:hAnsi="宋体" w:cs="宋体"/>
          <w:bCs/>
          <w:color w:val="auto"/>
          <w:szCs w:val="20"/>
        </w:rPr>
        <w:t>3.</w:t>
      </w:r>
      <w:r>
        <w:rPr>
          <w:rFonts w:hint="eastAsia" w:ascii="仿宋_GB2312" w:eastAsia="仿宋_GB2312"/>
          <w:color w:val="auto"/>
          <w:sz w:val="28"/>
          <w:szCs w:val="28"/>
        </w:rPr>
        <w:t xml:space="preserve"> </w:t>
      </w:r>
      <w:r>
        <w:rPr>
          <w:rFonts w:hint="eastAsia" w:ascii="宋体" w:hAnsi="宋体" w:cs="宋体"/>
          <w:bCs/>
          <w:color w:val="auto"/>
          <w:szCs w:val="20"/>
        </w:rPr>
        <w:t>本项目的特定资格要求：</w:t>
      </w:r>
    </w:p>
    <w:p>
      <w:pPr>
        <w:tabs>
          <w:tab w:val="left" w:pos="840"/>
          <w:tab w:val="left" w:pos="945"/>
        </w:tabs>
        <w:snapToGrid w:val="0"/>
        <w:spacing w:line="360" w:lineRule="auto"/>
        <w:ind w:left="525"/>
        <w:rPr>
          <w:rFonts w:ascii="宋体" w:hAnsi="宋体" w:cs="宋体"/>
          <w:bCs/>
          <w:color w:val="auto"/>
          <w:szCs w:val="20"/>
        </w:rPr>
      </w:pPr>
      <w:r>
        <w:rPr>
          <w:rFonts w:hint="eastAsia" w:ascii="宋体" w:hAnsi="宋体" w:cs="宋体"/>
          <w:bCs/>
          <w:color w:val="auto"/>
          <w:szCs w:val="20"/>
        </w:rPr>
        <w:t>（1）参加本项目磋商的供应商应具备《政府采购法》第二十二条供应商资格条件；</w:t>
      </w:r>
    </w:p>
    <w:p>
      <w:pPr>
        <w:tabs>
          <w:tab w:val="left" w:pos="840"/>
          <w:tab w:val="left" w:pos="945"/>
        </w:tabs>
        <w:snapToGrid w:val="0"/>
        <w:spacing w:line="360" w:lineRule="auto"/>
        <w:ind w:left="525" w:firstLine="105" w:firstLineChars="50"/>
        <w:rPr>
          <w:rFonts w:ascii="宋体" w:hAnsi="宋体" w:cs="宋体"/>
          <w:bCs/>
          <w:color w:val="auto"/>
          <w:szCs w:val="20"/>
        </w:rPr>
      </w:pPr>
      <w:r>
        <w:rPr>
          <w:rFonts w:hint="eastAsia" w:ascii="宋体" w:hAnsi="宋体" w:cs="宋体"/>
          <w:bCs/>
          <w:color w:val="auto"/>
          <w:szCs w:val="20"/>
        </w:rPr>
        <w:t>1）具有独立承担民事责任的能力；</w:t>
      </w:r>
    </w:p>
    <w:p>
      <w:pPr>
        <w:tabs>
          <w:tab w:val="left" w:pos="840"/>
          <w:tab w:val="left" w:pos="945"/>
        </w:tabs>
        <w:snapToGrid w:val="0"/>
        <w:spacing w:line="360" w:lineRule="auto"/>
        <w:ind w:left="525" w:firstLine="105" w:firstLineChars="50"/>
        <w:rPr>
          <w:rFonts w:ascii="宋体" w:hAnsi="宋体" w:cs="宋体"/>
          <w:bCs/>
          <w:color w:val="auto"/>
          <w:szCs w:val="20"/>
        </w:rPr>
      </w:pPr>
      <w:r>
        <w:rPr>
          <w:rFonts w:hint="eastAsia" w:ascii="宋体" w:hAnsi="宋体" w:cs="宋体"/>
          <w:bCs/>
          <w:color w:val="auto"/>
          <w:szCs w:val="20"/>
        </w:rPr>
        <w:t>2）具有良好的商业信誉和健全的财务会计制度；</w:t>
      </w:r>
    </w:p>
    <w:p>
      <w:pPr>
        <w:tabs>
          <w:tab w:val="left" w:pos="840"/>
          <w:tab w:val="left" w:pos="945"/>
        </w:tabs>
        <w:snapToGrid w:val="0"/>
        <w:spacing w:line="360" w:lineRule="auto"/>
        <w:ind w:left="525" w:firstLine="105" w:firstLineChars="50"/>
        <w:rPr>
          <w:rFonts w:ascii="宋体" w:hAnsi="宋体" w:cs="宋体"/>
          <w:bCs/>
          <w:color w:val="auto"/>
          <w:szCs w:val="20"/>
        </w:rPr>
      </w:pPr>
      <w:r>
        <w:rPr>
          <w:rFonts w:hint="eastAsia" w:ascii="宋体" w:hAnsi="宋体" w:cs="宋体"/>
          <w:bCs/>
          <w:color w:val="auto"/>
          <w:szCs w:val="20"/>
        </w:rPr>
        <w:t>3）具有履行合同所必需的设备和专业技术能力；</w:t>
      </w:r>
    </w:p>
    <w:p>
      <w:pPr>
        <w:tabs>
          <w:tab w:val="left" w:pos="840"/>
          <w:tab w:val="left" w:pos="945"/>
        </w:tabs>
        <w:snapToGrid w:val="0"/>
        <w:spacing w:line="360" w:lineRule="auto"/>
        <w:ind w:left="525" w:firstLine="105" w:firstLineChars="50"/>
        <w:rPr>
          <w:rFonts w:ascii="宋体" w:hAnsi="宋体" w:cs="宋体"/>
          <w:bCs/>
          <w:color w:val="auto"/>
          <w:szCs w:val="20"/>
        </w:rPr>
      </w:pPr>
      <w:r>
        <w:rPr>
          <w:rFonts w:hint="eastAsia" w:ascii="宋体" w:hAnsi="宋体" w:cs="宋体"/>
          <w:bCs/>
          <w:color w:val="auto"/>
          <w:szCs w:val="20"/>
        </w:rPr>
        <w:t>4）有依法缴纳税收和社会保障资金的良好记录；</w:t>
      </w:r>
    </w:p>
    <w:p>
      <w:pPr>
        <w:tabs>
          <w:tab w:val="left" w:pos="840"/>
          <w:tab w:val="left" w:pos="945"/>
        </w:tabs>
        <w:snapToGrid w:val="0"/>
        <w:spacing w:line="360" w:lineRule="auto"/>
        <w:ind w:left="525" w:firstLine="105" w:firstLineChars="50"/>
        <w:rPr>
          <w:rFonts w:ascii="宋体" w:hAnsi="宋体" w:cs="宋体"/>
          <w:bCs/>
          <w:color w:val="auto"/>
          <w:szCs w:val="20"/>
        </w:rPr>
      </w:pPr>
      <w:r>
        <w:rPr>
          <w:rFonts w:hint="eastAsia" w:ascii="宋体" w:hAnsi="宋体" w:cs="宋体"/>
          <w:bCs/>
          <w:color w:val="auto"/>
          <w:szCs w:val="20"/>
        </w:rPr>
        <w:t>5）参加政府采购活动前三年内，在经营活动中没有重大违法记录；</w:t>
      </w:r>
    </w:p>
    <w:p>
      <w:pPr>
        <w:tabs>
          <w:tab w:val="left" w:pos="840"/>
          <w:tab w:val="left" w:pos="945"/>
        </w:tabs>
        <w:snapToGrid w:val="0"/>
        <w:spacing w:line="360" w:lineRule="auto"/>
        <w:ind w:left="525" w:firstLine="105" w:firstLineChars="50"/>
        <w:rPr>
          <w:rFonts w:ascii="宋体" w:hAnsi="宋体" w:cs="宋体"/>
          <w:bCs/>
          <w:color w:val="auto"/>
          <w:szCs w:val="20"/>
        </w:rPr>
      </w:pPr>
      <w:r>
        <w:rPr>
          <w:rFonts w:hint="eastAsia" w:ascii="宋体" w:hAnsi="宋体" w:cs="宋体"/>
          <w:bCs/>
          <w:color w:val="auto"/>
          <w:szCs w:val="20"/>
        </w:rPr>
        <w:t>6）法律、行政法规规定的其他条件。</w:t>
      </w:r>
    </w:p>
    <w:p>
      <w:pPr>
        <w:tabs>
          <w:tab w:val="left" w:pos="840"/>
          <w:tab w:val="left" w:pos="945"/>
        </w:tabs>
        <w:snapToGrid w:val="0"/>
        <w:spacing w:line="360" w:lineRule="auto"/>
        <w:ind w:left="525"/>
        <w:rPr>
          <w:rFonts w:ascii="宋体" w:hAnsi="宋体" w:cs="宋体"/>
          <w:bCs/>
          <w:color w:val="auto"/>
          <w:szCs w:val="20"/>
        </w:rPr>
      </w:pPr>
      <w:r>
        <w:rPr>
          <w:rFonts w:hint="eastAsia" w:ascii="宋体" w:hAnsi="宋体" w:cs="宋体"/>
          <w:bCs/>
          <w:color w:val="auto"/>
          <w:szCs w:val="20"/>
        </w:rPr>
        <w:t>（2）供应商必须是具有独立承担民事责任能力的中华人民共和国境内注册的法人或其他组织；</w:t>
      </w:r>
    </w:p>
    <w:p>
      <w:pPr>
        <w:tabs>
          <w:tab w:val="left" w:pos="840"/>
          <w:tab w:val="left" w:pos="945"/>
        </w:tabs>
        <w:snapToGrid w:val="0"/>
        <w:spacing w:line="360" w:lineRule="auto"/>
        <w:ind w:left="525"/>
        <w:rPr>
          <w:rFonts w:ascii="宋体" w:hAnsi="宋体" w:cs="宋体"/>
          <w:bCs/>
          <w:color w:val="auto"/>
          <w:szCs w:val="20"/>
        </w:rPr>
      </w:pPr>
      <w:r>
        <w:rPr>
          <w:rFonts w:hint="eastAsia" w:ascii="宋体" w:hAnsi="宋体" w:cs="宋体"/>
          <w:bCs/>
          <w:color w:val="auto"/>
          <w:szCs w:val="20"/>
        </w:rPr>
        <w:t>（3）供应商须具有承接本工程所需的建筑工程施工总承包叁级（或以上级别）资质；</w:t>
      </w:r>
    </w:p>
    <w:p>
      <w:pPr>
        <w:tabs>
          <w:tab w:val="left" w:pos="840"/>
          <w:tab w:val="left" w:pos="945"/>
        </w:tabs>
        <w:snapToGrid w:val="0"/>
        <w:spacing w:line="360" w:lineRule="auto"/>
        <w:ind w:left="525"/>
        <w:rPr>
          <w:rFonts w:ascii="宋体" w:hAnsi="宋体" w:cs="宋体"/>
          <w:bCs/>
          <w:color w:val="auto"/>
          <w:szCs w:val="20"/>
        </w:rPr>
      </w:pPr>
      <w:r>
        <w:rPr>
          <w:rFonts w:hint="eastAsia" w:ascii="宋体" w:hAnsi="宋体" w:cs="宋体"/>
          <w:bCs/>
          <w:color w:val="auto"/>
          <w:szCs w:val="20"/>
        </w:rPr>
        <w:t>（4）</w:t>
      </w:r>
      <w:r>
        <w:rPr>
          <w:rFonts w:hint="eastAsia"/>
          <w:color w:val="auto"/>
          <w:szCs w:val="21"/>
        </w:rPr>
        <w:t>供应商须具有建设行政主管部门颁发的有效《安全生产许可证》；</w:t>
      </w:r>
    </w:p>
    <w:p>
      <w:pPr>
        <w:tabs>
          <w:tab w:val="left" w:pos="840"/>
          <w:tab w:val="left" w:pos="945"/>
        </w:tabs>
        <w:snapToGrid w:val="0"/>
        <w:spacing w:line="360" w:lineRule="auto"/>
        <w:ind w:left="525"/>
        <w:rPr>
          <w:rFonts w:ascii="宋体" w:hAnsi="宋体" w:cs="宋体"/>
          <w:bCs/>
          <w:color w:val="auto"/>
          <w:szCs w:val="20"/>
        </w:rPr>
      </w:pPr>
      <w:r>
        <w:rPr>
          <w:rFonts w:hint="eastAsia" w:ascii="宋体" w:hAnsi="宋体" w:cs="宋体"/>
          <w:bCs/>
          <w:color w:val="auto"/>
          <w:szCs w:val="20"/>
        </w:rPr>
        <w:t>（5）供应商拟担任本工程项目负责人的人员为：建筑工程专业二级或以上级别注册建造师，且项目负责人持有安全培训考核合格证（B类）或能够提供广东省建筑施工企业管理人员安全生产考核信息系统安全生产管理人员证书信息的网页截图；</w:t>
      </w:r>
    </w:p>
    <w:p>
      <w:pPr>
        <w:tabs>
          <w:tab w:val="left" w:pos="840"/>
          <w:tab w:val="left" w:pos="945"/>
        </w:tabs>
        <w:snapToGrid w:val="0"/>
        <w:spacing w:line="360" w:lineRule="auto"/>
        <w:ind w:left="525"/>
        <w:rPr>
          <w:rFonts w:ascii="宋体" w:hAnsi="宋体" w:cs="宋体"/>
          <w:bCs/>
          <w:color w:val="auto"/>
          <w:szCs w:val="20"/>
        </w:rPr>
      </w:pPr>
      <w:r>
        <w:rPr>
          <w:rFonts w:hint="eastAsia" w:ascii="宋体" w:hAnsi="宋体" w:cs="宋体"/>
          <w:bCs/>
          <w:color w:val="auto"/>
          <w:szCs w:val="20"/>
        </w:rPr>
        <w:t>注：①根据广东省建设厅《关于明确省外二级建造师入粤注册和执业有关问题的通知》（粤建市函〔2011〕218号），二级建造师执业资格证书、注册证书仅限所在行政区域内有效，不得跨省执业。投标人应提供有效的二级建造师执业资格证书或提供省建设执业资格注册中心“广东省二级注册建造师、二级注册结构工程师、二级注册建筑师注册管理信息系统”上有效的电子注册证书。</w:t>
      </w:r>
    </w:p>
    <w:p>
      <w:pPr>
        <w:tabs>
          <w:tab w:val="left" w:pos="840"/>
          <w:tab w:val="left" w:pos="945"/>
        </w:tabs>
        <w:snapToGrid w:val="0"/>
        <w:spacing w:line="360" w:lineRule="auto"/>
        <w:ind w:left="525"/>
        <w:rPr>
          <w:rFonts w:ascii="宋体" w:hAnsi="宋体" w:cs="宋体"/>
          <w:bCs/>
          <w:color w:val="auto"/>
          <w:szCs w:val="20"/>
        </w:rPr>
      </w:pPr>
      <w:r>
        <w:rPr>
          <w:rFonts w:hint="eastAsia" w:ascii="宋体" w:hAnsi="宋体" w:cs="宋体"/>
          <w:bCs/>
          <w:color w:val="auto"/>
          <w:szCs w:val="20"/>
        </w:rPr>
        <w:t>（6）供应商提供《公平竞争承诺书》；</w:t>
      </w:r>
    </w:p>
    <w:p>
      <w:pPr>
        <w:tabs>
          <w:tab w:val="left" w:pos="840"/>
          <w:tab w:val="left" w:pos="945"/>
        </w:tabs>
        <w:snapToGrid w:val="0"/>
        <w:spacing w:line="360" w:lineRule="auto"/>
        <w:ind w:left="525"/>
        <w:rPr>
          <w:rFonts w:ascii="宋体" w:hAnsi="宋体" w:cs="宋体"/>
          <w:bCs/>
          <w:color w:val="auto"/>
          <w:szCs w:val="20"/>
        </w:rPr>
      </w:pPr>
      <w:r>
        <w:rPr>
          <w:rFonts w:hint="eastAsia" w:ascii="宋体" w:hAnsi="宋体" w:cs="宋体"/>
          <w:bCs/>
          <w:color w:val="auto"/>
          <w:szCs w:val="20"/>
        </w:rPr>
        <w:t>（7）本项目投标人未被列入“信用中国”网站(www.creditchina.gov.cn)以下情形之一：①记录失信被执行人；②重大税收违法案件当事人名单；③政府采购严重违法失信行为。同时，在中国政府采购网(www.ccgp.gov.cn)“政府采购严重违法失信行为信息记录”中查询没有处于禁止参加政府采购活动的记录名单。（1、由采购人、采购代理机构于投标截止日在上述网站进行查询，同时对信息查询记录和证据截图或下载存档；2、若分公司投标：供应商为非独立法人（即由合法法人依法建立的分公司），除了对供应商进行信息查询外，同时对总公司的信息查询记录和证据截图或下载存档）；</w:t>
      </w:r>
    </w:p>
    <w:p>
      <w:pPr>
        <w:tabs>
          <w:tab w:val="left" w:pos="840"/>
          <w:tab w:val="left" w:pos="945"/>
        </w:tabs>
        <w:snapToGrid w:val="0"/>
        <w:spacing w:line="360" w:lineRule="auto"/>
        <w:ind w:left="525"/>
        <w:rPr>
          <w:rFonts w:ascii="宋体" w:hAnsi="宋体" w:cs="宋体"/>
          <w:bCs/>
          <w:color w:val="auto"/>
          <w:szCs w:val="20"/>
        </w:rPr>
      </w:pPr>
      <w:r>
        <w:rPr>
          <w:rFonts w:hint="eastAsia" w:ascii="宋体" w:hAnsi="宋体" w:cs="宋体"/>
          <w:bCs/>
          <w:color w:val="auto"/>
          <w:szCs w:val="20"/>
        </w:rPr>
        <w:t>（8）供应商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r>
        <w:rPr>
          <w:rFonts w:hint="eastAsia"/>
          <w:color w:val="auto"/>
          <w:szCs w:val="21"/>
        </w:rPr>
        <w:t>（提供承诺函，格式自拟）。</w:t>
      </w:r>
    </w:p>
    <w:p>
      <w:pPr>
        <w:tabs>
          <w:tab w:val="left" w:pos="840"/>
          <w:tab w:val="left" w:pos="945"/>
        </w:tabs>
        <w:snapToGrid w:val="0"/>
        <w:spacing w:line="360" w:lineRule="auto"/>
        <w:ind w:left="525"/>
        <w:rPr>
          <w:rFonts w:ascii="宋体" w:hAnsi="宋体" w:cs="宋体"/>
          <w:b/>
          <w:bCs/>
          <w:color w:val="auto"/>
          <w:szCs w:val="20"/>
        </w:rPr>
      </w:pPr>
      <w:r>
        <w:rPr>
          <w:rFonts w:ascii="宋体" w:hAnsi="宋体" w:cs="宋体"/>
          <w:b/>
          <w:bCs/>
          <w:color w:val="auto"/>
          <w:szCs w:val="20"/>
        </w:rPr>
        <w:t>三、获取</w:t>
      </w:r>
      <w:r>
        <w:rPr>
          <w:rFonts w:hint="eastAsia" w:ascii="宋体" w:hAnsi="宋体" w:cs="宋体"/>
          <w:b/>
          <w:bCs/>
          <w:color w:val="auto"/>
          <w:szCs w:val="20"/>
        </w:rPr>
        <w:t>采购</w:t>
      </w:r>
      <w:r>
        <w:rPr>
          <w:rFonts w:ascii="宋体" w:hAnsi="宋体" w:cs="宋体"/>
          <w:b/>
          <w:bCs/>
          <w:color w:val="auto"/>
          <w:szCs w:val="20"/>
        </w:rPr>
        <w:t>文件</w:t>
      </w:r>
    </w:p>
    <w:p>
      <w:pPr>
        <w:tabs>
          <w:tab w:val="left" w:pos="840"/>
          <w:tab w:val="left" w:pos="945"/>
        </w:tabs>
        <w:snapToGrid w:val="0"/>
        <w:spacing w:line="360" w:lineRule="auto"/>
        <w:ind w:left="525" w:firstLine="210" w:firstLineChars="100"/>
        <w:rPr>
          <w:rFonts w:ascii="宋体" w:hAnsi="宋体" w:cs="宋体"/>
          <w:bCs/>
          <w:color w:val="auto"/>
          <w:szCs w:val="20"/>
        </w:rPr>
      </w:pPr>
      <w:r>
        <w:rPr>
          <w:rFonts w:ascii="宋体" w:hAnsi="宋体" w:cs="宋体"/>
          <w:bCs/>
          <w:color w:val="auto"/>
          <w:szCs w:val="20"/>
        </w:rPr>
        <w:t>时间：</w:t>
      </w:r>
      <w:r>
        <w:rPr>
          <w:rFonts w:ascii="宋体" w:hAnsi="宋体" w:cs="宋体"/>
          <w:bCs/>
          <w:color w:val="auto"/>
          <w:szCs w:val="20"/>
        </w:rPr>
        <w:t>2020年</w:t>
      </w:r>
      <w:r>
        <w:rPr>
          <w:rFonts w:hint="eastAsia" w:ascii="宋体" w:hAnsi="宋体" w:cs="宋体"/>
          <w:bCs/>
          <w:color w:val="auto"/>
          <w:szCs w:val="20"/>
          <w:lang w:val="en-US" w:eastAsia="zh-CN"/>
        </w:rPr>
        <w:t>06</w:t>
      </w:r>
      <w:r>
        <w:rPr>
          <w:rFonts w:ascii="宋体" w:hAnsi="宋体" w:cs="宋体"/>
          <w:bCs/>
          <w:color w:val="auto"/>
          <w:szCs w:val="20"/>
        </w:rPr>
        <w:t>月</w:t>
      </w:r>
      <w:r>
        <w:rPr>
          <w:rFonts w:hint="eastAsia" w:ascii="宋体" w:hAnsi="宋体" w:cs="宋体"/>
          <w:bCs/>
          <w:color w:val="auto"/>
          <w:szCs w:val="20"/>
          <w:lang w:val="en-US" w:eastAsia="zh-CN"/>
        </w:rPr>
        <w:t>08</w:t>
      </w:r>
      <w:r>
        <w:rPr>
          <w:rFonts w:ascii="宋体" w:hAnsi="宋体" w:cs="宋体"/>
          <w:bCs/>
          <w:color w:val="auto"/>
          <w:szCs w:val="20"/>
        </w:rPr>
        <w:t>日至2020年</w:t>
      </w:r>
      <w:r>
        <w:rPr>
          <w:rFonts w:hint="eastAsia" w:ascii="宋体" w:hAnsi="宋体" w:cs="宋体"/>
          <w:bCs/>
          <w:color w:val="auto"/>
          <w:szCs w:val="20"/>
          <w:lang w:val="en-US" w:eastAsia="zh-CN"/>
        </w:rPr>
        <w:t>06</w:t>
      </w:r>
      <w:r>
        <w:rPr>
          <w:rFonts w:ascii="宋体" w:hAnsi="宋体" w:cs="宋体"/>
          <w:bCs/>
          <w:color w:val="auto"/>
          <w:szCs w:val="20"/>
        </w:rPr>
        <w:t>月</w:t>
      </w:r>
      <w:r>
        <w:rPr>
          <w:rFonts w:hint="eastAsia" w:ascii="宋体" w:hAnsi="宋体" w:cs="宋体"/>
          <w:bCs/>
          <w:color w:val="auto"/>
          <w:szCs w:val="20"/>
          <w:lang w:val="en-US" w:eastAsia="zh-CN"/>
        </w:rPr>
        <w:t>12</w:t>
      </w:r>
      <w:r>
        <w:rPr>
          <w:rFonts w:ascii="宋体" w:hAnsi="宋体" w:cs="宋体"/>
          <w:bCs/>
          <w:color w:val="auto"/>
          <w:szCs w:val="20"/>
        </w:rPr>
        <w:t>日</w:t>
      </w:r>
      <w:r>
        <w:rPr>
          <w:rFonts w:ascii="宋体" w:hAnsi="宋体" w:cs="宋体"/>
          <w:bCs/>
          <w:color w:val="auto"/>
          <w:szCs w:val="20"/>
        </w:rPr>
        <w:t>（磋商文件的发售期限自开始之日起不得少于5个工作日），每天上午</w:t>
      </w:r>
      <w:r>
        <w:rPr>
          <w:rFonts w:hint="eastAsia" w:ascii="宋体" w:hAnsi="宋体" w:cs="宋体"/>
          <w:bCs/>
          <w:color w:val="auto"/>
          <w:szCs w:val="20"/>
        </w:rPr>
        <w:t>08</w:t>
      </w:r>
      <w:r>
        <w:rPr>
          <w:rFonts w:ascii="宋体" w:hAnsi="宋体" w:cs="宋体"/>
          <w:bCs/>
          <w:color w:val="auto"/>
          <w:szCs w:val="20"/>
        </w:rPr>
        <w:t>:</w:t>
      </w:r>
      <w:r>
        <w:rPr>
          <w:rFonts w:hint="eastAsia" w:ascii="宋体" w:hAnsi="宋体" w:cs="宋体"/>
          <w:bCs/>
          <w:color w:val="auto"/>
          <w:szCs w:val="20"/>
        </w:rPr>
        <w:t>3</w:t>
      </w:r>
      <w:r>
        <w:rPr>
          <w:rFonts w:ascii="宋体" w:hAnsi="宋体" w:cs="宋体"/>
          <w:bCs/>
          <w:color w:val="auto"/>
          <w:szCs w:val="20"/>
        </w:rPr>
        <w:t>0至12:00，下午14:30至17:30（北京时间，法定节假日除外 ）</w:t>
      </w:r>
    </w:p>
    <w:p>
      <w:pPr>
        <w:tabs>
          <w:tab w:val="left" w:pos="840"/>
          <w:tab w:val="left" w:pos="945"/>
        </w:tabs>
        <w:snapToGrid w:val="0"/>
        <w:spacing w:line="360" w:lineRule="auto"/>
        <w:ind w:left="525" w:firstLine="210" w:firstLineChars="100"/>
        <w:rPr>
          <w:rFonts w:ascii="宋体" w:hAnsi="宋体" w:cs="宋体"/>
          <w:bCs/>
          <w:color w:val="auto"/>
          <w:szCs w:val="20"/>
        </w:rPr>
      </w:pPr>
      <w:r>
        <w:rPr>
          <w:rFonts w:ascii="宋体" w:hAnsi="宋体" w:cs="宋体"/>
          <w:bCs/>
          <w:color w:val="auto"/>
          <w:szCs w:val="20"/>
        </w:rPr>
        <w:t>地点：</w:t>
      </w:r>
      <w:r>
        <w:rPr>
          <w:rFonts w:hint="eastAsia" w:ascii="宋体" w:hAnsi="宋体" w:cs="宋体"/>
          <w:color w:val="auto"/>
          <w:kern w:val="0"/>
          <w:szCs w:val="21"/>
        </w:rPr>
        <w:t>广州市海珠区红卫新村西路29号UP智谷D栋503房</w:t>
      </w:r>
    </w:p>
    <w:p>
      <w:pPr>
        <w:tabs>
          <w:tab w:val="left" w:pos="840"/>
          <w:tab w:val="left" w:pos="945"/>
        </w:tabs>
        <w:snapToGrid w:val="0"/>
        <w:spacing w:line="360" w:lineRule="auto"/>
        <w:ind w:left="525" w:firstLine="210" w:firstLineChars="100"/>
        <w:rPr>
          <w:rFonts w:ascii="宋体" w:hAnsi="宋体" w:cs="宋体"/>
          <w:bCs/>
          <w:color w:val="auto"/>
          <w:szCs w:val="20"/>
        </w:rPr>
      </w:pPr>
      <w:r>
        <w:rPr>
          <w:rFonts w:ascii="宋体" w:hAnsi="宋体" w:cs="宋体"/>
          <w:bCs/>
          <w:color w:val="auto"/>
          <w:szCs w:val="20"/>
        </w:rPr>
        <w:t>方式：现场</w:t>
      </w:r>
      <w:r>
        <w:rPr>
          <w:rFonts w:hint="eastAsia" w:ascii="宋体" w:hAnsi="宋体" w:cs="宋体"/>
          <w:bCs/>
          <w:color w:val="auto"/>
          <w:szCs w:val="20"/>
        </w:rPr>
        <w:t>登记</w:t>
      </w:r>
      <w:r>
        <w:rPr>
          <w:rFonts w:ascii="宋体" w:hAnsi="宋体" w:cs="宋体"/>
          <w:bCs/>
          <w:color w:val="auto"/>
          <w:szCs w:val="20"/>
        </w:rPr>
        <w:t>。</w:t>
      </w:r>
    </w:p>
    <w:p>
      <w:pPr>
        <w:tabs>
          <w:tab w:val="left" w:pos="840"/>
          <w:tab w:val="left" w:pos="945"/>
        </w:tabs>
        <w:snapToGrid w:val="0"/>
        <w:spacing w:line="360" w:lineRule="auto"/>
        <w:ind w:left="525" w:firstLine="210" w:firstLineChars="100"/>
        <w:rPr>
          <w:rFonts w:ascii="宋体" w:hAnsi="宋体" w:cs="宋体"/>
          <w:bCs/>
          <w:color w:val="auto"/>
          <w:szCs w:val="20"/>
        </w:rPr>
      </w:pPr>
      <w:r>
        <w:rPr>
          <w:rFonts w:ascii="宋体" w:hAnsi="宋体" w:cs="宋体"/>
          <w:bCs/>
          <w:color w:val="auto"/>
          <w:szCs w:val="20"/>
        </w:rPr>
        <w:t>售价（元）：</w:t>
      </w:r>
      <w:r>
        <w:rPr>
          <w:rFonts w:hint="eastAsia" w:ascii="宋体" w:hAnsi="宋体" w:cs="宋体"/>
          <w:bCs/>
          <w:color w:val="auto"/>
          <w:szCs w:val="20"/>
        </w:rPr>
        <w:t>5</w:t>
      </w:r>
      <w:r>
        <w:rPr>
          <w:rFonts w:ascii="宋体" w:hAnsi="宋体" w:cs="宋体"/>
          <w:bCs/>
          <w:color w:val="auto"/>
          <w:szCs w:val="20"/>
        </w:rPr>
        <w:t>00</w:t>
      </w:r>
    </w:p>
    <w:p>
      <w:pPr>
        <w:tabs>
          <w:tab w:val="left" w:pos="840"/>
          <w:tab w:val="left" w:pos="945"/>
        </w:tabs>
        <w:snapToGrid w:val="0"/>
        <w:spacing w:line="360" w:lineRule="auto"/>
        <w:ind w:left="525"/>
        <w:rPr>
          <w:rFonts w:ascii="宋体" w:hAnsi="宋体" w:cs="宋体"/>
          <w:b/>
          <w:bCs/>
          <w:color w:val="auto"/>
          <w:szCs w:val="20"/>
        </w:rPr>
      </w:pPr>
      <w:r>
        <w:rPr>
          <w:rFonts w:ascii="宋体" w:hAnsi="宋体" w:cs="宋体"/>
          <w:b/>
          <w:bCs/>
          <w:color w:val="auto"/>
          <w:szCs w:val="20"/>
        </w:rPr>
        <w:t>四、响应文件提交</w:t>
      </w:r>
    </w:p>
    <w:p>
      <w:pPr>
        <w:tabs>
          <w:tab w:val="left" w:pos="840"/>
          <w:tab w:val="left" w:pos="945"/>
        </w:tabs>
        <w:snapToGrid w:val="0"/>
        <w:spacing w:line="360" w:lineRule="auto"/>
        <w:ind w:left="525" w:firstLine="210" w:firstLineChars="100"/>
        <w:rPr>
          <w:rFonts w:ascii="宋体" w:hAnsi="宋体" w:cs="宋体"/>
          <w:bCs/>
          <w:color w:val="auto"/>
          <w:szCs w:val="20"/>
        </w:rPr>
      </w:pPr>
      <w:r>
        <w:rPr>
          <w:rFonts w:hint="eastAsia" w:ascii="宋体" w:hAnsi="宋体" w:cs="宋体"/>
          <w:bCs/>
          <w:color w:val="auto"/>
          <w:szCs w:val="20"/>
        </w:rPr>
        <w:t>截止时间</w:t>
      </w:r>
      <w:r>
        <w:rPr>
          <w:rFonts w:hint="eastAsia" w:ascii="仿宋" w:hAnsi="仿宋" w:eastAsia="仿宋"/>
          <w:color w:val="auto"/>
          <w:sz w:val="28"/>
          <w:szCs w:val="28"/>
        </w:rPr>
        <w:t>：</w:t>
      </w:r>
      <w:r>
        <w:rPr>
          <w:rFonts w:ascii="宋体" w:hAnsi="宋体" w:cs="宋体"/>
          <w:bCs/>
          <w:color w:val="auto"/>
          <w:szCs w:val="20"/>
        </w:rPr>
        <w:t>2020年</w:t>
      </w:r>
      <w:r>
        <w:rPr>
          <w:rFonts w:hint="eastAsia" w:ascii="宋体" w:hAnsi="宋体" w:cs="宋体"/>
          <w:bCs/>
          <w:color w:val="auto"/>
          <w:szCs w:val="20"/>
          <w:lang w:val="en-US" w:eastAsia="zh-CN"/>
        </w:rPr>
        <w:t>06</w:t>
      </w:r>
      <w:r>
        <w:rPr>
          <w:rFonts w:ascii="宋体" w:hAnsi="宋体" w:cs="宋体"/>
          <w:bCs/>
          <w:color w:val="auto"/>
          <w:szCs w:val="20"/>
        </w:rPr>
        <w:t>月</w:t>
      </w:r>
      <w:r>
        <w:rPr>
          <w:rFonts w:hint="eastAsia" w:ascii="宋体" w:hAnsi="宋体" w:cs="宋体"/>
          <w:bCs/>
          <w:color w:val="auto"/>
          <w:szCs w:val="20"/>
          <w:lang w:val="en-US" w:eastAsia="zh-CN"/>
        </w:rPr>
        <w:t>16</w:t>
      </w:r>
      <w:r>
        <w:rPr>
          <w:rFonts w:ascii="宋体" w:hAnsi="宋体" w:cs="宋体"/>
          <w:bCs/>
          <w:color w:val="auto"/>
          <w:szCs w:val="20"/>
        </w:rPr>
        <w:t>日09点30分</w:t>
      </w:r>
      <w:r>
        <w:rPr>
          <w:rFonts w:ascii="宋体" w:hAnsi="宋体" w:cs="宋体"/>
          <w:bCs/>
          <w:color w:val="auto"/>
          <w:szCs w:val="20"/>
        </w:rPr>
        <w:t>（北京时间）（从磋商文件开始发出之日起至供应商提交首次响应文件截止之日止不得少于10日；）</w:t>
      </w:r>
    </w:p>
    <w:p>
      <w:pPr>
        <w:tabs>
          <w:tab w:val="left" w:pos="840"/>
          <w:tab w:val="left" w:pos="945"/>
        </w:tabs>
        <w:snapToGrid w:val="0"/>
        <w:spacing w:line="360" w:lineRule="auto"/>
        <w:ind w:left="525" w:firstLine="210" w:firstLineChars="100"/>
        <w:rPr>
          <w:rFonts w:ascii="宋体" w:hAnsi="宋体" w:cs="宋体"/>
          <w:bCs/>
          <w:color w:val="auto"/>
          <w:szCs w:val="20"/>
        </w:rPr>
      </w:pPr>
      <w:r>
        <w:rPr>
          <w:rFonts w:ascii="宋体" w:hAnsi="宋体" w:cs="宋体"/>
          <w:bCs/>
          <w:color w:val="auto"/>
          <w:szCs w:val="20"/>
        </w:rPr>
        <w:t>地点：</w:t>
      </w:r>
      <w:r>
        <w:rPr>
          <w:rFonts w:hint="eastAsia" w:ascii="宋体" w:hAnsi="宋体" w:cs="宋体"/>
          <w:color w:val="auto"/>
          <w:kern w:val="0"/>
          <w:szCs w:val="21"/>
        </w:rPr>
        <w:t>广州市海珠区红卫新村西路29号UP智谷D栋503房</w:t>
      </w:r>
      <w:r>
        <w:rPr>
          <w:rFonts w:ascii="宋体" w:hAnsi="宋体" w:cs="宋体"/>
          <w:bCs/>
          <w:color w:val="auto"/>
          <w:szCs w:val="20"/>
        </w:rPr>
        <w:t>。</w:t>
      </w:r>
    </w:p>
    <w:p>
      <w:pPr>
        <w:tabs>
          <w:tab w:val="left" w:pos="840"/>
          <w:tab w:val="left" w:pos="945"/>
        </w:tabs>
        <w:snapToGrid w:val="0"/>
        <w:spacing w:line="360" w:lineRule="auto"/>
        <w:ind w:left="525"/>
        <w:rPr>
          <w:rFonts w:ascii="宋体" w:hAnsi="宋体" w:cs="宋体"/>
          <w:b/>
          <w:bCs/>
          <w:color w:val="auto"/>
          <w:szCs w:val="20"/>
        </w:rPr>
      </w:pPr>
      <w:bookmarkStart w:id="26" w:name="_Toc35393633"/>
      <w:bookmarkStart w:id="27" w:name="_Toc28359093"/>
      <w:bookmarkStart w:id="28" w:name="_Toc35393802"/>
      <w:bookmarkStart w:id="29" w:name="_Toc28359016"/>
      <w:r>
        <w:rPr>
          <w:rFonts w:hint="eastAsia" w:ascii="宋体" w:hAnsi="宋体" w:cs="宋体"/>
          <w:b/>
          <w:bCs/>
          <w:color w:val="auto"/>
          <w:szCs w:val="20"/>
        </w:rPr>
        <w:t>五、开启</w:t>
      </w:r>
      <w:bookmarkEnd w:id="26"/>
      <w:bookmarkEnd w:id="27"/>
      <w:bookmarkEnd w:id="28"/>
      <w:bookmarkEnd w:id="29"/>
    </w:p>
    <w:p>
      <w:pPr>
        <w:tabs>
          <w:tab w:val="left" w:pos="840"/>
          <w:tab w:val="left" w:pos="945"/>
        </w:tabs>
        <w:snapToGrid w:val="0"/>
        <w:spacing w:line="360" w:lineRule="auto"/>
        <w:ind w:left="525"/>
        <w:rPr>
          <w:rFonts w:ascii="宋体" w:hAnsi="宋体" w:cs="宋体"/>
          <w:bCs/>
          <w:color w:val="auto"/>
          <w:szCs w:val="20"/>
        </w:rPr>
      </w:pPr>
      <w:r>
        <w:rPr>
          <w:rFonts w:hint="eastAsia" w:ascii="宋体" w:hAnsi="宋体" w:cs="宋体"/>
          <w:bCs/>
          <w:color w:val="auto"/>
          <w:szCs w:val="20"/>
        </w:rPr>
        <w:t>时间：</w:t>
      </w:r>
      <w:r>
        <w:rPr>
          <w:rFonts w:hint="eastAsia" w:ascii="宋体" w:hAnsi="宋体" w:cs="宋体"/>
          <w:bCs/>
          <w:color w:val="auto"/>
          <w:szCs w:val="20"/>
        </w:rPr>
        <w:t>2020年</w:t>
      </w:r>
      <w:r>
        <w:rPr>
          <w:rFonts w:hint="eastAsia" w:ascii="宋体" w:hAnsi="宋体" w:cs="宋体"/>
          <w:bCs/>
          <w:color w:val="auto"/>
          <w:szCs w:val="20"/>
          <w:lang w:val="en-US" w:eastAsia="zh-CN"/>
        </w:rPr>
        <w:t>06</w:t>
      </w:r>
      <w:r>
        <w:rPr>
          <w:rFonts w:hint="eastAsia" w:ascii="宋体" w:hAnsi="宋体" w:cs="宋体"/>
          <w:bCs/>
          <w:color w:val="auto"/>
          <w:szCs w:val="20"/>
        </w:rPr>
        <w:t>月</w:t>
      </w:r>
      <w:r>
        <w:rPr>
          <w:rFonts w:hint="eastAsia" w:ascii="宋体" w:hAnsi="宋体" w:cs="宋体"/>
          <w:bCs/>
          <w:color w:val="auto"/>
          <w:szCs w:val="20"/>
          <w:lang w:val="en-US" w:eastAsia="zh-CN"/>
        </w:rPr>
        <w:t>16</w:t>
      </w:r>
      <w:r>
        <w:rPr>
          <w:rFonts w:hint="eastAsia" w:ascii="宋体" w:hAnsi="宋体" w:cs="宋体"/>
          <w:bCs/>
          <w:color w:val="auto"/>
          <w:szCs w:val="20"/>
        </w:rPr>
        <w:t>日</w:t>
      </w:r>
      <w:r>
        <w:rPr>
          <w:rFonts w:hint="eastAsia" w:ascii="宋体" w:hAnsi="宋体" w:cs="宋体"/>
          <w:bCs/>
          <w:color w:val="auto"/>
          <w:szCs w:val="20"/>
          <w:lang w:val="en-US" w:eastAsia="zh-CN"/>
        </w:rPr>
        <w:t>09</w:t>
      </w:r>
      <w:r>
        <w:rPr>
          <w:rFonts w:hint="eastAsia" w:ascii="宋体" w:hAnsi="宋体" w:cs="宋体"/>
          <w:bCs/>
          <w:color w:val="auto"/>
          <w:szCs w:val="20"/>
        </w:rPr>
        <w:t>点</w:t>
      </w:r>
      <w:r>
        <w:rPr>
          <w:rFonts w:hint="eastAsia" w:ascii="宋体" w:hAnsi="宋体" w:cs="宋体"/>
          <w:bCs/>
          <w:color w:val="auto"/>
          <w:szCs w:val="20"/>
          <w:lang w:val="en-US" w:eastAsia="zh-CN"/>
        </w:rPr>
        <w:t>30</w:t>
      </w:r>
      <w:r>
        <w:rPr>
          <w:rFonts w:hint="eastAsia" w:ascii="宋体" w:hAnsi="宋体" w:cs="宋体"/>
          <w:bCs/>
          <w:color w:val="auto"/>
          <w:szCs w:val="20"/>
        </w:rPr>
        <w:t>分</w:t>
      </w:r>
      <w:r>
        <w:rPr>
          <w:rFonts w:hint="eastAsia" w:ascii="宋体" w:hAnsi="宋体" w:cs="宋体"/>
          <w:bCs/>
          <w:color w:val="auto"/>
          <w:szCs w:val="20"/>
        </w:rPr>
        <w:t>（北京时间）</w:t>
      </w:r>
    </w:p>
    <w:p>
      <w:pPr>
        <w:tabs>
          <w:tab w:val="left" w:pos="840"/>
          <w:tab w:val="left" w:pos="945"/>
        </w:tabs>
        <w:snapToGrid w:val="0"/>
        <w:spacing w:line="360" w:lineRule="auto"/>
        <w:ind w:left="525"/>
        <w:rPr>
          <w:rFonts w:ascii="宋体" w:hAnsi="宋体" w:cs="宋体"/>
          <w:bCs/>
          <w:color w:val="auto"/>
          <w:szCs w:val="20"/>
        </w:rPr>
      </w:pPr>
      <w:r>
        <w:rPr>
          <w:rFonts w:hint="eastAsia" w:ascii="宋体" w:hAnsi="宋体" w:cs="宋体"/>
          <w:bCs/>
          <w:color w:val="auto"/>
          <w:szCs w:val="20"/>
        </w:rPr>
        <w:t>地点：</w:t>
      </w:r>
      <w:r>
        <w:rPr>
          <w:rFonts w:hint="eastAsia" w:ascii="宋体" w:hAnsi="宋体" w:cs="宋体"/>
          <w:color w:val="auto"/>
          <w:kern w:val="0"/>
          <w:szCs w:val="21"/>
        </w:rPr>
        <w:t>广州市海珠区红卫新村西路29号UP智谷D栋503房</w:t>
      </w:r>
      <w:r>
        <w:rPr>
          <w:rFonts w:ascii="宋体" w:hAnsi="宋体" w:cs="宋体"/>
          <w:bCs/>
          <w:color w:val="auto"/>
          <w:szCs w:val="20"/>
        </w:rPr>
        <w:t>。</w:t>
      </w:r>
    </w:p>
    <w:p>
      <w:pPr>
        <w:tabs>
          <w:tab w:val="left" w:pos="840"/>
          <w:tab w:val="left" w:pos="945"/>
        </w:tabs>
        <w:snapToGrid w:val="0"/>
        <w:spacing w:line="360" w:lineRule="auto"/>
        <w:ind w:left="525"/>
        <w:rPr>
          <w:rFonts w:ascii="宋体" w:hAnsi="宋体" w:cs="宋体"/>
          <w:b/>
          <w:bCs/>
          <w:color w:val="auto"/>
          <w:szCs w:val="20"/>
        </w:rPr>
      </w:pPr>
      <w:r>
        <w:rPr>
          <w:rFonts w:hint="eastAsia" w:ascii="宋体" w:hAnsi="宋体" w:cs="宋体"/>
          <w:b/>
          <w:bCs/>
          <w:color w:val="auto"/>
          <w:szCs w:val="20"/>
        </w:rPr>
        <w:t>六</w:t>
      </w:r>
      <w:r>
        <w:rPr>
          <w:rFonts w:ascii="宋体" w:hAnsi="宋体" w:cs="宋体"/>
          <w:b/>
          <w:bCs/>
          <w:color w:val="auto"/>
          <w:szCs w:val="20"/>
        </w:rPr>
        <w:t>、公告期限</w:t>
      </w:r>
    </w:p>
    <w:p>
      <w:pPr>
        <w:tabs>
          <w:tab w:val="left" w:pos="840"/>
          <w:tab w:val="left" w:pos="945"/>
        </w:tabs>
        <w:snapToGrid w:val="0"/>
        <w:spacing w:line="360" w:lineRule="auto"/>
        <w:ind w:left="525"/>
        <w:rPr>
          <w:rFonts w:ascii="宋体" w:hAnsi="宋体" w:cs="宋体"/>
          <w:bCs/>
          <w:color w:val="auto"/>
          <w:szCs w:val="20"/>
        </w:rPr>
      </w:pPr>
      <w:r>
        <w:rPr>
          <w:rFonts w:ascii="宋体" w:hAnsi="宋体" w:cs="宋体"/>
          <w:bCs/>
          <w:color w:val="auto"/>
          <w:szCs w:val="20"/>
        </w:rPr>
        <w:t>自本公告发布之日起</w:t>
      </w:r>
      <w:r>
        <w:rPr>
          <w:rFonts w:hint="eastAsia" w:ascii="宋体" w:hAnsi="宋体" w:cs="宋体"/>
          <w:bCs/>
          <w:color w:val="auto"/>
          <w:szCs w:val="20"/>
        </w:rPr>
        <w:t>3</w:t>
      </w:r>
      <w:r>
        <w:rPr>
          <w:rFonts w:ascii="宋体" w:hAnsi="宋体" w:cs="宋体"/>
          <w:bCs/>
          <w:color w:val="auto"/>
          <w:szCs w:val="20"/>
        </w:rPr>
        <w:t>个工作日。</w:t>
      </w:r>
    </w:p>
    <w:p>
      <w:pPr>
        <w:tabs>
          <w:tab w:val="left" w:pos="840"/>
          <w:tab w:val="left" w:pos="945"/>
        </w:tabs>
        <w:snapToGrid w:val="0"/>
        <w:spacing w:line="360" w:lineRule="auto"/>
        <w:ind w:left="525"/>
        <w:rPr>
          <w:rFonts w:ascii="宋体" w:hAnsi="宋体" w:cs="宋体"/>
          <w:b/>
          <w:bCs/>
          <w:color w:val="auto"/>
          <w:szCs w:val="20"/>
        </w:rPr>
      </w:pPr>
      <w:r>
        <w:rPr>
          <w:rFonts w:hint="eastAsia" w:ascii="宋体" w:hAnsi="宋体" w:cs="宋体"/>
          <w:b/>
          <w:bCs/>
          <w:color w:val="auto"/>
          <w:szCs w:val="20"/>
        </w:rPr>
        <w:t>七</w:t>
      </w:r>
      <w:r>
        <w:rPr>
          <w:rFonts w:ascii="宋体" w:hAnsi="宋体" w:cs="宋体"/>
          <w:b/>
          <w:bCs/>
          <w:color w:val="auto"/>
          <w:szCs w:val="20"/>
        </w:rPr>
        <w:t>、其他补充事宜</w:t>
      </w:r>
    </w:p>
    <w:p>
      <w:pPr>
        <w:tabs>
          <w:tab w:val="left" w:pos="840"/>
          <w:tab w:val="left" w:pos="945"/>
        </w:tabs>
        <w:snapToGrid w:val="0"/>
        <w:spacing w:line="360" w:lineRule="auto"/>
        <w:ind w:left="525"/>
        <w:rPr>
          <w:rFonts w:ascii="宋体" w:hAnsi="宋体" w:cs="宋体"/>
          <w:bCs/>
          <w:color w:val="auto"/>
          <w:szCs w:val="20"/>
        </w:rPr>
      </w:pPr>
      <w:r>
        <w:rPr>
          <w:rFonts w:hint="eastAsia" w:ascii="宋体" w:hAnsi="宋体" w:cs="宋体"/>
          <w:bCs/>
          <w:color w:val="auto"/>
          <w:szCs w:val="20"/>
        </w:rPr>
        <w:t>1.只接受登记及领购采购文件的供应商投标。</w:t>
      </w:r>
    </w:p>
    <w:p>
      <w:pPr>
        <w:tabs>
          <w:tab w:val="left" w:pos="840"/>
          <w:tab w:val="left" w:pos="945"/>
        </w:tabs>
        <w:snapToGrid w:val="0"/>
        <w:spacing w:line="360" w:lineRule="auto"/>
        <w:ind w:left="525"/>
        <w:rPr>
          <w:rFonts w:ascii="宋体" w:hAnsi="宋体" w:cs="宋体"/>
          <w:bCs/>
          <w:color w:val="auto"/>
          <w:szCs w:val="20"/>
        </w:rPr>
      </w:pPr>
      <w:r>
        <w:rPr>
          <w:rFonts w:hint="eastAsia" w:ascii="宋体" w:hAnsi="宋体" w:cs="宋体"/>
          <w:bCs/>
          <w:color w:val="auto"/>
          <w:szCs w:val="20"/>
        </w:rPr>
        <w:t>2.已成功登记及领购采购文件的供应商参加投标的，不代表通过资格性、符合性审查。投标资格最终根据投标人投标文件中的资格审查资料作出的结论为准。</w:t>
      </w:r>
    </w:p>
    <w:p>
      <w:pPr>
        <w:tabs>
          <w:tab w:val="left" w:pos="840"/>
          <w:tab w:val="left" w:pos="945"/>
        </w:tabs>
        <w:snapToGrid w:val="0"/>
        <w:spacing w:line="360" w:lineRule="auto"/>
        <w:ind w:left="525"/>
        <w:rPr>
          <w:rFonts w:ascii="宋体" w:hAnsi="宋体" w:cs="宋体"/>
          <w:bCs/>
          <w:color w:val="auto"/>
          <w:szCs w:val="20"/>
        </w:rPr>
      </w:pPr>
      <w:r>
        <w:rPr>
          <w:rFonts w:hint="eastAsia" w:ascii="宋体" w:hAnsi="宋体" w:cs="宋体"/>
          <w:bCs/>
          <w:color w:val="auto"/>
          <w:szCs w:val="20"/>
        </w:rPr>
        <w:t>3.若已登记及领购采购文件而决定不参加本项目投标的供应商，应在开标前三日以书面形式（书面材料、信函或传真加盖供应商公章）通知采购代理机构。</w:t>
      </w:r>
    </w:p>
    <w:p>
      <w:pPr>
        <w:tabs>
          <w:tab w:val="left" w:pos="840"/>
          <w:tab w:val="left" w:pos="945"/>
        </w:tabs>
        <w:snapToGrid w:val="0"/>
        <w:spacing w:line="360" w:lineRule="auto"/>
        <w:ind w:left="525"/>
        <w:rPr>
          <w:rFonts w:ascii="宋体" w:hAnsi="宋体" w:cs="宋体"/>
          <w:bCs/>
          <w:color w:val="auto"/>
          <w:szCs w:val="20"/>
        </w:rPr>
      </w:pPr>
      <w:r>
        <w:rPr>
          <w:rFonts w:hint="eastAsia" w:ascii="宋体" w:hAnsi="宋体" w:cs="宋体"/>
          <w:bCs/>
          <w:color w:val="auto"/>
          <w:szCs w:val="20"/>
        </w:rPr>
        <w:t>4.采购文件的公示，根据《广东省实施〈中华人民共和国政府采购法〉办法》第三十五条的规定，供应商认为政府采购文件的内容损害其权益的，可以在公示期间或者自期满之日起七个工作日内以书面形式向采购人或者代理机构提出质疑。质疑书应当署名。质疑供应商为自然人的，应当由本人签字；质疑供应商为法人或者其他组织的，应当由法定代表人或者主要负责人签字盖章并加盖公章。</w:t>
      </w:r>
    </w:p>
    <w:p>
      <w:pPr>
        <w:tabs>
          <w:tab w:val="left" w:pos="840"/>
          <w:tab w:val="left" w:pos="945"/>
        </w:tabs>
        <w:snapToGrid w:val="0"/>
        <w:spacing w:line="360" w:lineRule="auto"/>
        <w:ind w:left="525"/>
        <w:rPr>
          <w:rFonts w:ascii="宋体" w:hAnsi="宋体" w:cs="宋体"/>
          <w:b/>
          <w:bCs/>
          <w:color w:val="auto"/>
          <w:szCs w:val="20"/>
        </w:rPr>
      </w:pPr>
      <w:r>
        <w:rPr>
          <w:rFonts w:hint="eastAsia" w:ascii="宋体" w:hAnsi="宋体" w:cs="宋体"/>
          <w:b/>
          <w:bCs/>
          <w:color w:val="auto"/>
          <w:szCs w:val="20"/>
        </w:rPr>
        <w:t>八</w:t>
      </w:r>
      <w:r>
        <w:rPr>
          <w:rFonts w:ascii="宋体" w:hAnsi="宋体" w:cs="宋体"/>
          <w:b/>
          <w:bCs/>
          <w:color w:val="auto"/>
          <w:szCs w:val="20"/>
        </w:rPr>
        <w:t>、</w:t>
      </w:r>
      <w:r>
        <w:rPr>
          <w:rFonts w:hint="eastAsia" w:ascii="宋体" w:hAnsi="宋体" w:cs="宋体"/>
          <w:b/>
          <w:bCs/>
          <w:color w:val="auto"/>
          <w:szCs w:val="20"/>
        </w:rPr>
        <w:t>凡</w:t>
      </w:r>
      <w:r>
        <w:rPr>
          <w:rFonts w:ascii="宋体" w:hAnsi="宋体" w:cs="宋体"/>
          <w:b/>
          <w:bCs/>
          <w:color w:val="auto"/>
          <w:szCs w:val="20"/>
        </w:rPr>
        <w:t>对本次招标提出询问，请按以下方式联系</w:t>
      </w:r>
    </w:p>
    <w:p>
      <w:pPr>
        <w:tabs>
          <w:tab w:val="left" w:pos="840"/>
          <w:tab w:val="left" w:pos="945"/>
        </w:tabs>
        <w:snapToGrid w:val="0"/>
        <w:spacing w:line="360" w:lineRule="auto"/>
        <w:ind w:left="525"/>
        <w:rPr>
          <w:rFonts w:ascii="宋体" w:hAnsi="宋体" w:cs="宋体"/>
          <w:bCs/>
          <w:color w:val="auto"/>
          <w:szCs w:val="20"/>
        </w:rPr>
      </w:pPr>
      <w:r>
        <w:rPr>
          <w:rFonts w:ascii="宋体" w:hAnsi="宋体" w:cs="宋体"/>
          <w:bCs/>
          <w:color w:val="auto"/>
          <w:szCs w:val="20"/>
        </w:rPr>
        <w:t>1.采购人信息</w:t>
      </w:r>
    </w:p>
    <w:p>
      <w:pPr>
        <w:tabs>
          <w:tab w:val="left" w:pos="840"/>
          <w:tab w:val="left" w:pos="945"/>
        </w:tabs>
        <w:snapToGrid w:val="0"/>
        <w:spacing w:line="360" w:lineRule="auto"/>
        <w:ind w:left="525"/>
        <w:rPr>
          <w:rFonts w:ascii="宋体" w:hAnsi="宋体" w:cs="宋体"/>
          <w:bCs/>
          <w:color w:val="auto"/>
          <w:szCs w:val="20"/>
        </w:rPr>
      </w:pPr>
      <w:r>
        <w:rPr>
          <w:rFonts w:ascii="宋体" w:hAnsi="宋体" w:cs="宋体"/>
          <w:bCs/>
          <w:color w:val="auto"/>
          <w:szCs w:val="20"/>
        </w:rPr>
        <w:t>   名称：</w:t>
      </w:r>
      <w:r>
        <w:rPr>
          <w:rFonts w:hint="eastAsia" w:ascii="宋体" w:hAnsi="宋体" w:cs="宋体"/>
          <w:color w:val="auto"/>
          <w:szCs w:val="21"/>
        </w:rPr>
        <w:t>广东省农业科学院动物科学研究所</w:t>
      </w:r>
    </w:p>
    <w:p>
      <w:pPr>
        <w:tabs>
          <w:tab w:val="left" w:pos="840"/>
          <w:tab w:val="left" w:pos="945"/>
        </w:tabs>
        <w:snapToGrid w:val="0"/>
        <w:spacing w:line="360" w:lineRule="auto"/>
        <w:ind w:left="525"/>
        <w:rPr>
          <w:rFonts w:ascii="宋体" w:hAnsi="宋体" w:cs="宋体"/>
          <w:bCs/>
          <w:color w:val="auto"/>
          <w:szCs w:val="20"/>
        </w:rPr>
      </w:pPr>
      <w:r>
        <w:rPr>
          <w:rFonts w:ascii="宋体" w:hAnsi="宋体" w:cs="宋体"/>
          <w:bCs/>
          <w:color w:val="auto"/>
          <w:szCs w:val="20"/>
        </w:rPr>
        <w:t>   地址：广州市天河区五山大丰一街1号</w:t>
      </w:r>
    </w:p>
    <w:p>
      <w:pPr>
        <w:tabs>
          <w:tab w:val="left" w:pos="840"/>
          <w:tab w:val="left" w:pos="945"/>
        </w:tabs>
        <w:snapToGrid w:val="0"/>
        <w:spacing w:line="360" w:lineRule="auto"/>
        <w:ind w:left="525"/>
        <w:rPr>
          <w:rFonts w:ascii="宋体" w:hAnsi="宋体" w:cs="宋体"/>
          <w:bCs/>
          <w:color w:val="auto"/>
          <w:szCs w:val="20"/>
        </w:rPr>
      </w:pPr>
      <w:r>
        <w:rPr>
          <w:rFonts w:ascii="宋体" w:hAnsi="宋体" w:cs="宋体"/>
          <w:bCs/>
          <w:color w:val="auto"/>
          <w:szCs w:val="20"/>
        </w:rPr>
        <w:t>   联系方式：020-87577013</w:t>
      </w:r>
    </w:p>
    <w:p>
      <w:pPr>
        <w:tabs>
          <w:tab w:val="left" w:pos="840"/>
          <w:tab w:val="left" w:pos="945"/>
        </w:tabs>
        <w:snapToGrid w:val="0"/>
        <w:spacing w:line="360" w:lineRule="auto"/>
        <w:ind w:left="525"/>
        <w:rPr>
          <w:rFonts w:ascii="宋体" w:hAnsi="宋体" w:cs="宋体"/>
          <w:bCs/>
          <w:color w:val="auto"/>
          <w:szCs w:val="20"/>
        </w:rPr>
      </w:pPr>
      <w:r>
        <w:rPr>
          <w:rFonts w:ascii="宋体" w:hAnsi="宋体" w:cs="宋体"/>
          <w:bCs/>
          <w:color w:val="auto"/>
          <w:szCs w:val="20"/>
        </w:rPr>
        <w:t>2.采购代理机构信息</w:t>
      </w:r>
    </w:p>
    <w:p>
      <w:pPr>
        <w:tabs>
          <w:tab w:val="left" w:pos="840"/>
          <w:tab w:val="left" w:pos="945"/>
        </w:tabs>
        <w:snapToGrid w:val="0"/>
        <w:spacing w:line="360" w:lineRule="auto"/>
        <w:ind w:left="525"/>
        <w:rPr>
          <w:rFonts w:ascii="宋体" w:hAnsi="宋体" w:cs="宋体"/>
          <w:bCs/>
          <w:color w:val="auto"/>
          <w:szCs w:val="20"/>
        </w:rPr>
      </w:pPr>
      <w:r>
        <w:rPr>
          <w:rFonts w:ascii="宋体" w:hAnsi="宋体" w:cs="宋体"/>
          <w:bCs/>
          <w:color w:val="auto"/>
          <w:szCs w:val="20"/>
        </w:rPr>
        <w:t>   名称：广州市信怡招标代理有限公司</w:t>
      </w:r>
    </w:p>
    <w:p>
      <w:pPr>
        <w:tabs>
          <w:tab w:val="left" w:pos="840"/>
          <w:tab w:val="left" w:pos="945"/>
        </w:tabs>
        <w:snapToGrid w:val="0"/>
        <w:spacing w:line="360" w:lineRule="auto"/>
        <w:ind w:left="525"/>
        <w:rPr>
          <w:rFonts w:ascii="宋体" w:hAnsi="宋体" w:cs="宋体"/>
          <w:bCs/>
          <w:color w:val="auto"/>
          <w:szCs w:val="20"/>
        </w:rPr>
      </w:pPr>
      <w:r>
        <w:rPr>
          <w:rFonts w:ascii="宋体" w:hAnsi="宋体" w:cs="宋体"/>
          <w:bCs/>
          <w:color w:val="auto"/>
          <w:szCs w:val="20"/>
        </w:rPr>
        <w:t>   地址：广州市海珠区红卫新村西路29号UP智谷D栋503房</w:t>
      </w:r>
    </w:p>
    <w:p>
      <w:pPr>
        <w:tabs>
          <w:tab w:val="left" w:pos="840"/>
          <w:tab w:val="left" w:pos="945"/>
        </w:tabs>
        <w:snapToGrid w:val="0"/>
        <w:spacing w:line="360" w:lineRule="auto"/>
        <w:ind w:left="525"/>
        <w:rPr>
          <w:rFonts w:ascii="宋体" w:hAnsi="宋体" w:cs="宋体"/>
          <w:bCs/>
          <w:color w:val="auto"/>
          <w:szCs w:val="20"/>
        </w:rPr>
      </w:pPr>
      <w:r>
        <w:rPr>
          <w:rFonts w:ascii="宋体" w:hAnsi="宋体" w:cs="宋体"/>
          <w:bCs/>
          <w:color w:val="auto"/>
          <w:szCs w:val="20"/>
        </w:rPr>
        <w:t>   联系方式：020-89001297</w:t>
      </w:r>
    </w:p>
    <w:p>
      <w:pPr>
        <w:tabs>
          <w:tab w:val="left" w:pos="840"/>
          <w:tab w:val="left" w:pos="945"/>
        </w:tabs>
        <w:snapToGrid w:val="0"/>
        <w:spacing w:line="360" w:lineRule="auto"/>
        <w:ind w:left="525"/>
        <w:rPr>
          <w:rFonts w:ascii="宋体" w:hAnsi="宋体" w:cs="宋体"/>
          <w:bCs/>
          <w:color w:val="auto"/>
          <w:szCs w:val="20"/>
        </w:rPr>
      </w:pPr>
      <w:r>
        <w:rPr>
          <w:rFonts w:ascii="宋体" w:hAnsi="宋体" w:cs="宋体"/>
          <w:bCs/>
          <w:color w:val="auto"/>
          <w:szCs w:val="20"/>
        </w:rPr>
        <w:t>3.项目联系方式</w:t>
      </w:r>
    </w:p>
    <w:p>
      <w:pPr>
        <w:tabs>
          <w:tab w:val="left" w:pos="840"/>
          <w:tab w:val="left" w:pos="945"/>
        </w:tabs>
        <w:snapToGrid w:val="0"/>
        <w:spacing w:line="360" w:lineRule="auto"/>
        <w:ind w:left="525"/>
        <w:rPr>
          <w:rFonts w:ascii="宋体" w:hAnsi="宋体" w:cs="宋体"/>
          <w:bCs/>
          <w:color w:val="auto"/>
          <w:szCs w:val="20"/>
        </w:rPr>
      </w:pPr>
      <w:r>
        <w:rPr>
          <w:rFonts w:ascii="宋体" w:hAnsi="宋体" w:cs="宋体"/>
          <w:bCs/>
          <w:color w:val="auto"/>
          <w:szCs w:val="20"/>
        </w:rPr>
        <w:t>   项目联系人：陈小姐</w:t>
      </w:r>
    </w:p>
    <w:p>
      <w:pPr>
        <w:tabs>
          <w:tab w:val="left" w:pos="840"/>
          <w:tab w:val="left" w:pos="945"/>
        </w:tabs>
        <w:snapToGrid w:val="0"/>
        <w:spacing w:line="360" w:lineRule="auto"/>
        <w:ind w:left="525"/>
        <w:rPr>
          <w:rFonts w:ascii="宋体" w:hAnsi="宋体" w:cs="宋体"/>
          <w:bCs/>
          <w:color w:val="auto"/>
          <w:szCs w:val="20"/>
        </w:rPr>
      </w:pPr>
      <w:r>
        <w:rPr>
          <w:rFonts w:ascii="宋体" w:hAnsi="宋体" w:cs="宋体"/>
          <w:bCs/>
          <w:color w:val="auto"/>
          <w:szCs w:val="20"/>
        </w:rPr>
        <w:t>   电话：020-89001297</w:t>
      </w:r>
    </w:p>
    <w:p>
      <w:pPr>
        <w:tabs>
          <w:tab w:val="left" w:pos="840"/>
          <w:tab w:val="left" w:pos="945"/>
        </w:tabs>
        <w:snapToGrid w:val="0"/>
        <w:spacing w:line="360" w:lineRule="auto"/>
        <w:ind w:left="525"/>
        <w:rPr>
          <w:rFonts w:ascii="宋体" w:hAnsi="宋体" w:cs="宋体"/>
          <w:bCs/>
          <w:color w:val="auto"/>
          <w:szCs w:val="20"/>
        </w:rPr>
      </w:pPr>
      <w:r>
        <w:rPr>
          <w:rFonts w:hint="eastAsia" w:ascii="宋体" w:hAnsi="宋体" w:cs="宋体"/>
          <w:bCs/>
          <w:color w:val="auto"/>
          <w:szCs w:val="20"/>
        </w:rPr>
        <w:t> </w:t>
      </w:r>
    </w:p>
    <w:p>
      <w:pPr>
        <w:tabs>
          <w:tab w:val="left" w:pos="840"/>
          <w:tab w:val="left" w:pos="945"/>
        </w:tabs>
        <w:snapToGrid w:val="0"/>
        <w:spacing w:line="360" w:lineRule="auto"/>
        <w:ind w:left="525"/>
        <w:jc w:val="right"/>
        <w:rPr>
          <w:rFonts w:ascii="宋体" w:hAnsi="宋体" w:cs="宋体"/>
          <w:bCs/>
          <w:color w:val="auto"/>
          <w:szCs w:val="20"/>
        </w:rPr>
      </w:pPr>
      <w:r>
        <w:rPr>
          <w:rFonts w:ascii="宋体" w:hAnsi="宋体" w:cs="宋体"/>
          <w:bCs/>
          <w:color w:val="auto"/>
          <w:szCs w:val="20"/>
        </w:rPr>
        <w:t>发布人：广州市信怡招标代理有限公司</w:t>
      </w:r>
    </w:p>
    <w:p>
      <w:pPr>
        <w:pStyle w:val="36"/>
        <w:snapToGrid w:val="0"/>
        <w:spacing w:line="528" w:lineRule="auto"/>
        <w:ind w:firstLine="630" w:firstLineChars="300"/>
        <w:jc w:val="right"/>
        <w:rPr>
          <w:rFonts w:ascii="宋体" w:hAnsi="宋体"/>
          <w:color w:val="auto"/>
          <w:sz w:val="28"/>
        </w:rPr>
      </w:pPr>
      <w:r>
        <w:rPr>
          <w:rFonts w:ascii="宋体" w:hAnsi="宋体" w:cs="宋体"/>
          <w:bCs/>
          <w:color w:val="auto"/>
          <w:szCs w:val="20"/>
        </w:rPr>
        <w:t>发</w:t>
      </w:r>
      <w:r>
        <w:rPr>
          <w:rFonts w:ascii="宋体" w:hAnsi="宋体" w:cs="宋体"/>
          <w:bCs/>
          <w:color w:val="auto"/>
          <w:szCs w:val="20"/>
        </w:rPr>
        <w:t>布时间：2020 年</w:t>
      </w:r>
      <w:r>
        <w:rPr>
          <w:rFonts w:hint="eastAsia" w:ascii="宋体" w:hAnsi="宋体" w:cs="宋体"/>
          <w:bCs/>
          <w:color w:val="auto"/>
          <w:szCs w:val="20"/>
          <w:lang w:val="en-US" w:eastAsia="zh-CN"/>
        </w:rPr>
        <w:t>06</w:t>
      </w:r>
      <w:r>
        <w:rPr>
          <w:rFonts w:ascii="宋体" w:hAnsi="宋体" w:cs="宋体"/>
          <w:bCs/>
          <w:color w:val="auto"/>
          <w:szCs w:val="20"/>
        </w:rPr>
        <w:t>月</w:t>
      </w:r>
      <w:r>
        <w:rPr>
          <w:rFonts w:hint="eastAsia" w:ascii="宋体" w:hAnsi="宋体" w:cs="宋体"/>
          <w:bCs/>
          <w:color w:val="auto"/>
          <w:szCs w:val="20"/>
          <w:lang w:val="en-US" w:eastAsia="zh-CN"/>
        </w:rPr>
        <w:t>05</w:t>
      </w:r>
      <w:r>
        <w:rPr>
          <w:rFonts w:ascii="宋体" w:hAnsi="宋体" w:cs="宋体"/>
          <w:bCs/>
          <w:color w:val="auto"/>
          <w:szCs w:val="20"/>
        </w:rPr>
        <w:t>日</w:t>
      </w:r>
      <w:bookmarkEnd w:id="409"/>
      <w:bookmarkStart w:id="30" w:name="_Toc28489434"/>
      <w:bookmarkStart w:id="31" w:name="_Toc14450807"/>
    </w:p>
    <w:p>
      <w:pPr>
        <w:spacing w:line="360" w:lineRule="auto"/>
        <w:rPr>
          <w:rFonts w:ascii="宋体" w:hAnsi="宋体"/>
          <w:color w:val="auto"/>
          <w:sz w:val="28"/>
        </w:rPr>
      </w:pPr>
    </w:p>
    <w:p>
      <w:pPr>
        <w:spacing w:line="360" w:lineRule="auto"/>
        <w:rPr>
          <w:rFonts w:ascii="宋体" w:hAnsi="宋体"/>
          <w:color w:val="auto"/>
          <w:sz w:val="28"/>
        </w:rPr>
      </w:pPr>
    </w:p>
    <w:p>
      <w:pPr>
        <w:spacing w:line="360" w:lineRule="auto"/>
        <w:rPr>
          <w:rFonts w:ascii="宋体" w:hAnsi="宋体"/>
          <w:color w:val="auto"/>
          <w:sz w:val="28"/>
        </w:rPr>
      </w:pPr>
    </w:p>
    <w:p>
      <w:pPr>
        <w:spacing w:line="360" w:lineRule="auto"/>
        <w:rPr>
          <w:rFonts w:ascii="宋体" w:hAnsi="宋体"/>
          <w:color w:val="auto"/>
          <w:sz w:val="28"/>
        </w:rPr>
      </w:pPr>
    </w:p>
    <w:p>
      <w:pPr>
        <w:spacing w:line="360" w:lineRule="auto"/>
        <w:rPr>
          <w:rFonts w:ascii="宋体" w:hAnsi="宋体"/>
          <w:color w:val="auto"/>
          <w:sz w:val="28"/>
        </w:rPr>
      </w:pPr>
    </w:p>
    <w:p>
      <w:pPr>
        <w:spacing w:line="360" w:lineRule="auto"/>
        <w:rPr>
          <w:rFonts w:ascii="宋体" w:hAnsi="宋体"/>
          <w:color w:val="auto"/>
          <w:sz w:val="28"/>
        </w:rPr>
      </w:pPr>
    </w:p>
    <w:p>
      <w:pPr>
        <w:spacing w:line="360" w:lineRule="auto"/>
        <w:rPr>
          <w:rFonts w:ascii="宋体" w:hAnsi="宋体"/>
          <w:color w:val="auto"/>
          <w:sz w:val="28"/>
        </w:rPr>
      </w:pPr>
    </w:p>
    <w:p>
      <w:pPr>
        <w:spacing w:line="360" w:lineRule="auto"/>
        <w:rPr>
          <w:rFonts w:ascii="宋体" w:hAnsi="宋体"/>
          <w:color w:val="auto"/>
          <w:sz w:val="28"/>
        </w:rPr>
      </w:pPr>
    </w:p>
    <w:p>
      <w:pPr>
        <w:spacing w:line="360" w:lineRule="auto"/>
        <w:rPr>
          <w:rFonts w:ascii="宋体" w:hAnsi="宋体"/>
          <w:color w:val="auto"/>
          <w:sz w:val="28"/>
        </w:rPr>
      </w:pPr>
    </w:p>
    <w:p>
      <w:pPr>
        <w:spacing w:line="360" w:lineRule="auto"/>
        <w:rPr>
          <w:rFonts w:ascii="宋体" w:hAnsi="宋体"/>
          <w:color w:val="auto"/>
          <w:sz w:val="28"/>
        </w:rPr>
      </w:pPr>
    </w:p>
    <w:p>
      <w:pPr>
        <w:pStyle w:val="4"/>
        <w:autoSpaceDE w:val="0"/>
        <w:rPr>
          <w:color w:val="auto"/>
          <w:sz w:val="44"/>
        </w:rPr>
      </w:pPr>
      <w:bookmarkStart w:id="32" w:name="_Toc475104467"/>
      <w:bookmarkStart w:id="33" w:name="_Toc320515015"/>
      <w:r>
        <w:rPr>
          <w:rFonts w:cs="ZWAdobeF"/>
          <w:b w:val="0"/>
          <w:color w:val="auto"/>
          <w:sz w:val="2"/>
          <w:szCs w:val="2"/>
        </w:rPr>
        <w:t>1B1B</w:t>
      </w:r>
      <w:r>
        <w:rPr>
          <w:rFonts w:hint="eastAsia"/>
          <w:color w:val="auto"/>
          <w:sz w:val="44"/>
        </w:rPr>
        <w:t>第二章</w:t>
      </w:r>
      <w:bookmarkStart w:id="34" w:name="_Toc10525515"/>
      <w:r>
        <w:rPr>
          <w:rFonts w:hint="eastAsia"/>
          <w:color w:val="auto"/>
          <w:sz w:val="44"/>
        </w:rPr>
        <w:t xml:space="preserve"> 竞争性磋商须知</w:t>
      </w:r>
      <w:bookmarkEnd w:id="30"/>
      <w:bookmarkEnd w:id="31"/>
      <w:bookmarkEnd w:id="32"/>
      <w:bookmarkEnd w:id="33"/>
      <w:bookmarkEnd w:id="34"/>
    </w:p>
    <w:p>
      <w:pPr>
        <w:spacing w:line="360" w:lineRule="auto"/>
        <w:jc w:val="center"/>
        <w:rPr>
          <w:rFonts w:ascii="宋体" w:hAnsi="宋体"/>
          <w:b/>
          <w:bCs/>
          <w:color w:val="auto"/>
          <w:sz w:val="30"/>
        </w:rPr>
      </w:pPr>
      <w:r>
        <w:rPr>
          <w:rFonts w:ascii="宋体" w:hAnsi="宋体"/>
          <w:color w:val="auto"/>
          <w:sz w:val="44"/>
        </w:rPr>
        <w:br w:type="page"/>
      </w:r>
      <w:r>
        <w:rPr>
          <w:rFonts w:hint="eastAsia" w:ascii="宋体" w:hAnsi="宋体"/>
          <w:b/>
          <w:bCs/>
          <w:color w:val="auto"/>
          <w:sz w:val="30"/>
        </w:rPr>
        <w:t>竞争性磋商须知一览表</w:t>
      </w:r>
    </w:p>
    <w:tbl>
      <w:tblPr>
        <w:tblStyle w:val="90"/>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9"/>
        <w:gridCol w:w="2868"/>
        <w:gridCol w:w="623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3"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auto"/>
                <w:szCs w:val="21"/>
              </w:rPr>
            </w:pPr>
            <w:r>
              <w:rPr>
                <w:rFonts w:hint="eastAsia" w:ascii="宋体" w:hAnsi="宋体"/>
                <w:b/>
                <w:color w:val="auto"/>
                <w:szCs w:val="21"/>
              </w:rPr>
              <w:t>序号</w:t>
            </w:r>
          </w:p>
        </w:tc>
        <w:tc>
          <w:tcPr>
            <w:tcW w:w="28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auto"/>
                <w:szCs w:val="21"/>
              </w:rPr>
            </w:pPr>
            <w:r>
              <w:rPr>
                <w:rFonts w:hint="eastAsia" w:ascii="宋体" w:hAnsi="宋体"/>
                <w:b/>
                <w:color w:val="auto"/>
                <w:szCs w:val="21"/>
              </w:rPr>
              <w:t>项目</w:t>
            </w:r>
          </w:p>
        </w:tc>
        <w:tc>
          <w:tcPr>
            <w:tcW w:w="62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auto"/>
                <w:szCs w:val="21"/>
              </w:rPr>
            </w:pPr>
            <w:r>
              <w:rPr>
                <w:rFonts w:hint="eastAsia" w:ascii="宋体" w:hAnsi="宋体"/>
                <w:b/>
                <w:color w:val="auto"/>
                <w:szCs w:val="21"/>
              </w:rPr>
              <w:t>主要内容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0" w:hRule="atLeast"/>
          <w:jc w:val="center"/>
        </w:trPr>
        <w:tc>
          <w:tcPr>
            <w:tcW w:w="839" w:type="dxa"/>
            <w:tcBorders>
              <w:top w:val="single" w:color="auto" w:sz="4" w:space="0"/>
              <w:left w:val="single" w:color="auto" w:sz="4" w:space="0"/>
              <w:right w:val="single" w:color="auto" w:sz="4" w:space="0"/>
            </w:tcBorders>
            <w:vAlign w:val="center"/>
          </w:tcPr>
          <w:p>
            <w:pPr>
              <w:numPr>
                <w:ilvl w:val="0"/>
                <w:numId w:val="3"/>
              </w:numPr>
              <w:ind w:left="360" w:hanging="360"/>
              <w:jc w:val="right"/>
              <w:rPr>
                <w:rFonts w:ascii="宋体" w:hAnsi="宋体"/>
                <w:color w:val="auto"/>
                <w:szCs w:val="21"/>
              </w:rPr>
            </w:pPr>
          </w:p>
        </w:tc>
        <w:tc>
          <w:tcPr>
            <w:tcW w:w="2868" w:type="dxa"/>
            <w:tcBorders>
              <w:top w:val="single" w:color="auto" w:sz="4" w:space="0"/>
              <w:left w:val="single" w:color="auto" w:sz="4" w:space="0"/>
              <w:right w:val="single" w:color="auto" w:sz="4" w:space="0"/>
            </w:tcBorders>
            <w:vAlign w:val="center"/>
          </w:tcPr>
          <w:p>
            <w:pPr>
              <w:jc w:val="center"/>
              <w:rPr>
                <w:rFonts w:ascii="宋体" w:hAnsi="宋体"/>
                <w:color w:val="auto"/>
                <w:szCs w:val="21"/>
              </w:rPr>
            </w:pPr>
            <w:r>
              <w:rPr>
                <w:rFonts w:hint="eastAsia" w:ascii="宋体" w:hAnsi="宋体"/>
                <w:bCs/>
                <w:color w:val="auto"/>
                <w:szCs w:val="21"/>
              </w:rPr>
              <w:t>磋商</w:t>
            </w:r>
            <w:r>
              <w:rPr>
                <w:rFonts w:hint="eastAsia" w:ascii="宋体" w:hAnsi="宋体"/>
                <w:color w:val="auto"/>
                <w:szCs w:val="21"/>
              </w:rPr>
              <w:t>保证金</w:t>
            </w:r>
          </w:p>
        </w:tc>
        <w:tc>
          <w:tcPr>
            <w:tcW w:w="6234" w:type="dxa"/>
            <w:tcBorders>
              <w:top w:val="single" w:color="auto" w:sz="4" w:space="0"/>
              <w:left w:val="single" w:color="auto" w:sz="4" w:space="0"/>
              <w:right w:val="single" w:color="auto" w:sz="4" w:space="0"/>
            </w:tcBorders>
            <w:vAlign w:val="center"/>
          </w:tcPr>
          <w:p>
            <w:pPr>
              <w:jc w:val="left"/>
              <w:rPr>
                <w:rFonts w:ascii="宋体" w:hAnsi="宋体"/>
                <w:color w:val="auto"/>
                <w:szCs w:val="21"/>
              </w:rPr>
            </w:pPr>
            <w:r>
              <w:rPr>
                <w:rFonts w:ascii="宋体" w:hAnsi="宋体" w:cs="宋体"/>
                <w:color w:val="auto"/>
                <w:szCs w:val="21"/>
              </w:rPr>
              <w:t>本项目不收磋商保证金。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0" w:hRule="atLeast"/>
          <w:jc w:val="center"/>
        </w:trPr>
        <w:tc>
          <w:tcPr>
            <w:tcW w:w="839" w:type="dxa"/>
            <w:tcBorders>
              <w:top w:val="single" w:color="auto" w:sz="4" w:space="0"/>
              <w:left w:val="single" w:color="auto" w:sz="4" w:space="0"/>
              <w:right w:val="single" w:color="auto" w:sz="4" w:space="0"/>
            </w:tcBorders>
            <w:vAlign w:val="center"/>
          </w:tcPr>
          <w:p>
            <w:pPr>
              <w:numPr>
                <w:ilvl w:val="0"/>
                <w:numId w:val="3"/>
              </w:numPr>
              <w:ind w:left="360" w:hanging="360"/>
              <w:jc w:val="right"/>
              <w:rPr>
                <w:rFonts w:ascii="宋体" w:hAnsi="宋体"/>
                <w:color w:val="auto"/>
                <w:szCs w:val="21"/>
              </w:rPr>
            </w:pPr>
          </w:p>
        </w:tc>
        <w:tc>
          <w:tcPr>
            <w:tcW w:w="2868" w:type="dxa"/>
            <w:tcBorders>
              <w:top w:val="single" w:color="auto" w:sz="4" w:space="0"/>
              <w:left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采购代理服务费及专家费</w:t>
            </w:r>
          </w:p>
        </w:tc>
        <w:tc>
          <w:tcPr>
            <w:tcW w:w="6234" w:type="dxa"/>
            <w:tcBorders>
              <w:top w:val="single" w:color="auto" w:sz="4" w:space="0"/>
              <w:left w:val="single" w:color="auto" w:sz="4" w:space="0"/>
              <w:right w:val="single" w:color="auto" w:sz="4" w:space="0"/>
            </w:tcBorders>
            <w:vAlign w:val="center"/>
          </w:tcPr>
          <w:p>
            <w:pPr>
              <w:jc w:val="left"/>
              <w:rPr>
                <w:rFonts w:ascii="宋体" w:hAnsi="宋体" w:cs="宋体"/>
                <w:color w:val="auto"/>
                <w:szCs w:val="21"/>
              </w:rPr>
            </w:pPr>
            <w:r>
              <w:rPr>
                <w:rFonts w:hint="eastAsia" w:ascii="宋体" w:hAnsi="宋体" w:cs="宋体"/>
                <w:color w:val="auto"/>
                <w:szCs w:val="21"/>
              </w:rPr>
              <w:t>本项目招标代理服务费为陆仟元整及专家费（专家费按实进行结算）。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5"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numPr>
                <w:ilvl w:val="0"/>
                <w:numId w:val="3"/>
              </w:numPr>
              <w:ind w:left="360" w:hanging="360"/>
              <w:jc w:val="right"/>
              <w:rPr>
                <w:rFonts w:ascii="宋体" w:hAnsi="宋体"/>
                <w:color w:val="auto"/>
                <w:szCs w:val="21"/>
              </w:rPr>
            </w:pPr>
          </w:p>
        </w:tc>
        <w:tc>
          <w:tcPr>
            <w:tcW w:w="28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采购代理服务费</w:t>
            </w:r>
            <w:r>
              <w:rPr>
                <w:rFonts w:hint="eastAsia" w:ascii="宋体" w:hAnsi="宋体" w:cs="宋体"/>
                <w:color w:val="auto"/>
                <w:szCs w:val="21"/>
              </w:rPr>
              <w:t>支付方式</w:t>
            </w:r>
          </w:p>
        </w:tc>
        <w:tc>
          <w:tcPr>
            <w:tcW w:w="6234"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auto"/>
                <w:szCs w:val="21"/>
              </w:rPr>
            </w:pPr>
            <w:r>
              <w:rPr>
                <w:rFonts w:hint="eastAsia" w:ascii="宋体" w:hAnsi="宋体"/>
                <w:color w:val="auto"/>
                <w:szCs w:val="21"/>
              </w:rPr>
              <w:t>成交供应商在领取《成交通知书》前直接一次性向采购代理机构足额支付采购</w:t>
            </w:r>
            <w:r>
              <w:rPr>
                <w:rFonts w:hint="eastAsia" w:ascii="宋体" w:hAnsi="宋体" w:cs="宋体"/>
                <w:color w:val="auto"/>
                <w:szCs w:val="21"/>
              </w:rPr>
              <w:t>代理服务费及专家费（专家费按实进行结算）。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numPr>
                <w:ilvl w:val="0"/>
                <w:numId w:val="3"/>
              </w:numPr>
              <w:ind w:left="360" w:hanging="360"/>
              <w:jc w:val="right"/>
              <w:rPr>
                <w:rFonts w:ascii="宋体" w:hAnsi="宋体"/>
                <w:color w:val="auto"/>
                <w:szCs w:val="21"/>
              </w:rPr>
            </w:pPr>
          </w:p>
        </w:tc>
        <w:tc>
          <w:tcPr>
            <w:tcW w:w="28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lang w:val="en-GB"/>
              </w:rPr>
              <w:t>统一结算</w:t>
            </w:r>
            <w:r>
              <w:rPr>
                <w:rFonts w:hint="eastAsia" w:ascii="宋体" w:hAnsi="宋体"/>
                <w:color w:val="auto"/>
                <w:szCs w:val="21"/>
              </w:rPr>
              <w:t>币种</w:t>
            </w:r>
          </w:p>
        </w:tc>
        <w:tc>
          <w:tcPr>
            <w:tcW w:w="6234"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auto"/>
                <w:szCs w:val="21"/>
              </w:rPr>
            </w:pPr>
            <w:r>
              <w:rPr>
                <w:rFonts w:hint="eastAsia" w:ascii="宋体" w:hAnsi="宋体"/>
                <w:color w:val="auto"/>
                <w:szCs w:val="21"/>
              </w:rPr>
              <w:t>均不计息，以人民币元结算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6"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numPr>
                <w:ilvl w:val="0"/>
                <w:numId w:val="3"/>
              </w:numPr>
              <w:ind w:left="360" w:hanging="360"/>
              <w:jc w:val="right"/>
              <w:rPr>
                <w:rFonts w:ascii="宋体" w:hAnsi="宋体"/>
                <w:color w:val="auto"/>
                <w:szCs w:val="21"/>
              </w:rPr>
            </w:pPr>
          </w:p>
        </w:tc>
        <w:tc>
          <w:tcPr>
            <w:tcW w:w="28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bCs/>
                <w:color w:val="auto"/>
                <w:szCs w:val="21"/>
              </w:rPr>
              <w:t>响应有效期</w:t>
            </w:r>
          </w:p>
        </w:tc>
        <w:tc>
          <w:tcPr>
            <w:tcW w:w="6234"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auto"/>
                <w:szCs w:val="21"/>
              </w:rPr>
            </w:pPr>
            <w:r>
              <w:rPr>
                <w:rFonts w:hint="eastAsia" w:ascii="宋体" w:hAnsi="宋体"/>
                <w:color w:val="auto"/>
                <w:szCs w:val="21"/>
              </w:rPr>
              <w:t>自从磋商响应文件递交截止日起90天，成交供应商的响应有效期自动延长至合同终止为止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6"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numPr>
                <w:ilvl w:val="0"/>
                <w:numId w:val="3"/>
              </w:numPr>
              <w:ind w:left="360" w:hanging="360"/>
              <w:jc w:val="right"/>
              <w:rPr>
                <w:rFonts w:ascii="宋体" w:hAnsi="宋体"/>
                <w:color w:val="auto"/>
                <w:szCs w:val="21"/>
              </w:rPr>
            </w:pPr>
          </w:p>
        </w:tc>
        <w:tc>
          <w:tcPr>
            <w:tcW w:w="28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bCs/>
                <w:color w:val="auto"/>
                <w:szCs w:val="21"/>
              </w:rPr>
              <w:t>磋商</w:t>
            </w:r>
            <w:r>
              <w:rPr>
                <w:rFonts w:hint="eastAsia" w:ascii="宋体" w:hAnsi="宋体"/>
                <w:color w:val="auto"/>
                <w:szCs w:val="21"/>
              </w:rPr>
              <w:t>响应文件数量</w:t>
            </w:r>
          </w:p>
        </w:tc>
        <w:tc>
          <w:tcPr>
            <w:tcW w:w="6234"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auto"/>
                <w:szCs w:val="21"/>
              </w:rPr>
            </w:pPr>
            <w:r>
              <w:rPr>
                <w:rFonts w:hint="eastAsia" w:ascii="宋体" w:hAnsi="宋体"/>
                <w:color w:val="auto"/>
                <w:szCs w:val="21"/>
              </w:rPr>
              <w:t>三份（一份正本、两份副本）、电子文档一份（要求光盘介质，WORD或EXCEL格式，不留密码，无病毒，不压缩，内容应与供应商打印产生的纸质磋商响应文件内容一致，如有不同，以纸质磋商响应文件为准）、唱标信封一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6"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numPr>
                <w:ilvl w:val="0"/>
                <w:numId w:val="3"/>
              </w:numPr>
              <w:ind w:left="360" w:hanging="360"/>
              <w:jc w:val="right"/>
              <w:rPr>
                <w:rFonts w:ascii="宋体" w:hAnsi="宋体"/>
                <w:color w:val="auto"/>
                <w:szCs w:val="21"/>
              </w:rPr>
            </w:pPr>
          </w:p>
        </w:tc>
        <w:tc>
          <w:tcPr>
            <w:tcW w:w="28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bCs/>
                <w:color w:val="auto"/>
                <w:szCs w:val="21"/>
              </w:rPr>
              <w:t>磋商</w:t>
            </w:r>
            <w:r>
              <w:rPr>
                <w:rFonts w:hint="eastAsia" w:ascii="宋体" w:hAnsi="宋体"/>
                <w:color w:val="auto"/>
                <w:szCs w:val="21"/>
              </w:rPr>
              <w:t>响应文件递交时间</w:t>
            </w:r>
          </w:p>
        </w:tc>
        <w:tc>
          <w:tcPr>
            <w:tcW w:w="6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rPr>
            </w:pPr>
            <w:r>
              <w:rPr>
                <w:rFonts w:hint="eastAsia" w:ascii="宋体" w:hAnsi="宋体"/>
                <w:color w:val="auto"/>
                <w:szCs w:val="21"/>
              </w:rPr>
              <w:t>详见温馨提示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numPr>
                <w:ilvl w:val="0"/>
                <w:numId w:val="3"/>
              </w:numPr>
              <w:ind w:left="360" w:hanging="360"/>
              <w:jc w:val="right"/>
              <w:rPr>
                <w:rFonts w:ascii="宋体" w:hAnsi="宋体"/>
                <w:color w:val="auto"/>
                <w:szCs w:val="21"/>
              </w:rPr>
            </w:pPr>
          </w:p>
        </w:tc>
        <w:tc>
          <w:tcPr>
            <w:tcW w:w="28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bCs/>
                <w:color w:val="auto"/>
                <w:szCs w:val="21"/>
              </w:rPr>
              <w:t>磋商响应文件递交</w:t>
            </w:r>
            <w:r>
              <w:rPr>
                <w:rFonts w:hint="eastAsia" w:ascii="宋体" w:hAnsi="宋体"/>
                <w:color w:val="auto"/>
              </w:rPr>
              <w:t>截止时间</w:t>
            </w:r>
          </w:p>
        </w:tc>
        <w:tc>
          <w:tcPr>
            <w:tcW w:w="6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详见竞争性</w:t>
            </w:r>
            <w:r>
              <w:rPr>
                <w:rFonts w:hint="eastAsia" w:ascii="宋体" w:hAnsi="宋体"/>
                <w:bCs/>
                <w:color w:val="auto"/>
                <w:szCs w:val="21"/>
              </w:rPr>
              <w:t>磋商</w:t>
            </w:r>
            <w:r>
              <w:rPr>
                <w:rFonts w:hint="eastAsia" w:ascii="宋体" w:hAnsi="宋体"/>
                <w:color w:val="auto"/>
                <w:szCs w:val="21"/>
              </w:rPr>
              <w:t>邀请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1"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numPr>
                <w:ilvl w:val="0"/>
                <w:numId w:val="3"/>
              </w:numPr>
              <w:ind w:left="360" w:hanging="360"/>
              <w:jc w:val="right"/>
              <w:rPr>
                <w:rFonts w:ascii="宋体" w:hAnsi="宋体"/>
                <w:color w:val="auto"/>
                <w:szCs w:val="21"/>
              </w:rPr>
            </w:pPr>
          </w:p>
        </w:tc>
        <w:tc>
          <w:tcPr>
            <w:tcW w:w="28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磋商时间</w:t>
            </w:r>
          </w:p>
        </w:tc>
        <w:tc>
          <w:tcPr>
            <w:tcW w:w="6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详见竞争性</w:t>
            </w:r>
            <w:r>
              <w:rPr>
                <w:rFonts w:hint="eastAsia" w:ascii="宋体" w:hAnsi="宋体"/>
                <w:bCs/>
                <w:color w:val="auto"/>
                <w:szCs w:val="21"/>
              </w:rPr>
              <w:t>磋商</w:t>
            </w:r>
            <w:r>
              <w:rPr>
                <w:rFonts w:hint="eastAsia" w:ascii="宋体" w:hAnsi="宋体"/>
                <w:color w:val="auto"/>
                <w:szCs w:val="21"/>
              </w:rPr>
              <w:t>邀请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5"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numPr>
                <w:ilvl w:val="0"/>
                <w:numId w:val="3"/>
              </w:numPr>
              <w:ind w:left="360" w:hanging="360"/>
              <w:jc w:val="right"/>
              <w:rPr>
                <w:rFonts w:ascii="宋体" w:hAnsi="宋体"/>
                <w:color w:val="auto"/>
                <w:szCs w:val="21"/>
              </w:rPr>
            </w:pPr>
          </w:p>
        </w:tc>
        <w:tc>
          <w:tcPr>
            <w:tcW w:w="28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合同履约保证金</w:t>
            </w:r>
          </w:p>
        </w:tc>
        <w:tc>
          <w:tcPr>
            <w:tcW w:w="6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详见竞争性</w:t>
            </w:r>
            <w:r>
              <w:rPr>
                <w:rFonts w:hint="eastAsia" w:ascii="宋体" w:hAnsi="宋体"/>
                <w:bCs/>
                <w:color w:val="auto"/>
                <w:szCs w:val="21"/>
              </w:rPr>
              <w:t>磋商</w:t>
            </w:r>
            <w:r>
              <w:rPr>
                <w:rFonts w:hint="eastAsia" w:ascii="宋体" w:hAnsi="宋体"/>
                <w:color w:val="auto"/>
                <w:szCs w:val="21"/>
              </w:rPr>
              <w:t>邀请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numPr>
                <w:ilvl w:val="0"/>
                <w:numId w:val="3"/>
              </w:numPr>
              <w:ind w:left="360" w:hanging="360"/>
              <w:jc w:val="right"/>
              <w:rPr>
                <w:rFonts w:ascii="宋体" w:hAnsi="宋体"/>
                <w:color w:val="auto"/>
                <w:szCs w:val="21"/>
              </w:rPr>
            </w:pPr>
          </w:p>
        </w:tc>
        <w:tc>
          <w:tcPr>
            <w:tcW w:w="28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s="宋体"/>
                <w:color w:val="auto"/>
                <w:kern w:val="0"/>
                <w:szCs w:val="21"/>
              </w:rPr>
              <w:t>采购项目预算金额</w:t>
            </w:r>
          </w:p>
        </w:tc>
        <w:tc>
          <w:tcPr>
            <w:tcW w:w="6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s="宋体"/>
                <w:color w:val="auto"/>
                <w:szCs w:val="21"/>
              </w:rPr>
              <w:t>详见</w:t>
            </w:r>
            <w:r>
              <w:rPr>
                <w:rFonts w:hint="eastAsia" w:ascii="宋体" w:hAnsi="宋体"/>
                <w:color w:val="auto"/>
                <w:szCs w:val="21"/>
              </w:rPr>
              <w:t>竞争性</w:t>
            </w:r>
            <w:r>
              <w:rPr>
                <w:rFonts w:hint="eastAsia" w:ascii="宋体" w:hAnsi="宋体"/>
                <w:bCs/>
                <w:color w:val="auto"/>
                <w:szCs w:val="21"/>
              </w:rPr>
              <w:t>磋商</w:t>
            </w:r>
            <w:r>
              <w:rPr>
                <w:rFonts w:hint="eastAsia" w:ascii="宋体" w:hAnsi="宋体" w:cs="宋体"/>
                <w:color w:val="auto"/>
                <w:szCs w:val="21"/>
              </w:rPr>
              <w:t>邀请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numPr>
                <w:ilvl w:val="0"/>
                <w:numId w:val="3"/>
              </w:numPr>
              <w:ind w:left="360" w:hanging="360"/>
              <w:jc w:val="right"/>
              <w:rPr>
                <w:rFonts w:ascii="宋体" w:hAnsi="宋体"/>
                <w:color w:val="auto"/>
                <w:szCs w:val="21"/>
              </w:rPr>
            </w:pPr>
          </w:p>
        </w:tc>
        <w:tc>
          <w:tcPr>
            <w:tcW w:w="286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auto"/>
                <w:szCs w:val="21"/>
              </w:rPr>
            </w:pPr>
            <w:r>
              <w:rPr>
                <w:rFonts w:hint="eastAsia" w:ascii="宋体" w:hAnsi="宋体" w:cs="宋体"/>
                <w:color w:val="auto"/>
                <w:szCs w:val="21"/>
              </w:rPr>
              <w:t>资金来源</w:t>
            </w:r>
          </w:p>
        </w:tc>
        <w:tc>
          <w:tcPr>
            <w:tcW w:w="6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财政性</w:t>
            </w:r>
            <w:r>
              <w:rPr>
                <w:rFonts w:hint="eastAsia" w:ascii="宋体" w:hAnsi="宋体" w:cs="宋体"/>
                <w:color w:val="auto"/>
                <w:szCs w:val="21"/>
                <w:lang w:eastAsia="zh-TW"/>
              </w:rPr>
              <w:t>资金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numPr>
                <w:ilvl w:val="0"/>
                <w:numId w:val="3"/>
              </w:numPr>
              <w:ind w:left="360" w:hanging="360"/>
              <w:jc w:val="right"/>
              <w:rPr>
                <w:rFonts w:ascii="宋体" w:hAnsi="宋体"/>
                <w:color w:val="auto"/>
                <w:szCs w:val="21"/>
              </w:rPr>
            </w:pPr>
          </w:p>
        </w:tc>
        <w:tc>
          <w:tcPr>
            <w:tcW w:w="286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szCs w:val="21"/>
              </w:rPr>
            </w:pPr>
            <w:r>
              <w:rPr>
                <w:rFonts w:hint="eastAsia" w:ascii="宋体" w:hAnsi="宋体" w:cs="宋体"/>
                <w:color w:val="auto"/>
                <w:szCs w:val="21"/>
              </w:rPr>
              <w:t>询问函、质疑函格式</w:t>
            </w:r>
          </w:p>
        </w:tc>
        <w:tc>
          <w:tcPr>
            <w:tcW w:w="6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详见投标人须知</w:t>
            </w:r>
          </w:p>
        </w:tc>
      </w:tr>
    </w:tbl>
    <w:p>
      <w:pPr>
        <w:spacing w:line="360" w:lineRule="auto"/>
        <w:jc w:val="center"/>
        <w:rPr>
          <w:rFonts w:ascii="宋体" w:hAnsi="宋体"/>
          <w:b/>
          <w:bCs/>
          <w:color w:val="auto"/>
          <w:sz w:val="30"/>
        </w:rPr>
      </w:pPr>
    </w:p>
    <w:p>
      <w:pPr>
        <w:numPr>
          <w:ilvl w:val="0"/>
          <w:numId w:val="4"/>
        </w:numPr>
        <w:autoSpaceDE w:val="0"/>
        <w:autoSpaceDN w:val="0"/>
        <w:adjustRightInd w:val="0"/>
        <w:snapToGrid w:val="0"/>
        <w:spacing w:beforeLines="100" w:afterLines="100" w:line="360" w:lineRule="auto"/>
        <w:ind w:left="601" w:hanging="601"/>
        <w:jc w:val="center"/>
        <w:outlineLvl w:val="0"/>
        <w:rPr>
          <w:rFonts w:ascii="宋体" w:hAnsi="宋体" w:cs="楷体_GB2312"/>
          <w:color w:val="auto"/>
          <w:szCs w:val="21"/>
        </w:rPr>
      </w:pPr>
      <w:r>
        <w:rPr>
          <w:rFonts w:ascii="宋体" w:hAnsi="宋体"/>
          <w:color w:val="auto"/>
        </w:rPr>
        <w:br w:type="page"/>
      </w:r>
      <w:bookmarkStart w:id="35" w:name="_Toc320515016"/>
      <w:bookmarkStart w:id="36" w:name="_Toc323110975"/>
      <w:bookmarkStart w:id="37" w:name="_Toc363737682"/>
      <w:bookmarkStart w:id="38" w:name="_Toc322680342"/>
      <w:bookmarkStart w:id="39" w:name="_Toc315793450"/>
      <w:bookmarkStart w:id="40" w:name="_Toc475104468"/>
      <w:bookmarkStart w:id="41" w:name="_Toc320515065"/>
      <w:r>
        <w:rPr>
          <w:rFonts w:hint="eastAsia" w:ascii="宋体" w:hAnsi="宋体"/>
          <w:b/>
          <w:color w:val="auto"/>
          <w:sz w:val="28"/>
          <w:szCs w:val="28"/>
          <w:lang w:eastAsia="zh-TW"/>
        </w:rPr>
        <w:t>说 明</w:t>
      </w:r>
      <w:bookmarkEnd w:id="35"/>
      <w:bookmarkEnd w:id="36"/>
      <w:bookmarkEnd w:id="37"/>
      <w:bookmarkEnd w:id="38"/>
      <w:bookmarkEnd w:id="39"/>
      <w:bookmarkEnd w:id="40"/>
      <w:bookmarkEnd w:id="41"/>
    </w:p>
    <w:p>
      <w:pPr>
        <w:numPr>
          <w:ilvl w:val="0"/>
          <w:numId w:val="5"/>
        </w:numPr>
        <w:autoSpaceDE w:val="0"/>
        <w:autoSpaceDN w:val="0"/>
        <w:adjustRightInd w:val="0"/>
        <w:snapToGrid w:val="0"/>
        <w:spacing w:line="360" w:lineRule="auto"/>
        <w:outlineLvl w:val="0"/>
        <w:rPr>
          <w:rFonts w:ascii="宋体" w:hAnsi="宋体"/>
          <w:b/>
          <w:bCs/>
          <w:color w:val="auto"/>
          <w:sz w:val="24"/>
        </w:rPr>
      </w:pPr>
      <w:bookmarkStart w:id="42" w:name="_Toc320515017"/>
      <w:bookmarkStart w:id="43" w:name="_Toc323110976"/>
      <w:bookmarkStart w:id="44" w:name="_Toc320515066"/>
      <w:bookmarkStart w:id="45" w:name="_Toc363737683"/>
      <w:bookmarkStart w:id="46" w:name="_Toc315793451"/>
      <w:bookmarkStart w:id="47" w:name="_Toc322680343"/>
      <w:bookmarkStart w:id="48" w:name="_Toc475104469"/>
      <w:r>
        <w:rPr>
          <w:rFonts w:hint="eastAsia" w:ascii="宋体" w:hAnsi="宋体"/>
          <w:b/>
          <w:bCs/>
          <w:color w:val="auto"/>
          <w:sz w:val="24"/>
        </w:rPr>
        <w:t>招标适用范围</w:t>
      </w:r>
      <w:bookmarkEnd w:id="42"/>
      <w:bookmarkEnd w:id="43"/>
      <w:bookmarkEnd w:id="44"/>
      <w:bookmarkEnd w:id="45"/>
      <w:bookmarkEnd w:id="46"/>
      <w:bookmarkEnd w:id="47"/>
      <w:bookmarkEnd w:id="48"/>
    </w:p>
    <w:p>
      <w:pPr>
        <w:numPr>
          <w:ilvl w:val="1"/>
          <w:numId w:val="5"/>
        </w:numPr>
        <w:autoSpaceDE w:val="0"/>
        <w:autoSpaceDN w:val="0"/>
        <w:adjustRightInd w:val="0"/>
        <w:snapToGrid w:val="0"/>
        <w:spacing w:line="360" w:lineRule="auto"/>
        <w:jc w:val="left"/>
        <w:rPr>
          <w:rFonts w:ascii="宋体" w:hAnsi="宋体"/>
          <w:b/>
          <w:bCs/>
          <w:color w:val="auto"/>
          <w:szCs w:val="21"/>
        </w:rPr>
      </w:pPr>
      <w:r>
        <w:rPr>
          <w:rFonts w:hint="eastAsia" w:ascii="宋体" w:hAnsi="宋体"/>
          <w:color w:val="auto"/>
          <w:szCs w:val="21"/>
        </w:rPr>
        <w:t>本竞争性磋商文件适用于本竞争性磋商邀请中所述项目的政府采购。</w:t>
      </w:r>
    </w:p>
    <w:p>
      <w:pPr>
        <w:numPr>
          <w:ilvl w:val="0"/>
          <w:numId w:val="5"/>
        </w:numPr>
        <w:autoSpaceDE w:val="0"/>
        <w:autoSpaceDN w:val="0"/>
        <w:adjustRightInd w:val="0"/>
        <w:snapToGrid w:val="0"/>
        <w:spacing w:line="360" w:lineRule="auto"/>
        <w:outlineLvl w:val="0"/>
        <w:rPr>
          <w:rFonts w:ascii="宋体" w:hAnsi="宋体"/>
          <w:b/>
          <w:bCs/>
          <w:color w:val="auto"/>
          <w:sz w:val="24"/>
        </w:rPr>
      </w:pPr>
      <w:bookmarkStart w:id="49" w:name="_Toc320515018"/>
      <w:bookmarkStart w:id="50" w:name="_Toc475104470"/>
      <w:bookmarkStart w:id="51" w:name="_Toc323110977"/>
      <w:bookmarkStart w:id="52" w:name="_Toc322680344"/>
      <w:bookmarkStart w:id="53" w:name="_Toc363737684"/>
      <w:bookmarkStart w:id="54" w:name="_Toc320515067"/>
      <w:r>
        <w:rPr>
          <w:rFonts w:hint="eastAsia" w:ascii="宋体" w:hAnsi="宋体"/>
          <w:b/>
          <w:bCs/>
          <w:color w:val="auto"/>
          <w:sz w:val="24"/>
        </w:rPr>
        <w:t>定义</w:t>
      </w:r>
      <w:bookmarkEnd w:id="49"/>
      <w:bookmarkEnd w:id="50"/>
      <w:bookmarkEnd w:id="51"/>
      <w:bookmarkEnd w:id="52"/>
      <w:bookmarkEnd w:id="53"/>
      <w:bookmarkEnd w:id="54"/>
    </w:p>
    <w:p>
      <w:pPr>
        <w:numPr>
          <w:ilvl w:val="1"/>
          <w:numId w:val="5"/>
        </w:numPr>
        <w:autoSpaceDE w:val="0"/>
        <w:autoSpaceDN w:val="0"/>
        <w:adjustRightInd w:val="0"/>
        <w:snapToGrid w:val="0"/>
        <w:spacing w:line="360" w:lineRule="auto"/>
        <w:rPr>
          <w:rFonts w:ascii="宋体" w:hAnsi="宋体"/>
          <w:color w:val="auto"/>
          <w:szCs w:val="21"/>
        </w:rPr>
      </w:pPr>
      <w:r>
        <w:rPr>
          <w:rFonts w:hint="eastAsia" w:ascii="宋体" w:hAnsi="宋体"/>
          <w:color w:val="auto"/>
          <w:szCs w:val="21"/>
        </w:rPr>
        <w:t>“采购人”系指</w:t>
      </w:r>
      <w:r>
        <w:rPr>
          <w:rFonts w:hint="eastAsia" w:ascii="宋体" w:hAnsi="宋体" w:cs="宋体"/>
          <w:color w:val="auto"/>
          <w:szCs w:val="21"/>
        </w:rPr>
        <w:t>广东省农业科学院动物科学研究所</w:t>
      </w:r>
      <w:r>
        <w:rPr>
          <w:rFonts w:hint="eastAsia" w:ascii="宋体" w:hAnsi="宋体"/>
          <w:color w:val="auto"/>
          <w:szCs w:val="21"/>
        </w:rPr>
        <w:t>。</w:t>
      </w:r>
    </w:p>
    <w:p>
      <w:pPr>
        <w:numPr>
          <w:ilvl w:val="1"/>
          <w:numId w:val="5"/>
        </w:numPr>
        <w:autoSpaceDE w:val="0"/>
        <w:autoSpaceDN w:val="0"/>
        <w:adjustRightInd w:val="0"/>
        <w:snapToGrid w:val="0"/>
        <w:spacing w:line="360" w:lineRule="auto"/>
        <w:rPr>
          <w:rFonts w:ascii="宋体" w:hAnsi="宋体" w:cs="宋体"/>
          <w:color w:val="auto"/>
          <w:szCs w:val="21"/>
        </w:rPr>
      </w:pPr>
      <w:r>
        <w:rPr>
          <w:rFonts w:hint="eastAsia" w:ascii="宋体" w:hAnsi="宋体" w:cs="宋体"/>
          <w:color w:val="auto"/>
          <w:szCs w:val="21"/>
        </w:rPr>
        <w:t>“采购代理机构”系指广州市信怡招标代理有限公司。</w:t>
      </w:r>
    </w:p>
    <w:p>
      <w:pPr>
        <w:numPr>
          <w:ilvl w:val="1"/>
          <w:numId w:val="5"/>
        </w:numPr>
        <w:autoSpaceDE w:val="0"/>
        <w:autoSpaceDN w:val="0"/>
        <w:adjustRightInd w:val="0"/>
        <w:snapToGrid w:val="0"/>
        <w:spacing w:line="360" w:lineRule="auto"/>
        <w:rPr>
          <w:rFonts w:ascii="宋体" w:hAnsi="宋体" w:cs="宋体"/>
          <w:color w:val="auto"/>
          <w:szCs w:val="21"/>
        </w:rPr>
      </w:pPr>
      <w:r>
        <w:rPr>
          <w:rFonts w:hint="eastAsia" w:ascii="宋体" w:hAnsi="宋体" w:cs="宋体"/>
          <w:color w:val="auto"/>
          <w:szCs w:val="21"/>
        </w:rPr>
        <w:t>“</w:t>
      </w:r>
      <w:r>
        <w:rPr>
          <w:rFonts w:hint="eastAsia" w:ascii="宋体" w:hAnsi="宋体"/>
          <w:color w:val="auto"/>
        </w:rPr>
        <w:t>供应商</w:t>
      </w:r>
      <w:r>
        <w:rPr>
          <w:rFonts w:hint="eastAsia" w:ascii="宋体" w:hAnsi="宋体" w:cs="宋体"/>
          <w:color w:val="auto"/>
          <w:szCs w:val="21"/>
        </w:rPr>
        <w:t>”系指向采购代理机构提交</w:t>
      </w:r>
      <w:r>
        <w:rPr>
          <w:rFonts w:hint="eastAsia" w:ascii="宋体" w:hAnsi="宋体"/>
          <w:color w:val="auto"/>
          <w:szCs w:val="21"/>
        </w:rPr>
        <w:t>磋商</w:t>
      </w:r>
      <w:r>
        <w:rPr>
          <w:rFonts w:hint="eastAsia" w:ascii="宋体" w:hAnsi="宋体"/>
          <w:color w:val="auto"/>
        </w:rPr>
        <w:t>响应</w:t>
      </w:r>
      <w:r>
        <w:rPr>
          <w:rFonts w:hint="eastAsia" w:ascii="宋体" w:hAnsi="宋体" w:cs="宋体"/>
          <w:color w:val="auto"/>
          <w:szCs w:val="21"/>
        </w:rPr>
        <w:t>文件的自然人、法人或其他组织。</w:t>
      </w:r>
    </w:p>
    <w:p>
      <w:pPr>
        <w:numPr>
          <w:ilvl w:val="1"/>
          <w:numId w:val="5"/>
        </w:numPr>
        <w:autoSpaceDE w:val="0"/>
        <w:autoSpaceDN w:val="0"/>
        <w:adjustRightInd w:val="0"/>
        <w:snapToGrid w:val="0"/>
        <w:spacing w:line="360" w:lineRule="auto"/>
        <w:rPr>
          <w:rFonts w:ascii="宋体" w:hAnsi="宋体" w:cs="宋体"/>
          <w:color w:val="auto"/>
          <w:szCs w:val="21"/>
          <w:lang w:eastAsia="zh-TW"/>
        </w:rPr>
      </w:pPr>
      <w:r>
        <w:rPr>
          <w:rFonts w:hint="eastAsia" w:ascii="宋体" w:hAnsi="宋体" w:cs="宋体"/>
          <w:color w:val="auto"/>
          <w:szCs w:val="21"/>
          <w:lang w:eastAsia="zh-TW"/>
        </w:rPr>
        <w:t>“甲方”系指采购人。</w:t>
      </w:r>
    </w:p>
    <w:p>
      <w:pPr>
        <w:numPr>
          <w:ilvl w:val="1"/>
          <w:numId w:val="5"/>
        </w:numPr>
        <w:autoSpaceDE w:val="0"/>
        <w:autoSpaceDN w:val="0"/>
        <w:adjustRightInd w:val="0"/>
        <w:snapToGrid w:val="0"/>
        <w:spacing w:line="360" w:lineRule="auto"/>
        <w:rPr>
          <w:rFonts w:ascii="宋体" w:hAnsi="宋体" w:cs="宋体"/>
          <w:color w:val="auto"/>
          <w:szCs w:val="21"/>
        </w:rPr>
      </w:pPr>
      <w:r>
        <w:rPr>
          <w:rFonts w:hint="eastAsia" w:ascii="宋体" w:hAnsi="宋体" w:cs="宋体"/>
          <w:color w:val="auto"/>
          <w:szCs w:val="21"/>
        </w:rPr>
        <w:t>“乙方”系指成交供应商。</w:t>
      </w:r>
    </w:p>
    <w:p>
      <w:pPr>
        <w:numPr>
          <w:ilvl w:val="1"/>
          <w:numId w:val="5"/>
        </w:numPr>
        <w:autoSpaceDE w:val="0"/>
        <w:autoSpaceDN w:val="0"/>
        <w:adjustRightInd w:val="0"/>
        <w:snapToGrid w:val="0"/>
        <w:spacing w:line="360" w:lineRule="auto"/>
        <w:rPr>
          <w:rFonts w:ascii="宋体" w:hAnsi="宋体" w:cs="宋体"/>
          <w:color w:val="auto"/>
          <w:szCs w:val="21"/>
        </w:rPr>
      </w:pPr>
      <w:r>
        <w:rPr>
          <w:rFonts w:hint="eastAsia" w:ascii="宋体" w:hAnsi="宋体" w:cs="宋体"/>
          <w:color w:val="auto"/>
          <w:szCs w:val="21"/>
        </w:rPr>
        <w:t>“日期”指公历日,“时间”指北京时间。</w:t>
      </w:r>
    </w:p>
    <w:p>
      <w:pPr>
        <w:numPr>
          <w:ilvl w:val="1"/>
          <w:numId w:val="5"/>
        </w:numPr>
        <w:autoSpaceDE w:val="0"/>
        <w:autoSpaceDN w:val="0"/>
        <w:adjustRightInd w:val="0"/>
        <w:snapToGrid w:val="0"/>
        <w:spacing w:line="360" w:lineRule="auto"/>
        <w:rPr>
          <w:rFonts w:ascii="宋体" w:hAnsi="宋体" w:cs="宋体"/>
          <w:color w:val="auto"/>
          <w:szCs w:val="21"/>
        </w:rPr>
      </w:pPr>
      <w:r>
        <w:rPr>
          <w:rFonts w:hint="eastAsia" w:ascii="宋体" w:hAnsi="宋体" w:cs="宋体"/>
          <w:color w:val="auto"/>
          <w:szCs w:val="21"/>
        </w:rPr>
        <w:t>“书面形式”系指纸质文件形式，不包含电子邮件、手机短信等非纸质形式。</w:t>
      </w:r>
    </w:p>
    <w:p>
      <w:pPr>
        <w:numPr>
          <w:ilvl w:val="1"/>
          <w:numId w:val="5"/>
        </w:numPr>
        <w:autoSpaceDE w:val="0"/>
        <w:autoSpaceDN w:val="0"/>
        <w:adjustRightInd w:val="0"/>
        <w:snapToGrid w:val="0"/>
        <w:spacing w:line="360" w:lineRule="auto"/>
        <w:rPr>
          <w:rFonts w:ascii="宋体" w:hAnsi="宋体" w:cs="宋体"/>
          <w:color w:val="auto"/>
          <w:szCs w:val="21"/>
        </w:rPr>
      </w:pPr>
      <w:r>
        <w:rPr>
          <w:rFonts w:hint="eastAsia" w:ascii="宋体" w:hAnsi="宋体" w:cs="宋体"/>
          <w:color w:val="auto"/>
          <w:szCs w:val="21"/>
        </w:rPr>
        <w:t>“成交供应商”系指</w:t>
      </w:r>
      <w:r>
        <w:rPr>
          <w:rFonts w:hint="eastAsia" w:ascii="宋体" w:hAnsi="宋体"/>
          <w:color w:val="auto"/>
          <w:szCs w:val="21"/>
        </w:rPr>
        <w:t>法定程序确定并授予合同的</w:t>
      </w:r>
      <w:r>
        <w:rPr>
          <w:rFonts w:hint="eastAsia" w:ascii="宋体" w:hAnsi="宋体"/>
          <w:color w:val="auto"/>
        </w:rPr>
        <w:t>供应商</w:t>
      </w:r>
      <w:r>
        <w:rPr>
          <w:rFonts w:hint="eastAsia" w:ascii="宋体" w:hAnsi="宋体" w:cs="宋体"/>
          <w:color w:val="auto"/>
          <w:szCs w:val="21"/>
        </w:rPr>
        <w:t>。</w:t>
      </w:r>
    </w:p>
    <w:p>
      <w:pPr>
        <w:numPr>
          <w:ilvl w:val="1"/>
          <w:numId w:val="5"/>
        </w:numPr>
        <w:autoSpaceDE w:val="0"/>
        <w:autoSpaceDN w:val="0"/>
        <w:adjustRightInd w:val="0"/>
        <w:snapToGrid w:val="0"/>
        <w:spacing w:line="360" w:lineRule="auto"/>
        <w:rPr>
          <w:rFonts w:ascii="宋体" w:hAnsi="宋体" w:cs="宋体"/>
          <w:color w:val="auto"/>
          <w:szCs w:val="21"/>
        </w:rPr>
      </w:pPr>
      <w:r>
        <w:rPr>
          <w:rFonts w:hint="eastAsia" w:ascii="宋体" w:hAnsi="宋体" w:cs="宋体"/>
          <w:color w:val="auto"/>
          <w:szCs w:val="21"/>
        </w:rPr>
        <w:t>“实质性响应”系指符合竞争性磋商文件的所有要求、条款、条件和规定，且没有不利于项目实施质量效果和服务保障的重大偏离或保留。</w:t>
      </w:r>
    </w:p>
    <w:p>
      <w:pPr>
        <w:numPr>
          <w:ilvl w:val="1"/>
          <w:numId w:val="5"/>
        </w:numPr>
        <w:autoSpaceDE w:val="0"/>
        <w:autoSpaceDN w:val="0"/>
        <w:adjustRightInd w:val="0"/>
        <w:snapToGrid w:val="0"/>
        <w:spacing w:line="360" w:lineRule="auto"/>
        <w:rPr>
          <w:rFonts w:ascii="宋体" w:hAnsi="宋体" w:cs="宋体"/>
          <w:color w:val="auto"/>
          <w:szCs w:val="21"/>
        </w:rPr>
      </w:pPr>
      <w:r>
        <w:rPr>
          <w:rFonts w:hint="eastAsia" w:ascii="宋体" w:hAnsi="宋体" w:cs="宋体"/>
          <w:color w:val="auto"/>
          <w:szCs w:val="21"/>
        </w:rPr>
        <w:t>“重大偏离或保留”系指影响到竞争性磋商文件规定的范围、质量和性能或限制了采购人的权力和</w:t>
      </w:r>
      <w:r>
        <w:rPr>
          <w:rFonts w:hint="eastAsia" w:ascii="宋体" w:hAnsi="宋体"/>
          <w:color w:val="auto"/>
        </w:rPr>
        <w:t>供应商</w:t>
      </w:r>
      <w:r>
        <w:rPr>
          <w:rFonts w:hint="eastAsia" w:ascii="宋体" w:hAnsi="宋体" w:cs="宋体"/>
          <w:color w:val="auto"/>
          <w:szCs w:val="21"/>
        </w:rPr>
        <w:t>义务的规定，而纠正这些偏离将影响到其它</w:t>
      </w:r>
      <w:r>
        <w:rPr>
          <w:rFonts w:hint="eastAsia" w:ascii="宋体" w:hAnsi="宋体"/>
          <w:color w:val="auto"/>
        </w:rPr>
        <w:t>供应商</w:t>
      </w:r>
      <w:r>
        <w:rPr>
          <w:rFonts w:hint="eastAsia" w:ascii="宋体" w:hAnsi="宋体" w:cs="宋体"/>
          <w:color w:val="auto"/>
          <w:szCs w:val="21"/>
        </w:rPr>
        <w:t>的公平竞争地位。</w:t>
      </w:r>
    </w:p>
    <w:p>
      <w:pPr>
        <w:numPr>
          <w:ilvl w:val="1"/>
          <w:numId w:val="5"/>
        </w:numPr>
        <w:autoSpaceDE w:val="0"/>
        <w:autoSpaceDN w:val="0"/>
        <w:adjustRightInd w:val="0"/>
        <w:snapToGrid w:val="0"/>
        <w:spacing w:line="360" w:lineRule="auto"/>
        <w:rPr>
          <w:rFonts w:ascii="宋体" w:hAnsi="宋体" w:cs="宋体"/>
          <w:color w:val="auto"/>
          <w:szCs w:val="21"/>
        </w:rPr>
      </w:pPr>
      <w:r>
        <w:rPr>
          <w:rFonts w:hint="eastAsia" w:ascii="宋体" w:hAnsi="宋体" w:cs="宋体"/>
          <w:color w:val="auto"/>
          <w:szCs w:val="21"/>
        </w:rPr>
        <w:t>竞争性磋商文件中的标题或题名仅起引导作用，而不应该作为对竞争性磋商文件内容的理解或解释。</w:t>
      </w:r>
    </w:p>
    <w:p>
      <w:pPr>
        <w:numPr>
          <w:ilvl w:val="0"/>
          <w:numId w:val="5"/>
        </w:numPr>
        <w:autoSpaceDE w:val="0"/>
        <w:autoSpaceDN w:val="0"/>
        <w:adjustRightInd w:val="0"/>
        <w:snapToGrid w:val="0"/>
        <w:spacing w:line="360" w:lineRule="auto"/>
        <w:outlineLvl w:val="0"/>
        <w:rPr>
          <w:rFonts w:ascii="宋体" w:hAnsi="宋体"/>
          <w:b/>
          <w:bCs/>
          <w:color w:val="auto"/>
          <w:sz w:val="24"/>
        </w:rPr>
      </w:pPr>
      <w:bookmarkStart w:id="55" w:name="_Toc315793453"/>
      <w:bookmarkStart w:id="56" w:name="_Toc322680345"/>
      <w:bookmarkStart w:id="57" w:name="_Toc323110978"/>
      <w:bookmarkStart w:id="58" w:name="_Toc363737685"/>
      <w:bookmarkStart w:id="59" w:name="_Toc320515019"/>
      <w:bookmarkStart w:id="60" w:name="_Toc320515068"/>
      <w:bookmarkStart w:id="61" w:name="_Toc475104471"/>
      <w:r>
        <w:rPr>
          <w:rFonts w:hint="eastAsia" w:ascii="宋体" w:hAnsi="宋体"/>
          <w:b/>
          <w:bCs/>
          <w:color w:val="auto"/>
          <w:sz w:val="24"/>
        </w:rPr>
        <w:t>合格的</w:t>
      </w:r>
      <w:bookmarkEnd w:id="55"/>
      <w:bookmarkEnd w:id="56"/>
      <w:bookmarkEnd w:id="57"/>
      <w:bookmarkEnd w:id="58"/>
      <w:bookmarkEnd w:id="59"/>
      <w:bookmarkEnd w:id="60"/>
      <w:bookmarkEnd w:id="61"/>
      <w:r>
        <w:rPr>
          <w:rFonts w:hint="eastAsia" w:ascii="宋体" w:hAnsi="宋体"/>
          <w:b/>
          <w:bCs/>
          <w:color w:val="auto"/>
          <w:sz w:val="24"/>
        </w:rPr>
        <w:t>供应商</w:t>
      </w:r>
    </w:p>
    <w:p>
      <w:pPr>
        <w:numPr>
          <w:ilvl w:val="1"/>
          <w:numId w:val="5"/>
        </w:numPr>
        <w:autoSpaceDE w:val="0"/>
        <w:autoSpaceDN w:val="0"/>
        <w:adjustRightInd w:val="0"/>
        <w:snapToGrid w:val="0"/>
        <w:spacing w:line="360" w:lineRule="auto"/>
        <w:jc w:val="left"/>
        <w:rPr>
          <w:rFonts w:ascii="宋体" w:hAnsi="宋体" w:cs="宋体"/>
          <w:color w:val="auto"/>
          <w:szCs w:val="21"/>
        </w:rPr>
      </w:pPr>
      <w:r>
        <w:rPr>
          <w:rFonts w:hint="eastAsia" w:ascii="宋体" w:hAnsi="宋体"/>
          <w:color w:val="auto"/>
        </w:rPr>
        <w:t>供应商</w:t>
      </w:r>
      <w:r>
        <w:rPr>
          <w:rFonts w:hint="eastAsia" w:ascii="宋体" w:hAnsi="宋体"/>
          <w:color w:val="auto"/>
          <w:szCs w:val="21"/>
        </w:rPr>
        <w:t>是响应磋商并且符合竞争性磋商文件规定资格条件和参加</w:t>
      </w:r>
      <w:r>
        <w:rPr>
          <w:rFonts w:hint="eastAsia" w:ascii="宋体" w:hAnsi="宋体"/>
          <w:color w:val="auto"/>
        </w:rPr>
        <w:t>磋商</w:t>
      </w:r>
      <w:r>
        <w:rPr>
          <w:rFonts w:hint="eastAsia" w:ascii="宋体" w:hAnsi="宋体"/>
          <w:color w:val="auto"/>
          <w:szCs w:val="21"/>
        </w:rPr>
        <w:t>竞争的法人、其他组织或者自然人。</w:t>
      </w:r>
    </w:p>
    <w:p>
      <w:pPr>
        <w:numPr>
          <w:ilvl w:val="1"/>
          <w:numId w:val="5"/>
        </w:numPr>
        <w:autoSpaceDE w:val="0"/>
        <w:autoSpaceDN w:val="0"/>
        <w:adjustRightInd w:val="0"/>
        <w:snapToGrid w:val="0"/>
        <w:spacing w:line="360" w:lineRule="auto"/>
        <w:jc w:val="left"/>
        <w:rPr>
          <w:rFonts w:ascii="宋体" w:hAnsi="宋体" w:cs="宋体"/>
          <w:color w:val="auto"/>
          <w:szCs w:val="21"/>
          <w:lang w:eastAsia="zh-TW"/>
        </w:rPr>
      </w:pPr>
      <w:r>
        <w:rPr>
          <w:rFonts w:hint="eastAsia" w:ascii="宋体" w:hAnsi="宋体" w:cs="宋体"/>
          <w:color w:val="auto"/>
          <w:szCs w:val="21"/>
          <w:lang w:eastAsia="zh-TW"/>
        </w:rPr>
        <w:t>合格的</w:t>
      </w:r>
      <w:r>
        <w:rPr>
          <w:rFonts w:hint="eastAsia" w:ascii="宋体" w:hAnsi="宋体"/>
          <w:color w:val="auto"/>
        </w:rPr>
        <w:t>供应商</w:t>
      </w:r>
    </w:p>
    <w:p>
      <w:pPr>
        <w:numPr>
          <w:ilvl w:val="2"/>
          <w:numId w:val="5"/>
        </w:numPr>
        <w:tabs>
          <w:tab w:val="left" w:pos="851"/>
        </w:tabs>
        <w:autoSpaceDE w:val="0"/>
        <w:autoSpaceDN w:val="0"/>
        <w:adjustRightInd w:val="0"/>
        <w:snapToGrid w:val="0"/>
        <w:spacing w:line="360" w:lineRule="auto"/>
        <w:jc w:val="left"/>
        <w:rPr>
          <w:rFonts w:ascii="宋体" w:hAnsi="宋体"/>
          <w:color w:val="auto"/>
          <w:szCs w:val="21"/>
        </w:rPr>
      </w:pPr>
      <w:r>
        <w:rPr>
          <w:rFonts w:hint="eastAsia" w:ascii="宋体" w:hAnsi="宋体"/>
          <w:color w:val="auto"/>
          <w:szCs w:val="21"/>
        </w:rPr>
        <w:t>具备《政府采购法》第二十二条</w:t>
      </w:r>
      <w:r>
        <w:rPr>
          <w:rFonts w:hint="eastAsia" w:ascii="宋体" w:hAnsi="宋体"/>
          <w:bCs/>
          <w:color w:val="auto"/>
        </w:rPr>
        <w:t>供应商</w:t>
      </w:r>
      <w:r>
        <w:rPr>
          <w:rFonts w:hint="eastAsia" w:ascii="宋体" w:hAnsi="宋体"/>
          <w:color w:val="auto"/>
          <w:szCs w:val="21"/>
        </w:rPr>
        <w:t>资格条件</w:t>
      </w:r>
      <w:r>
        <w:rPr>
          <w:rFonts w:ascii="宋体" w:hAnsi="宋体"/>
          <w:color w:val="auto"/>
          <w:szCs w:val="21"/>
        </w:rPr>
        <w:t>。</w:t>
      </w:r>
    </w:p>
    <w:p>
      <w:pPr>
        <w:numPr>
          <w:ilvl w:val="2"/>
          <w:numId w:val="5"/>
        </w:numPr>
        <w:tabs>
          <w:tab w:val="left" w:pos="851"/>
        </w:tabs>
        <w:autoSpaceDE w:val="0"/>
        <w:autoSpaceDN w:val="0"/>
        <w:adjustRightInd w:val="0"/>
        <w:snapToGrid w:val="0"/>
        <w:spacing w:line="360" w:lineRule="auto"/>
        <w:jc w:val="left"/>
        <w:rPr>
          <w:rFonts w:ascii="宋体" w:hAnsi="宋体"/>
          <w:color w:val="auto"/>
          <w:szCs w:val="21"/>
        </w:rPr>
      </w:pPr>
      <w:r>
        <w:rPr>
          <w:rFonts w:ascii="宋体" w:hAnsi="宋体"/>
          <w:color w:val="auto"/>
          <w:szCs w:val="21"/>
        </w:rPr>
        <w:t>具有</w:t>
      </w:r>
      <w:r>
        <w:rPr>
          <w:rFonts w:hint="eastAsia" w:ascii="宋体" w:hAnsi="宋体"/>
          <w:color w:val="auto"/>
          <w:szCs w:val="21"/>
        </w:rPr>
        <w:t>独立承担民事责任的能力。</w:t>
      </w:r>
    </w:p>
    <w:p>
      <w:pPr>
        <w:numPr>
          <w:ilvl w:val="2"/>
          <w:numId w:val="5"/>
        </w:numPr>
        <w:tabs>
          <w:tab w:val="left" w:pos="426"/>
          <w:tab w:val="left" w:pos="720"/>
          <w:tab w:val="clear" w:pos="709"/>
        </w:tabs>
        <w:autoSpaceDE w:val="0"/>
        <w:autoSpaceDN w:val="0"/>
        <w:adjustRightInd w:val="0"/>
        <w:snapToGrid w:val="0"/>
        <w:spacing w:line="360" w:lineRule="auto"/>
        <w:rPr>
          <w:rFonts w:ascii="宋体" w:hAnsi="宋体"/>
          <w:color w:val="auto"/>
        </w:rPr>
      </w:pPr>
      <w:r>
        <w:rPr>
          <w:rFonts w:hint="eastAsia" w:ascii="宋体" w:hAnsi="宋体"/>
          <w:color w:val="auto"/>
        </w:rPr>
        <w:t>具有良好的商业信誉和健全的财务会计制度。</w:t>
      </w:r>
    </w:p>
    <w:p>
      <w:pPr>
        <w:numPr>
          <w:ilvl w:val="2"/>
          <w:numId w:val="5"/>
        </w:numPr>
        <w:tabs>
          <w:tab w:val="left" w:pos="426"/>
          <w:tab w:val="left" w:pos="720"/>
          <w:tab w:val="clear" w:pos="709"/>
        </w:tabs>
        <w:autoSpaceDE w:val="0"/>
        <w:autoSpaceDN w:val="0"/>
        <w:adjustRightInd w:val="0"/>
        <w:snapToGrid w:val="0"/>
        <w:spacing w:line="360" w:lineRule="auto"/>
        <w:rPr>
          <w:rFonts w:ascii="宋体" w:hAnsi="宋体"/>
          <w:color w:val="auto"/>
        </w:rPr>
      </w:pPr>
      <w:r>
        <w:rPr>
          <w:rFonts w:hint="eastAsia" w:ascii="宋体" w:hAnsi="宋体"/>
          <w:color w:val="auto"/>
        </w:rPr>
        <w:t>具有履行合同所必需的设备和专业技术能力。</w:t>
      </w:r>
    </w:p>
    <w:p>
      <w:pPr>
        <w:numPr>
          <w:ilvl w:val="2"/>
          <w:numId w:val="5"/>
        </w:numPr>
        <w:tabs>
          <w:tab w:val="left" w:pos="426"/>
          <w:tab w:val="left" w:pos="720"/>
          <w:tab w:val="clear" w:pos="709"/>
        </w:tabs>
        <w:autoSpaceDE w:val="0"/>
        <w:autoSpaceDN w:val="0"/>
        <w:adjustRightInd w:val="0"/>
        <w:snapToGrid w:val="0"/>
        <w:spacing w:line="360" w:lineRule="auto"/>
        <w:rPr>
          <w:rFonts w:ascii="宋体" w:hAnsi="宋体"/>
          <w:color w:val="auto"/>
        </w:rPr>
      </w:pPr>
      <w:r>
        <w:rPr>
          <w:rFonts w:hint="eastAsia" w:ascii="宋体" w:hAnsi="宋体"/>
          <w:color w:val="auto"/>
        </w:rPr>
        <w:t>有依法缴纳税收和社会保障资金的良好记录。</w:t>
      </w:r>
    </w:p>
    <w:p>
      <w:pPr>
        <w:numPr>
          <w:ilvl w:val="2"/>
          <w:numId w:val="5"/>
        </w:numPr>
        <w:tabs>
          <w:tab w:val="left" w:pos="426"/>
          <w:tab w:val="left" w:pos="720"/>
          <w:tab w:val="clear" w:pos="709"/>
        </w:tabs>
        <w:autoSpaceDE w:val="0"/>
        <w:autoSpaceDN w:val="0"/>
        <w:adjustRightInd w:val="0"/>
        <w:snapToGrid w:val="0"/>
        <w:spacing w:line="360" w:lineRule="auto"/>
        <w:rPr>
          <w:rFonts w:ascii="宋体" w:hAnsi="宋体"/>
          <w:color w:val="auto"/>
        </w:rPr>
      </w:pPr>
      <w:r>
        <w:rPr>
          <w:rFonts w:hint="eastAsia" w:ascii="宋体" w:hAnsi="宋体"/>
          <w:color w:val="auto"/>
        </w:rPr>
        <w:t>参加政府采购活动前三年内，在经营活动中没有重大违法记录。</w:t>
      </w:r>
    </w:p>
    <w:p>
      <w:pPr>
        <w:numPr>
          <w:ilvl w:val="2"/>
          <w:numId w:val="5"/>
        </w:numPr>
        <w:tabs>
          <w:tab w:val="left" w:pos="426"/>
          <w:tab w:val="left" w:pos="720"/>
          <w:tab w:val="clear" w:pos="709"/>
        </w:tabs>
        <w:autoSpaceDE w:val="0"/>
        <w:autoSpaceDN w:val="0"/>
        <w:adjustRightInd w:val="0"/>
        <w:snapToGrid w:val="0"/>
        <w:spacing w:line="360" w:lineRule="auto"/>
        <w:rPr>
          <w:rFonts w:ascii="宋体" w:hAnsi="宋体"/>
          <w:color w:val="auto"/>
        </w:rPr>
      </w:pPr>
      <w:r>
        <w:rPr>
          <w:rFonts w:hint="eastAsia" w:ascii="宋体" w:hAnsi="宋体"/>
          <w:color w:val="auto"/>
        </w:rPr>
        <w:t>法律、行政法规规定的其他条件。</w:t>
      </w:r>
    </w:p>
    <w:p>
      <w:pPr>
        <w:numPr>
          <w:ilvl w:val="2"/>
          <w:numId w:val="5"/>
        </w:numPr>
        <w:tabs>
          <w:tab w:val="left" w:pos="851"/>
        </w:tabs>
        <w:autoSpaceDE w:val="0"/>
        <w:autoSpaceDN w:val="0"/>
        <w:adjustRightInd w:val="0"/>
        <w:snapToGrid w:val="0"/>
        <w:spacing w:line="360" w:lineRule="auto"/>
        <w:jc w:val="left"/>
        <w:rPr>
          <w:rFonts w:ascii="宋体" w:hAnsi="宋体"/>
          <w:color w:val="auto"/>
          <w:szCs w:val="21"/>
        </w:rPr>
      </w:pPr>
      <w:r>
        <w:rPr>
          <w:rFonts w:hint="eastAsia" w:ascii="宋体" w:hAnsi="宋体"/>
          <w:color w:val="auto"/>
          <w:szCs w:val="21"/>
        </w:rPr>
        <w:t>符合</w:t>
      </w:r>
      <w:r>
        <w:rPr>
          <w:rFonts w:hint="eastAsia" w:ascii="宋体" w:hAnsi="宋体" w:cs="黑体"/>
          <w:color w:val="auto"/>
          <w:szCs w:val="21"/>
        </w:rPr>
        <w:t>竞争性</w:t>
      </w:r>
      <w:r>
        <w:rPr>
          <w:rFonts w:hint="eastAsia" w:ascii="宋体" w:hAnsi="宋体"/>
          <w:color w:val="auto"/>
        </w:rPr>
        <w:t>磋商</w:t>
      </w:r>
      <w:r>
        <w:rPr>
          <w:rFonts w:hint="eastAsia" w:ascii="宋体" w:hAnsi="宋体" w:cs="黑体"/>
          <w:color w:val="auto"/>
          <w:szCs w:val="21"/>
        </w:rPr>
        <w:t>邀请“供应商资格”要求</w:t>
      </w:r>
      <w:r>
        <w:rPr>
          <w:rFonts w:hint="eastAsia" w:ascii="宋体" w:hAnsi="宋体"/>
          <w:color w:val="auto"/>
          <w:szCs w:val="21"/>
        </w:rPr>
        <w:t>的特殊条款</w:t>
      </w:r>
      <w:r>
        <w:rPr>
          <w:rFonts w:hint="eastAsia" w:ascii="宋体" w:hAnsi="宋体" w:cs="黑体"/>
          <w:color w:val="auto"/>
          <w:szCs w:val="21"/>
        </w:rPr>
        <w:t>。</w:t>
      </w:r>
    </w:p>
    <w:p>
      <w:pPr>
        <w:numPr>
          <w:ilvl w:val="1"/>
          <w:numId w:val="5"/>
        </w:numPr>
        <w:autoSpaceDE w:val="0"/>
        <w:autoSpaceDN w:val="0"/>
        <w:adjustRightInd w:val="0"/>
        <w:snapToGrid w:val="0"/>
        <w:spacing w:line="360" w:lineRule="auto"/>
        <w:jc w:val="left"/>
        <w:rPr>
          <w:rFonts w:ascii="宋体" w:hAnsi="宋体"/>
          <w:color w:val="auto"/>
          <w:szCs w:val="21"/>
        </w:rPr>
      </w:pPr>
      <w:r>
        <w:rPr>
          <w:rFonts w:hint="eastAsia" w:ascii="宋体" w:hAnsi="宋体"/>
          <w:color w:val="auto"/>
          <w:szCs w:val="21"/>
        </w:rPr>
        <w:t>不得参与本采购项目竞争的</w:t>
      </w:r>
      <w:r>
        <w:rPr>
          <w:rFonts w:hint="eastAsia" w:ascii="宋体" w:hAnsi="宋体"/>
          <w:color w:val="auto"/>
        </w:rPr>
        <w:t>供应商</w:t>
      </w:r>
    </w:p>
    <w:p>
      <w:pPr>
        <w:snapToGrid w:val="0"/>
        <w:spacing w:line="360" w:lineRule="auto"/>
        <w:ind w:left="546" w:leftChars="260"/>
        <w:rPr>
          <w:rFonts w:ascii="宋体" w:hAnsi="宋体"/>
          <w:color w:val="auto"/>
          <w:szCs w:val="21"/>
        </w:rPr>
      </w:pPr>
      <w:r>
        <w:rPr>
          <w:rFonts w:hint="eastAsia" w:ascii="宋体" w:hAnsi="宋体"/>
          <w:color w:val="auto"/>
          <w:szCs w:val="21"/>
        </w:rPr>
        <w:t>除联合体外（如允许），不同的</w:t>
      </w:r>
      <w:r>
        <w:rPr>
          <w:rFonts w:hint="eastAsia" w:ascii="宋体" w:hAnsi="宋体"/>
          <w:color w:val="auto"/>
        </w:rPr>
        <w:t>供应商</w:t>
      </w:r>
      <w:r>
        <w:rPr>
          <w:rFonts w:hint="eastAsia" w:ascii="宋体" w:hAnsi="宋体"/>
          <w:color w:val="auto"/>
          <w:szCs w:val="21"/>
        </w:rPr>
        <w:t>之间有下列情形之一的，不接受同时参与本采购项目竞争的</w:t>
      </w:r>
      <w:r>
        <w:rPr>
          <w:rFonts w:hint="eastAsia" w:ascii="宋体" w:hAnsi="宋体"/>
          <w:color w:val="auto"/>
        </w:rPr>
        <w:t>供应商</w:t>
      </w:r>
      <w:r>
        <w:rPr>
          <w:rFonts w:hint="eastAsia" w:ascii="宋体" w:hAnsi="宋体"/>
          <w:color w:val="auto"/>
          <w:szCs w:val="21"/>
        </w:rPr>
        <w:t>：</w:t>
      </w:r>
    </w:p>
    <w:p>
      <w:pPr>
        <w:numPr>
          <w:ilvl w:val="2"/>
          <w:numId w:val="5"/>
        </w:numPr>
        <w:tabs>
          <w:tab w:val="left" w:pos="851"/>
        </w:tabs>
        <w:autoSpaceDE w:val="0"/>
        <w:autoSpaceDN w:val="0"/>
        <w:adjustRightInd w:val="0"/>
        <w:snapToGrid w:val="0"/>
        <w:spacing w:line="360" w:lineRule="auto"/>
        <w:jc w:val="left"/>
        <w:rPr>
          <w:rFonts w:ascii="宋体" w:hAnsi="宋体"/>
          <w:color w:val="auto"/>
          <w:szCs w:val="21"/>
        </w:rPr>
      </w:pPr>
      <w:r>
        <w:rPr>
          <w:rFonts w:hint="eastAsia" w:ascii="宋体" w:hAnsi="宋体"/>
          <w:color w:val="auto"/>
          <w:szCs w:val="21"/>
        </w:rPr>
        <w:t>彼此存在投资与被投资关系的。</w:t>
      </w:r>
    </w:p>
    <w:p>
      <w:pPr>
        <w:numPr>
          <w:ilvl w:val="2"/>
          <w:numId w:val="5"/>
        </w:numPr>
        <w:tabs>
          <w:tab w:val="left" w:pos="851"/>
        </w:tabs>
        <w:autoSpaceDE w:val="0"/>
        <w:autoSpaceDN w:val="0"/>
        <w:adjustRightInd w:val="0"/>
        <w:snapToGrid w:val="0"/>
        <w:spacing w:line="360" w:lineRule="auto"/>
        <w:jc w:val="left"/>
        <w:rPr>
          <w:rFonts w:ascii="宋体" w:hAnsi="宋体"/>
          <w:color w:val="auto"/>
          <w:szCs w:val="21"/>
        </w:rPr>
      </w:pPr>
      <w:r>
        <w:rPr>
          <w:rFonts w:hint="eastAsia" w:ascii="宋体" w:hAnsi="宋体"/>
          <w:color w:val="auto"/>
          <w:szCs w:val="21"/>
        </w:rPr>
        <w:t>彼此的经营者、董事会（或同类管理机构）成员属于直系亲属或配偶关系的。</w:t>
      </w:r>
    </w:p>
    <w:p>
      <w:pPr>
        <w:numPr>
          <w:ilvl w:val="2"/>
          <w:numId w:val="5"/>
        </w:numPr>
        <w:tabs>
          <w:tab w:val="left" w:pos="851"/>
        </w:tabs>
        <w:autoSpaceDE w:val="0"/>
        <w:autoSpaceDN w:val="0"/>
        <w:adjustRightInd w:val="0"/>
        <w:snapToGrid w:val="0"/>
        <w:spacing w:line="360" w:lineRule="auto"/>
        <w:jc w:val="left"/>
        <w:rPr>
          <w:rFonts w:ascii="宋体" w:hAnsi="宋体"/>
          <w:color w:val="auto"/>
          <w:szCs w:val="21"/>
        </w:rPr>
      </w:pPr>
      <w:r>
        <w:rPr>
          <w:rFonts w:hint="eastAsia" w:ascii="宋体" w:hAnsi="宋体"/>
          <w:color w:val="auto"/>
          <w:szCs w:val="21"/>
        </w:rPr>
        <w:t>法定代表人或单位负责人为同一人或者存在控股、管理关系的不同单位，不接受作为参与同一采购项目竞争的</w:t>
      </w:r>
      <w:r>
        <w:rPr>
          <w:rFonts w:hint="eastAsia" w:ascii="宋体" w:hAnsi="宋体"/>
          <w:color w:val="auto"/>
        </w:rPr>
        <w:t>供应商</w:t>
      </w:r>
      <w:r>
        <w:rPr>
          <w:rFonts w:hint="eastAsia" w:ascii="宋体" w:hAnsi="宋体"/>
          <w:color w:val="auto"/>
          <w:szCs w:val="21"/>
        </w:rPr>
        <w:t>。</w:t>
      </w:r>
    </w:p>
    <w:p>
      <w:pPr>
        <w:numPr>
          <w:ilvl w:val="1"/>
          <w:numId w:val="5"/>
        </w:numPr>
        <w:autoSpaceDE w:val="0"/>
        <w:autoSpaceDN w:val="0"/>
        <w:adjustRightInd w:val="0"/>
        <w:snapToGrid w:val="0"/>
        <w:spacing w:line="360" w:lineRule="auto"/>
        <w:jc w:val="left"/>
        <w:rPr>
          <w:rFonts w:ascii="宋体" w:hAnsi="宋体"/>
          <w:color w:val="auto"/>
          <w:szCs w:val="21"/>
        </w:rPr>
      </w:pPr>
      <w:r>
        <w:rPr>
          <w:rFonts w:hint="eastAsia" w:ascii="宋体" w:hAnsi="宋体"/>
          <w:color w:val="auto"/>
          <w:szCs w:val="21"/>
        </w:rPr>
        <w:t>同一品牌同一型号的产品可由多家</w:t>
      </w:r>
      <w:r>
        <w:rPr>
          <w:rFonts w:hint="eastAsia" w:ascii="宋体" w:hAnsi="宋体"/>
          <w:color w:val="auto"/>
        </w:rPr>
        <w:t>供应商</w:t>
      </w:r>
      <w:r>
        <w:rPr>
          <w:rFonts w:hint="eastAsia" w:ascii="宋体" w:hAnsi="宋体"/>
          <w:color w:val="auto"/>
          <w:szCs w:val="21"/>
        </w:rPr>
        <w:t>参加竞争，但只作为一家</w:t>
      </w:r>
      <w:r>
        <w:rPr>
          <w:rFonts w:hint="eastAsia" w:ascii="宋体" w:hAnsi="宋体"/>
          <w:color w:val="auto"/>
        </w:rPr>
        <w:t>供应商</w:t>
      </w:r>
      <w:r>
        <w:rPr>
          <w:rFonts w:hint="eastAsia" w:ascii="宋体" w:hAnsi="宋体"/>
          <w:color w:val="auto"/>
          <w:szCs w:val="21"/>
        </w:rPr>
        <w:t>计算。同一品牌不同型号的产品由多家</w:t>
      </w:r>
      <w:r>
        <w:rPr>
          <w:rFonts w:hint="eastAsia" w:ascii="宋体" w:hAnsi="宋体"/>
          <w:color w:val="auto"/>
        </w:rPr>
        <w:t>供应商</w:t>
      </w:r>
      <w:r>
        <w:rPr>
          <w:rFonts w:hint="eastAsia" w:ascii="宋体" w:hAnsi="宋体"/>
          <w:color w:val="auto"/>
          <w:szCs w:val="21"/>
        </w:rPr>
        <w:t>参加竞争，作为不同的</w:t>
      </w:r>
      <w:r>
        <w:rPr>
          <w:rFonts w:hint="eastAsia" w:ascii="宋体" w:hAnsi="宋体"/>
          <w:color w:val="auto"/>
        </w:rPr>
        <w:t>供应商</w:t>
      </w:r>
      <w:r>
        <w:rPr>
          <w:rFonts w:hint="eastAsia" w:ascii="宋体" w:hAnsi="宋体"/>
          <w:color w:val="auto"/>
          <w:szCs w:val="21"/>
        </w:rPr>
        <w:t>计算。</w:t>
      </w:r>
    </w:p>
    <w:p>
      <w:pPr>
        <w:numPr>
          <w:ilvl w:val="0"/>
          <w:numId w:val="5"/>
        </w:numPr>
        <w:autoSpaceDE w:val="0"/>
        <w:autoSpaceDN w:val="0"/>
        <w:adjustRightInd w:val="0"/>
        <w:snapToGrid w:val="0"/>
        <w:spacing w:line="360" w:lineRule="auto"/>
        <w:outlineLvl w:val="0"/>
        <w:rPr>
          <w:rFonts w:ascii="宋体" w:hAnsi="宋体"/>
          <w:b/>
          <w:bCs/>
          <w:color w:val="auto"/>
          <w:sz w:val="24"/>
        </w:rPr>
      </w:pPr>
      <w:bookmarkStart w:id="62" w:name="_Toc333236630"/>
      <w:bookmarkStart w:id="63" w:name="_Toc363737686"/>
      <w:bookmarkStart w:id="64" w:name="_Toc475104472"/>
      <w:bookmarkStart w:id="65" w:name="_Toc315793455"/>
      <w:bookmarkStart w:id="66" w:name="_Toc322680347"/>
      <w:bookmarkStart w:id="67" w:name="_Toc323110980"/>
      <w:bookmarkStart w:id="68" w:name="_Toc320515021"/>
      <w:bookmarkStart w:id="69" w:name="_Toc320515070"/>
      <w:r>
        <w:rPr>
          <w:rFonts w:hint="eastAsia" w:ascii="宋体" w:hAnsi="宋体"/>
          <w:b/>
          <w:bCs/>
          <w:color w:val="auto"/>
          <w:sz w:val="24"/>
        </w:rPr>
        <w:t>合格的服务和货物</w:t>
      </w:r>
      <w:bookmarkEnd w:id="62"/>
      <w:bookmarkEnd w:id="63"/>
      <w:bookmarkEnd w:id="64"/>
    </w:p>
    <w:p>
      <w:pPr>
        <w:numPr>
          <w:ilvl w:val="1"/>
          <w:numId w:val="5"/>
        </w:numPr>
        <w:autoSpaceDE w:val="0"/>
        <w:autoSpaceDN w:val="0"/>
        <w:adjustRightInd w:val="0"/>
        <w:snapToGrid w:val="0"/>
        <w:spacing w:line="360" w:lineRule="auto"/>
        <w:jc w:val="left"/>
        <w:rPr>
          <w:rFonts w:ascii="宋体" w:hAnsi="宋体" w:cs="黑体"/>
          <w:bCs/>
          <w:color w:val="auto"/>
          <w:szCs w:val="21"/>
        </w:rPr>
      </w:pPr>
      <w:r>
        <w:rPr>
          <w:rFonts w:hint="eastAsia" w:ascii="宋体" w:hAnsi="宋体"/>
          <w:color w:val="auto"/>
          <w:szCs w:val="21"/>
        </w:rPr>
        <w:t>“服务” 是指</w:t>
      </w:r>
      <w:r>
        <w:rPr>
          <w:rFonts w:hint="eastAsia" w:ascii="宋体" w:hAnsi="宋体"/>
          <w:color w:val="auto"/>
        </w:rPr>
        <w:t>供应商</w:t>
      </w:r>
      <w:r>
        <w:rPr>
          <w:rFonts w:hint="eastAsia" w:ascii="宋体" w:hAnsi="宋体"/>
          <w:color w:val="auto"/>
          <w:szCs w:val="21"/>
        </w:rPr>
        <w:t>按竞争性磋商文件规定完成的全部服务内容，其中包括完成服务所需的货物，及须承担的技术支持、培训和其它伴随服务。</w:t>
      </w:r>
    </w:p>
    <w:p>
      <w:pPr>
        <w:numPr>
          <w:ilvl w:val="1"/>
          <w:numId w:val="5"/>
        </w:numPr>
        <w:autoSpaceDE w:val="0"/>
        <w:autoSpaceDN w:val="0"/>
        <w:adjustRightInd w:val="0"/>
        <w:snapToGrid w:val="0"/>
        <w:spacing w:line="360" w:lineRule="auto"/>
        <w:jc w:val="left"/>
        <w:rPr>
          <w:rFonts w:ascii="宋体" w:hAnsi="宋体" w:cs="黑体"/>
          <w:bCs/>
          <w:color w:val="auto"/>
          <w:szCs w:val="21"/>
        </w:rPr>
      </w:pPr>
      <w:r>
        <w:rPr>
          <w:rFonts w:hint="eastAsia" w:ascii="宋体" w:hAnsi="宋体"/>
          <w:color w:val="auto"/>
          <w:szCs w:val="21"/>
        </w:rPr>
        <w:t>“货物”是指</w:t>
      </w:r>
      <w:r>
        <w:rPr>
          <w:rFonts w:hint="eastAsia" w:ascii="宋体" w:hAnsi="宋体"/>
          <w:color w:val="auto"/>
        </w:rPr>
        <w:t>供应商</w:t>
      </w:r>
      <w:r>
        <w:rPr>
          <w:rFonts w:hint="eastAsia" w:ascii="宋体" w:hAnsi="宋体"/>
          <w:color w:val="auto"/>
          <w:szCs w:val="21"/>
        </w:rPr>
        <w:t>制造或组织符合竞争性磋商文件要求的货物等。提供的货物必须是其合法生产、合法来源的符合国家有关标准要求的货物，并满足竞争性磋商文件规定的规格、参数、质量、价格、有效期、售后服务等要求。</w:t>
      </w:r>
    </w:p>
    <w:p>
      <w:pPr>
        <w:numPr>
          <w:ilvl w:val="1"/>
          <w:numId w:val="5"/>
        </w:numPr>
        <w:autoSpaceDE w:val="0"/>
        <w:autoSpaceDN w:val="0"/>
        <w:adjustRightInd w:val="0"/>
        <w:snapToGrid w:val="0"/>
        <w:spacing w:line="360" w:lineRule="auto"/>
        <w:jc w:val="left"/>
        <w:rPr>
          <w:rFonts w:ascii="宋体" w:hAnsi="宋体"/>
          <w:color w:val="auto"/>
          <w:szCs w:val="21"/>
        </w:rPr>
      </w:pPr>
      <w:r>
        <w:rPr>
          <w:rFonts w:hint="eastAsia" w:ascii="宋体" w:hAnsi="宋体"/>
          <w:color w:val="auto"/>
        </w:rPr>
        <w:t>供应商</w:t>
      </w:r>
      <w:r>
        <w:rPr>
          <w:rFonts w:hint="eastAsia" w:ascii="宋体" w:hAnsi="宋体"/>
          <w:color w:val="auto"/>
          <w:szCs w:val="21"/>
        </w:rPr>
        <w:t>提供的所有服务，其质量、技术等特征必须符合国家、行业现行法律、法规的相关标准和《中华人民共和国政府采购法》的有关规定及用户需求。</w:t>
      </w:r>
    </w:p>
    <w:p>
      <w:pPr>
        <w:numPr>
          <w:ilvl w:val="1"/>
          <w:numId w:val="5"/>
        </w:numPr>
        <w:autoSpaceDE w:val="0"/>
        <w:autoSpaceDN w:val="0"/>
        <w:adjustRightInd w:val="0"/>
        <w:snapToGrid w:val="0"/>
        <w:spacing w:line="360" w:lineRule="auto"/>
        <w:jc w:val="left"/>
        <w:rPr>
          <w:rFonts w:ascii="宋体" w:hAnsi="宋体"/>
          <w:color w:val="auto"/>
          <w:szCs w:val="21"/>
        </w:rPr>
      </w:pPr>
      <w:r>
        <w:rPr>
          <w:rFonts w:hint="eastAsia" w:ascii="宋体" w:hAnsi="宋体"/>
          <w:color w:val="auto"/>
          <w:szCs w:val="21"/>
        </w:rPr>
        <w:t>采购人有权拒绝接受任何不合格的服务，由此产生的费用及相关后果均由</w:t>
      </w:r>
      <w:r>
        <w:rPr>
          <w:rFonts w:hint="eastAsia" w:ascii="宋体" w:hAnsi="宋体"/>
          <w:color w:val="auto"/>
        </w:rPr>
        <w:t>供应商</w:t>
      </w:r>
      <w:r>
        <w:rPr>
          <w:rFonts w:hint="eastAsia" w:ascii="宋体" w:hAnsi="宋体"/>
          <w:color w:val="auto"/>
          <w:szCs w:val="21"/>
        </w:rPr>
        <w:t>自行承担。</w:t>
      </w:r>
    </w:p>
    <w:p>
      <w:pPr>
        <w:numPr>
          <w:ilvl w:val="1"/>
          <w:numId w:val="5"/>
        </w:numPr>
        <w:autoSpaceDE w:val="0"/>
        <w:autoSpaceDN w:val="0"/>
        <w:adjustRightInd w:val="0"/>
        <w:snapToGrid w:val="0"/>
        <w:spacing w:line="360" w:lineRule="auto"/>
        <w:jc w:val="left"/>
        <w:rPr>
          <w:rFonts w:ascii="宋体" w:hAnsi="宋体"/>
          <w:color w:val="auto"/>
          <w:szCs w:val="21"/>
        </w:rPr>
      </w:pPr>
      <w:r>
        <w:rPr>
          <w:rFonts w:hint="eastAsia" w:ascii="宋体" w:hAnsi="宋体"/>
          <w:color w:val="auto"/>
        </w:rPr>
        <w:t>供应商</w:t>
      </w:r>
      <w:r>
        <w:rPr>
          <w:rFonts w:hint="eastAsia" w:ascii="宋体" w:hAnsi="宋体"/>
          <w:color w:val="auto"/>
          <w:szCs w:val="21"/>
        </w:rPr>
        <w:t>应保证为本项目提供的技术、服务或其任何一部分不会产生因第三方提出侵犯其专利权、商标权或其他知识产权而引起的法律和经济纠纷；如果</w:t>
      </w:r>
      <w:r>
        <w:rPr>
          <w:rFonts w:hint="eastAsia" w:ascii="宋体" w:hAnsi="宋体"/>
          <w:color w:val="auto"/>
        </w:rPr>
        <w:t>供应商</w:t>
      </w:r>
      <w:r>
        <w:rPr>
          <w:rFonts w:hint="eastAsia" w:ascii="宋体" w:hAnsi="宋体"/>
          <w:color w:val="auto"/>
          <w:szCs w:val="21"/>
        </w:rPr>
        <w:t>不拥有相应的知识产权，则须在报价中包括合法获取该知识产权的相关费用，并在响应文件中附有相关证明文件。如因第三方提出其专利权、商标权或其他知识产权的侵权之诉，则一切法律责任由</w:t>
      </w:r>
      <w:r>
        <w:rPr>
          <w:rFonts w:hint="eastAsia" w:ascii="宋体" w:hAnsi="宋体"/>
          <w:color w:val="auto"/>
        </w:rPr>
        <w:t>供应商</w:t>
      </w:r>
      <w:r>
        <w:rPr>
          <w:rFonts w:hint="eastAsia" w:ascii="宋体" w:hAnsi="宋体"/>
          <w:color w:val="auto"/>
          <w:szCs w:val="21"/>
        </w:rPr>
        <w:t>承担。</w:t>
      </w:r>
    </w:p>
    <w:p>
      <w:pPr>
        <w:numPr>
          <w:ilvl w:val="0"/>
          <w:numId w:val="5"/>
        </w:numPr>
        <w:autoSpaceDE w:val="0"/>
        <w:autoSpaceDN w:val="0"/>
        <w:adjustRightInd w:val="0"/>
        <w:snapToGrid w:val="0"/>
        <w:spacing w:line="360" w:lineRule="auto"/>
        <w:outlineLvl w:val="0"/>
        <w:rPr>
          <w:rFonts w:ascii="宋体" w:hAnsi="宋体"/>
          <w:b/>
          <w:bCs/>
          <w:color w:val="auto"/>
          <w:sz w:val="24"/>
        </w:rPr>
      </w:pPr>
      <w:bookmarkStart w:id="70" w:name="_Toc363737687"/>
      <w:bookmarkStart w:id="71" w:name="_Toc475104473"/>
      <w:r>
        <w:rPr>
          <w:rFonts w:hint="eastAsia" w:ascii="宋体" w:hAnsi="宋体"/>
          <w:b/>
          <w:bCs/>
          <w:color w:val="auto"/>
          <w:sz w:val="24"/>
        </w:rPr>
        <w:t>磋商费用</w:t>
      </w:r>
      <w:bookmarkEnd w:id="65"/>
      <w:bookmarkEnd w:id="66"/>
      <w:bookmarkEnd w:id="67"/>
      <w:bookmarkEnd w:id="68"/>
      <w:bookmarkEnd w:id="69"/>
      <w:bookmarkEnd w:id="70"/>
      <w:bookmarkEnd w:id="71"/>
    </w:p>
    <w:p>
      <w:pPr>
        <w:numPr>
          <w:ilvl w:val="1"/>
          <w:numId w:val="5"/>
        </w:numPr>
        <w:autoSpaceDE w:val="0"/>
        <w:autoSpaceDN w:val="0"/>
        <w:adjustRightInd w:val="0"/>
        <w:snapToGrid w:val="0"/>
        <w:spacing w:line="360" w:lineRule="auto"/>
        <w:jc w:val="left"/>
        <w:rPr>
          <w:rFonts w:ascii="宋体" w:hAnsi="宋体"/>
          <w:b/>
          <w:bCs/>
          <w:color w:val="auto"/>
          <w:szCs w:val="21"/>
        </w:rPr>
      </w:pPr>
      <w:bookmarkStart w:id="72" w:name="_Toc323110981"/>
      <w:bookmarkStart w:id="73" w:name="_Toc320515022"/>
      <w:bookmarkStart w:id="74" w:name="_Toc320515071"/>
      <w:bookmarkStart w:id="75" w:name="_Toc322680348"/>
      <w:bookmarkStart w:id="76" w:name="_Toc315793456"/>
      <w:r>
        <w:rPr>
          <w:rFonts w:hint="eastAsia" w:ascii="宋体" w:hAnsi="宋体"/>
          <w:color w:val="auto"/>
        </w:rPr>
        <w:t>供应商</w:t>
      </w:r>
      <w:r>
        <w:rPr>
          <w:rFonts w:hint="eastAsia" w:ascii="宋体" w:hAnsi="宋体" w:cs="宋体"/>
          <w:color w:val="auto"/>
          <w:szCs w:val="21"/>
        </w:rPr>
        <w:t>应承担所有与编写磋商</w:t>
      </w:r>
      <w:r>
        <w:rPr>
          <w:rFonts w:hint="eastAsia" w:ascii="宋体" w:hAnsi="宋体"/>
          <w:color w:val="auto"/>
        </w:rPr>
        <w:t>响应</w:t>
      </w:r>
      <w:r>
        <w:rPr>
          <w:rFonts w:hint="eastAsia" w:ascii="宋体" w:hAnsi="宋体" w:cs="宋体"/>
          <w:color w:val="auto"/>
          <w:szCs w:val="21"/>
        </w:rPr>
        <w:t>文件和参加报价的所有费用，不论磋商的结果如何，采购代理机构和采购人在任何情况下均无义务和责任承担这些费用。</w:t>
      </w:r>
      <w:bookmarkEnd w:id="72"/>
      <w:bookmarkEnd w:id="73"/>
      <w:bookmarkEnd w:id="74"/>
      <w:bookmarkEnd w:id="75"/>
    </w:p>
    <w:bookmarkEnd w:id="76"/>
    <w:p>
      <w:pPr>
        <w:numPr>
          <w:ilvl w:val="0"/>
          <w:numId w:val="4"/>
        </w:numPr>
        <w:autoSpaceDE w:val="0"/>
        <w:autoSpaceDN w:val="0"/>
        <w:adjustRightInd w:val="0"/>
        <w:snapToGrid w:val="0"/>
        <w:spacing w:beforeLines="100" w:afterLines="100" w:line="360" w:lineRule="auto"/>
        <w:ind w:left="601" w:hanging="601"/>
        <w:jc w:val="center"/>
        <w:outlineLvl w:val="0"/>
        <w:rPr>
          <w:rFonts w:ascii="宋体" w:hAnsi="宋体"/>
          <w:b/>
          <w:color w:val="auto"/>
          <w:sz w:val="28"/>
          <w:szCs w:val="28"/>
          <w:lang w:eastAsia="zh-TW"/>
        </w:rPr>
      </w:pPr>
      <w:bookmarkStart w:id="77" w:name="_Toc475104474"/>
      <w:r>
        <w:rPr>
          <w:rFonts w:hint="eastAsia" w:ascii="宋体" w:hAnsi="宋体"/>
          <w:b/>
          <w:color w:val="auto"/>
          <w:sz w:val="28"/>
          <w:szCs w:val="28"/>
          <w:lang w:eastAsia="zh-TW"/>
        </w:rPr>
        <w:t>竞争性磋商文件</w:t>
      </w:r>
      <w:bookmarkEnd w:id="77"/>
    </w:p>
    <w:p>
      <w:pPr>
        <w:numPr>
          <w:ilvl w:val="0"/>
          <w:numId w:val="5"/>
        </w:numPr>
        <w:autoSpaceDE w:val="0"/>
        <w:autoSpaceDN w:val="0"/>
        <w:adjustRightInd w:val="0"/>
        <w:snapToGrid w:val="0"/>
        <w:spacing w:line="360" w:lineRule="auto"/>
        <w:outlineLvl w:val="0"/>
        <w:rPr>
          <w:rFonts w:ascii="宋体" w:hAnsi="宋体"/>
          <w:b/>
          <w:bCs/>
          <w:color w:val="auto"/>
          <w:sz w:val="24"/>
        </w:rPr>
      </w:pPr>
      <w:bookmarkStart w:id="78" w:name="_Toc315793458"/>
      <w:bookmarkStart w:id="79" w:name="_Toc320515073"/>
      <w:bookmarkStart w:id="80" w:name="_Toc323110983"/>
      <w:bookmarkStart w:id="81" w:name="_Toc475104475"/>
      <w:bookmarkStart w:id="82" w:name="_Toc363737689"/>
      <w:bookmarkStart w:id="83" w:name="_Toc320515024"/>
      <w:bookmarkStart w:id="84" w:name="_Toc322680350"/>
      <w:r>
        <w:rPr>
          <w:rFonts w:hint="eastAsia" w:ascii="宋体" w:hAnsi="宋体"/>
          <w:b/>
          <w:bCs/>
          <w:color w:val="auto"/>
          <w:sz w:val="24"/>
        </w:rPr>
        <w:t>竞争性磋商文件的编制依据与构成</w:t>
      </w:r>
      <w:bookmarkEnd w:id="78"/>
      <w:bookmarkEnd w:id="79"/>
      <w:bookmarkEnd w:id="80"/>
      <w:bookmarkEnd w:id="81"/>
      <w:bookmarkEnd w:id="82"/>
      <w:bookmarkEnd w:id="83"/>
      <w:bookmarkEnd w:id="84"/>
    </w:p>
    <w:p>
      <w:pPr>
        <w:numPr>
          <w:ilvl w:val="1"/>
          <w:numId w:val="5"/>
        </w:numPr>
        <w:autoSpaceDE w:val="0"/>
        <w:autoSpaceDN w:val="0"/>
        <w:adjustRightInd w:val="0"/>
        <w:snapToGrid w:val="0"/>
        <w:spacing w:line="360" w:lineRule="auto"/>
        <w:jc w:val="left"/>
        <w:rPr>
          <w:rFonts w:ascii="宋体" w:hAnsi="宋体" w:cs="宋体"/>
          <w:color w:val="auto"/>
          <w:szCs w:val="21"/>
        </w:rPr>
      </w:pPr>
      <w:r>
        <w:rPr>
          <w:rFonts w:hint="eastAsia" w:ascii="宋体" w:hAnsi="宋体" w:cs="宋体"/>
          <w:color w:val="auto"/>
          <w:szCs w:val="21"/>
        </w:rPr>
        <w:t>本竞争性磋商文件的编制依据是《中华人民共和国政府采购法》、</w:t>
      </w:r>
      <w:r>
        <w:rPr>
          <w:rFonts w:hint="eastAsia" w:ascii="宋体" w:hAnsi="宋体"/>
          <w:color w:val="auto"/>
          <w:szCs w:val="21"/>
        </w:rPr>
        <w:t>中华人民共和国财政部令第74号《政府采购非招标采购方式管理办法》、中华人民共和国政府采购法实施条例、</w:t>
      </w:r>
      <w:r>
        <w:rPr>
          <w:rFonts w:hint="eastAsia" w:ascii="宋体" w:hAnsi="宋体" w:cs="宋体"/>
          <w:color w:val="auto"/>
          <w:szCs w:val="21"/>
        </w:rPr>
        <w:t>《政府采购竞争性磋商管理办法》（财库[2014]214号）和《广东省实施〈中华人民共和国政府采购法〉办法》。</w:t>
      </w:r>
    </w:p>
    <w:p>
      <w:pPr>
        <w:numPr>
          <w:ilvl w:val="1"/>
          <w:numId w:val="5"/>
        </w:numPr>
        <w:autoSpaceDE w:val="0"/>
        <w:autoSpaceDN w:val="0"/>
        <w:adjustRightInd w:val="0"/>
        <w:snapToGrid w:val="0"/>
        <w:spacing w:line="360" w:lineRule="auto"/>
        <w:jc w:val="left"/>
        <w:rPr>
          <w:rFonts w:ascii="宋体" w:hAnsi="宋体"/>
          <w:color w:val="auto"/>
          <w:szCs w:val="21"/>
        </w:rPr>
      </w:pPr>
      <w:r>
        <w:rPr>
          <w:rFonts w:hint="eastAsia" w:ascii="宋体" w:hAnsi="宋体" w:cs="宋体"/>
          <w:color w:val="auto"/>
          <w:szCs w:val="21"/>
        </w:rPr>
        <w:t>要求提供的货物或服务、采购过程和合同条件在竞争性磋商文件中均有说明。竞争性磋商文件以中文文字编写。</w:t>
      </w:r>
    </w:p>
    <w:p>
      <w:pPr>
        <w:numPr>
          <w:ilvl w:val="1"/>
          <w:numId w:val="5"/>
        </w:numPr>
        <w:spacing w:line="360" w:lineRule="auto"/>
        <w:outlineLvl w:val="3"/>
        <w:rPr>
          <w:rFonts w:ascii="宋体" w:hAnsi="宋体" w:cs="宋体"/>
          <w:color w:val="auto"/>
          <w:szCs w:val="21"/>
          <w:lang w:eastAsia="zh-TW"/>
        </w:rPr>
      </w:pPr>
      <w:r>
        <w:rPr>
          <w:rFonts w:hint="eastAsia" w:ascii="宋体" w:hAnsi="宋体" w:cs="宋体"/>
          <w:color w:val="auto"/>
          <w:szCs w:val="21"/>
          <w:lang w:eastAsia="zh-TW"/>
        </w:rPr>
        <w:t>竞争性磋商文件的组成</w:t>
      </w:r>
    </w:p>
    <w:p>
      <w:pPr>
        <w:spacing w:line="360" w:lineRule="auto"/>
        <w:ind w:firstLine="240"/>
        <w:rPr>
          <w:rFonts w:ascii="宋体" w:hAnsi="宋体"/>
          <w:color w:val="auto"/>
          <w:szCs w:val="21"/>
        </w:rPr>
      </w:pPr>
      <w:r>
        <w:rPr>
          <w:rFonts w:ascii="宋体" w:hAnsi="宋体"/>
          <w:color w:val="auto"/>
          <w:szCs w:val="21"/>
        </w:rPr>
        <w:t>（1）</w:t>
      </w:r>
      <w:r>
        <w:rPr>
          <w:rFonts w:hint="eastAsia" w:ascii="宋体" w:hAnsi="宋体"/>
          <w:color w:val="auto"/>
          <w:szCs w:val="21"/>
        </w:rPr>
        <w:t>竞争性</w:t>
      </w:r>
      <w:r>
        <w:rPr>
          <w:rFonts w:hint="eastAsia" w:ascii="宋体" w:hAnsi="宋体" w:cs="宋体"/>
          <w:color w:val="auto"/>
          <w:szCs w:val="21"/>
        </w:rPr>
        <w:t>磋商</w:t>
      </w:r>
      <w:r>
        <w:rPr>
          <w:rFonts w:hint="eastAsia" w:ascii="宋体" w:hAnsi="宋体"/>
          <w:color w:val="auto"/>
          <w:szCs w:val="21"/>
        </w:rPr>
        <w:t>邀请</w:t>
      </w:r>
    </w:p>
    <w:p>
      <w:pPr>
        <w:spacing w:line="360" w:lineRule="auto"/>
        <w:ind w:firstLine="240"/>
        <w:rPr>
          <w:rFonts w:ascii="宋体" w:hAnsi="宋体"/>
          <w:color w:val="auto"/>
          <w:szCs w:val="21"/>
        </w:rPr>
      </w:pPr>
      <w:r>
        <w:rPr>
          <w:rFonts w:ascii="宋体" w:hAnsi="宋体"/>
          <w:color w:val="auto"/>
          <w:szCs w:val="21"/>
        </w:rPr>
        <w:t>（2）</w:t>
      </w:r>
      <w:r>
        <w:rPr>
          <w:rFonts w:hint="eastAsia" w:ascii="宋体" w:hAnsi="宋体"/>
          <w:color w:val="auto"/>
          <w:szCs w:val="21"/>
        </w:rPr>
        <w:t>竞争性</w:t>
      </w:r>
      <w:r>
        <w:rPr>
          <w:rFonts w:hint="eastAsia" w:ascii="宋体" w:hAnsi="宋体" w:cs="宋体"/>
          <w:color w:val="auto"/>
          <w:szCs w:val="21"/>
        </w:rPr>
        <w:t>磋商</w:t>
      </w:r>
      <w:r>
        <w:rPr>
          <w:rFonts w:hint="eastAsia" w:ascii="宋体" w:hAnsi="宋体"/>
          <w:color w:val="auto"/>
          <w:szCs w:val="21"/>
        </w:rPr>
        <w:t>须知</w:t>
      </w:r>
    </w:p>
    <w:p>
      <w:pPr>
        <w:spacing w:line="360" w:lineRule="auto"/>
        <w:ind w:firstLine="240"/>
        <w:rPr>
          <w:rFonts w:ascii="宋体" w:hAnsi="宋体"/>
          <w:color w:val="auto"/>
          <w:szCs w:val="21"/>
        </w:rPr>
      </w:pPr>
      <w:r>
        <w:rPr>
          <w:rFonts w:ascii="宋体" w:hAnsi="宋体"/>
          <w:color w:val="auto"/>
          <w:szCs w:val="21"/>
        </w:rPr>
        <w:t>（3）</w:t>
      </w:r>
      <w:r>
        <w:rPr>
          <w:rFonts w:hint="eastAsia" w:ascii="宋体" w:hAnsi="宋体"/>
          <w:color w:val="auto"/>
          <w:szCs w:val="21"/>
        </w:rPr>
        <w:t>采购人需求书</w:t>
      </w:r>
    </w:p>
    <w:p>
      <w:pPr>
        <w:spacing w:line="360" w:lineRule="auto"/>
        <w:ind w:firstLine="240"/>
        <w:rPr>
          <w:rFonts w:ascii="宋体" w:hAnsi="宋体"/>
          <w:color w:val="auto"/>
          <w:szCs w:val="21"/>
        </w:rPr>
      </w:pPr>
      <w:r>
        <w:rPr>
          <w:rFonts w:ascii="宋体" w:hAnsi="宋体"/>
          <w:color w:val="auto"/>
          <w:szCs w:val="21"/>
        </w:rPr>
        <w:t>（4）</w:t>
      </w:r>
      <w:r>
        <w:rPr>
          <w:rFonts w:hint="eastAsia" w:ascii="宋体" w:hAnsi="宋体"/>
          <w:color w:val="auto"/>
          <w:szCs w:val="21"/>
        </w:rPr>
        <w:t>政府采购合同（样本）</w:t>
      </w:r>
    </w:p>
    <w:p>
      <w:pPr>
        <w:spacing w:line="360" w:lineRule="auto"/>
        <w:ind w:firstLine="240"/>
        <w:rPr>
          <w:rFonts w:ascii="宋体" w:hAnsi="宋体"/>
          <w:color w:val="auto"/>
          <w:szCs w:val="21"/>
        </w:rPr>
      </w:pPr>
      <w:r>
        <w:rPr>
          <w:rFonts w:hint="eastAsia" w:ascii="宋体" w:hAnsi="宋体"/>
          <w:color w:val="auto"/>
          <w:szCs w:val="21"/>
        </w:rPr>
        <w:t>（5）附件（格式）</w:t>
      </w:r>
    </w:p>
    <w:p>
      <w:pPr>
        <w:spacing w:line="360" w:lineRule="auto"/>
        <w:ind w:firstLine="240"/>
        <w:rPr>
          <w:rFonts w:ascii="宋体" w:hAnsi="宋体"/>
          <w:color w:val="auto"/>
          <w:szCs w:val="21"/>
        </w:rPr>
      </w:pPr>
      <w:r>
        <w:rPr>
          <w:rFonts w:hint="eastAsia" w:ascii="宋体" w:hAnsi="宋体"/>
          <w:color w:val="auto"/>
          <w:szCs w:val="21"/>
        </w:rPr>
        <w:t>★（6）</w:t>
      </w:r>
      <w:r>
        <w:rPr>
          <w:rFonts w:hint="eastAsia" w:ascii="宋体" w:hAnsi="宋体" w:cs="宋体"/>
          <w:color w:val="auto"/>
          <w:szCs w:val="21"/>
        </w:rPr>
        <w:t>清单报价表</w:t>
      </w:r>
      <w:r>
        <w:rPr>
          <w:rFonts w:hint="eastAsia" w:ascii="宋体" w:hAnsi="宋体"/>
          <w:color w:val="auto"/>
          <w:szCs w:val="21"/>
        </w:rPr>
        <w:t>（另册）</w:t>
      </w:r>
    </w:p>
    <w:p>
      <w:pPr>
        <w:spacing w:line="360" w:lineRule="auto"/>
        <w:ind w:firstLine="240"/>
        <w:rPr>
          <w:rFonts w:ascii="宋体" w:hAnsi="宋体"/>
          <w:color w:val="auto"/>
          <w:szCs w:val="21"/>
        </w:rPr>
      </w:pPr>
      <w:r>
        <w:rPr>
          <w:rFonts w:hint="eastAsia" w:ascii="宋体" w:hAnsi="宋体"/>
          <w:color w:val="auto"/>
          <w:szCs w:val="21"/>
        </w:rPr>
        <w:t>★投标人《</w:t>
      </w:r>
      <w:r>
        <w:rPr>
          <w:rFonts w:hint="eastAsia" w:ascii="宋体" w:hAnsi="宋体" w:cs="宋体"/>
          <w:color w:val="auto"/>
          <w:szCs w:val="21"/>
        </w:rPr>
        <w:t>清单报价表</w:t>
      </w:r>
      <w:r>
        <w:rPr>
          <w:rFonts w:hint="eastAsia" w:ascii="宋体" w:hAnsi="宋体"/>
          <w:color w:val="auto"/>
          <w:szCs w:val="21"/>
        </w:rPr>
        <w:t>》正本须用采购人提供的原件手工填写（含封面），并逐页加盖法人公章确认，投标人不得修改《</w:t>
      </w:r>
      <w:r>
        <w:rPr>
          <w:rFonts w:hint="eastAsia" w:ascii="宋体" w:hAnsi="宋体" w:cs="宋体"/>
          <w:color w:val="auto"/>
          <w:szCs w:val="21"/>
        </w:rPr>
        <w:t>清单报价表</w:t>
      </w:r>
      <w:r>
        <w:rPr>
          <w:rFonts w:hint="eastAsia" w:ascii="宋体" w:hAnsi="宋体"/>
          <w:color w:val="auto"/>
          <w:szCs w:val="21"/>
        </w:rPr>
        <w:t>》中项目内容及工程数量；副本可以采用正本复印并逐页加盖法人公章确认。</w:t>
      </w:r>
    </w:p>
    <w:p>
      <w:pPr>
        <w:numPr>
          <w:ilvl w:val="1"/>
          <w:numId w:val="5"/>
        </w:numPr>
        <w:autoSpaceDE w:val="0"/>
        <w:autoSpaceDN w:val="0"/>
        <w:adjustRightInd w:val="0"/>
        <w:snapToGrid w:val="0"/>
        <w:spacing w:line="360" w:lineRule="auto"/>
        <w:jc w:val="left"/>
        <w:rPr>
          <w:rFonts w:ascii="宋体" w:hAnsi="宋体" w:cs="宋体"/>
          <w:color w:val="auto"/>
          <w:szCs w:val="21"/>
        </w:rPr>
      </w:pPr>
      <w:r>
        <w:rPr>
          <w:rFonts w:hint="eastAsia" w:ascii="宋体" w:hAnsi="宋体"/>
          <w:color w:val="auto"/>
        </w:rPr>
        <w:t>供应商</w:t>
      </w:r>
      <w:r>
        <w:rPr>
          <w:rFonts w:hint="eastAsia" w:ascii="宋体" w:hAnsi="宋体" w:cs="宋体"/>
          <w:color w:val="auto"/>
          <w:szCs w:val="21"/>
        </w:rPr>
        <w:t>应认真阅读、并充分理解竞争性磋商文件的全部内容（包括所有的补充、修改内容、重要事项、格式、条款和技术规范、参数及要求等）。</w:t>
      </w:r>
      <w:r>
        <w:rPr>
          <w:rFonts w:hint="eastAsia" w:ascii="宋体" w:hAnsi="宋体"/>
          <w:color w:val="auto"/>
        </w:rPr>
        <w:t>供应商</w:t>
      </w:r>
      <w:r>
        <w:rPr>
          <w:rFonts w:hint="eastAsia" w:ascii="宋体" w:hAnsi="宋体" w:cs="宋体"/>
          <w:color w:val="auto"/>
          <w:szCs w:val="21"/>
        </w:rPr>
        <w:t>没有按照竞争性磋商文件要求提交全部资料，或者磋商响应文件没有对竞争性磋商文件在各方面都作出实质性响应是</w:t>
      </w:r>
      <w:r>
        <w:rPr>
          <w:rFonts w:hint="eastAsia" w:ascii="宋体" w:hAnsi="宋体"/>
          <w:color w:val="auto"/>
        </w:rPr>
        <w:t>供应商</w:t>
      </w:r>
      <w:r>
        <w:rPr>
          <w:rFonts w:hint="eastAsia" w:ascii="宋体" w:hAnsi="宋体" w:cs="宋体"/>
          <w:color w:val="auto"/>
          <w:szCs w:val="21"/>
        </w:rPr>
        <w:t>的风险，有可能导致其报价被拒绝，或被认定为无效响应。</w:t>
      </w:r>
    </w:p>
    <w:p>
      <w:pPr>
        <w:numPr>
          <w:ilvl w:val="0"/>
          <w:numId w:val="5"/>
        </w:numPr>
        <w:autoSpaceDE w:val="0"/>
        <w:autoSpaceDN w:val="0"/>
        <w:adjustRightInd w:val="0"/>
        <w:snapToGrid w:val="0"/>
        <w:spacing w:line="360" w:lineRule="auto"/>
        <w:outlineLvl w:val="0"/>
        <w:rPr>
          <w:rFonts w:ascii="宋体" w:hAnsi="宋体"/>
          <w:b/>
          <w:bCs/>
          <w:color w:val="auto"/>
          <w:sz w:val="24"/>
        </w:rPr>
      </w:pPr>
      <w:bookmarkStart w:id="85" w:name="_Toc315793459"/>
      <w:bookmarkStart w:id="86" w:name="_Toc320515074"/>
      <w:bookmarkStart w:id="87" w:name="_Toc363737690"/>
      <w:bookmarkStart w:id="88" w:name="_Toc323110984"/>
      <w:bookmarkStart w:id="89" w:name="_Toc322680351"/>
      <w:bookmarkStart w:id="90" w:name="_Toc475104476"/>
      <w:bookmarkStart w:id="91" w:name="_Toc320515025"/>
      <w:r>
        <w:rPr>
          <w:rFonts w:hint="eastAsia" w:ascii="宋体" w:hAnsi="宋体"/>
          <w:b/>
          <w:bCs/>
          <w:color w:val="auto"/>
          <w:sz w:val="24"/>
        </w:rPr>
        <w:t>竞争性磋商文件的澄清</w:t>
      </w:r>
      <w:bookmarkEnd w:id="85"/>
      <w:bookmarkEnd w:id="86"/>
      <w:bookmarkEnd w:id="87"/>
      <w:bookmarkEnd w:id="88"/>
      <w:bookmarkEnd w:id="89"/>
      <w:bookmarkEnd w:id="90"/>
      <w:bookmarkEnd w:id="91"/>
    </w:p>
    <w:p>
      <w:pPr>
        <w:numPr>
          <w:ilvl w:val="1"/>
          <w:numId w:val="5"/>
        </w:numPr>
        <w:autoSpaceDE w:val="0"/>
        <w:autoSpaceDN w:val="0"/>
        <w:adjustRightInd w:val="0"/>
        <w:snapToGrid w:val="0"/>
        <w:spacing w:line="360" w:lineRule="auto"/>
        <w:jc w:val="left"/>
        <w:rPr>
          <w:rFonts w:ascii="宋体" w:hAnsi="宋体" w:cs="黑体"/>
          <w:b/>
          <w:bCs/>
          <w:color w:val="auto"/>
          <w:szCs w:val="21"/>
        </w:rPr>
      </w:pPr>
      <w:r>
        <w:rPr>
          <w:rFonts w:hint="eastAsia" w:ascii="宋体" w:hAnsi="宋体" w:cs="宋体"/>
          <w:color w:val="auto"/>
          <w:szCs w:val="21"/>
        </w:rPr>
        <w:t>任何要求对竞争性磋商文件进行澄清的</w:t>
      </w:r>
      <w:r>
        <w:rPr>
          <w:rFonts w:hint="eastAsia" w:ascii="宋体" w:hAnsi="宋体"/>
          <w:color w:val="auto"/>
        </w:rPr>
        <w:t>供应商</w:t>
      </w:r>
      <w:r>
        <w:rPr>
          <w:rFonts w:hint="eastAsia" w:ascii="宋体" w:hAnsi="宋体" w:cs="宋体"/>
          <w:color w:val="auto"/>
          <w:szCs w:val="21"/>
        </w:rPr>
        <w:t>，均应以书面形式在磋商</w:t>
      </w:r>
      <w:r>
        <w:rPr>
          <w:rFonts w:hint="eastAsia" w:ascii="宋体" w:hAnsi="宋体"/>
          <w:color w:val="auto"/>
        </w:rPr>
        <w:t>响应</w:t>
      </w:r>
      <w:r>
        <w:rPr>
          <w:rFonts w:hint="eastAsia" w:ascii="宋体" w:hAnsi="宋体" w:cs="宋体"/>
          <w:color w:val="auto"/>
          <w:szCs w:val="21"/>
        </w:rPr>
        <w:t>文件递交截止时间前通知采购代理机构。采购代理机构将组织采购人对</w:t>
      </w:r>
      <w:r>
        <w:rPr>
          <w:rFonts w:hint="eastAsia" w:ascii="宋体" w:hAnsi="宋体"/>
          <w:color w:val="auto"/>
        </w:rPr>
        <w:t>供应商</w:t>
      </w:r>
      <w:r>
        <w:rPr>
          <w:rFonts w:hint="eastAsia" w:ascii="宋体" w:hAnsi="宋体" w:cs="宋体"/>
          <w:color w:val="auto"/>
          <w:szCs w:val="21"/>
        </w:rPr>
        <w:t>所要求澄清的内容均以书面形式予以答复。必要时，采购代理机构将组织相关专家召开答疑会，并将会议内容以书面形式发给每个购买竞争性磋商文件的潜在</w:t>
      </w:r>
      <w:r>
        <w:rPr>
          <w:rFonts w:hint="eastAsia" w:ascii="宋体" w:hAnsi="宋体"/>
          <w:color w:val="auto"/>
        </w:rPr>
        <w:t>供应商</w:t>
      </w:r>
      <w:r>
        <w:rPr>
          <w:rFonts w:hint="eastAsia" w:ascii="宋体" w:hAnsi="宋体" w:cs="宋体"/>
          <w:color w:val="auto"/>
          <w:szCs w:val="21"/>
        </w:rPr>
        <w:t>，答复中不包括问题的来源。</w:t>
      </w:r>
    </w:p>
    <w:p>
      <w:pPr>
        <w:numPr>
          <w:ilvl w:val="1"/>
          <w:numId w:val="5"/>
        </w:numPr>
        <w:autoSpaceDE w:val="0"/>
        <w:autoSpaceDN w:val="0"/>
        <w:adjustRightInd w:val="0"/>
        <w:snapToGrid w:val="0"/>
        <w:spacing w:line="360" w:lineRule="auto"/>
        <w:jc w:val="left"/>
        <w:rPr>
          <w:rFonts w:ascii="宋体" w:hAnsi="宋体" w:cs="宋体"/>
          <w:color w:val="auto"/>
          <w:szCs w:val="21"/>
        </w:rPr>
      </w:pPr>
      <w:r>
        <w:rPr>
          <w:rFonts w:hint="eastAsia" w:ascii="宋体" w:hAnsi="宋体"/>
          <w:color w:val="auto"/>
        </w:rPr>
        <w:t>供应商</w:t>
      </w:r>
      <w:r>
        <w:rPr>
          <w:rFonts w:hint="eastAsia" w:ascii="宋体" w:hAnsi="宋体" w:cs="宋体"/>
          <w:color w:val="auto"/>
          <w:szCs w:val="21"/>
        </w:rPr>
        <w:t>在规定的时间内未对竞争性磋商文件提出澄清或疑问的，采购代理机构将视其为无异议。对竞争性磋商文件中描述有歧意或前后不一致的地方，磋商小组有权进行评判，但对同一条款的评判应适用于每个</w:t>
      </w:r>
      <w:r>
        <w:rPr>
          <w:rFonts w:hint="eastAsia" w:ascii="宋体" w:hAnsi="宋体"/>
          <w:color w:val="auto"/>
        </w:rPr>
        <w:t>供应商</w:t>
      </w:r>
      <w:r>
        <w:rPr>
          <w:rFonts w:hint="eastAsia" w:ascii="宋体" w:hAnsi="宋体" w:cs="宋体"/>
          <w:color w:val="auto"/>
          <w:szCs w:val="21"/>
        </w:rPr>
        <w:t>。</w:t>
      </w:r>
    </w:p>
    <w:p>
      <w:pPr>
        <w:numPr>
          <w:ilvl w:val="1"/>
          <w:numId w:val="5"/>
        </w:numPr>
        <w:autoSpaceDE w:val="0"/>
        <w:autoSpaceDN w:val="0"/>
        <w:adjustRightInd w:val="0"/>
        <w:snapToGrid w:val="0"/>
        <w:spacing w:line="360" w:lineRule="auto"/>
        <w:jc w:val="left"/>
        <w:rPr>
          <w:rFonts w:ascii="宋体" w:hAnsi="宋体" w:cs="宋体"/>
          <w:color w:val="auto"/>
          <w:szCs w:val="21"/>
        </w:rPr>
      </w:pPr>
      <w:r>
        <w:rPr>
          <w:rFonts w:hint="eastAsia" w:ascii="宋体" w:hAnsi="宋体" w:cs="宋体"/>
          <w:color w:val="auto"/>
          <w:szCs w:val="21"/>
        </w:rPr>
        <w:t>除非需要，不举行项目集中答疑会或现场考察，如举行集中答疑会或现场考察的，则按以下规定：</w:t>
      </w:r>
    </w:p>
    <w:p>
      <w:pPr>
        <w:numPr>
          <w:ilvl w:val="2"/>
          <w:numId w:val="5"/>
        </w:numPr>
        <w:tabs>
          <w:tab w:val="left" w:pos="851"/>
        </w:tabs>
        <w:autoSpaceDE w:val="0"/>
        <w:autoSpaceDN w:val="0"/>
        <w:adjustRightInd w:val="0"/>
        <w:snapToGrid w:val="0"/>
        <w:spacing w:line="360" w:lineRule="auto"/>
        <w:jc w:val="left"/>
        <w:rPr>
          <w:rFonts w:ascii="宋体" w:hAnsi="宋体" w:cs="宋体"/>
          <w:color w:val="auto"/>
          <w:szCs w:val="21"/>
        </w:rPr>
      </w:pPr>
      <w:r>
        <w:rPr>
          <w:rFonts w:hint="eastAsia" w:ascii="宋体" w:hAnsi="宋体" w:cs="宋体"/>
          <w:color w:val="auto"/>
          <w:szCs w:val="21"/>
        </w:rPr>
        <w:t>在</w:t>
      </w:r>
      <w:r>
        <w:rPr>
          <w:rFonts w:hint="eastAsia" w:ascii="宋体" w:hAnsi="宋体" w:cs="黑体"/>
          <w:color w:val="auto"/>
          <w:szCs w:val="21"/>
        </w:rPr>
        <w:t>竞争性磋商邀请</w:t>
      </w:r>
      <w:r>
        <w:rPr>
          <w:rFonts w:hint="eastAsia" w:ascii="宋体" w:hAnsi="宋体" w:cs="宋体"/>
          <w:color w:val="auto"/>
          <w:szCs w:val="21"/>
        </w:rPr>
        <w:t>中规定的日期、时间和地点组织公开答疑会或现场考察；</w:t>
      </w:r>
    </w:p>
    <w:p>
      <w:pPr>
        <w:numPr>
          <w:ilvl w:val="2"/>
          <w:numId w:val="5"/>
        </w:numPr>
        <w:tabs>
          <w:tab w:val="left" w:pos="851"/>
        </w:tabs>
        <w:autoSpaceDE w:val="0"/>
        <w:autoSpaceDN w:val="0"/>
        <w:adjustRightInd w:val="0"/>
        <w:snapToGrid w:val="0"/>
        <w:spacing w:line="360" w:lineRule="auto"/>
        <w:jc w:val="left"/>
        <w:rPr>
          <w:rFonts w:ascii="宋体" w:hAnsi="宋体" w:cs="宋体"/>
          <w:color w:val="auto"/>
          <w:szCs w:val="21"/>
        </w:rPr>
      </w:pPr>
      <w:r>
        <w:rPr>
          <w:rFonts w:hint="eastAsia" w:ascii="宋体" w:hAnsi="宋体"/>
          <w:color w:val="auto"/>
        </w:rPr>
        <w:t>供应商</w:t>
      </w:r>
      <w:r>
        <w:rPr>
          <w:rFonts w:hint="eastAsia" w:ascii="宋体" w:hAnsi="宋体" w:cs="宋体"/>
          <w:color w:val="auto"/>
          <w:szCs w:val="21"/>
        </w:rPr>
        <w:t>对本项目提出的疑问，需在答疑会或现场考察召开日前至少一个工作日将问题清单以书面形式（加盖公章）提交至政府采购代理机构，</w:t>
      </w:r>
      <w:r>
        <w:rPr>
          <w:rFonts w:hint="eastAsia" w:ascii="宋体" w:hAnsi="宋体"/>
          <w:color w:val="auto"/>
        </w:rPr>
        <w:t>供应商</w:t>
      </w:r>
      <w:r>
        <w:rPr>
          <w:rFonts w:hint="eastAsia" w:ascii="宋体" w:hAnsi="宋体" w:cs="宋体"/>
          <w:color w:val="auto"/>
          <w:szCs w:val="21"/>
        </w:rPr>
        <w:t>授权代表于上述的时间和地点出席答疑会或现场考察。</w:t>
      </w:r>
    </w:p>
    <w:p>
      <w:pPr>
        <w:numPr>
          <w:ilvl w:val="2"/>
          <w:numId w:val="5"/>
        </w:numPr>
        <w:tabs>
          <w:tab w:val="left" w:pos="851"/>
        </w:tabs>
        <w:autoSpaceDE w:val="0"/>
        <w:autoSpaceDN w:val="0"/>
        <w:adjustRightInd w:val="0"/>
        <w:snapToGrid w:val="0"/>
        <w:spacing w:line="360" w:lineRule="auto"/>
        <w:jc w:val="left"/>
        <w:rPr>
          <w:rFonts w:ascii="宋体" w:hAnsi="宋体" w:cs="宋体"/>
          <w:color w:val="auto"/>
          <w:szCs w:val="21"/>
        </w:rPr>
      </w:pPr>
      <w:r>
        <w:rPr>
          <w:rFonts w:hint="eastAsia" w:ascii="宋体" w:hAnsi="宋体" w:cs="宋体"/>
          <w:color w:val="auto"/>
          <w:szCs w:val="21"/>
        </w:rPr>
        <w:t>已购买竞争性磋商文件的</w:t>
      </w:r>
      <w:r>
        <w:rPr>
          <w:rFonts w:hint="eastAsia" w:ascii="宋体" w:hAnsi="宋体"/>
          <w:color w:val="auto"/>
        </w:rPr>
        <w:t>供应商</w:t>
      </w:r>
      <w:r>
        <w:rPr>
          <w:rFonts w:hint="eastAsia" w:ascii="宋体" w:hAnsi="宋体" w:cs="宋体"/>
          <w:color w:val="auto"/>
          <w:szCs w:val="21"/>
        </w:rPr>
        <w:t>如不出席答疑会或现场考察视为对竞争性磋商文件所有内容无任何异议。</w:t>
      </w:r>
    </w:p>
    <w:p>
      <w:pPr>
        <w:numPr>
          <w:ilvl w:val="0"/>
          <w:numId w:val="5"/>
        </w:numPr>
        <w:autoSpaceDE w:val="0"/>
        <w:autoSpaceDN w:val="0"/>
        <w:adjustRightInd w:val="0"/>
        <w:snapToGrid w:val="0"/>
        <w:spacing w:line="360" w:lineRule="auto"/>
        <w:outlineLvl w:val="0"/>
        <w:rPr>
          <w:rFonts w:ascii="宋体" w:hAnsi="宋体"/>
          <w:b/>
          <w:bCs/>
          <w:color w:val="auto"/>
          <w:sz w:val="24"/>
        </w:rPr>
      </w:pPr>
      <w:bookmarkStart w:id="92" w:name="_Toc475104477"/>
      <w:bookmarkStart w:id="93" w:name="_Toc323110985"/>
      <w:bookmarkStart w:id="94" w:name="_Toc363737691"/>
      <w:bookmarkStart w:id="95" w:name="_Toc322680352"/>
      <w:bookmarkStart w:id="96" w:name="_Toc320515075"/>
      <w:bookmarkStart w:id="97" w:name="_Toc320515026"/>
      <w:bookmarkStart w:id="98" w:name="_Toc315793460"/>
      <w:r>
        <w:rPr>
          <w:rFonts w:hint="eastAsia" w:ascii="宋体" w:hAnsi="宋体"/>
          <w:b/>
          <w:bCs/>
          <w:color w:val="auto"/>
          <w:sz w:val="24"/>
        </w:rPr>
        <w:t>竞争性磋商文件的修改</w:t>
      </w:r>
      <w:bookmarkEnd w:id="92"/>
      <w:bookmarkEnd w:id="93"/>
      <w:bookmarkEnd w:id="94"/>
      <w:bookmarkEnd w:id="95"/>
      <w:bookmarkEnd w:id="96"/>
      <w:bookmarkEnd w:id="97"/>
      <w:bookmarkEnd w:id="98"/>
    </w:p>
    <w:p>
      <w:pPr>
        <w:numPr>
          <w:ilvl w:val="1"/>
          <w:numId w:val="5"/>
        </w:numPr>
        <w:autoSpaceDE w:val="0"/>
        <w:autoSpaceDN w:val="0"/>
        <w:adjustRightInd w:val="0"/>
        <w:snapToGrid w:val="0"/>
        <w:spacing w:line="360" w:lineRule="auto"/>
        <w:jc w:val="left"/>
        <w:rPr>
          <w:rFonts w:ascii="宋体" w:hAnsi="宋体"/>
          <w:bCs/>
          <w:color w:val="auto"/>
          <w:szCs w:val="21"/>
        </w:rPr>
      </w:pPr>
      <w:r>
        <w:rPr>
          <w:rFonts w:hint="eastAsia" w:ascii="宋体" w:hAnsi="宋体" w:cs="宋体"/>
          <w:color w:val="auto"/>
          <w:szCs w:val="21"/>
        </w:rPr>
        <w:t>无论出于何种原因，采购代理机构可主动地或在解答</w:t>
      </w:r>
      <w:r>
        <w:rPr>
          <w:rFonts w:hint="eastAsia" w:ascii="宋体" w:hAnsi="宋体"/>
          <w:color w:val="auto"/>
        </w:rPr>
        <w:t>供应商</w:t>
      </w:r>
      <w:r>
        <w:rPr>
          <w:rFonts w:hint="eastAsia" w:ascii="宋体" w:hAnsi="宋体" w:cs="宋体"/>
          <w:color w:val="auto"/>
          <w:szCs w:val="21"/>
        </w:rPr>
        <w:t>提出的疑问时对竞争性磋商文件进行修改，政府采购代理机构对已发出的竞争性磋商文件进行必要修改的，应当</w:t>
      </w:r>
      <w:r>
        <w:rPr>
          <w:rFonts w:hint="eastAsia" w:ascii="宋体" w:hAnsi="宋体"/>
          <w:color w:val="auto"/>
          <w:szCs w:val="21"/>
        </w:rPr>
        <w:t>于</w:t>
      </w:r>
      <w:r>
        <w:rPr>
          <w:rFonts w:hint="eastAsia" w:ascii="宋体" w:hAnsi="宋体" w:cs="宋体"/>
          <w:color w:val="auto"/>
          <w:szCs w:val="21"/>
        </w:rPr>
        <w:t>磋商</w:t>
      </w:r>
      <w:r>
        <w:rPr>
          <w:rFonts w:hint="eastAsia" w:ascii="宋体" w:hAnsi="宋体"/>
          <w:color w:val="auto"/>
        </w:rPr>
        <w:t>响应</w:t>
      </w:r>
      <w:r>
        <w:rPr>
          <w:rFonts w:hint="eastAsia" w:ascii="宋体" w:hAnsi="宋体" w:cs="宋体"/>
          <w:color w:val="auto"/>
          <w:szCs w:val="21"/>
        </w:rPr>
        <w:t>文件递交</w:t>
      </w:r>
      <w:r>
        <w:rPr>
          <w:rFonts w:hint="eastAsia" w:ascii="宋体" w:hAnsi="宋体"/>
          <w:color w:val="auto"/>
          <w:szCs w:val="21"/>
        </w:rPr>
        <w:t>截止</w:t>
      </w:r>
      <w:r>
        <w:rPr>
          <w:rFonts w:hint="eastAsia" w:ascii="宋体" w:hAnsi="宋体" w:cs="宋体"/>
          <w:color w:val="auto"/>
          <w:szCs w:val="21"/>
        </w:rPr>
        <w:t>时间</w:t>
      </w:r>
      <w:r>
        <w:rPr>
          <w:rFonts w:hint="eastAsia" w:ascii="宋体" w:hAnsi="宋体"/>
          <w:color w:val="auto"/>
          <w:szCs w:val="21"/>
        </w:rPr>
        <w:t>前</w:t>
      </w:r>
      <w:r>
        <w:rPr>
          <w:rFonts w:hint="eastAsia" w:ascii="宋体" w:hAnsi="宋体"/>
          <w:bCs/>
          <w:color w:val="auto"/>
          <w:szCs w:val="21"/>
        </w:rPr>
        <w:t>在政府采购指定媒体上发布公告</w:t>
      </w:r>
      <w:r>
        <w:rPr>
          <w:rFonts w:ascii="宋体" w:hAnsi="宋体"/>
          <w:color w:val="auto"/>
          <w:szCs w:val="21"/>
        </w:rPr>
        <w:t>通知所有</w:t>
      </w:r>
      <w:r>
        <w:rPr>
          <w:rFonts w:hint="eastAsia" w:ascii="宋体" w:hAnsi="宋体"/>
          <w:color w:val="auto"/>
          <w:szCs w:val="21"/>
        </w:rPr>
        <w:t>已获取竞争性磋商文件的</w:t>
      </w:r>
      <w:r>
        <w:rPr>
          <w:rFonts w:hint="eastAsia" w:ascii="宋体" w:hAnsi="宋体"/>
          <w:color w:val="auto"/>
        </w:rPr>
        <w:t>供应商</w:t>
      </w:r>
      <w:r>
        <w:rPr>
          <w:rFonts w:hint="eastAsia" w:ascii="宋体" w:hAnsi="宋体"/>
          <w:bCs/>
          <w:color w:val="auto"/>
          <w:szCs w:val="21"/>
        </w:rPr>
        <w:t>，</w:t>
      </w:r>
      <w:r>
        <w:rPr>
          <w:rFonts w:hint="eastAsia" w:ascii="宋体" w:hAnsi="宋体"/>
          <w:color w:val="auto"/>
        </w:rPr>
        <w:t>供应商</w:t>
      </w:r>
      <w:r>
        <w:rPr>
          <w:rFonts w:hint="eastAsia" w:ascii="宋体" w:hAnsi="宋体"/>
          <w:color w:val="auto"/>
          <w:szCs w:val="21"/>
        </w:rPr>
        <w:t>在收到</w:t>
      </w:r>
      <w:r>
        <w:rPr>
          <w:rFonts w:hint="eastAsia" w:ascii="宋体" w:hAnsi="宋体"/>
          <w:bCs/>
          <w:color w:val="auto"/>
          <w:szCs w:val="21"/>
        </w:rPr>
        <w:t>补充</w:t>
      </w:r>
      <w:r>
        <w:rPr>
          <w:rFonts w:ascii="宋体" w:hAnsi="宋体"/>
          <w:color w:val="auto"/>
          <w:szCs w:val="21"/>
        </w:rPr>
        <w:t>或修改</w:t>
      </w:r>
      <w:r>
        <w:rPr>
          <w:rFonts w:hint="eastAsia" w:ascii="宋体" w:hAnsi="宋体"/>
          <w:color w:val="auto"/>
          <w:szCs w:val="21"/>
        </w:rPr>
        <w:t>通知后应立即以书面形式予以确认，</w:t>
      </w:r>
      <w:r>
        <w:rPr>
          <w:rFonts w:ascii="宋体" w:hAnsi="宋体"/>
          <w:color w:val="auto"/>
          <w:szCs w:val="21"/>
        </w:rPr>
        <w:t>该</w:t>
      </w:r>
      <w:r>
        <w:rPr>
          <w:rFonts w:hint="eastAsia" w:ascii="宋体" w:hAnsi="宋体"/>
          <w:bCs/>
          <w:color w:val="auto"/>
          <w:szCs w:val="21"/>
        </w:rPr>
        <w:t>补充</w:t>
      </w:r>
      <w:r>
        <w:rPr>
          <w:rFonts w:ascii="宋体" w:hAnsi="宋体"/>
          <w:color w:val="auto"/>
          <w:szCs w:val="21"/>
        </w:rPr>
        <w:t>或修改的内容为竞争性磋商文件的组成部分</w:t>
      </w:r>
      <w:r>
        <w:rPr>
          <w:rFonts w:hint="eastAsia" w:ascii="宋体" w:hAnsi="宋体"/>
          <w:color w:val="auto"/>
          <w:szCs w:val="21"/>
        </w:rPr>
        <w:t>。</w:t>
      </w:r>
    </w:p>
    <w:p>
      <w:pPr>
        <w:numPr>
          <w:ilvl w:val="1"/>
          <w:numId w:val="5"/>
        </w:numPr>
        <w:autoSpaceDE w:val="0"/>
        <w:autoSpaceDN w:val="0"/>
        <w:adjustRightInd w:val="0"/>
        <w:snapToGrid w:val="0"/>
        <w:spacing w:line="360" w:lineRule="auto"/>
        <w:jc w:val="left"/>
        <w:rPr>
          <w:rFonts w:ascii="宋体" w:hAnsi="宋体"/>
          <w:bCs/>
          <w:color w:val="auto"/>
          <w:szCs w:val="21"/>
        </w:rPr>
      </w:pPr>
      <w:r>
        <w:rPr>
          <w:rFonts w:hint="eastAsia" w:ascii="宋体" w:hAnsi="宋体"/>
          <w:bCs/>
          <w:color w:val="auto"/>
          <w:szCs w:val="21"/>
        </w:rPr>
        <w:t>根据采购项目的具体情况，采购代理机构可延长磋商响应文件递交截止时间和磋商时间，但至少应当在规定的磋商响应文件递交截止时间至少</w:t>
      </w:r>
      <w:r>
        <w:rPr>
          <w:rStyle w:val="96"/>
          <w:rFonts w:hint="eastAsia"/>
          <w:color w:val="auto"/>
        </w:rPr>
        <w:t>五</w:t>
      </w:r>
      <w:r>
        <w:rPr>
          <w:rFonts w:hint="eastAsia" w:ascii="宋体" w:hAnsi="宋体"/>
          <w:bCs/>
          <w:color w:val="auto"/>
          <w:szCs w:val="21"/>
        </w:rPr>
        <w:t>日前，将变更时间在政府采购指定媒体上发布公告，并通知所有报名的</w:t>
      </w:r>
      <w:r>
        <w:rPr>
          <w:rFonts w:hint="eastAsia" w:ascii="宋体" w:hAnsi="宋体"/>
          <w:color w:val="auto"/>
        </w:rPr>
        <w:t>供应商</w:t>
      </w:r>
      <w:r>
        <w:rPr>
          <w:rFonts w:hint="eastAsia" w:ascii="宋体" w:hAnsi="宋体"/>
          <w:bCs/>
          <w:color w:val="auto"/>
          <w:szCs w:val="21"/>
        </w:rPr>
        <w:t>。</w:t>
      </w:r>
    </w:p>
    <w:p>
      <w:pPr>
        <w:numPr>
          <w:ilvl w:val="1"/>
          <w:numId w:val="5"/>
        </w:numPr>
        <w:autoSpaceDE w:val="0"/>
        <w:autoSpaceDN w:val="0"/>
        <w:adjustRightInd w:val="0"/>
        <w:snapToGrid w:val="0"/>
        <w:spacing w:line="360" w:lineRule="auto"/>
        <w:jc w:val="left"/>
        <w:rPr>
          <w:rFonts w:ascii="宋体" w:hAnsi="宋体" w:cs="宋体"/>
          <w:color w:val="auto"/>
          <w:szCs w:val="21"/>
        </w:rPr>
      </w:pPr>
      <w:r>
        <w:rPr>
          <w:rFonts w:hint="eastAsia" w:ascii="宋体" w:hAnsi="宋体" w:cs="宋体"/>
          <w:color w:val="auto"/>
          <w:szCs w:val="21"/>
        </w:rPr>
        <w:t>竞争性磋商文件的修改内容是竞争性磋商文件的组成部分，将以书面形式通知所有购买竞争性磋商文件的潜在</w:t>
      </w:r>
      <w:r>
        <w:rPr>
          <w:rFonts w:hint="eastAsia" w:ascii="宋体" w:hAnsi="宋体"/>
          <w:color w:val="auto"/>
        </w:rPr>
        <w:t>供应商</w:t>
      </w:r>
      <w:r>
        <w:rPr>
          <w:rFonts w:hint="eastAsia" w:ascii="宋体" w:hAnsi="宋体" w:cs="宋体"/>
          <w:color w:val="auto"/>
          <w:szCs w:val="21"/>
        </w:rPr>
        <w:t>，并对潜在</w:t>
      </w:r>
      <w:r>
        <w:rPr>
          <w:rFonts w:hint="eastAsia" w:ascii="宋体" w:hAnsi="宋体"/>
          <w:color w:val="auto"/>
        </w:rPr>
        <w:t>供应商</w:t>
      </w:r>
      <w:r>
        <w:rPr>
          <w:rFonts w:hint="eastAsia" w:ascii="宋体" w:hAnsi="宋体" w:cs="宋体"/>
          <w:color w:val="auto"/>
          <w:szCs w:val="21"/>
        </w:rPr>
        <w:t>具有约束力。潜在</w:t>
      </w:r>
      <w:r>
        <w:rPr>
          <w:rFonts w:hint="eastAsia" w:ascii="宋体" w:hAnsi="宋体"/>
          <w:color w:val="auto"/>
        </w:rPr>
        <w:t>供应商</w:t>
      </w:r>
      <w:r>
        <w:rPr>
          <w:rFonts w:hint="eastAsia" w:ascii="宋体" w:hAnsi="宋体" w:cs="宋体"/>
          <w:color w:val="auto"/>
          <w:szCs w:val="21"/>
        </w:rPr>
        <w:t>在收到上述通知后，应立即以书面形式向采购代理机构确认。如在24小时之内无书面回函则视为同意修改内容，并有责任履行相应的义务。</w:t>
      </w:r>
    </w:p>
    <w:p>
      <w:pPr>
        <w:autoSpaceDE w:val="0"/>
        <w:autoSpaceDN w:val="0"/>
        <w:adjustRightInd w:val="0"/>
        <w:snapToGrid w:val="0"/>
        <w:spacing w:line="360" w:lineRule="auto"/>
        <w:jc w:val="left"/>
        <w:rPr>
          <w:rFonts w:ascii="宋体" w:hAnsi="宋体" w:cs="宋体"/>
          <w:color w:val="auto"/>
          <w:szCs w:val="21"/>
        </w:rPr>
      </w:pPr>
    </w:p>
    <w:p>
      <w:pPr>
        <w:numPr>
          <w:ilvl w:val="0"/>
          <w:numId w:val="4"/>
        </w:numPr>
        <w:autoSpaceDE w:val="0"/>
        <w:autoSpaceDN w:val="0"/>
        <w:adjustRightInd w:val="0"/>
        <w:snapToGrid w:val="0"/>
        <w:spacing w:beforeLines="100" w:afterLines="100" w:line="360" w:lineRule="auto"/>
        <w:ind w:left="601" w:hanging="601"/>
        <w:jc w:val="center"/>
        <w:outlineLvl w:val="0"/>
        <w:rPr>
          <w:rFonts w:ascii="宋体" w:hAnsi="宋体"/>
          <w:b/>
          <w:color w:val="auto"/>
          <w:sz w:val="28"/>
          <w:szCs w:val="28"/>
          <w:lang w:eastAsia="zh-TW"/>
        </w:rPr>
      </w:pPr>
      <w:bookmarkStart w:id="99" w:name="_Toc475104478"/>
      <w:bookmarkStart w:id="100" w:name="_Toc363737692"/>
      <w:bookmarkStart w:id="101" w:name="_Toc320515076"/>
      <w:bookmarkStart w:id="102" w:name="_Toc320515027"/>
      <w:bookmarkStart w:id="103" w:name="_Toc322680353"/>
      <w:bookmarkStart w:id="104" w:name="_Toc323110986"/>
      <w:bookmarkStart w:id="105" w:name="_Toc315793461"/>
      <w:r>
        <w:rPr>
          <w:rFonts w:hint="eastAsia" w:ascii="宋体" w:hAnsi="宋体"/>
          <w:b/>
          <w:color w:val="auto"/>
          <w:sz w:val="28"/>
          <w:szCs w:val="28"/>
          <w:lang w:eastAsia="zh-TW"/>
        </w:rPr>
        <w:t>磋商响应文件的编制</w:t>
      </w:r>
      <w:bookmarkEnd w:id="99"/>
      <w:bookmarkEnd w:id="100"/>
      <w:bookmarkEnd w:id="101"/>
      <w:bookmarkEnd w:id="102"/>
      <w:bookmarkEnd w:id="103"/>
      <w:bookmarkEnd w:id="104"/>
      <w:bookmarkEnd w:id="105"/>
    </w:p>
    <w:p>
      <w:pPr>
        <w:numPr>
          <w:ilvl w:val="0"/>
          <w:numId w:val="5"/>
        </w:numPr>
        <w:autoSpaceDE w:val="0"/>
        <w:autoSpaceDN w:val="0"/>
        <w:adjustRightInd w:val="0"/>
        <w:snapToGrid w:val="0"/>
        <w:spacing w:line="360" w:lineRule="auto"/>
        <w:outlineLvl w:val="0"/>
        <w:rPr>
          <w:rFonts w:ascii="宋体" w:hAnsi="宋体"/>
          <w:b/>
          <w:bCs/>
          <w:color w:val="auto"/>
          <w:sz w:val="24"/>
        </w:rPr>
      </w:pPr>
      <w:bookmarkStart w:id="106" w:name="_Toc323110987"/>
      <w:bookmarkStart w:id="107" w:name="_Toc320515077"/>
      <w:bookmarkStart w:id="108" w:name="_Toc322680354"/>
      <w:bookmarkStart w:id="109" w:name="_Toc320515028"/>
      <w:bookmarkStart w:id="110" w:name="_Toc363737693"/>
      <w:bookmarkStart w:id="111" w:name="_Toc315793462"/>
      <w:bookmarkStart w:id="112" w:name="_Toc475104479"/>
      <w:r>
        <w:rPr>
          <w:rFonts w:hint="eastAsia" w:ascii="宋体" w:hAnsi="宋体"/>
          <w:b/>
          <w:bCs/>
          <w:color w:val="auto"/>
          <w:sz w:val="24"/>
        </w:rPr>
        <w:t>响应的语言</w:t>
      </w:r>
      <w:bookmarkEnd w:id="106"/>
      <w:bookmarkEnd w:id="107"/>
      <w:bookmarkEnd w:id="108"/>
      <w:bookmarkEnd w:id="109"/>
      <w:bookmarkEnd w:id="110"/>
      <w:bookmarkEnd w:id="111"/>
      <w:bookmarkEnd w:id="112"/>
    </w:p>
    <w:p>
      <w:pPr>
        <w:numPr>
          <w:ilvl w:val="1"/>
          <w:numId w:val="5"/>
        </w:numPr>
        <w:autoSpaceDE w:val="0"/>
        <w:autoSpaceDN w:val="0"/>
        <w:adjustRightInd w:val="0"/>
        <w:snapToGrid w:val="0"/>
        <w:spacing w:line="360" w:lineRule="auto"/>
        <w:jc w:val="left"/>
        <w:rPr>
          <w:rFonts w:ascii="宋体" w:hAnsi="宋体" w:cs="黑体"/>
          <w:b/>
          <w:bCs/>
          <w:color w:val="auto"/>
          <w:szCs w:val="21"/>
        </w:rPr>
      </w:pPr>
      <w:r>
        <w:rPr>
          <w:rFonts w:hint="eastAsia" w:ascii="宋体" w:hAnsi="宋体"/>
          <w:color w:val="auto"/>
        </w:rPr>
        <w:t>供应商</w:t>
      </w:r>
      <w:r>
        <w:rPr>
          <w:rFonts w:hint="eastAsia" w:ascii="宋体" w:hAnsi="宋体" w:cs="宋体"/>
          <w:color w:val="auto"/>
          <w:szCs w:val="21"/>
        </w:rPr>
        <w:t>提交的磋商响应文件以及</w:t>
      </w:r>
      <w:r>
        <w:rPr>
          <w:rFonts w:hint="eastAsia" w:ascii="宋体" w:hAnsi="宋体"/>
          <w:color w:val="auto"/>
        </w:rPr>
        <w:t>供应商</w:t>
      </w:r>
      <w:r>
        <w:rPr>
          <w:rFonts w:hint="eastAsia" w:ascii="宋体" w:hAnsi="宋体" w:cs="宋体"/>
          <w:color w:val="auto"/>
          <w:szCs w:val="21"/>
        </w:rPr>
        <w:t>与采购代理机构就有关磋商响应的所有来往函电均应使用中文书写。</w:t>
      </w:r>
      <w:r>
        <w:rPr>
          <w:rFonts w:hint="eastAsia" w:ascii="宋体" w:hAnsi="宋体"/>
          <w:color w:val="auto"/>
        </w:rPr>
        <w:t>供应商</w:t>
      </w:r>
      <w:r>
        <w:rPr>
          <w:rFonts w:hint="eastAsia" w:ascii="宋体" w:hAnsi="宋体" w:cs="宋体"/>
          <w:color w:val="auto"/>
          <w:szCs w:val="21"/>
        </w:rPr>
        <w:t>提交的支持资料和己印刷的文献可以用另一种语言，但相应内容应附有中文翻译本，在解释磋商响应文件的修改内容时以中文翻译本为准。对中文翻译有异议的，以权威机构的译本为准。</w:t>
      </w:r>
    </w:p>
    <w:p>
      <w:pPr>
        <w:numPr>
          <w:ilvl w:val="0"/>
          <w:numId w:val="5"/>
        </w:numPr>
        <w:autoSpaceDE w:val="0"/>
        <w:autoSpaceDN w:val="0"/>
        <w:adjustRightInd w:val="0"/>
        <w:snapToGrid w:val="0"/>
        <w:spacing w:line="360" w:lineRule="auto"/>
        <w:outlineLvl w:val="0"/>
        <w:rPr>
          <w:rFonts w:ascii="宋体" w:hAnsi="宋体"/>
          <w:b/>
          <w:bCs/>
          <w:color w:val="auto"/>
          <w:sz w:val="24"/>
        </w:rPr>
      </w:pPr>
      <w:bookmarkStart w:id="113" w:name="_Toc323110988"/>
      <w:bookmarkStart w:id="114" w:name="_Toc475104480"/>
      <w:bookmarkStart w:id="115" w:name="_Toc322680355"/>
      <w:bookmarkStart w:id="116" w:name="_Toc320515078"/>
      <w:bookmarkStart w:id="117" w:name="_Toc320515029"/>
      <w:bookmarkStart w:id="118" w:name="_Toc363737694"/>
      <w:bookmarkStart w:id="119" w:name="_Toc315793463"/>
      <w:r>
        <w:rPr>
          <w:rFonts w:hint="eastAsia" w:ascii="宋体" w:hAnsi="宋体"/>
          <w:b/>
          <w:bCs/>
          <w:color w:val="auto"/>
          <w:sz w:val="24"/>
        </w:rPr>
        <w:t>磋商响应文件的构成</w:t>
      </w:r>
      <w:bookmarkEnd w:id="113"/>
      <w:bookmarkEnd w:id="114"/>
      <w:bookmarkEnd w:id="115"/>
      <w:bookmarkEnd w:id="116"/>
      <w:bookmarkEnd w:id="117"/>
      <w:bookmarkEnd w:id="118"/>
      <w:bookmarkEnd w:id="119"/>
    </w:p>
    <w:p>
      <w:pPr>
        <w:numPr>
          <w:ilvl w:val="1"/>
          <w:numId w:val="5"/>
        </w:numPr>
        <w:autoSpaceDE w:val="0"/>
        <w:autoSpaceDN w:val="0"/>
        <w:adjustRightInd w:val="0"/>
        <w:snapToGrid w:val="0"/>
        <w:spacing w:line="360" w:lineRule="auto"/>
        <w:jc w:val="left"/>
        <w:rPr>
          <w:rFonts w:ascii="宋体" w:hAnsi="宋体" w:cs="宋体"/>
          <w:color w:val="auto"/>
          <w:szCs w:val="21"/>
        </w:rPr>
      </w:pPr>
      <w:r>
        <w:rPr>
          <w:rFonts w:hint="eastAsia" w:ascii="宋体" w:hAnsi="宋体"/>
          <w:color w:val="auto"/>
        </w:rPr>
        <w:t>供应商</w:t>
      </w:r>
      <w:r>
        <w:rPr>
          <w:rFonts w:hint="eastAsia" w:ascii="宋体" w:hAnsi="宋体" w:cs="宋体"/>
          <w:color w:val="auto"/>
          <w:szCs w:val="21"/>
        </w:rPr>
        <w:t>编写的磋商响应文件应编排为三部分：①商务响应文件（包括</w:t>
      </w:r>
      <w:r>
        <w:rPr>
          <w:rFonts w:hint="eastAsia" w:ascii="宋体" w:hAnsi="宋体" w:cs="宋体"/>
          <w:color w:val="auto"/>
          <w:kern w:val="0"/>
          <w:szCs w:val="21"/>
        </w:rPr>
        <w:t>竞争性磋商函</w:t>
      </w:r>
      <w:r>
        <w:rPr>
          <w:rFonts w:hint="eastAsia" w:ascii="宋体" w:hAnsi="宋体" w:cs="宋体"/>
          <w:color w:val="auto"/>
          <w:szCs w:val="21"/>
        </w:rPr>
        <w:t>）；②技术响应文件；③报价信封，磋商响应文件应包含但不限于以下内容：</w:t>
      </w:r>
    </w:p>
    <w:p>
      <w:pPr>
        <w:autoSpaceDE w:val="0"/>
        <w:autoSpaceDN w:val="0"/>
        <w:adjustRightInd w:val="0"/>
        <w:snapToGrid w:val="0"/>
        <w:spacing w:line="360" w:lineRule="auto"/>
        <w:ind w:firstLine="525" w:firstLineChars="250"/>
        <w:jc w:val="left"/>
        <w:rPr>
          <w:rFonts w:ascii="宋体" w:hAnsi="宋体" w:cs="宋体"/>
          <w:color w:val="auto"/>
          <w:szCs w:val="21"/>
        </w:rPr>
      </w:pPr>
      <w:r>
        <w:rPr>
          <w:rFonts w:hint="eastAsia" w:ascii="宋体" w:hAnsi="宋体" w:cs="宋体"/>
          <w:color w:val="auto"/>
          <w:szCs w:val="21"/>
        </w:rPr>
        <w:t>①按规定填写的竞争性磋商函、资格声明函、同意竞争性磋商文件条款说明、《清单报价表》正本；</w:t>
      </w:r>
    </w:p>
    <w:p>
      <w:pPr>
        <w:autoSpaceDE w:val="0"/>
        <w:autoSpaceDN w:val="0"/>
        <w:adjustRightInd w:val="0"/>
        <w:snapToGrid w:val="0"/>
        <w:spacing w:line="360" w:lineRule="auto"/>
        <w:ind w:firstLine="525" w:firstLineChars="250"/>
        <w:jc w:val="left"/>
        <w:rPr>
          <w:rFonts w:ascii="宋体" w:hAnsi="宋体" w:cs="宋体"/>
          <w:color w:val="auto"/>
          <w:szCs w:val="21"/>
        </w:rPr>
      </w:pPr>
      <w:r>
        <w:rPr>
          <w:rFonts w:hint="eastAsia" w:ascii="宋体" w:hAnsi="宋体" w:cs="宋体"/>
          <w:color w:val="auto"/>
          <w:szCs w:val="21"/>
        </w:rPr>
        <w:t>②按要求出具的资格证明文件，证明</w:t>
      </w:r>
      <w:r>
        <w:rPr>
          <w:rFonts w:hint="eastAsia" w:ascii="宋体" w:hAnsi="宋体"/>
          <w:color w:val="auto"/>
        </w:rPr>
        <w:t>供应商</w:t>
      </w:r>
      <w:r>
        <w:rPr>
          <w:rFonts w:hint="eastAsia" w:ascii="宋体" w:hAnsi="宋体" w:cs="宋体"/>
          <w:color w:val="auto"/>
          <w:szCs w:val="21"/>
        </w:rPr>
        <w:t>是合格的，而且获得成交资格后有能力履行合同；</w:t>
      </w:r>
    </w:p>
    <w:p>
      <w:pPr>
        <w:autoSpaceDE w:val="0"/>
        <w:autoSpaceDN w:val="0"/>
        <w:adjustRightInd w:val="0"/>
        <w:snapToGrid w:val="0"/>
        <w:spacing w:line="360" w:lineRule="auto"/>
        <w:ind w:firstLine="525" w:firstLineChars="250"/>
        <w:jc w:val="left"/>
        <w:rPr>
          <w:rFonts w:ascii="宋体" w:hAnsi="宋体" w:cs="宋体"/>
          <w:color w:val="auto"/>
          <w:szCs w:val="21"/>
        </w:rPr>
      </w:pPr>
      <w:r>
        <w:rPr>
          <w:rFonts w:hint="eastAsia" w:ascii="宋体" w:hAnsi="宋体" w:cs="宋体"/>
          <w:color w:val="auto"/>
          <w:szCs w:val="21"/>
        </w:rPr>
        <w:t>③按规定出具的证明文件，证明</w:t>
      </w:r>
      <w:r>
        <w:rPr>
          <w:rFonts w:hint="eastAsia" w:ascii="宋体" w:hAnsi="宋体"/>
          <w:color w:val="auto"/>
        </w:rPr>
        <w:t>供应商</w:t>
      </w:r>
      <w:r>
        <w:rPr>
          <w:rFonts w:hint="eastAsia" w:ascii="宋体" w:hAnsi="宋体" w:cs="宋体"/>
          <w:color w:val="auto"/>
          <w:szCs w:val="21"/>
        </w:rPr>
        <w:t>提供的服务及货物是合格的，而且符合竞争性磋商文件的规定；</w:t>
      </w:r>
    </w:p>
    <w:p>
      <w:pPr>
        <w:autoSpaceDE w:val="0"/>
        <w:autoSpaceDN w:val="0"/>
        <w:adjustRightInd w:val="0"/>
        <w:snapToGrid w:val="0"/>
        <w:spacing w:line="360" w:lineRule="auto"/>
        <w:ind w:firstLine="525" w:firstLineChars="250"/>
        <w:jc w:val="left"/>
        <w:rPr>
          <w:rFonts w:ascii="宋体" w:hAnsi="宋体" w:cs="宋体"/>
          <w:color w:val="auto"/>
          <w:szCs w:val="21"/>
        </w:rPr>
      </w:pPr>
      <w:r>
        <w:rPr>
          <w:rFonts w:hint="eastAsia" w:ascii="宋体" w:hAnsi="宋体" w:cs="宋体"/>
          <w:color w:val="auto"/>
          <w:szCs w:val="21"/>
        </w:rPr>
        <w:t>④对竞争性磋商文件第三章作出的书面响应，包括但不限于服务及商务要求等；</w:t>
      </w:r>
    </w:p>
    <w:p>
      <w:pPr>
        <w:autoSpaceDE w:val="0"/>
        <w:autoSpaceDN w:val="0"/>
        <w:adjustRightInd w:val="0"/>
        <w:snapToGrid w:val="0"/>
        <w:spacing w:line="360" w:lineRule="auto"/>
        <w:ind w:firstLine="525" w:firstLineChars="250"/>
        <w:jc w:val="left"/>
        <w:rPr>
          <w:rFonts w:ascii="宋体" w:hAnsi="宋体" w:cs="宋体"/>
          <w:color w:val="auto"/>
          <w:szCs w:val="21"/>
        </w:rPr>
      </w:pPr>
      <w:r>
        <w:rPr>
          <w:rFonts w:hint="eastAsia" w:ascii="宋体" w:hAnsi="宋体" w:cs="宋体"/>
          <w:color w:val="auto"/>
          <w:szCs w:val="21"/>
        </w:rPr>
        <w:t>⑤</w:t>
      </w:r>
      <w:r>
        <w:rPr>
          <w:rFonts w:hint="eastAsia" w:ascii="宋体" w:hAnsi="宋体"/>
          <w:color w:val="auto"/>
        </w:rPr>
        <w:t>供应商</w:t>
      </w:r>
      <w:r>
        <w:rPr>
          <w:rFonts w:hint="eastAsia" w:ascii="宋体" w:hAnsi="宋体" w:cs="宋体"/>
          <w:color w:val="auto"/>
          <w:szCs w:val="21"/>
        </w:rPr>
        <w:t>认为须提交与评审内容相关的其他资料。</w:t>
      </w:r>
    </w:p>
    <w:p>
      <w:pPr>
        <w:pStyle w:val="177"/>
        <w:numPr>
          <w:ilvl w:val="1"/>
          <w:numId w:val="5"/>
        </w:numPr>
        <w:tabs>
          <w:tab w:val="left" w:pos="360"/>
          <w:tab w:val="left" w:pos="709"/>
        </w:tabs>
        <w:adjustRightInd w:val="0"/>
        <w:spacing w:line="360" w:lineRule="auto"/>
        <w:textAlignment w:val="baseline"/>
        <w:outlineLvl w:val="9"/>
        <w:rPr>
          <w:rFonts w:cs="宋体"/>
          <w:color w:val="auto"/>
          <w:sz w:val="21"/>
          <w:szCs w:val="21"/>
        </w:rPr>
      </w:pPr>
      <w:bookmarkStart w:id="120" w:name="_Toc475104481"/>
      <w:r>
        <w:rPr>
          <w:rFonts w:hint="eastAsia" w:cs="宋体"/>
          <w:color w:val="auto"/>
          <w:sz w:val="21"/>
          <w:szCs w:val="21"/>
        </w:rPr>
        <w:t>商务部分文件是指供应商提交的证明供应商的资格合格，且获得成交资格后有能力履行合同的文件。服务部分文件是指证明供应商提供的服务和货物是合格的，而且符合本竞争性磋商文件规定的文件。</w:t>
      </w:r>
      <w:bookmarkEnd w:id="120"/>
    </w:p>
    <w:p>
      <w:pPr>
        <w:numPr>
          <w:ilvl w:val="1"/>
          <w:numId w:val="5"/>
        </w:numPr>
        <w:autoSpaceDE w:val="0"/>
        <w:autoSpaceDN w:val="0"/>
        <w:adjustRightInd w:val="0"/>
        <w:snapToGrid w:val="0"/>
        <w:spacing w:line="360" w:lineRule="auto"/>
        <w:jc w:val="left"/>
        <w:rPr>
          <w:rFonts w:ascii="宋体" w:hAnsi="宋体" w:cs="宋体"/>
          <w:color w:val="auto"/>
          <w:szCs w:val="21"/>
        </w:rPr>
      </w:pPr>
      <w:r>
        <w:rPr>
          <w:rFonts w:hint="eastAsia" w:ascii="宋体" w:hAnsi="宋体" w:cs="宋体"/>
          <w:color w:val="auto"/>
          <w:szCs w:val="21"/>
        </w:rPr>
        <w:t>磋商响应文件的构成应符合法律法规及竞争性磋商文件的要求。</w:t>
      </w:r>
    </w:p>
    <w:p>
      <w:pPr>
        <w:numPr>
          <w:ilvl w:val="0"/>
          <w:numId w:val="5"/>
        </w:numPr>
        <w:autoSpaceDE w:val="0"/>
        <w:autoSpaceDN w:val="0"/>
        <w:adjustRightInd w:val="0"/>
        <w:snapToGrid w:val="0"/>
        <w:spacing w:line="360" w:lineRule="auto"/>
        <w:outlineLvl w:val="0"/>
        <w:rPr>
          <w:rFonts w:ascii="宋体" w:hAnsi="宋体"/>
          <w:b/>
          <w:bCs/>
          <w:color w:val="auto"/>
          <w:sz w:val="24"/>
        </w:rPr>
      </w:pPr>
      <w:bookmarkStart w:id="121" w:name="_Toc475104482"/>
      <w:bookmarkStart w:id="122" w:name="_Toc363737695"/>
      <w:bookmarkStart w:id="123" w:name="_Toc315793464"/>
      <w:bookmarkStart w:id="124" w:name="_Toc322680356"/>
      <w:bookmarkStart w:id="125" w:name="_Toc320515030"/>
      <w:bookmarkStart w:id="126" w:name="_Toc320515079"/>
      <w:bookmarkStart w:id="127" w:name="_Toc323110989"/>
      <w:r>
        <w:rPr>
          <w:rFonts w:hint="eastAsia" w:ascii="宋体" w:hAnsi="宋体"/>
          <w:b/>
          <w:bCs/>
          <w:color w:val="auto"/>
          <w:sz w:val="24"/>
        </w:rPr>
        <w:t>磋商响应文件的编写</w:t>
      </w:r>
      <w:bookmarkEnd w:id="121"/>
      <w:bookmarkEnd w:id="122"/>
      <w:bookmarkEnd w:id="123"/>
      <w:bookmarkEnd w:id="124"/>
      <w:bookmarkEnd w:id="125"/>
      <w:bookmarkEnd w:id="126"/>
      <w:bookmarkEnd w:id="127"/>
    </w:p>
    <w:p>
      <w:pPr>
        <w:numPr>
          <w:ilvl w:val="1"/>
          <w:numId w:val="5"/>
        </w:numPr>
        <w:autoSpaceDE w:val="0"/>
        <w:autoSpaceDN w:val="0"/>
        <w:adjustRightInd w:val="0"/>
        <w:snapToGrid w:val="0"/>
        <w:spacing w:line="360" w:lineRule="auto"/>
        <w:jc w:val="left"/>
        <w:rPr>
          <w:rFonts w:ascii="宋体" w:hAnsi="宋体" w:cs="宋体"/>
          <w:color w:val="auto"/>
          <w:szCs w:val="21"/>
        </w:rPr>
      </w:pPr>
      <w:r>
        <w:rPr>
          <w:rFonts w:hint="eastAsia" w:cs="宋体"/>
          <w:color w:val="auto"/>
          <w:szCs w:val="21"/>
        </w:rPr>
        <w:t>供应商</w:t>
      </w:r>
      <w:r>
        <w:rPr>
          <w:rFonts w:hint="eastAsia" w:ascii="宋体" w:hAnsi="宋体" w:cs="宋体"/>
          <w:color w:val="auto"/>
          <w:szCs w:val="21"/>
        </w:rPr>
        <w:t>应仔细阅读竞争性磋商文件的所有内容，按竞争性磋商文件的要求制作并递交磋商响应文件，并保证所提供的全部资料的真实性、准确性，以确保其报价对竞争性磋商文件做出实质性响应。</w:t>
      </w:r>
      <w:r>
        <w:rPr>
          <w:rFonts w:hint="eastAsia" w:cs="宋体"/>
          <w:color w:val="auto"/>
          <w:szCs w:val="21"/>
        </w:rPr>
        <w:t>供应商</w:t>
      </w:r>
      <w:r>
        <w:rPr>
          <w:rFonts w:hint="eastAsia" w:ascii="宋体" w:hAnsi="宋体" w:cs="宋体"/>
          <w:color w:val="auto"/>
          <w:szCs w:val="21"/>
        </w:rPr>
        <w:t>在报价中提供不真实的材料，无论其材料是否重要，都将直接导致磋商响应文件无效，并承担由此产生的法律责任。</w:t>
      </w:r>
    </w:p>
    <w:p>
      <w:pPr>
        <w:numPr>
          <w:ilvl w:val="1"/>
          <w:numId w:val="5"/>
        </w:numPr>
        <w:autoSpaceDE w:val="0"/>
        <w:autoSpaceDN w:val="0"/>
        <w:adjustRightInd w:val="0"/>
        <w:snapToGrid w:val="0"/>
        <w:spacing w:line="360" w:lineRule="auto"/>
        <w:jc w:val="left"/>
        <w:rPr>
          <w:rFonts w:ascii="宋体" w:hAnsi="宋体" w:cs="宋体"/>
          <w:color w:val="auto"/>
          <w:szCs w:val="21"/>
        </w:rPr>
      </w:pPr>
      <w:r>
        <w:rPr>
          <w:rFonts w:hint="eastAsia" w:ascii="宋体" w:hAnsi="宋体" w:cs="宋体"/>
          <w:color w:val="auto"/>
          <w:szCs w:val="21"/>
        </w:rPr>
        <w:t>响应语言和计量单位：磋商响应文件和来往函件应用简体中文书写，</w:t>
      </w:r>
      <w:r>
        <w:rPr>
          <w:rFonts w:hint="eastAsia" w:cs="宋体"/>
          <w:color w:val="auto"/>
          <w:szCs w:val="21"/>
        </w:rPr>
        <w:t>供应商</w:t>
      </w:r>
      <w:r>
        <w:rPr>
          <w:rFonts w:hint="eastAsia" w:ascii="宋体" w:hAnsi="宋体" w:cs="宋体"/>
          <w:color w:val="auto"/>
          <w:szCs w:val="21"/>
        </w:rPr>
        <w:t>提供的支持文件、技术资料和印刷的文献可以用其他语言，但相应内容应附有中文翻译文本（经公证处公证），对不同文字文本磋商响应文件的解释发生异议的，以中文文本为准。计量单位应使用国际公制单位。</w:t>
      </w:r>
    </w:p>
    <w:p>
      <w:pPr>
        <w:numPr>
          <w:ilvl w:val="1"/>
          <w:numId w:val="5"/>
        </w:numPr>
        <w:autoSpaceDE w:val="0"/>
        <w:autoSpaceDN w:val="0"/>
        <w:adjustRightInd w:val="0"/>
        <w:snapToGrid w:val="0"/>
        <w:spacing w:line="360" w:lineRule="auto"/>
        <w:jc w:val="left"/>
        <w:rPr>
          <w:rFonts w:ascii="宋体" w:hAnsi="宋体" w:cs="宋体"/>
          <w:color w:val="auto"/>
          <w:szCs w:val="21"/>
        </w:rPr>
      </w:pPr>
      <w:r>
        <w:rPr>
          <w:rFonts w:hint="eastAsia" w:cs="宋体"/>
          <w:color w:val="auto"/>
          <w:szCs w:val="21"/>
        </w:rPr>
        <w:t>供应商</w:t>
      </w:r>
      <w:r>
        <w:rPr>
          <w:rFonts w:hint="eastAsia" w:ascii="宋体" w:hAnsi="宋体" w:cs="宋体"/>
          <w:color w:val="auto"/>
          <w:szCs w:val="21"/>
        </w:rPr>
        <w:t>须用人民币作为报价的货币单位。磋商响应文件的大写金额和小写金额不一致的，以大写金额为准；总价金额与按单价汇总金额不一致的，以单价金额计算结果为准；单价金额小数点有明显错位的，应以总价为准，并修改单价。</w:t>
      </w:r>
    </w:p>
    <w:p>
      <w:pPr>
        <w:numPr>
          <w:ilvl w:val="1"/>
          <w:numId w:val="5"/>
        </w:numPr>
        <w:autoSpaceDE w:val="0"/>
        <w:autoSpaceDN w:val="0"/>
        <w:adjustRightInd w:val="0"/>
        <w:snapToGrid w:val="0"/>
        <w:spacing w:line="360" w:lineRule="auto"/>
        <w:jc w:val="left"/>
        <w:rPr>
          <w:rFonts w:ascii="宋体" w:hAnsi="宋体" w:cs="宋体"/>
          <w:color w:val="auto"/>
          <w:szCs w:val="21"/>
        </w:rPr>
      </w:pPr>
      <w:r>
        <w:rPr>
          <w:rFonts w:hint="eastAsia" w:cs="宋体"/>
          <w:color w:val="auto"/>
          <w:szCs w:val="21"/>
        </w:rPr>
        <w:t>供应商</w:t>
      </w:r>
      <w:r>
        <w:rPr>
          <w:rFonts w:hint="eastAsia" w:ascii="宋体" w:hAnsi="宋体" w:cs="宋体"/>
          <w:color w:val="auto"/>
          <w:szCs w:val="21"/>
        </w:rPr>
        <w:t>应当对磋商响应文件进行装订，对未经装订的磋商响应文件可能发生的文件散落或缺损，由此造成的后果和责任由</w:t>
      </w:r>
      <w:r>
        <w:rPr>
          <w:rFonts w:hint="eastAsia" w:cs="宋体"/>
          <w:color w:val="auto"/>
          <w:szCs w:val="21"/>
        </w:rPr>
        <w:t>供应商</w:t>
      </w:r>
      <w:r>
        <w:rPr>
          <w:rFonts w:hint="eastAsia" w:ascii="宋体" w:hAnsi="宋体" w:cs="宋体"/>
          <w:color w:val="auto"/>
          <w:szCs w:val="21"/>
        </w:rPr>
        <w:t>承担。</w:t>
      </w:r>
    </w:p>
    <w:p>
      <w:pPr>
        <w:numPr>
          <w:ilvl w:val="1"/>
          <w:numId w:val="5"/>
        </w:numPr>
        <w:tabs>
          <w:tab w:val="left" w:pos="709"/>
        </w:tabs>
        <w:autoSpaceDE w:val="0"/>
        <w:autoSpaceDN w:val="0"/>
        <w:adjustRightInd w:val="0"/>
        <w:snapToGrid w:val="0"/>
        <w:spacing w:line="360" w:lineRule="auto"/>
        <w:jc w:val="left"/>
        <w:rPr>
          <w:rFonts w:ascii="宋体" w:hAnsi="宋体" w:cs="宋体"/>
          <w:color w:val="auto"/>
          <w:szCs w:val="21"/>
        </w:rPr>
      </w:pPr>
      <w:r>
        <w:rPr>
          <w:rFonts w:hint="eastAsia" w:cs="宋体"/>
          <w:color w:val="auto"/>
          <w:szCs w:val="21"/>
        </w:rPr>
        <w:t>供应商</w:t>
      </w:r>
      <w:r>
        <w:rPr>
          <w:rFonts w:hint="eastAsia" w:ascii="宋体" w:hAnsi="宋体" w:cs="宋体"/>
          <w:color w:val="auto"/>
          <w:szCs w:val="21"/>
        </w:rPr>
        <w:t>必须对磋商响应文件所提供的全部资料的真实性承担法律责任，并无条件接受采购人、政府采购代理机构及政府采购监督管理部门等对其中任何资料进行核实的要求。</w:t>
      </w:r>
    </w:p>
    <w:p>
      <w:pPr>
        <w:numPr>
          <w:ilvl w:val="1"/>
          <w:numId w:val="5"/>
        </w:numPr>
        <w:tabs>
          <w:tab w:val="left" w:pos="709"/>
        </w:tabs>
        <w:autoSpaceDE w:val="0"/>
        <w:autoSpaceDN w:val="0"/>
        <w:adjustRightInd w:val="0"/>
        <w:snapToGrid w:val="0"/>
        <w:spacing w:line="360" w:lineRule="auto"/>
        <w:jc w:val="left"/>
        <w:rPr>
          <w:rFonts w:ascii="宋体" w:hAnsi="宋体" w:cs="宋体"/>
          <w:color w:val="auto"/>
          <w:szCs w:val="21"/>
        </w:rPr>
      </w:pPr>
      <w:r>
        <w:rPr>
          <w:rFonts w:hint="eastAsia" w:ascii="宋体" w:hAnsi="宋体" w:cs="宋体"/>
          <w:color w:val="auto"/>
          <w:szCs w:val="21"/>
        </w:rPr>
        <w:t>如果因为</w:t>
      </w:r>
      <w:r>
        <w:rPr>
          <w:rFonts w:hint="eastAsia" w:cs="宋体"/>
          <w:color w:val="auto"/>
          <w:szCs w:val="21"/>
        </w:rPr>
        <w:t>供应商</w:t>
      </w:r>
      <w:r>
        <w:rPr>
          <w:rFonts w:hint="eastAsia" w:ascii="宋体" w:hAnsi="宋体" w:cs="宋体"/>
          <w:color w:val="auto"/>
          <w:szCs w:val="21"/>
        </w:rPr>
        <w:t>的磋商响应文件只填写和提供了本竞争性磋商文件要求的部分内容和附件，或没有提供竞争性磋商文件中所要求的全部资料及数据，由此造成的后果和责任由</w:t>
      </w:r>
      <w:r>
        <w:rPr>
          <w:rFonts w:hint="eastAsia" w:cs="宋体"/>
          <w:color w:val="auto"/>
          <w:szCs w:val="21"/>
        </w:rPr>
        <w:t>供应商</w:t>
      </w:r>
      <w:r>
        <w:rPr>
          <w:rFonts w:hint="eastAsia" w:ascii="宋体" w:hAnsi="宋体" w:cs="宋体"/>
          <w:color w:val="auto"/>
          <w:szCs w:val="21"/>
        </w:rPr>
        <w:t>承担。</w:t>
      </w:r>
    </w:p>
    <w:p>
      <w:pPr>
        <w:numPr>
          <w:ilvl w:val="0"/>
          <w:numId w:val="5"/>
        </w:numPr>
        <w:autoSpaceDE w:val="0"/>
        <w:autoSpaceDN w:val="0"/>
        <w:adjustRightInd w:val="0"/>
        <w:snapToGrid w:val="0"/>
        <w:spacing w:line="360" w:lineRule="auto"/>
        <w:outlineLvl w:val="0"/>
        <w:rPr>
          <w:rFonts w:ascii="宋体" w:hAnsi="宋体"/>
          <w:b/>
          <w:bCs/>
          <w:color w:val="auto"/>
          <w:sz w:val="24"/>
        </w:rPr>
      </w:pPr>
      <w:bookmarkStart w:id="128" w:name="_Toc363737696"/>
      <w:bookmarkStart w:id="129" w:name="_Toc475104483"/>
      <w:bookmarkStart w:id="130" w:name="_Toc323110990"/>
      <w:r>
        <w:rPr>
          <w:rFonts w:hint="eastAsia" w:ascii="宋体" w:hAnsi="宋体"/>
          <w:b/>
          <w:bCs/>
          <w:color w:val="auto"/>
          <w:sz w:val="24"/>
        </w:rPr>
        <w:t>竞争性磋商报价</w:t>
      </w:r>
      <w:bookmarkEnd w:id="128"/>
      <w:bookmarkEnd w:id="129"/>
      <w:bookmarkEnd w:id="130"/>
    </w:p>
    <w:p>
      <w:pPr>
        <w:numPr>
          <w:ilvl w:val="1"/>
          <w:numId w:val="5"/>
        </w:numPr>
        <w:autoSpaceDE w:val="0"/>
        <w:autoSpaceDN w:val="0"/>
        <w:adjustRightInd w:val="0"/>
        <w:snapToGrid w:val="0"/>
        <w:spacing w:line="360" w:lineRule="auto"/>
        <w:jc w:val="left"/>
        <w:rPr>
          <w:rFonts w:ascii="宋体" w:hAnsi="宋体" w:cs="宋体"/>
          <w:color w:val="auto"/>
          <w:szCs w:val="21"/>
        </w:rPr>
      </w:pPr>
      <w:bookmarkStart w:id="131" w:name="_Toc322680358"/>
      <w:bookmarkStart w:id="132" w:name="_Toc315793468"/>
      <w:bookmarkStart w:id="133" w:name="_Toc320515081"/>
      <w:bookmarkStart w:id="134" w:name="_Toc320515032"/>
      <w:bookmarkStart w:id="135" w:name="_Toc323110991"/>
      <w:r>
        <w:rPr>
          <w:rFonts w:hint="eastAsia" w:cs="宋体"/>
          <w:color w:val="auto"/>
          <w:szCs w:val="21"/>
        </w:rPr>
        <w:t>供应商</w:t>
      </w:r>
      <w:r>
        <w:rPr>
          <w:rFonts w:hint="eastAsia" w:ascii="宋体" w:hAnsi="宋体" w:cs="宋体"/>
          <w:color w:val="auto"/>
          <w:szCs w:val="21"/>
          <w:lang w:eastAsia="zh-TW"/>
        </w:rPr>
        <w:t>人应按照“第</w:t>
      </w:r>
      <w:r>
        <w:rPr>
          <w:rFonts w:hint="eastAsia" w:ascii="宋体" w:hAnsi="宋体" w:cs="宋体"/>
          <w:color w:val="auto"/>
          <w:szCs w:val="21"/>
        </w:rPr>
        <w:t>三</w:t>
      </w:r>
      <w:r>
        <w:rPr>
          <w:rFonts w:hint="eastAsia" w:ascii="宋体" w:hAnsi="宋体" w:cs="宋体"/>
          <w:color w:val="auto"/>
          <w:szCs w:val="21"/>
          <w:lang w:eastAsia="zh-TW"/>
        </w:rPr>
        <w:t>章　</w:t>
      </w:r>
      <w:r>
        <w:rPr>
          <w:rFonts w:hint="eastAsia" w:ascii="宋体" w:hAnsi="宋体" w:cs="宋体"/>
          <w:color w:val="auto"/>
          <w:szCs w:val="21"/>
        </w:rPr>
        <w:t>采购人</w:t>
      </w:r>
      <w:r>
        <w:rPr>
          <w:rFonts w:hint="eastAsia" w:ascii="宋体" w:hAnsi="宋体" w:cs="宋体"/>
          <w:color w:val="auto"/>
          <w:szCs w:val="21"/>
          <w:lang w:eastAsia="zh-TW"/>
        </w:rPr>
        <w:t>需求</w:t>
      </w:r>
      <w:r>
        <w:rPr>
          <w:rFonts w:hint="eastAsia" w:ascii="宋体" w:hAnsi="宋体" w:cs="宋体"/>
          <w:color w:val="auto"/>
          <w:szCs w:val="21"/>
        </w:rPr>
        <w:t>书</w:t>
      </w:r>
      <w:r>
        <w:rPr>
          <w:rFonts w:hint="eastAsia" w:ascii="宋体" w:hAnsi="宋体" w:cs="宋体"/>
          <w:color w:val="auto"/>
          <w:szCs w:val="21"/>
          <w:lang w:eastAsia="zh-TW"/>
        </w:rPr>
        <w:t xml:space="preserve">” </w:t>
      </w:r>
      <w:r>
        <w:rPr>
          <w:rFonts w:hint="eastAsia" w:ascii="宋体" w:hAnsi="宋体" w:cs="宋体"/>
          <w:color w:val="auto"/>
          <w:szCs w:val="21"/>
        </w:rPr>
        <w:t>中</w:t>
      </w:r>
      <w:r>
        <w:rPr>
          <w:rFonts w:hint="eastAsia" w:ascii="宋体" w:hAnsi="宋体" w:cs="宋体"/>
          <w:color w:val="auto"/>
          <w:szCs w:val="21"/>
          <w:lang w:eastAsia="zh-TW"/>
        </w:rPr>
        <w:t>采购项目</w:t>
      </w:r>
      <w:r>
        <w:rPr>
          <w:rFonts w:hint="eastAsia" w:ascii="宋体" w:hAnsi="宋体" w:cs="宋体"/>
          <w:color w:val="auto"/>
          <w:szCs w:val="21"/>
        </w:rPr>
        <w:t>服务</w:t>
      </w:r>
      <w:r>
        <w:rPr>
          <w:rFonts w:hint="eastAsia" w:ascii="宋体" w:hAnsi="宋体" w:cs="宋体"/>
          <w:color w:val="auto"/>
          <w:szCs w:val="21"/>
          <w:lang w:eastAsia="zh-TW"/>
        </w:rPr>
        <w:t>要求规定的内容、责任范围进行报价。并按《</w:t>
      </w:r>
      <w:r>
        <w:rPr>
          <w:rFonts w:hint="eastAsia" w:ascii="宋体" w:hAnsi="宋体" w:cs="宋体"/>
          <w:color w:val="auto"/>
          <w:kern w:val="0"/>
          <w:szCs w:val="21"/>
        </w:rPr>
        <w:t>竞争性磋商函</w:t>
      </w:r>
      <w:r>
        <w:rPr>
          <w:rFonts w:hint="eastAsia" w:ascii="宋体" w:hAnsi="宋体" w:cs="宋体"/>
          <w:color w:val="auto"/>
          <w:szCs w:val="21"/>
          <w:lang w:eastAsia="zh-TW"/>
        </w:rPr>
        <w:t>》的</w:t>
      </w:r>
      <w:r>
        <w:rPr>
          <w:rFonts w:hint="eastAsia" w:ascii="宋体" w:hAnsi="宋体" w:cs="宋体"/>
          <w:color w:val="auto"/>
          <w:szCs w:val="21"/>
        </w:rPr>
        <w:t>要求</w:t>
      </w:r>
      <w:r>
        <w:rPr>
          <w:rFonts w:hint="eastAsia" w:ascii="宋体" w:hAnsi="宋体" w:cs="宋体"/>
          <w:color w:val="auto"/>
          <w:szCs w:val="21"/>
          <w:lang w:eastAsia="zh-TW"/>
        </w:rPr>
        <w:t>报出总价和分项价格。</w:t>
      </w:r>
      <w:r>
        <w:rPr>
          <w:rFonts w:hint="eastAsia" w:ascii="宋体" w:hAnsi="宋体" w:cs="宋体"/>
          <w:color w:val="auto"/>
          <w:szCs w:val="21"/>
        </w:rPr>
        <w:t>报价</w:t>
      </w:r>
      <w:r>
        <w:rPr>
          <w:rFonts w:hint="eastAsia" w:ascii="宋体" w:hAnsi="宋体" w:cs="宋体"/>
          <w:color w:val="auto"/>
          <w:szCs w:val="21"/>
          <w:lang w:eastAsia="zh-TW"/>
        </w:rPr>
        <w:t>总价中不得包含</w:t>
      </w:r>
      <w:r>
        <w:rPr>
          <w:rFonts w:hint="eastAsia" w:ascii="宋体" w:hAnsi="宋体" w:cs="宋体"/>
          <w:color w:val="auto"/>
          <w:szCs w:val="21"/>
        </w:rPr>
        <w:t>磋商</w:t>
      </w:r>
      <w:r>
        <w:rPr>
          <w:rFonts w:hint="eastAsia" w:ascii="宋体" w:hAnsi="宋体" w:cs="宋体"/>
          <w:color w:val="auto"/>
          <w:szCs w:val="21"/>
          <w:lang w:eastAsia="zh-TW"/>
        </w:rPr>
        <w:t>文件要求以外的内容，否则，在评标时不予核减。</w:t>
      </w:r>
      <w:r>
        <w:rPr>
          <w:rFonts w:hint="eastAsia" w:ascii="宋体" w:hAnsi="宋体" w:cs="宋体"/>
          <w:color w:val="auto"/>
          <w:szCs w:val="21"/>
        </w:rPr>
        <w:t>响应报价</w:t>
      </w:r>
      <w:r>
        <w:rPr>
          <w:rFonts w:hint="eastAsia" w:ascii="宋体" w:hAnsi="宋体" w:cs="宋体"/>
          <w:color w:val="auto"/>
          <w:szCs w:val="21"/>
          <w:lang w:eastAsia="zh-TW"/>
        </w:rPr>
        <w:t>总价中也不得缺漏</w:t>
      </w:r>
      <w:r>
        <w:rPr>
          <w:rFonts w:hint="eastAsia" w:ascii="宋体" w:hAnsi="宋体" w:cs="宋体"/>
          <w:color w:val="auto"/>
          <w:szCs w:val="21"/>
        </w:rPr>
        <w:t>磋商</w:t>
      </w:r>
      <w:r>
        <w:rPr>
          <w:rFonts w:hint="eastAsia" w:ascii="宋体" w:hAnsi="宋体" w:cs="宋体"/>
          <w:color w:val="auto"/>
          <w:szCs w:val="21"/>
          <w:lang w:eastAsia="zh-TW"/>
        </w:rPr>
        <w:t>文件所要求的内容，否则，被视为</w:t>
      </w:r>
      <w:r>
        <w:rPr>
          <w:rFonts w:hint="eastAsia" w:ascii="宋体" w:hAnsi="宋体" w:cs="宋体"/>
          <w:color w:val="auto"/>
          <w:szCs w:val="21"/>
        </w:rPr>
        <w:t>包含在报价中</w:t>
      </w:r>
      <w:r>
        <w:rPr>
          <w:rFonts w:hint="eastAsia" w:ascii="宋体" w:hAnsi="宋体" w:cs="宋体"/>
          <w:color w:val="auto"/>
          <w:szCs w:val="21"/>
          <w:lang w:eastAsia="zh-TW"/>
        </w:rPr>
        <w:t>。</w:t>
      </w:r>
    </w:p>
    <w:p>
      <w:pPr>
        <w:numPr>
          <w:ilvl w:val="1"/>
          <w:numId w:val="5"/>
        </w:numPr>
        <w:autoSpaceDE w:val="0"/>
        <w:autoSpaceDN w:val="0"/>
        <w:adjustRightInd w:val="0"/>
        <w:snapToGrid w:val="0"/>
        <w:spacing w:line="360" w:lineRule="auto"/>
        <w:jc w:val="left"/>
        <w:rPr>
          <w:rFonts w:ascii="宋体" w:hAnsi="宋体" w:cs="宋体"/>
          <w:color w:val="auto"/>
          <w:szCs w:val="21"/>
        </w:rPr>
      </w:pPr>
      <w:r>
        <w:rPr>
          <w:rFonts w:hint="eastAsia" w:cs="宋体"/>
          <w:color w:val="auto"/>
          <w:szCs w:val="21"/>
        </w:rPr>
        <w:t>供应商</w:t>
      </w:r>
      <w:r>
        <w:rPr>
          <w:rFonts w:hint="eastAsia" w:ascii="宋体" w:hAnsi="宋体" w:cs="宋体"/>
          <w:color w:val="auto"/>
          <w:szCs w:val="21"/>
        </w:rPr>
        <w:t>的报价明显低于其他响应报价，使得其响应报价可能低于其个别成本的，有可能影响服务质量和不能诚信履约的，磋商小组可以要求该</w:t>
      </w:r>
      <w:r>
        <w:rPr>
          <w:rFonts w:hint="eastAsia" w:cs="宋体"/>
          <w:color w:val="auto"/>
          <w:szCs w:val="21"/>
        </w:rPr>
        <w:t>供应商</w:t>
      </w:r>
      <w:r>
        <w:rPr>
          <w:rFonts w:hint="eastAsia" w:ascii="宋体" w:hAnsi="宋体" w:cs="宋体"/>
          <w:color w:val="auto"/>
          <w:szCs w:val="21"/>
        </w:rPr>
        <w:t>作出书面说明并提供相关证明材料。</w:t>
      </w:r>
      <w:r>
        <w:rPr>
          <w:rFonts w:hint="eastAsia" w:cs="宋体"/>
          <w:color w:val="auto"/>
          <w:szCs w:val="21"/>
        </w:rPr>
        <w:t>供应商</w:t>
      </w:r>
      <w:r>
        <w:rPr>
          <w:rFonts w:hint="eastAsia" w:ascii="宋体" w:hAnsi="宋体" w:cs="宋体"/>
          <w:color w:val="auto"/>
          <w:szCs w:val="21"/>
        </w:rPr>
        <w:t>不能合理说明或者不能提供相关证明材料的，由磋商小组认定该供应商以低于成本报价竞标其报价应作无效竞标处理。</w:t>
      </w:r>
    </w:p>
    <w:p>
      <w:pPr>
        <w:numPr>
          <w:ilvl w:val="1"/>
          <w:numId w:val="5"/>
        </w:numPr>
        <w:autoSpaceDE w:val="0"/>
        <w:autoSpaceDN w:val="0"/>
        <w:adjustRightInd w:val="0"/>
        <w:snapToGrid w:val="0"/>
        <w:spacing w:line="360" w:lineRule="auto"/>
        <w:jc w:val="left"/>
        <w:rPr>
          <w:rFonts w:ascii="宋体" w:hAnsi="宋体"/>
          <w:color w:val="auto"/>
          <w:szCs w:val="21"/>
        </w:rPr>
      </w:pPr>
      <w:r>
        <w:rPr>
          <w:rFonts w:hint="eastAsia" w:ascii="宋体" w:hAnsi="宋体" w:cs="宋体"/>
          <w:color w:val="auto"/>
          <w:szCs w:val="21"/>
          <w:lang w:eastAsia="zh-TW"/>
        </w:rPr>
        <w:t>报价明细表</w:t>
      </w:r>
      <w:r>
        <w:rPr>
          <w:rFonts w:hint="eastAsia" w:ascii="宋体" w:hAnsi="宋体" w:cs="宋体"/>
          <w:color w:val="auto"/>
          <w:szCs w:val="21"/>
        </w:rPr>
        <w:t>内容应包含：</w:t>
      </w:r>
    </w:p>
    <w:p>
      <w:pPr>
        <w:numPr>
          <w:ilvl w:val="2"/>
          <w:numId w:val="5"/>
        </w:numPr>
        <w:tabs>
          <w:tab w:val="left" w:pos="851"/>
        </w:tabs>
        <w:autoSpaceDE w:val="0"/>
        <w:autoSpaceDN w:val="0"/>
        <w:adjustRightInd w:val="0"/>
        <w:snapToGrid w:val="0"/>
        <w:spacing w:line="360" w:lineRule="auto"/>
        <w:jc w:val="left"/>
        <w:rPr>
          <w:rFonts w:ascii="宋体" w:hAnsi="宋体" w:cs="宋体"/>
          <w:color w:val="auto"/>
          <w:szCs w:val="21"/>
        </w:rPr>
      </w:pPr>
      <w:r>
        <w:rPr>
          <w:rFonts w:hint="eastAsia" w:ascii="宋体" w:hAnsi="宋体" w:cs="宋体"/>
          <w:color w:val="auto"/>
          <w:szCs w:val="21"/>
        </w:rPr>
        <w:t>竞争性磋商文件要求全部服务所需的费用；</w:t>
      </w:r>
    </w:p>
    <w:p>
      <w:pPr>
        <w:numPr>
          <w:ilvl w:val="2"/>
          <w:numId w:val="5"/>
        </w:numPr>
        <w:tabs>
          <w:tab w:val="left" w:pos="851"/>
        </w:tabs>
        <w:autoSpaceDE w:val="0"/>
        <w:autoSpaceDN w:val="0"/>
        <w:adjustRightInd w:val="0"/>
        <w:snapToGrid w:val="0"/>
        <w:spacing w:line="360" w:lineRule="auto"/>
        <w:jc w:val="left"/>
        <w:rPr>
          <w:rFonts w:ascii="宋体" w:hAnsi="宋体"/>
          <w:color w:val="auto"/>
          <w:szCs w:val="21"/>
        </w:rPr>
      </w:pPr>
      <w:r>
        <w:rPr>
          <w:rFonts w:hint="eastAsia" w:ascii="宋体" w:hAnsi="宋体" w:cs="宋体"/>
          <w:color w:val="auto"/>
          <w:szCs w:val="21"/>
        </w:rPr>
        <w:t>报价包含履行合同所有相关服务所需的费用；</w:t>
      </w:r>
    </w:p>
    <w:p>
      <w:pPr>
        <w:numPr>
          <w:ilvl w:val="2"/>
          <w:numId w:val="5"/>
        </w:numPr>
        <w:tabs>
          <w:tab w:val="left" w:pos="851"/>
        </w:tabs>
        <w:autoSpaceDE w:val="0"/>
        <w:autoSpaceDN w:val="0"/>
        <w:adjustRightInd w:val="0"/>
        <w:snapToGrid w:val="0"/>
        <w:spacing w:line="360" w:lineRule="auto"/>
        <w:jc w:val="left"/>
        <w:rPr>
          <w:rFonts w:ascii="宋体" w:hAnsi="宋体" w:cs="宋体"/>
          <w:color w:val="auto"/>
          <w:szCs w:val="21"/>
        </w:rPr>
      </w:pPr>
      <w:r>
        <w:rPr>
          <w:rFonts w:hint="eastAsia" w:ascii="宋体" w:hAnsi="宋体" w:cs="宋体"/>
          <w:color w:val="auto"/>
          <w:szCs w:val="21"/>
        </w:rPr>
        <w:t>报价均应包含所有的税费；</w:t>
      </w:r>
    </w:p>
    <w:p>
      <w:pPr>
        <w:numPr>
          <w:ilvl w:val="2"/>
          <w:numId w:val="5"/>
        </w:numPr>
        <w:tabs>
          <w:tab w:val="left" w:pos="851"/>
        </w:tabs>
        <w:autoSpaceDE w:val="0"/>
        <w:autoSpaceDN w:val="0"/>
        <w:adjustRightInd w:val="0"/>
        <w:snapToGrid w:val="0"/>
        <w:spacing w:line="360" w:lineRule="auto"/>
        <w:jc w:val="left"/>
        <w:rPr>
          <w:rFonts w:ascii="宋体" w:hAnsi="宋体" w:cs="宋体"/>
          <w:color w:val="auto"/>
          <w:szCs w:val="21"/>
        </w:rPr>
      </w:pPr>
      <w:r>
        <w:rPr>
          <w:rFonts w:hint="eastAsia" w:ascii="宋体" w:hAnsi="宋体" w:cs="宋体"/>
          <w:color w:val="auto"/>
          <w:szCs w:val="21"/>
        </w:rPr>
        <w:t>其他一切隐含及不可预见的费用；</w:t>
      </w:r>
    </w:p>
    <w:p>
      <w:pPr>
        <w:numPr>
          <w:ilvl w:val="1"/>
          <w:numId w:val="5"/>
        </w:numPr>
        <w:autoSpaceDE w:val="0"/>
        <w:autoSpaceDN w:val="0"/>
        <w:adjustRightInd w:val="0"/>
        <w:snapToGrid w:val="0"/>
        <w:spacing w:line="360" w:lineRule="auto"/>
        <w:jc w:val="left"/>
        <w:rPr>
          <w:rFonts w:ascii="宋体" w:hAnsi="宋体" w:cs="宋体"/>
          <w:color w:val="auto"/>
          <w:szCs w:val="21"/>
          <w:lang w:eastAsia="zh-TW"/>
        </w:rPr>
      </w:pPr>
      <w:r>
        <w:rPr>
          <w:rFonts w:hint="eastAsia" w:ascii="宋体" w:hAnsi="宋体" w:cs="宋体"/>
          <w:color w:val="auto"/>
          <w:szCs w:val="21"/>
        </w:rPr>
        <w:t>报价为本次采购内容的</w:t>
      </w:r>
      <w:r>
        <w:rPr>
          <w:rFonts w:hint="eastAsia" w:ascii="宋体" w:hAnsi="宋体" w:cs="宋体"/>
          <w:color w:val="auto"/>
          <w:szCs w:val="21"/>
        </w:rPr>
        <w:t>综合单价包干</w:t>
      </w:r>
      <w:r>
        <w:rPr>
          <w:rFonts w:hint="eastAsia" w:ascii="宋体" w:hAnsi="宋体" w:cs="宋体"/>
          <w:color w:val="auto"/>
          <w:szCs w:val="21"/>
        </w:rPr>
        <w:t>响应报价即为合同价，不得在成交后提出任何增加费用要求，</w:t>
      </w:r>
      <w:r>
        <w:rPr>
          <w:rFonts w:hint="eastAsia" w:cs="宋体"/>
          <w:color w:val="auto"/>
          <w:szCs w:val="21"/>
        </w:rPr>
        <w:t>供应商</w:t>
      </w:r>
      <w:r>
        <w:rPr>
          <w:rFonts w:hint="eastAsia" w:ascii="宋体" w:hAnsi="宋体" w:cs="宋体"/>
          <w:color w:val="auto"/>
          <w:szCs w:val="21"/>
        </w:rPr>
        <w:t>在报价时应充分考虑相关风险性因素。</w:t>
      </w:r>
    </w:p>
    <w:p>
      <w:pPr>
        <w:numPr>
          <w:ilvl w:val="1"/>
          <w:numId w:val="5"/>
        </w:numPr>
        <w:autoSpaceDE w:val="0"/>
        <w:autoSpaceDN w:val="0"/>
        <w:adjustRightInd w:val="0"/>
        <w:snapToGrid w:val="0"/>
        <w:spacing w:line="360" w:lineRule="auto"/>
        <w:jc w:val="left"/>
        <w:rPr>
          <w:rFonts w:ascii="宋体" w:hAnsi="宋体" w:cs="宋体"/>
          <w:color w:val="auto"/>
          <w:szCs w:val="21"/>
          <w:lang w:eastAsia="zh-TW"/>
        </w:rPr>
      </w:pPr>
      <w:r>
        <w:rPr>
          <w:rFonts w:hint="eastAsia" w:cs="宋体"/>
          <w:color w:val="auto"/>
          <w:szCs w:val="21"/>
        </w:rPr>
        <w:t>供应商</w:t>
      </w:r>
      <w:r>
        <w:rPr>
          <w:rFonts w:hint="eastAsia" w:ascii="宋体" w:hAnsi="宋体" w:cs="宋体"/>
          <w:color w:val="auto"/>
          <w:szCs w:val="21"/>
        </w:rPr>
        <w:t>在获得成交资格并签署合同后，服务期限内出现的任何遗漏，均由成交供应商负责，采购人将不再支付任何费用。</w:t>
      </w:r>
    </w:p>
    <w:p>
      <w:pPr>
        <w:numPr>
          <w:ilvl w:val="1"/>
          <w:numId w:val="5"/>
        </w:numPr>
        <w:autoSpaceDE w:val="0"/>
        <w:autoSpaceDN w:val="0"/>
        <w:adjustRightInd w:val="0"/>
        <w:snapToGrid w:val="0"/>
        <w:spacing w:line="360" w:lineRule="auto"/>
        <w:jc w:val="left"/>
        <w:rPr>
          <w:rFonts w:ascii="宋体" w:hAnsi="宋体" w:cs="宋体"/>
          <w:color w:val="auto"/>
          <w:szCs w:val="21"/>
          <w:lang w:eastAsia="zh-TW"/>
        </w:rPr>
      </w:pPr>
      <w:r>
        <w:rPr>
          <w:rFonts w:hint="eastAsia" w:ascii="宋体" w:hAnsi="宋体" w:cs="宋体"/>
          <w:color w:val="auto"/>
          <w:szCs w:val="21"/>
          <w:lang w:eastAsia="zh-TW"/>
        </w:rPr>
        <w:t>对于报价免费的项目须标明“免费”。</w:t>
      </w:r>
    </w:p>
    <w:p>
      <w:pPr>
        <w:numPr>
          <w:ilvl w:val="1"/>
          <w:numId w:val="5"/>
        </w:numPr>
        <w:autoSpaceDE w:val="0"/>
        <w:autoSpaceDN w:val="0"/>
        <w:adjustRightInd w:val="0"/>
        <w:snapToGrid w:val="0"/>
        <w:spacing w:line="360" w:lineRule="auto"/>
        <w:jc w:val="left"/>
        <w:rPr>
          <w:rFonts w:ascii="宋体" w:hAnsi="宋体" w:cs="宋体"/>
          <w:color w:val="auto"/>
          <w:szCs w:val="21"/>
        </w:rPr>
      </w:pPr>
      <w:r>
        <w:rPr>
          <w:rFonts w:hint="eastAsia" w:cs="宋体"/>
          <w:color w:val="auto"/>
          <w:szCs w:val="21"/>
        </w:rPr>
        <w:t>供应商</w:t>
      </w:r>
      <w:r>
        <w:rPr>
          <w:rFonts w:hint="eastAsia" w:ascii="宋体" w:hAnsi="宋体" w:cs="宋体"/>
          <w:color w:val="auto"/>
          <w:szCs w:val="21"/>
          <w:lang w:eastAsia="zh-TW"/>
        </w:rPr>
        <w:t>所报的</w:t>
      </w:r>
      <w:r>
        <w:rPr>
          <w:rFonts w:hint="eastAsia" w:ascii="宋体" w:hAnsi="宋体" w:cs="宋体"/>
          <w:color w:val="auto"/>
          <w:szCs w:val="21"/>
        </w:rPr>
        <w:t>响应报</w:t>
      </w:r>
      <w:r>
        <w:rPr>
          <w:rFonts w:hint="eastAsia" w:ascii="宋体" w:hAnsi="宋体" w:cs="宋体"/>
          <w:color w:val="auto"/>
          <w:szCs w:val="21"/>
          <w:lang w:eastAsia="zh-TW"/>
        </w:rPr>
        <w:t>价在合同执行过程中是固定不变的</w:t>
      </w:r>
      <w:r>
        <w:rPr>
          <w:rFonts w:hint="eastAsia" w:ascii="宋体" w:hAnsi="宋体" w:cs="宋体"/>
          <w:color w:val="auto"/>
          <w:szCs w:val="21"/>
        </w:rPr>
        <w:t>，</w:t>
      </w:r>
      <w:r>
        <w:rPr>
          <w:rFonts w:hint="eastAsia" w:ascii="宋体" w:hAnsi="宋体" w:cs="宋体"/>
          <w:color w:val="auto"/>
          <w:szCs w:val="21"/>
          <w:lang w:eastAsia="zh-TW"/>
        </w:rPr>
        <w:t>不得以任何理由予以变更。任何包含价格调整要求的</w:t>
      </w:r>
      <w:r>
        <w:rPr>
          <w:rFonts w:hint="eastAsia" w:ascii="宋体" w:hAnsi="宋体" w:cs="宋体"/>
          <w:color w:val="auto"/>
          <w:szCs w:val="21"/>
        </w:rPr>
        <w:t>报价</w:t>
      </w:r>
      <w:r>
        <w:rPr>
          <w:rFonts w:hint="eastAsia" w:ascii="宋体" w:hAnsi="宋体" w:cs="宋体"/>
          <w:color w:val="auto"/>
          <w:szCs w:val="21"/>
          <w:lang w:eastAsia="zh-TW"/>
        </w:rPr>
        <w:t>被认为是非实质性响应而予以拒绝。</w:t>
      </w:r>
    </w:p>
    <w:p>
      <w:pPr>
        <w:numPr>
          <w:ilvl w:val="1"/>
          <w:numId w:val="5"/>
        </w:numPr>
        <w:autoSpaceDE w:val="0"/>
        <w:autoSpaceDN w:val="0"/>
        <w:adjustRightInd w:val="0"/>
        <w:snapToGrid w:val="0"/>
        <w:spacing w:line="360" w:lineRule="auto"/>
        <w:jc w:val="left"/>
        <w:rPr>
          <w:rFonts w:ascii="宋体" w:hAnsi="宋体" w:cs="宋体"/>
          <w:color w:val="auto"/>
          <w:szCs w:val="21"/>
        </w:rPr>
      </w:pPr>
      <w:r>
        <w:rPr>
          <w:rFonts w:hint="eastAsia" w:ascii="宋体" w:hAnsi="宋体" w:cs="宋体"/>
          <w:color w:val="auto"/>
          <w:szCs w:val="21"/>
        </w:rPr>
        <w:t>投标报价应为包括设计图纸和工程量清单项目所发生的人工费、材料费、机械费、管理费、利润、项目措施费、规费、税金、配合费、预留金以及施工合同包含的所有风险、责任等全部费用。</w:t>
      </w:r>
    </w:p>
    <w:p>
      <w:pPr>
        <w:numPr>
          <w:ilvl w:val="1"/>
          <w:numId w:val="5"/>
        </w:numPr>
        <w:autoSpaceDE w:val="0"/>
        <w:autoSpaceDN w:val="0"/>
        <w:adjustRightInd w:val="0"/>
        <w:snapToGrid w:val="0"/>
        <w:spacing w:line="360" w:lineRule="auto"/>
        <w:jc w:val="left"/>
        <w:rPr>
          <w:rFonts w:ascii="宋体" w:hAnsi="宋体" w:cs="宋体"/>
          <w:color w:val="auto"/>
          <w:szCs w:val="21"/>
        </w:rPr>
      </w:pPr>
      <w:r>
        <w:rPr>
          <w:rFonts w:hint="eastAsia" w:ascii="宋体" w:hAnsi="宋体" w:cs="宋体"/>
          <w:color w:val="auto"/>
          <w:szCs w:val="21"/>
        </w:rPr>
        <w:t>采购人可根据项目的实际情况增减（或变更）工程量，中标人不得拒绝。在变更过程中，一、凡清单内已有的计价项目，综合单价不予调整；二、清单内有类似项目（类似项目是指做法及计价程序均相同，仅主材品牌、规格、型号或颜色不同的），套用清单内类似项目的综合单价计价程序，套换主材单价计取综合单价，主材价格按广州市建设工程造价管理站同期《广州建设工程造价信息》材料综合价格计算，《广州建设工程造价信息》没有的，由采购人、中标人、监理单位按实际使用的厂家、品牌、规格、质量等结合市场行情进行确定；三、增减（变更）项目在清单内没有相同或类似项目的，综合单价按广州市建委颁布的现行有关定额、广州市建设工程造价管理站公布的施工时期材料信息，市政公用工程部分按《市政公用工程工程量清单计价规范》（GB50500-2013）和《广东省建筑与装饰工程综合定额2018》，安装工程部分按《广东省安装、市政、园林绿化工程工程量清单计价指引》和《广东省安装工程综合定额2018》，其他工程按省、市建委颁发的现行执行定额计算。材料单价中，主材价格按广州市建设工程造价管理站发布的施工时期的《广州建设工程造价信息》中的常用材料税前综合价格部分计算，《广州建设工程造价信息》中没有的主材价格，由采购人、中标人、监理单位按实际使用的厂家、品牌、规格及质量等进行市场确定，取费标准中的利润按人工费的18%计取。变更部分的下浮率按投标下浮率（投标下浮率=（采购预算-中标价）÷采购预算×100%）作总价下浮计算，当下浮率不足8%时，按下浮率8%计算，但双方已经办理过定价手续的清单项目或主材所涉及费用不再参与下浮。没有上述计价依据的工程项目，由发包方和承包方协商。</w:t>
      </w:r>
    </w:p>
    <w:p>
      <w:pPr>
        <w:autoSpaceDE w:val="0"/>
        <w:autoSpaceDN w:val="0"/>
        <w:adjustRightInd w:val="0"/>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1）投标人所报任何分部分项工程量清单项目的综合单价高于套用建设主管部门规定的相关专业定额价格的30%以上时，采购人有权认为此报价为恶意高价，在工程结算时，该项目的综合单价将按照本条第2）条款中“没有相同或相似工程项目的”处理办法进行予以结算。(如有)</w:t>
      </w:r>
    </w:p>
    <w:p>
      <w:pPr>
        <w:autoSpaceDE w:val="0"/>
        <w:autoSpaceDN w:val="0"/>
        <w:adjustRightInd w:val="0"/>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2）对于任一分部分项工程量清单项目，如因设计变更、方案调整等原因导致工程量偏差超过15%，则超过15%部分的综合单价按照下列规定调整结算分部分项工程费：(如有)</w:t>
      </w:r>
    </w:p>
    <w:p>
      <w:pPr>
        <w:autoSpaceDE w:val="0"/>
        <w:autoSpaceDN w:val="0"/>
        <w:adjustRightInd w:val="0"/>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①当Q1﹥1.15Q0时，S=1.15Q0×P0+（Q1-1.15Q0）×P1,其中P1=0.9 P0</w:t>
      </w:r>
    </w:p>
    <w:p>
      <w:pPr>
        <w:autoSpaceDE w:val="0"/>
        <w:autoSpaceDN w:val="0"/>
        <w:adjustRightInd w:val="0"/>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②当Q1﹤0.85Q0时，S=Q1×P0 = Q1×P1, 其中P0=P1</w:t>
      </w:r>
    </w:p>
    <w:p>
      <w:pPr>
        <w:autoSpaceDE w:val="0"/>
        <w:autoSpaceDN w:val="0"/>
        <w:adjustRightInd w:val="0"/>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式中   S ——调整后的某一分部分项工程费结算价；</w:t>
      </w:r>
    </w:p>
    <w:p>
      <w:pPr>
        <w:autoSpaceDE w:val="0"/>
        <w:autoSpaceDN w:val="0"/>
        <w:adjustRightInd w:val="0"/>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 xml:space="preserve">       Q1——最终完成的工程量； </w:t>
      </w:r>
    </w:p>
    <w:p>
      <w:pPr>
        <w:autoSpaceDE w:val="0"/>
        <w:autoSpaceDN w:val="0"/>
        <w:adjustRightInd w:val="0"/>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 xml:space="preserve">       Q0——工程量清单中开列的工程量； </w:t>
      </w:r>
    </w:p>
    <w:p>
      <w:pPr>
        <w:autoSpaceDE w:val="0"/>
        <w:autoSpaceDN w:val="0"/>
        <w:adjustRightInd w:val="0"/>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 xml:space="preserve">       P1——按照最终完成工程量重新调整后的综合单价； </w:t>
      </w:r>
    </w:p>
    <w:p>
      <w:pPr>
        <w:autoSpaceDE w:val="0"/>
        <w:autoSpaceDN w:val="0"/>
        <w:adjustRightInd w:val="0"/>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 xml:space="preserve">       P0——承包人在工程量清单中填报的综合单价。</w:t>
      </w:r>
    </w:p>
    <w:p>
      <w:pPr>
        <w:numPr>
          <w:ilvl w:val="1"/>
          <w:numId w:val="5"/>
        </w:numPr>
        <w:autoSpaceDE w:val="0"/>
        <w:autoSpaceDN w:val="0"/>
        <w:adjustRightInd w:val="0"/>
        <w:snapToGrid w:val="0"/>
        <w:spacing w:line="360" w:lineRule="auto"/>
        <w:jc w:val="left"/>
        <w:rPr>
          <w:rFonts w:ascii="宋体" w:hAnsi="宋体" w:cs="宋体"/>
          <w:color w:val="auto"/>
          <w:szCs w:val="21"/>
        </w:rPr>
      </w:pPr>
      <w:r>
        <w:rPr>
          <w:rFonts w:hint="eastAsia" w:ascii="宋体" w:hAnsi="宋体" w:cs="宋体"/>
          <w:color w:val="auto"/>
          <w:szCs w:val="21"/>
        </w:rPr>
        <w:t>投标人报价须充分综合考虑如下实际因素，投标人一旦中标，采购人不再因如下因素进行造价和工期的调整：a、本工程位于采购人科研的重要场所内，投标人须服从采购人因科研需要合理安排施工工序及施工时间和停电时间，确保施工工作不妨碍采购人的科研秩序；b、本工程相关材料检测和消防报验工作由投标人负责，相关费用由投标人在投标报价内综合考虑，采购人不再支付任何费用；c、本工程相关安全及材料检测工作由投标人负责，相关费用由投标人在投标报价内综合考虑，采购人不再支付任何费用。</w:t>
      </w:r>
    </w:p>
    <w:p>
      <w:pPr>
        <w:numPr>
          <w:ilvl w:val="1"/>
          <w:numId w:val="5"/>
        </w:numPr>
        <w:autoSpaceDE w:val="0"/>
        <w:autoSpaceDN w:val="0"/>
        <w:adjustRightInd w:val="0"/>
        <w:snapToGrid w:val="0"/>
        <w:spacing w:line="360" w:lineRule="auto"/>
        <w:jc w:val="left"/>
        <w:rPr>
          <w:rFonts w:ascii="宋体" w:hAnsi="宋体" w:cs="宋体"/>
          <w:color w:val="auto"/>
          <w:szCs w:val="21"/>
        </w:rPr>
      </w:pPr>
      <w:r>
        <w:rPr>
          <w:rFonts w:hint="eastAsia" w:ascii="宋体" w:hAnsi="宋体" w:cs="宋体"/>
          <w:color w:val="auto"/>
          <w:szCs w:val="21"/>
        </w:rPr>
        <w:t>合同工程质量保修期 2年，结合具体工程要求如下：(如有)</w:t>
      </w:r>
    </w:p>
    <w:p>
      <w:pPr>
        <w:autoSpaceDE w:val="0"/>
        <w:autoSpaceDN w:val="0"/>
        <w:adjustRightInd w:val="0"/>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1)地基基础工程、主体结构工程为设计文件规定的合理使用年限；</w:t>
      </w:r>
    </w:p>
    <w:p>
      <w:pPr>
        <w:autoSpaceDE w:val="0"/>
        <w:autoSpaceDN w:val="0"/>
        <w:adjustRightInd w:val="0"/>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2)屋面防水工程、有防水要求的卫生间、房间和外墙面的防渗漏工程为</w:t>
      </w:r>
      <w:r>
        <w:rPr>
          <w:rFonts w:hint="eastAsia" w:ascii="宋体" w:hAnsi="宋体" w:cs="宋体"/>
          <w:color w:val="auto"/>
          <w:szCs w:val="21"/>
          <w:u w:val="single"/>
        </w:rPr>
        <w:t>五</w:t>
      </w:r>
      <w:r>
        <w:rPr>
          <w:rFonts w:hint="eastAsia" w:ascii="宋体" w:hAnsi="宋体" w:cs="宋体"/>
          <w:color w:val="auto"/>
          <w:szCs w:val="21"/>
        </w:rPr>
        <w:t>年；</w:t>
      </w:r>
    </w:p>
    <w:p>
      <w:pPr>
        <w:autoSpaceDE w:val="0"/>
        <w:autoSpaceDN w:val="0"/>
        <w:adjustRightInd w:val="0"/>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3)电气管线工程、给排水管道工程、设备安装工程为</w:t>
      </w:r>
      <w:r>
        <w:rPr>
          <w:rFonts w:hint="eastAsia" w:ascii="宋体" w:hAnsi="宋体" w:cs="宋体"/>
          <w:color w:val="auto"/>
          <w:szCs w:val="21"/>
          <w:u w:val="single"/>
        </w:rPr>
        <w:t xml:space="preserve"> 两 </w:t>
      </w:r>
      <w:r>
        <w:rPr>
          <w:rFonts w:hint="eastAsia" w:ascii="宋体" w:hAnsi="宋体" w:cs="宋体"/>
          <w:color w:val="auto"/>
          <w:szCs w:val="21"/>
        </w:rPr>
        <w:t>年；</w:t>
      </w:r>
    </w:p>
    <w:p>
      <w:pPr>
        <w:autoSpaceDE w:val="0"/>
        <w:autoSpaceDN w:val="0"/>
        <w:adjustRightInd w:val="0"/>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4)供热、供冷系统工程为</w:t>
      </w:r>
      <w:r>
        <w:rPr>
          <w:rFonts w:hint="eastAsia" w:ascii="宋体" w:hAnsi="宋体" w:cs="宋体"/>
          <w:color w:val="auto"/>
          <w:szCs w:val="21"/>
          <w:u w:val="single"/>
        </w:rPr>
        <w:t xml:space="preserve">  两 </w:t>
      </w:r>
      <w:r>
        <w:rPr>
          <w:rFonts w:hint="eastAsia" w:ascii="宋体" w:hAnsi="宋体" w:cs="宋体"/>
          <w:color w:val="auto"/>
          <w:szCs w:val="21"/>
        </w:rPr>
        <w:t xml:space="preserve">个采暖期、供冷期； </w:t>
      </w:r>
    </w:p>
    <w:p>
      <w:pPr>
        <w:autoSpaceDE w:val="0"/>
        <w:autoSpaceDN w:val="0"/>
        <w:adjustRightInd w:val="0"/>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5)装饰装修工程为</w:t>
      </w:r>
      <w:r>
        <w:rPr>
          <w:rFonts w:hint="eastAsia" w:ascii="宋体" w:hAnsi="宋体" w:cs="宋体"/>
          <w:color w:val="auto"/>
          <w:szCs w:val="21"/>
          <w:u w:val="single"/>
        </w:rPr>
        <w:t xml:space="preserve"> </w:t>
      </w:r>
      <w:r>
        <w:rPr>
          <w:rFonts w:hint="eastAsia" w:ascii="宋体" w:hAnsi="宋体" w:cs="宋体"/>
          <w:color w:val="auto"/>
          <w:szCs w:val="21"/>
          <w:u w:val="single"/>
        </w:rPr>
        <w:tab/>
      </w:r>
      <w:r>
        <w:rPr>
          <w:rFonts w:hint="eastAsia" w:ascii="宋体" w:hAnsi="宋体" w:cs="宋体"/>
          <w:color w:val="auto"/>
          <w:szCs w:val="21"/>
          <w:u w:val="single"/>
        </w:rPr>
        <w:t xml:space="preserve">两   </w:t>
      </w:r>
      <w:r>
        <w:rPr>
          <w:rFonts w:hint="eastAsia" w:ascii="宋体" w:hAnsi="宋体" w:cs="宋体"/>
          <w:color w:val="auto"/>
          <w:szCs w:val="21"/>
        </w:rPr>
        <w:t>年；</w:t>
      </w:r>
    </w:p>
    <w:p>
      <w:pPr>
        <w:autoSpaceDE w:val="0"/>
        <w:autoSpaceDN w:val="0"/>
        <w:adjustRightInd w:val="0"/>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6)其他项目</w:t>
      </w:r>
      <w:r>
        <w:rPr>
          <w:rFonts w:hint="eastAsia" w:ascii="宋体" w:hAnsi="宋体" w:cs="宋体"/>
          <w:color w:val="auto"/>
          <w:szCs w:val="21"/>
          <w:u w:val="single"/>
        </w:rPr>
        <w:t xml:space="preserve"> 保修期为竣工证书发出后的24个月</w:t>
      </w:r>
      <w:r>
        <w:rPr>
          <w:rFonts w:hint="eastAsia" w:ascii="宋体" w:hAnsi="宋体" w:cs="宋体"/>
          <w:color w:val="auto"/>
          <w:szCs w:val="21"/>
        </w:rPr>
        <w:t>。</w:t>
      </w:r>
    </w:p>
    <w:p>
      <w:pPr>
        <w:numPr>
          <w:ilvl w:val="1"/>
          <w:numId w:val="5"/>
        </w:numPr>
        <w:autoSpaceDE w:val="0"/>
        <w:autoSpaceDN w:val="0"/>
        <w:adjustRightInd w:val="0"/>
        <w:snapToGrid w:val="0"/>
        <w:spacing w:line="360" w:lineRule="auto"/>
        <w:jc w:val="left"/>
        <w:rPr>
          <w:rFonts w:ascii="宋体" w:hAnsi="宋体" w:cs="宋体"/>
          <w:color w:val="auto"/>
          <w:szCs w:val="21"/>
        </w:rPr>
      </w:pPr>
      <w:r>
        <w:rPr>
          <w:rFonts w:hint="eastAsia" w:ascii="宋体" w:hAnsi="宋体" w:cs="宋体"/>
          <w:color w:val="auto"/>
          <w:szCs w:val="21"/>
        </w:rPr>
        <w:t>质量保证金：项目完成后，中标人向采购人提交结算价5%的质量保证金，在两年质保期满后15个工作日内由采购人无息退还给中标人若承包人在质量保证期内未完全履行缺陷保修义务的，发包人有权扣除质量保证金，并保留进一步索赔的权利。</w:t>
      </w:r>
    </w:p>
    <w:p>
      <w:pPr>
        <w:numPr>
          <w:ilvl w:val="1"/>
          <w:numId w:val="5"/>
        </w:numPr>
        <w:autoSpaceDE w:val="0"/>
        <w:autoSpaceDN w:val="0"/>
        <w:adjustRightInd w:val="0"/>
        <w:snapToGrid w:val="0"/>
        <w:spacing w:line="360" w:lineRule="auto"/>
        <w:jc w:val="left"/>
        <w:rPr>
          <w:rFonts w:ascii="宋体" w:hAnsi="宋体"/>
          <w:color w:val="auto"/>
          <w:szCs w:val="21"/>
        </w:rPr>
      </w:pPr>
      <w:r>
        <w:rPr>
          <w:rFonts w:hint="eastAsia" w:ascii="宋体" w:hAnsi="宋体"/>
          <w:color w:val="auto"/>
          <w:szCs w:val="21"/>
        </w:rPr>
        <w:t>除</w:t>
      </w:r>
      <w:r>
        <w:rPr>
          <w:rFonts w:hint="eastAsia" w:ascii="宋体" w:hAnsi="宋体" w:cs="宋体"/>
          <w:color w:val="auto"/>
          <w:szCs w:val="21"/>
        </w:rPr>
        <w:t>磋商</w:t>
      </w:r>
      <w:r>
        <w:rPr>
          <w:rFonts w:hint="eastAsia" w:ascii="宋体" w:hAnsi="宋体"/>
          <w:color w:val="auto"/>
          <w:szCs w:val="21"/>
        </w:rPr>
        <w:t>文件中另有规定，本次采购不接受选择性报价及备选方案，</w:t>
      </w:r>
      <w:r>
        <w:rPr>
          <w:rFonts w:hint="eastAsia" w:ascii="宋体" w:hAnsi="宋体" w:cs="宋体"/>
          <w:color w:val="auto"/>
          <w:szCs w:val="21"/>
        </w:rPr>
        <w:t>否则将被视为无效报价。</w:t>
      </w:r>
    </w:p>
    <w:p>
      <w:pPr>
        <w:numPr>
          <w:ilvl w:val="1"/>
          <w:numId w:val="5"/>
        </w:numPr>
        <w:autoSpaceDE w:val="0"/>
        <w:autoSpaceDN w:val="0"/>
        <w:adjustRightInd w:val="0"/>
        <w:snapToGrid w:val="0"/>
        <w:spacing w:line="360" w:lineRule="auto"/>
        <w:jc w:val="left"/>
        <w:rPr>
          <w:rFonts w:ascii="宋体" w:hAnsi="宋体"/>
          <w:color w:val="auto"/>
          <w:szCs w:val="21"/>
        </w:rPr>
      </w:pPr>
      <w:r>
        <w:rPr>
          <w:rFonts w:hint="eastAsia" w:ascii="宋体" w:hAnsi="宋体"/>
          <w:color w:val="auto"/>
          <w:szCs w:val="21"/>
        </w:rPr>
        <w:t>除</w:t>
      </w:r>
      <w:r>
        <w:rPr>
          <w:rFonts w:hint="eastAsia" w:ascii="宋体" w:hAnsi="宋体" w:cs="宋体"/>
          <w:color w:val="auto"/>
          <w:szCs w:val="21"/>
        </w:rPr>
        <w:t>磋商</w:t>
      </w:r>
      <w:r>
        <w:rPr>
          <w:rFonts w:hint="eastAsia" w:ascii="宋体" w:hAnsi="宋体"/>
          <w:color w:val="auto"/>
          <w:szCs w:val="21"/>
        </w:rPr>
        <w:t>文件中另有规定，本次采购不接受具有附加条件的报价，否则将被视为无效响应。</w:t>
      </w:r>
    </w:p>
    <w:p>
      <w:pPr>
        <w:numPr>
          <w:ilvl w:val="0"/>
          <w:numId w:val="5"/>
        </w:numPr>
        <w:autoSpaceDE w:val="0"/>
        <w:autoSpaceDN w:val="0"/>
        <w:adjustRightInd w:val="0"/>
        <w:snapToGrid w:val="0"/>
        <w:spacing w:line="360" w:lineRule="auto"/>
        <w:outlineLvl w:val="0"/>
        <w:rPr>
          <w:rFonts w:ascii="宋体" w:hAnsi="宋体"/>
          <w:b/>
          <w:bCs/>
          <w:color w:val="auto"/>
          <w:sz w:val="24"/>
        </w:rPr>
      </w:pPr>
      <w:bookmarkStart w:id="136" w:name="_Toc363737697"/>
      <w:bookmarkStart w:id="137" w:name="_Toc475104484"/>
      <w:r>
        <w:rPr>
          <w:rFonts w:hint="eastAsia" w:ascii="宋体" w:hAnsi="宋体"/>
          <w:b/>
          <w:bCs/>
          <w:color w:val="auto"/>
          <w:sz w:val="24"/>
        </w:rPr>
        <w:t>证明供应商合格和资格的文件</w:t>
      </w:r>
      <w:bookmarkEnd w:id="131"/>
      <w:bookmarkEnd w:id="132"/>
      <w:bookmarkEnd w:id="133"/>
      <w:bookmarkEnd w:id="134"/>
      <w:bookmarkEnd w:id="135"/>
      <w:bookmarkEnd w:id="136"/>
      <w:bookmarkEnd w:id="137"/>
    </w:p>
    <w:p>
      <w:pPr>
        <w:numPr>
          <w:ilvl w:val="1"/>
          <w:numId w:val="5"/>
        </w:numPr>
        <w:autoSpaceDE w:val="0"/>
        <w:autoSpaceDN w:val="0"/>
        <w:adjustRightInd w:val="0"/>
        <w:snapToGrid w:val="0"/>
        <w:spacing w:line="360" w:lineRule="auto"/>
        <w:jc w:val="left"/>
        <w:rPr>
          <w:rFonts w:ascii="宋体" w:hAnsi="宋体" w:cs="黑体"/>
          <w:b/>
          <w:bCs/>
          <w:color w:val="auto"/>
          <w:szCs w:val="21"/>
        </w:rPr>
      </w:pPr>
      <w:r>
        <w:rPr>
          <w:rFonts w:hint="eastAsia" w:cs="宋体"/>
          <w:color w:val="auto"/>
          <w:szCs w:val="21"/>
        </w:rPr>
        <w:t>供应商</w:t>
      </w:r>
      <w:r>
        <w:rPr>
          <w:rFonts w:hint="eastAsia" w:ascii="宋体" w:hAnsi="宋体" w:cs="宋体"/>
          <w:color w:val="auto"/>
          <w:szCs w:val="21"/>
        </w:rPr>
        <w:t>应提交证明其有资格参加磋商响应和获得成交资格后有能力履行合同的文件，并作为其磋商响应文件的一部分。如果</w:t>
      </w:r>
      <w:r>
        <w:rPr>
          <w:rFonts w:hint="eastAsia" w:cs="宋体"/>
          <w:color w:val="auto"/>
          <w:szCs w:val="21"/>
        </w:rPr>
        <w:t>供应商</w:t>
      </w:r>
      <w:r>
        <w:rPr>
          <w:rFonts w:hint="eastAsia" w:ascii="宋体" w:hAnsi="宋体" w:cs="宋体"/>
          <w:color w:val="auto"/>
          <w:szCs w:val="21"/>
        </w:rPr>
        <w:t>为联合体，应提交联合体各方的资格证明文件、联合体协议并注明主体方及各方拟承担的工作和责任。否则，将导致其响应无效。</w:t>
      </w:r>
    </w:p>
    <w:p>
      <w:pPr>
        <w:numPr>
          <w:ilvl w:val="1"/>
          <w:numId w:val="5"/>
        </w:numPr>
        <w:autoSpaceDE w:val="0"/>
        <w:autoSpaceDN w:val="0"/>
        <w:adjustRightInd w:val="0"/>
        <w:snapToGrid w:val="0"/>
        <w:spacing w:line="360" w:lineRule="auto"/>
        <w:jc w:val="left"/>
        <w:rPr>
          <w:rFonts w:ascii="宋体" w:hAnsi="宋体" w:cs="宋体"/>
          <w:color w:val="auto"/>
          <w:szCs w:val="21"/>
        </w:rPr>
      </w:pPr>
      <w:r>
        <w:rPr>
          <w:rFonts w:hint="eastAsia" w:ascii="宋体" w:hAnsi="宋体" w:cs="宋体"/>
          <w:color w:val="auto"/>
          <w:szCs w:val="21"/>
        </w:rPr>
        <w:t>供应商提交的资格证明文件应证明其满足本须知定义的合格</w:t>
      </w:r>
      <w:r>
        <w:rPr>
          <w:rFonts w:hint="eastAsia" w:cs="宋体"/>
          <w:color w:val="auto"/>
          <w:szCs w:val="21"/>
        </w:rPr>
        <w:t>供应商</w:t>
      </w:r>
      <w:r>
        <w:rPr>
          <w:rFonts w:hint="eastAsia" w:ascii="宋体" w:hAnsi="宋体" w:cs="宋体"/>
          <w:color w:val="auto"/>
          <w:szCs w:val="21"/>
        </w:rPr>
        <w:t>。</w:t>
      </w:r>
    </w:p>
    <w:p>
      <w:pPr>
        <w:numPr>
          <w:ilvl w:val="0"/>
          <w:numId w:val="5"/>
        </w:numPr>
        <w:autoSpaceDE w:val="0"/>
        <w:autoSpaceDN w:val="0"/>
        <w:adjustRightInd w:val="0"/>
        <w:snapToGrid w:val="0"/>
        <w:spacing w:line="360" w:lineRule="auto"/>
        <w:outlineLvl w:val="0"/>
        <w:rPr>
          <w:rFonts w:ascii="宋体" w:hAnsi="宋体"/>
          <w:b/>
          <w:bCs/>
          <w:color w:val="auto"/>
          <w:sz w:val="24"/>
        </w:rPr>
      </w:pPr>
      <w:bookmarkStart w:id="138" w:name="_Toc363737698"/>
      <w:bookmarkStart w:id="139" w:name="_Toc320515033"/>
      <w:bookmarkStart w:id="140" w:name="_Toc333236642"/>
      <w:bookmarkStart w:id="141" w:name="_Toc320515082"/>
      <w:bookmarkStart w:id="142" w:name="_Toc475104485"/>
      <w:bookmarkStart w:id="143" w:name="_Toc315793469"/>
      <w:bookmarkStart w:id="144" w:name="_Toc323110993"/>
      <w:r>
        <w:rPr>
          <w:rFonts w:hint="eastAsia" w:ascii="宋体" w:hAnsi="宋体"/>
          <w:b/>
          <w:bCs/>
          <w:color w:val="auto"/>
          <w:sz w:val="24"/>
        </w:rPr>
        <w:t>证明服务的合格性和符合磋商文件规定的文件</w:t>
      </w:r>
      <w:bookmarkEnd w:id="138"/>
      <w:bookmarkEnd w:id="139"/>
      <w:bookmarkEnd w:id="140"/>
      <w:bookmarkEnd w:id="141"/>
      <w:bookmarkEnd w:id="142"/>
      <w:bookmarkEnd w:id="143"/>
    </w:p>
    <w:p>
      <w:pPr>
        <w:numPr>
          <w:ilvl w:val="1"/>
          <w:numId w:val="5"/>
        </w:numPr>
        <w:autoSpaceDE w:val="0"/>
        <w:autoSpaceDN w:val="0"/>
        <w:adjustRightInd w:val="0"/>
        <w:snapToGrid w:val="0"/>
        <w:spacing w:line="360" w:lineRule="auto"/>
        <w:jc w:val="left"/>
        <w:rPr>
          <w:rFonts w:ascii="宋体" w:hAnsi="宋体" w:cs="黑体"/>
          <w:bCs/>
          <w:color w:val="auto"/>
          <w:szCs w:val="21"/>
        </w:rPr>
      </w:pPr>
      <w:r>
        <w:rPr>
          <w:rFonts w:hint="eastAsia" w:ascii="宋体" w:hAnsi="宋体" w:cs="宋体"/>
          <w:color w:val="auto"/>
          <w:szCs w:val="21"/>
          <w:lang w:eastAsia="zh-TW"/>
        </w:rPr>
        <w:t>供应商应提交证明文件</w:t>
      </w:r>
      <w:r>
        <w:rPr>
          <w:rFonts w:hint="eastAsia" w:ascii="宋体" w:hAnsi="宋体" w:cs="宋体"/>
          <w:color w:val="auto"/>
          <w:szCs w:val="21"/>
        </w:rPr>
        <w:t>，</w:t>
      </w:r>
      <w:r>
        <w:rPr>
          <w:rFonts w:hint="eastAsia" w:ascii="宋体" w:hAnsi="宋体" w:cs="宋体"/>
          <w:color w:val="auto"/>
          <w:szCs w:val="21"/>
          <w:lang w:eastAsia="zh-TW"/>
        </w:rPr>
        <w:t>证明其拟</w:t>
      </w:r>
      <w:r>
        <w:rPr>
          <w:rFonts w:hint="eastAsia" w:ascii="宋体" w:hAnsi="宋体" w:cs="宋体"/>
          <w:color w:val="auto"/>
          <w:szCs w:val="21"/>
        </w:rPr>
        <w:t>报价</w:t>
      </w:r>
      <w:r>
        <w:rPr>
          <w:rFonts w:hint="eastAsia" w:ascii="宋体" w:hAnsi="宋体" w:cs="宋体"/>
          <w:color w:val="auto"/>
          <w:szCs w:val="21"/>
          <w:lang w:eastAsia="zh-TW"/>
        </w:rPr>
        <w:t>的服务的合格性符合</w:t>
      </w:r>
      <w:r>
        <w:rPr>
          <w:rFonts w:hint="eastAsia" w:ascii="宋体" w:hAnsi="宋体" w:cs="宋体"/>
          <w:color w:val="auto"/>
          <w:szCs w:val="21"/>
        </w:rPr>
        <w:t>竞争性磋商文件</w:t>
      </w:r>
      <w:r>
        <w:rPr>
          <w:rFonts w:hint="eastAsia" w:ascii="宋体" w:hAnsi="宋体" w:cs="宋体"/>
          <w:color w:val="auto"/>
          <w:szCs w:val="21"/>
          <w:lang w:eastAsia="zh-TW"/>
        </w:rPr>
        <w:t>规定。该证明文件作为</w:t>
      </w:r>
      <w:r>
        <w:rPr>
          <w:rFonts w:hint="eastAsia" w:ascii="宋体" w:hAnsi="宋体"/>
          <w:color w:val="auto"/>
          <w:szCs w:val="21"/>
        </w:rPr>
        <w:t>磋商</w:t>
      </w:r>
      <w:r>
        <w:rPr>
          <w:rFonts w:hint="eastAsia" w:ascii="宋体" w:hAnsi="宋体" w:cs="宋体"/>
          <w:color w:val="auto"/>
          <w:szCs w:val="21"/>
        </w:rPr>
        <w:t>响应文件</w:t>
      </w:r>
      <w:r>
        <w:rPr>
          <w:rFonts w:hint="eastAsia" w:ascii="宋体" w:hAnsi="宋体" w:cs="宋体"/>
          <w:color w:val="auto"/>
          <w:szCs w:val="21"/>
          <w:lang w:eastAsia="zh-TW"/>
        </w:rPr>
        <w:t>的一部分。</w:t>
      </w:r>
    </w:p>
    <w:p>
      <w:pPr>
        <w:numPr>
          <w:ilvl w:val="1"/>
          <w:numId w:val="5"/>
        </w:numPr>
        <w:autoSpaceDE w:val="0"/>
        <w:autoSpaceDN w:val="0"/>
        <w:adjustRightInd w:val="0"/>
        <w:snapToGrid w:val="0"/>
        <w:spacing w:line="360" w:lineRule="auto"/>
        <w:jc w:val="left"/>
        <w:rPr>
          <w:rFonts w:ascii="宋体" w:hAnsi="宋体" w:cs="宋体"/>
          <w:color w:val="auto"/>
          <w:szCs w:val="21"/>
          <w:lang w:eastAsia="zh-TW"/>
        </w:rPr>
      </w:pPr>
      <w:r>
        <w:rPr>
          <w:rFonts w:hint="eastAsia" w:ascii="宋体" w:hAnsi="宋体" w:cs="宋体"/>
          <w:color w:val="auto"/>
          <w:szCs w:val="21"/>
          <w:lang w:eastAsia="zh-TW"/>
        </w:rPr>
        <w:t>证明服务与</w:t>
      </w:r>
      <w:r>
        <w:rPr>
          <w:rFonts w:hint="eastAsia" w:ascii="宋体" w:hAnsi="宋体" w:cs="宋体"/>
          <w:color w:val="auto"/>
          <w:szCs w:val="21"/>
        </w:rPr>
        <w:t>竞争性磋商文件</w:t>
      </w:r>
      <w:r>
        <w:rPr>
          <w:rFonts w:hint="eastAsia" w:ascii="宋体" w:hAnsi="宋体" w:cs="宋体"/>
          <w:color w:val="auto"/>
          <w:szCs w:val="21"/>
          <w:lang w:eastAsia="zh-TW"/>
        </w:rPr>
        <w:t>的要求相一致的文件，可以是文字资料、图纸和数据，它包括：</w:t>
      </w:r>
    </w:p>
    <w:p>
      <w:pPr>
        <w:numPr>
          <w:ilvl w:val="2"/>
          <w:numId w:val="5"/>
        </w:numPr>
        <w:tabs>
          <w:tab w:val="left" w:pos="851"/>
        </w:tabs>
        <w:autoSpaceDE w:val="0"/>
        <w:autoSpaceDN w:val="0"/>
        <w:adjustRightInd w:val="0"/>
        <w:snapToGrid w:val="0"/>
        <w:spacing w:line="360" w:lineRule="auto"/>
        <w:jc w:val="left"/>
        <w:rPr>
          <w:rFonts w:ascii="宋体" w:hAnsi="宋体" w:cs="宋体"/>
          <w:color w:val="auto"/>
          <w:szCs w:val="21"/>
        </w:rPr>
      </w:pPr>
      <w:r>
        <w:rPr>
          <w:rFonts w:hint="eastAsia" w:ascii="宋体" w:hAnsi="宋体" w:cs="宋体"/>
          <w:color w:val="auto"/>
          <w:szCs w:val="21"/>
        </w:rPr>
        <w:t>服务主要内容、方案、质量、标准指标等的详细说明；</w:t>
      </w:r>
    </w:p>
    <w:p>
      <w:pPr>
        <w:numPr>
          <w:ilvl w:val="2"/>
          <w:numId w:val="5"/>
        </w:numPr>
        <w:tabs>
          <w:tab w:val="left" w:pos="851"/>
        </w:tabs>
        <w:autoSpaceDE w:val="0"/>
        <w:autoSpaceDN w:val="0"/>
        <w:adjustRightInd w:val="0"/>
        <w:snapToGrid w:val="0"/>
        <w:spacing w:line="360" w:lineRule="auto"/>
        <w:jc w:val="left"/>
        <w:rPr>
          <w:rFonts w:ascii="宋体" w:hAnsi="宋体" w:cs="宋体"/>
          <w:color w:val="auto"/>
          <w:szCs w:val="21"/>
        </w:rPr>
      </w:pPr>
      <w:r>
        <w:rPr>
          <w:rFonts w:hint="eastAsia" w:ascii="宋体" w:hAnsi="宋体" w:cs="宋体"/>
          <w:color w:val="auto"/>
          <w:szCs w:val="21"/>
        </w:rPr>
        <w:t>对照竞争性磋商文件服务内容与要求，逐条说明所提供服务已对磋商文件的服务内容与要求作出了实质性的响应，并申明与服务内容与要求条文的偏差和例外。特别对有具体参数要求的指标，</w:t>
      </w:r>
      <w:r>
        <w:rPr>
          <w:rFonts w:hint="eastAsia" w:cs="宋体"/>
          <w:color w:val="auto"/>
          <w:szCs w:val="21"/>
        </w:rPr>
        <w:t>供应商</w:t>
      </w:r>
      <w:r>
        <w:rPr>
          <w:rFonts w:hint="eastAsia" w:ascii="宋体" w:hAnsi="宋体" w:cs="宋体"/>
          <w:color w:val="auto"/>
          <w:szCs w:val="21"/>
        </w:rPr>
        <w:t>须提供所投服务的具体参数值。</w:t>
      </w:r>
      <w:r>
        <w:rPr>
          <w:rFonts w:hint="eastAsia" w:cs="宋体"/>
          <w:color w:val="auto"/>
          <w:szCs w:val="21"/>
        </w:rPr>
        <w:t>供应商</w:t>
      </w:r>
      <w:r>
        <w:rPr>
          <w:rFonts w:hint="eastAsia" w:ascii="宋体" w:hAnsi="宋体" w:cs="宋体"/>
          <w:color w:val="auto"/>
          <w:szCs w:val="21"/>
        </w:rPr>
        <w:t>在阐述时应注意竞争性磋商文件的服务内容、要求和标准，</w:t>
      </w:r>
      <w:r>
        <w:rPr>
          <w:rFonts w:hint="eastAsia" w:cs="宋体"/>
          <w:color w:val="auto"/>
          <w:szCs w:val="21"/>
        </w:rPr>
        <w:t>供应商</w:t>
      </w:r>
      <w:r>
        <w:rPr>
          <w:rFonts w:hint="eastAsia" w:ascii="宋体" w:hAnsi="宋体" w:cs="宋体"/>
          <w:color w:val="auto"/>
          <w:szCs w:val="21"/>
        </w:rPr>
        <w:t>在报价中要实质上满足或超过竞争性磋商文件的要求。</w:t>
      </w:r>
    </w:p>
    <w:p>
      <w:pPr>
        <w:numPr>
          <w:ilvl w:val="0"/>
          <w:numId w:val="5"/>
        </w:numPr>
        <w:autoSpaceDE w:val="0"/>
        <w:autoSpaceDN w:val="0"/>
        <w:adjustRightInd w:val="0"/>
        <w:snapToGrid w:val="0"/>
        <w:spacing w:line="360" w:lineRule="auto"/>
        <w:outlineLvl w:val="0"/>
        <w:rPr>
          <w:rFonts w:ascii="宋体" w:hAnsi="宋体"/>
          <w:b/>
          <w:bCs/>
          <w:color w:val="auto"/>
          <w:sz w:val="24"/>
        </w:rPr>
      </w:pPr>
      <w:bookmarkStart w:id="145" w:name="_Toc363737699"/>
      <w:r>
        <w:rPr>
          <w:rFonts w:hint="eastAsia" w:ascii="宋体" w:hAnsi="宋体"/>
          <w:b/>
          <w:bCs/>
          <w:color w:val="auto"/>
          <w:sz w:val="24"/>
        </w:rPr>
        <w:t>磋商保证金</w:t>
      </w:r>
    </w:p>
    <w:bookmarkEnd w:id="145"/>
    <w:p>
      <w:pPr>
        <w:numPr>
          <w:ilvl w:val="1"/>
          <w:numId w:val="5"/>
        </w:numPr>
        <w:autoSpaceDE w:val="0"/>
        <w:autoSpaceDN w:val="0"/>
        <w:adjustRightInd w:val="0"/>
        <w:snapToGrid w:val="0"/>
        <w:spacing w:line="360" w:lineRule="auto"/>
        <w:outlineLvl w:val="0"/>
        <w:rPr>
          <w:rFonts w:ascii="宋体" w:hAnsi="宋体"/>
          <w:color w:val="auto"/>
          <w:szCs w:val="21"/>
        </w:rPr>
      </w:pPr>
      <w:r>
        <w:rPr>
          <w:rFonts w:hint="eastAsia" w:ascii="宋体" w:hAnsi="宋体"/>
          <w:color w:val="auto"/>
          <w:szCs w:val="21"/>
        </w:rPr>
        <w:t>本项目不收取磋商保证金</w:t>
      </w:r>
    </w:p>
    <w:bookmarkEnd w:id="144"/>
    <w:p>
      <w:pPr>
        <w:numPr>
          <w:ilvl w:val="0"/>
          <w:numId w:val="5"/>
        </w:numPr>
        <w:autoSpaceDE w:val="0"/>
        <w:autoSpaceDN w:val="0"/>
        <w:adjustRightInd w:val="0"/>
        <w:snapToGrid w:val="0"/>
        <w:spacing w:line="360" w:lineRule="auto"/>
        <w:outlineLvl w:val="0"/>
        <w:rPr>
          <w:rFonts w:ascii="宋体" w:hAnsi="宋体"/>
          <w:b/>
          <w:bCs/>
          <w:color w:val="auto"/>
          <w:sz w:val="24"/>
        </w:rPr>
      </w:pPr>
      <w:bookmarkStart w:id="146" w:name="_Toc394926941"/>
      <w:bookmarkStart w:id="147" w:name="_Toc351550769"/>
      <w:bookmarkStart w:id="148" w:name="_Toc475104487"/>
      <w:bookmarkStart w:id="149" w:name="_Toc320515084"/>
      <w:bookmarkStart w:id="150" w:name="_Toc315793471"/>
      <w:bookmarkStart w:id="151" w:name="_Toc363737700"/>
      <w:bookmarkStart w:id="152" w:name="_Toc323110994"/>
      <w:bookmarkStart w:id="153" w:name="_Toc320515035"/>
      <w:bookmarkStart w:id="154" w:name="_Toc322680361"/>
      <w:r>
        <w:rPr>
          <w:rFonts w:hint="eastAsia" w:ascii="宋体" w:hAnsi="宋体"/>
          <w:b/>
          <w:bCs/>
          <w:color w:val="auto"/>
          <w:sz w:val="24"/>
        </w:rPr>
        <w:t>政府采购信用担保</w:t>
      </w:r>
      <w:bookmarkEnd w:id="146"/>
      <w:bookmarkEnd w:id="147"/>
      <w:bookmarkEnd w:id="148"/>
    </w:p>
    <w:bookmarkEnd w:id="149"/>
    <w:bookmarkEnd w:id="150"/>
    <w:bookmarkEnd w:id="151"/>
    <w:bookmarkEnd w:id="152"/>
    <w:bookmarkEnd w:id="153"/>
    <w:bookmarkEnd w:id="154"/>
    <w:p>
      <w:pPr>
        <w:numPr>
          <w:ilvl w:val="1"/>
          <w:numId w:val="5"/>
        </w:numPr>
        <w:autoSpaceDE w:val="0"/>
        <w:autoSpaceDN w:val="0"/>
        <w:adjustRightInd w:val="0"/>
        <w:snapToGrid w:val="0"/>
        <w:spacing w:line="360" w:lineRule="auto"/>
        <w:outlineLvl w:val="0"/>
        <w:rPr>
          <w:rFonts w:ascii="宋体" w:hAnsi="宋体" w:cs="宋体"/>
          <w:color w:val="auto"/>
          <w:szCs w:val="21"/>
        </w:rPr>
      </w:pPr>
      <w:bookmarkStart w:id="155" w:name="_Toc475104489"/>
      <w:r>
        <w:rPr>
          <w:rFonts w:hint="eastAsia" w:ascii="宋体" w:hAnsi="宋体"/>
          <w:color w:val="auto"/>
          <w:szCs w:val="21"/>
        </w:rPr>
        <w:t>履约担保，是指由专业担保机构为</w:t>
      </w:r>
      <w:r>
        <w:rPr>
          <w:rFonts w:hint="eastAsia" w:cs="宋体"/>
          <w:color w:val="auto"/>
          <w:szCs w:val="21"/>
        </w:rPr>
        <w:t>供应商</w:t>
      </w:r>
      <w:r>
        <w:rPr>
          <w:rFonts w:hint="eastAsia" w:ascii="宋体" w:hAnsi="宋体"/>
          <w:color w:val="auto"/>
          <w:szCs w:val="21"/>
        </w:rPr>
        <w:t>支付履约保证金的义务向采购人提供的保证担保。</w:t>
      </w:r>
      <w:r>
        <w:rPr>
          <w:rFonts w:hint="eastAsia" w:cs="宋体"/>
          <w:color w:val="auto"/>
          <w:szCs w:val="21"/>
        </w:rPr>
        <w:t>供应商</w:t>
      </w:r>
      <w:r>
        <w:rPr>
          <w:rFonts w:hint="eastAsia" w:ascii="宋体" w:hAnsi="宋体"/>
          <w:color w:val="auto"/>
          <w:szCs w:val="21"/>
        </w:rPr>
        <w:t>未按政府采购合同履行约定义务而应实际支付保证金的，由专业担保机构按照担保函约定履行担保责任。</w:t>
      </w:r>
      <w:r>
        <w:rPr>
          <w:rFonts w:hint="eastAsia" w:cs="宋体"/>
          <w:color w:val="auto"/>
          <w:szCs w:val="21"/>
        </w:rPr>
        <w:t>供应商</w:t>
      </w:r>
      <w:r>
        <w:rPr>
          <w:rFonts w:hint="eastAsia" w:ascii="宋体" w:hAnsi="宋体"/>
          <w:color w:val="auto"/>
          <w:szCs w:val="21"/>
        </w:rPr>
        <w:t>可以自行选择是否采取履约担保函的形式交纳履约保证金。</w:t>
      </w:r>
      <w:bookmarkEnd w:id="155"/>
    </w:p>
    <w:p>
      <w:pPr>
        <w:numPr>
          <w:ilvl w:val="1"/>
          <w:numId w:val="5"/>
        </w:numPr>
        <w:autoSpaceDE w:val="0"/>
        <w:autoSpaceDN w:val="0"/>
        <w:adjustRightInd w:val="0"/>
        <w:snapToGrid w:val="0"/>
        <w:spacing w:line="360" w:lineRule="auto"/>
        <w:outlineLvl w:val="0"/>
        <w:rPr>
          <w:rFonts w:ascii="宋体" w:hAnsi="宋体" w:cs="宋体"/>
          <w:color w:val="auto"/>
          <w:szCs w:val="21"/>
        </w:rPr>
      </w:pPr>
      <w:bookmarkStart w:id="156" w:name="_Toc315793300"/>
      <w:bookmarkStart w:id="157" w:name="_Toc475104490"/>
      <w:r>
        <w:rPr>
          <w:rFonts w:hint="eastAsia"/>
          <w:color w:val="auto"/>
          <w:szCs w:val="21"/>
        </w:rPr>
        <w:t>融资担保，是指由专业担保机构为</w:t>
      </w:r>
      <w:r>
        <w:rPr>
          <w:rFonts w:hint="eastAsia" w:cs="宋体"/>
          <w:color w:val="auto"/>
          <w:szCs w:val="21"/>
        </w:rPr>
        <w:t>供应商</w:t>
      </w:r>
      <w:r>
        <w:rPr>
          <w:rFonts w:hint="eastAsia"/>
          <w:color w:val="auto"/>
          <w:szCs w:val="21"/>
        </w:rPr>
        <w:t>向银行融资提供的保证担保。</w:t>
      </w:r>
      <w:r>
        <w:rPr>
          <w:rFonts w:hint="eastAsia" w:cs="宋体"/>
          <w:color w:val="auto"/>
          <w:szCs w:val="21"/>
        </w:rPr>
        <w:t>供应商</w:t>
      </w:r>
      <w:r>
        <w:rPr>
          <w:rFonts w:hint="eastAsia"/>
          <w:color w:val="auto"/>
          <w:szCs w:val="21"/>
        </w:rPr>
        <w:t>可以自愿选择是否采取融资担保的形式为政府采购履约进行融资。</w:t>
      </w:r>
      <w:bookmarkEnd w:id="156"/>
      <w:bookmarkEnd w:id="157"/>
    </w:p>
    <w:p>
      <w:pPr>
        <w:numPr>
          <w:ilvl w:val="1"/>
          <w:numId w:val="5"/>
        </w:numPr>
        <w:autoSpaceDE w:val="0"/>
        <w:autoSpaceDN w:val="0"/>
        <w:adjustRightInd w:val="0"/>
        <w:snapToGrid w:val="0"/>
        <w:spacing w:line="360" w:lineRule="auto"/>
        <w:outlineLvl w:val="0"/>
        <w:rPr>
          <w:rFonts w:ascii="宋体" w:hAnsi="宋体" w:cs="宋体"/>
          <w:color w:val="auto"/>
          <w:szCs w:val="21"/>
        </w:rPr>
      </w:pPr>
      <w:bookmarkStart w:id="158" w:name="_Toc475104493"/>
      <w:r>
        <w:rPr>
          <w:rFonts w:hint="eastAsia" w:ascii="宋体" w:hAnsi="宋体"/>
          <w:color w:val="auto"/>
          <w:szCs w:val="21"/>
        </w:rPr>
        <w:t>专业担保机构的选择。</w:t>
      </w:r>
      <w:r>
        <w:rPr>
          <w:rFonts w:hint="eastAsia" w:cs="宋体"/>
          <w:color w:val="auto"/>
          <w:szCs w:val="21"/>
        </w:rPr>
        <w:t>供应商</w:t>
      </w:r>
      <w:r>
        <w:rPr>
          <w:rFonts w:hint="eastAsia" w:ascii="宋体" w:hAnsi="宋体"/>
          <w:color w:val="auto"/>
          <w:szCs w:val="21"/>
        </w:rPr>
        <w:t>必须选定有合法资质的担保公司任一家作为专业担保机构。</w:t>
      </w:r>
    </w:p>
    <w:bookmarkEnd w:id="158"/>
    <w:p>
      <w:pPr>
        <w:numPr>
          <w:ilvl w:val="0"/>
          <w:numId w:val="5"/>
        </w:numPr>
        <w:autoSpaceDE w:val="0"/>
        <w:autoSpaceDN w:val="0"/>
        <w:adjustRightInd w:val="0"/>
        <w:snapToGrid w:val="0"/>
        <w:spacing w:line="360" w:lineRule="auto"/>
        <w:outlineLvl w:val="0"/>
        <w:rPr>
          <w:rFonts w:ascii="宋体" w:hAnsi="宋体"/>
          <w:b/>
          <w:bCs/>
          <w:color w:val="auto"/>
          <w:sz w:val="24"/>
        </w:rPr>
      </w:pPr>
      <w:r>
        <w:rPr>
          <w:rFonts w:hint="eastAsia" w:ascii="宋体" w:hAnsi="宋体"/>
          <w:b/>
          <w:bCs/>
          <w:color w:val="auto"/>
          <w:sz w:val="24"/>
        </w:rPr>
        <w:t>响应有效期</w:t>
      </w:r>
    </w:p>
    <w:p>
      <w:pPr>
        <w:numPr>
          <w:ilvl w:val="1"/>
          <w:numId w:val="5"/>
        </w:numPr>
        <w:autoSpaceDE w:val="0"/>
        <w:autoSpaceDN w:val="0"/>
        <w:adjustRightInd w:val="0"/>
        <w:snapToGrid w:val="0"/>
        <w:spacing w:line="360" w:lineRule="auto"/>
        <w:jc w:val="left"/>
        <w:rPr>
          <w:rFonts w:ascii="宋体" w:hAnsi="宋体" w:cs="黑体"/>
          <w:b/>
          <w:bCs/>
          <w:color w:val="auto"/>
          <w:szCs w:val="21"/>
        </w:rPr>
      </w:pPr>
      <w:r>
        <w:rPr>
          <w:rFonts w:hint="eastAsia" w:ascii="宋体" w:hAnsi="宋体" w:cs="宋体"/>
          <w:color w:val="auto"/>
          <w:szCs w:val="21"/>
        </w:rPr>
        <w:t>从磋商响应文件递交截止日起，响应有效期为</w:t>
      </w:r>
      <w:r>
        <w:rPr>
          <w:rFonts w:ascii="宋体" w:hAnsi="宋体" w:cs="ZWAdobeF"/>
          <w:color w:val="auto"/>
          <w:sz w:val="2"/>
          <w:szCs w:val="2"/>
        </w:rPr>
        <w:t>UU</w:t>
      </w:r>
      <w:r>
        <w:rPr>
          <w:rFonts w:hint="eastAsia" w:ascii="宋体" w:hAnsi="宋体" w:cs="宋体"/>
          <w:color w:val="auto"/>
          <w:szCs w:val="21"/>
          <w:u w:val="single"/>
        </w:rPr>
        <w:t>90</w:t>
      </w:r>
      <w:r>
        <w:rPr>
          <w:rFonts w:ascii="宋体" w:hAnsi="宋体" w:cs="ZWAdobeF"/>
          <w:color w:val="auto"/>
          <w:sz w:val="2"/>
          <w:szCs w:val="2"/>
        </w:rPr>
        <w:t>UU</w:t>
      </w:r>
      <w:r>
        <w:rPr>
          <w:rFonts w:hint="eastAsia" w:ascii="宋体" w:hAnsi="宋体" w:cs="宋体"/>
          <w:color w:val="auto"/>
          <w:szCs w:val="21"/>
        </w:rPr>
        <w:t>天（日历天）。响应有效期不足的响应将被视为非实质性响应</w:t>
      </w:r>
      <w:r>
        <w:rPr>
          <w:rFonts w:hint="eastAsia" w:ascii="宋体" w:hAnsi="宋体"/>
          <w:color w:val="auto"/>
          <w:szCs w:val="21"/>
        </w:rPr>
        <w:t>，</w:t>
      </w:r>
      <w:r>
        <w:rPr>
          <w:rFonts w:hint="eastAsia" w:ascii="宋体" w:hAnsi="宋体" w:cs="宋体"/>
          <w:color w:val="auto"/>
          <w:szCs w:val="21"/>
        </w:rPr>
        <w:t>视为无效响应。</w:t>
      </w:r>
    </w:p>
    <w:p>
      <w:pPr>
        <w:numPr>
          <w:ilvl w:val="1"/>
          <w:numId w:val="5"/>
        </w:numPr>
        <w:autoSpaceDE w:val="0"/>
        <w:autoSpaceDN w:val="0"/>
        <w:adjustRightInd w:val="0"/>
        <w:snapToGrid w:val="0"/>
        <w:spacing w:line="360" w:lineRule="auto"/>
        <w:jc w:val="left"/>
        <w:rPr>
          <w:rFonts w:ascii="宋体" w:hAnsi="宋体"/>
          <w:color w:val="auto"/>
          <w:szCs w:val="21"/>
        </w:rPr>
      </w:pPr>
      <w:r>
        <w:rPr>
          <w:rFonts w:hint="eastAsia" w:ascii="宋体" w:hAnsi="宋体" w:cs="宋体"/>
          <w:color w:val="auto"/>
          <w:szCs w:val="21"/>
        </w:rPr>
        <w:t>特殊情况下，在原响应有效期截止之前，政府采购代理机构可要求</w:t>
      </w:r>
      <w:r>
        <w:rPr>
          <w:rFonts w:hint="eastAsia" w:cs="宋体"/>
          <w:color w:val="auto"/>
          <w:szCs w:val="21"/>
        </w:rPr>
        <w:t>供应商</w:t>
      </w:r>
      <w:r>
        <w:rPr>
          <w:rFonts w:hint="eastAsia" w:ascii="宋体" w:hAnsi="宋体" w:cs="宋体"/>
          <w:color w:val="auto"/>
          <w:szCs w:val="21"/>
        </w:rPr>
        <w:t>延长响应有效期。这种要求与答复均应以书面形式提交。</w:t>
      </w:r>
      <w:r>
        <w:rPr>
          <w:rFonts w:hint="eastAsia" w:cs="宋体"/>
          <w:color w:val="auto"/>
          <w:szCs w:val="21"/>
        </w:rPr>
        <w:t>供应商</w:t>
      </w:r>
      <w:r>
        <w:rPr>
          <w:rFonts w:hint="eastAsia" w:ascii="宋体" w:hAnsi="宋体" w:cs="宋体"/>
          <w:color w:val="auto"/>
          <w:szCs w:val="21"/>
        </w:rPr>
        <w:t>可拒绝政府采购代理机构的这种要求，但其磋商响应在原响应有效期期满后将不再有效。同意延长响应有效期的</w:t>
      </w:r>
      <w:r>
        <w:rPr>
          <w:rFonts w:hint="eastAsia" w:cs="宋体"/>
          <w:color w:val="auto"/>
          <w:szCs w:val="21"/>
        </w:rPr>
        <w:t>供应商</w:t>
      </w:r>
      <w:r>
        <w:rPr>
          <w:rFonts w:hint="eastAsia" w:ascii="宋体" w:hAnsi="宋体" w:cs="宋体"/>
          <w:color w:val="auto"/>
          <w:szCs w:val="21"/>
        </w:rPr>
        <w:t>将不会被要求和允许修正其磋商响应</w:t>
      </w:r>
      <w:r>
        <w:rPr>
          <w:rFonts w:hint="eastAsia" w:ascii="宋体" w:hAnsi="宋体" w:cs="宋体"/>
          <w:color w:val="auto"/>
          <w:szCs w:val="21"/>
          <w:lang w:eastAsia="zh-TW"/>
        </w:rPr>
        <w:t>。</w:t>
      </w:r>
    </w:p>
    <w:p>
      <w:pPr>
        <w:numPr>
          <w:ilvl w:val="0"/>
          <w:numId w:val="5"/>
        </w:numPr>
        <w:autoSpaceDE w:val="0"/>
        <w:autoSpaceDN w:val="0"/>
        <w:adjustRightInd w:val="0"/>
        <w:snapToGrid w:val="0"/>
        <w:spacing w:line="360" w:lineRule="auto"/>
        <w:outlineLvl w:val="0"/>
        <w:rPr>
          <w:rFonts w:ascii="宋体" w:hAnsi="宋体"/>
          <w:b/>
          <w:bCs/>
          <w:color w:val="auto"/>
          <w:sz w:val="24"/>
        </w:rPr>
      </w:pPr>
      <w:bookmarkStart w:id="159" w:name="_Toc320515085"/>
      <w:bookmarkStart w:id="160" w:name="_Toc320515036"/>
      <w:bookmarkStart w:id="161" w:name="_Toc315793472"/>
      <w:bookmarkStart w:id="162" w:name="_Toc475104494"/>
      <w:bookmarkStart w:id="163" w:name="_Toc363737701"/>
      <w:bookmarkStart w:id="164" w:name="_Toc320515086"/>
      <w:bookmarkStart w:id="165" w:name="_Toc322680363"/>
      <w:bookmarkStart w:id="166" w:name="_Toc320515037"/>
      <w:bookmarkStart w:id="167" w:name="_Toc315793473"/>
      <w:bookmarkStart w:id="168" w:name="_Toc323110996"/>
      <w:r>
        <w:rPr>
          <w:rFonts w:hint="eastAsia" w:ascii="宋体" w:hAnsi="宋体"/>
          <w:b/>
          <w:bCs/>
          <w:color w:val="auto"/>
          <w:sz w:val="24"/>
        </w:rPr>
        <w:t>磋商响应文件的式样和签署</w:t>
      </w:r>
      <w:bookmarkEnd w:id="159"/>
      <w:bookmarkEnd w:id="160"/>
      <w:bookmarkEnd w:id="161"/>
      <w:bookmarkEnd w:id="162"/>
      <w:bookmarkEnd w:id="163"/>
    </w:p>
    <w:p>
      <w:pPr>
        <w:numPr>
          <w:ilvl w:val="1"/>
          <w:numId w:val="5"/>
        </w:numPr>
        <w:autoSpaceDE w:val="0"/>
        <w:autoSpaceDN w:val="0"/>
        <w:adjustRightInd w:val="0"/>
        <w:snapToGrid w:val="0"/>
        <w:spacing w:line="360" w:lineRule="auto"/>
        <w:jc w:val="left"/>
        <w:rPr>
          <w:rFonts w:ascii="宋体" w:hAnsi="宋体" w:cs="黑体"/>
          <w:b/>
          <w:bCs/>
          <w:color w:val="auto"/>
          <w:szCs w:val="21"/>
        </w:rPr>
      </w:pPr>
      <w:r>
        <w:rPr>
          <w:rFonts w:hint="eastAsia" w:ascii="宋体" w:hAnsi="宋体" w:cs="宋体"/>
          <w:color w:val="auto"/>
          <w:szCs w:val="21"/>
          <w:lang w:eastAsia="zh-TW"/>
        </w:rPr>
        <w:t>全部</w:t>
      </w:r>
      <w:r>
        <w:rPr>
          <w:rFonts w:hint="eastAsia" w:ascii="宋体" w:hAnsi="宋体" w:cs="宋体"/>
          <w:color w:val="auto"/>
          <w:szCs w:val="21"/>
        </w:rPr>
        <w:t>磋商</w:t>
      </w:r>
      <w:r>
        <w:rPr>
          <w:rFonts w:hint="eastAsia" w:ascii="宋体" w:hAnsi="宋体" w:cs="宋体"/>
          <w:color w:val="auto"/>
          <w:szCs w:val="21"/>
          <w:lang w:eastAsia="zh-TW"/>
        </w:rPr>
        <w:t>响应文件</w:t>
      </w:r>
      <w:r>
        <w:rPr>
          <w:rFonts w:hint="eastAsia" w:ascii="宋体" w:hAnsi="宋体" w:cs="宋体"/>
          <w:color w:val="auto"/>
          <w:szCs w:val="21"/>
        </w:rPr>
        <w:t>数量参看《竞争性磋商须知一览表》</w:t>
      </w:r>
      <w:r>
        <w:rPr>
          <w:rFonts w:hint="eastAsia" w:ascii="宋体" w:hAnsi="宋体" w:cs="宋体"/>
          <w:color w:val="auto"/>
          <w:szCs w:val="21"/>
          <w:lang w:eastAsia="zh-TW"/>
        </w:rPr>
        <w:t>，所有</w:t>
      </w:r>
      <w:r>
        <w:rPr>
          <w:rFonts w:hint="eastAsia" w:ascii="宋体" w:hAnsi="宋体" w:cs="宋体"/>
          <w:color w:val="auto"/>
          <w:szCs w:val="21"/>
        </w:rPr>
        <w:t>磋商</w:t>
      </w:r>
      <w:r>
        <w:rPr>
          <w:rFonts w:hint="eastAsia" w:ascii="宋体" w:hAnsi="宋体" w:cs="宋体"/>
          <w:color w:val="auto"/>
          <w:szCs w:val="21"/>
          <w:lang w:eastAsia="zh-TW"/>
        </w:rPr>
        <w:t>响应文件应用A4规格纸打印装订成册</w:t>
      </w:r>
      <w:r>
        <w:rPr>
          <w:rFonts w:hint="eastAsia" w:ascii="宋体" w:hAnsi="宋体" w:cs="宋体"/>
          <w:color w:val="auto"/>
          <w:szCs w:val="21"/>
        </w:rPr>
        <w:t>（如采购需求要求提交设计方案展示图纸，图纸规格统一按A0(约1189mm×841mm)规格编制）。于封面注明“正本”和“副本”。如果正本与副本不符，应以正本为准。所有不完整的磋商响应将被拒绝。无论磋商结果如何，</w:t>
      </w:r>
      <w:r>
        <w:rPr>
          <w:rFonts w:hint="eastAsia" w:cs="宋体"/>
          <w:color w:val="auto"/>
          <w:szCs w:val="21"/>
        </w:rPr>
        <w:t>供应商</w:t>
      </w:r>
      <w:r>
        <w:rPr>
          <w:rFonts w:hint="eastAsia" w:ascii="宋体" w:hAnsi="宋体" w:cs="宋体"/>
          <w:color w:val="auto"/>
          <w:szCs w:val="21"/>
        </w:rPr>
        <w:t>的全部磋商响应文件均不退回。</w:t>
      </w:r>
    </w:p>
    <w:p>
      <w:pPr>
        <w:numPr>
          <w:ilvl w:val="1"/>
          <w:numId w:val="5"/>
        </w:numPr>
        <w:autoSpaceDE w:val="0"/>
        <w:autoSpaceDN w:val="0"/>
        <w:adjustRightInd w:val="0"/>
        <w:snapToGrid w:val="0"/>
        <w:spacing w:line="360" w:lineRule="auto"/>
        <w:jc w:val="left"/>
        <w:rPr>
          <w:rFonts w:ascii="宋体" w:hAnsi="宋体" w:cs="黑体"/>
          <w:b/>
          <w:bCs/>
          <w:color w:val="auto"/>
          <w:szCs w:val="21"/>
        </w:rPr>
      </w:pPr>
      <w:r>
        <w:rPr>
          <w:rFonts w:hint="eastAsia" w:ascii="宋体" w:hAnsi="宋体" w:cs="宋体"/>
          <w:color w:val="auto"/>
          <w:szCs w:val="21"/>
        </w:rPr>
        <w:t>投标人《清单报价表》正本须用采购人提供的原件填写（含封面），并逐页加盖法人公章确认，投标人不得修改《清单报价表》中项目内容及工程数量；副本可以采用正本复印并逐页加盖法人公章确认。</w:t>
      </w:r>
    </w:p>
    <w:p>
      <w:pPr>
        <w:numPr>
          <w:ilvl w:val="1"/>
          <w:numId w:val="5"/>
        </w:numPr>
        <w:autoSpaceDE w:val="0"/>
        <w:autoSpaceDN w:val="0"/>
        <w:adjustRightInd w:val="0"/>
        <w:snapToGrid w:val="0"/>
        <w:spacing w:line="360" w:lineRule="auto"/>
        <w:jc w:val="left"/>
        <w:rPr>
          <w:rFonts w:ascii="宋体" w:hAnsi="宋体" w:cs="黑体"/>
          <w:b/>
          <w:bCs/>
          <w:color w:val="auto"/>
          <w:szCs w:val="21"/>
        </w:rPr>
      </w:pPr>
      <w:r>
        <w:rPr>
          <w:rFonts w:hint="eastAsia" w:ascii="宋体" w:hAnsi="宋体" w:cs="宋体"/>
          <w:color w:val="auto"/>
          <w:szCs w:val="21"/>
        </w:rPr>
        <w:t>磋商</w:t>
      </w:r>
      <w:r>
        <w:rPr>
          <w:rFonts w:hint="eastAsia" w:ascii="宋体" w:hAnsi="宋体" w:cs="宋体"/>
          <w:color w:val="auto"/>
          <w:szCs w:val="21"/>
          <w:lang w:eastAsia="zh-TW"/>
        </w:rPr>
        <w:t>响应文件的签署：</w:t>
      </w:r>
    </w:p>
    <w:p>
      <w:pPr>
        <w:numPr>
          <w:ilvl w:val="2"/>
          <w:numId w:val="5"/>
        </w:numPr>
        <w:tabs>
          <w:tab w:val="left" w:pos="851"/>
        </w:tabs>
        <w:autoSpaceDE w:val="0"/>
        <w:autoSpaceDN w:val="0"/>
        <w:adjustRightInd w:val="0"/>
        <w:snapToGrid w:val="0"/>
        <w:spacing w:line="360" w:lineRule="auto"/>
        <w:jc w:val="left"/>
        <w:rPr>
          <w:rFonts w:ascii="宋体" w:hAnsi="宋体" w:cs="宋体"/>
          <w:color w:val="auto"/>
          <w:szCs w:val="21"/>
        </w:rPr>
      </w:pPr>
      <w:r>
        <w:rPr>
          <w:rFonts w:hint="eastAsia" w:ascii="宋体" w:hAnsi="宋体" w:cs="宋体"/>
          <w:color w:val="auto"/>
          <w:szCs w:val="21"/>
        </w:rPr>
        <w:t>磋商响应文件的正本需打印，磋商响应文件要求签名的由法定代表人或经其正式授权的代表签字，</w:t>
      </w:r>
      <w:r>
        <w:rPr>
          <w:rFonts w:ascii="宋体" w:hAnsi="宋体" w:cs="ZWAdobeF"/>
          <w:color w:val="auto"/>
          <w:sz w:val="2"/>
          <w:szCs w:val="2"/>
        </w:rPr>
        <w:t>UU</w:t>
      </w:r>
      <w:r>
        <w:rPr>
          <w:rFonts w:hint="eastAsia" w:ascii="宋体" w:hAnsi="宋体" w:cs="宋体"/>
          <w:b/>
          <w:color w:val="auto"/>
          <w:szCs w:val="21"/>
          <w:u w:val="single"/>
        </w:rPr>
        <w:t>磋商响应文件正本每一页均要求加盖供应商公章</w:t>
      </w:r>
      <w:r>
        <w:rPr>
          <w:rFonts w:ascii="宋体" w:hAnsi="宋体" w:cs="ZWAdobeF"/>
          <w:color w:val="auto"/>
          <w:sz w:val="2"/>
          <w:szCs w:val="2"/>
        </w:rPr>
        <w:t>UU</w:t>
      </w:r>
      <w:r>
        <w:rPr>
          <w:rFonts w:hint="eastAsia" w:ascii="宋体" w:hAnsi="宋体" w:cs="宋体"/>
          <w:color w:val="auto"/>
          <w:szCs w:val="21"/>
        </w:rPr>
        <w:t>，副本可以复印，与正本具有同等法律效力。授权代表须将以书面形式出具的《法定代表人授权委托书》附在磋商响应文件中。</w:t>
      </w:r>
    </w:p>
    <w:p>
      <w:pPr>
        <w:numPr>
          <w:ilvl w:val="2"/>
          <w:numId w:val="5"/>
        </w:numPr>
        <w:tabs>
          <w:tab w:val="left" w:pos="851"/>
        </w:tabs>
        <w:autoSpaceDE w:val="0"/>
        <w:autoSpaceDN w:val="0"/>
        <w:adjustRightInd w:val="0"/>
        <w:snapToGrid w:val="0"/>
        <w:spacing w:line="360" w:lineRule="auto"/>
        <w:jc w:val="left"/>
        <w:rPr>
          <w:rFonts w:ascii="宋体" w:hAnsi="宋体" w:cs="宋体"/>
          <w:color w:val="auto"/>
          <w:szCs w:val="21"/>
        </w:rPr>
      </w:pPr>
      <w:r>
        <w:rPr>
          <w:rFonts w:hint="eastAsia" w:ascii="宋体" w:hAnsi="宋体" w:cs="宋体"/>
          <w:color w:val="auto"/>
          <w:szCs w:val="21"/>
        </w:rPr>
        <w:t>磋商响应文件中的任何重要的插字、涂改、增删和修正，必须由法定代表人或经其正式授权的代表在旁边签章或签字才有效。</w:t>
      </w:r>
    </w:p>
    <w:p>
      <w:pPr>
        <w:numPr>
          <w:ilvl w:val="0"/>
          <w:numId w:val="4"/>
        </w:numPr>
        <w:autoSpaceDE w:val="0"/>
        <w:autoSpaceDN w:val="0"/>
        <w:adjustRightInd w:val="0"/>
        <w:snapToGrid w:val="0"/>
        <w:spacing w:beforeLines="100" w:afterLines="100" w:line="360" w:lineRule="auto"/>
        <w:ind w:left="601" w:hanging="601"/>
        <w:jc w:val="center"/>
        <w:outlineLvl w:val="0"/>
        <w:rPr>
          <w:rFonts w:ascii="宋体" w:hAnsi="宋体"/>
          <w:b/>
          <w:color w:val="auto"/>
          <w:sz w:val="28"/>
          <w:szCs w:val="28"/>
          <w:lang w:eastAsia="zh-TW"/>
        </w:rPr>
      </w:pPr>
      <w:bookmarkStart w:id="169" w:name="_Toc475104495"/>
      <w:bookmarkStart w:id="170" w:name="_Toc363737702"/>
      <w:r>
        <w:rPr>
          <w:rFonts w:hint="eastAsia" w:ascii="宋体" w:hAnsi="宋体"/>
          <w:b/>
          <w:color w:val="auto"/>
          <w:sz w:val="28"/>
          <w:szCs w:val="28"/>
          <w:lang w:eastAsia="zh-TW"/>
        </w:rPr>
        <w:t>磋商响应文件的递交</w:t>
      </w:r>
      <w:bookmarkEnd w:id="164"/>
      <w:bookmarkEnd w:id="165"/>
      <w:bookmarkEnd w:id="166"/>
      <w:bookmarkEnd w:id="167"/>
      <w:bookmarkEnd w:id="168"/>
      <w:bookmarkEnd w:id="169"/>
      <w:bookmarkEnd w:id="170"/>
    </w:p>
    <w:p>
      <w:pPr>
        <w:numPr>
          <w:ilvl w:val="0"/>
          <w:numId w:val="5"/>
        </w:numPr>
        <w:autoSpaceDE w:val="0"/>
        <w:autoSpaceDN w:val="0"/>
        <w:adjustRightInd w:val="0"/>
        <w:snapToGrid w:val="0"/>
        <w:spacing w:line="360" w:lineRule="auto"/>
        <w:outlineLvl w:val="0"/>
        <w:rPr>
          <w:rFonts w:ascii="宋体" w:hAnsi="宋体"/>
          <w:b/>
          <w:bCs/>
          <w:color w:val="auto"/>
          <w:sz w:val="24"/>
        </w:rPr>
      </w:pPr>
      <w:bookmarkStart w:id="171" w:name="_Toc320515038"/>
      <w:bookmarkStart w:id="172" w:name="_Toc320515087"/>
      <w:bookmarkStart w:id="173" w:name="_Toc315793474"/>
      <w:bookmarkStart w:id="174" w:name="_Toc363737703"/>
      <w:bookmarkStart w:id="175" w:name="_Toc475104496"/>
      <w:r>
        <w:rPr>
          <w:rFonts w:hint="eastAsia" w:ascii="宋体" w:hAnsi="宋体"/>
          <w:b/>
          <w:bCs/>
          <w:color w:val="auto"/>
          <w:sz w:val="24"/>
        </w:rPr>
        <w:t>磋商响应文件的密封和标记</w:t>
      </w:r>
      <w:bookmarkEnd w:id="171"/>
      <w:bookmarkEnd w:id="172"/>
      <w:bookmarkEnd w:id="173"/>
      <w:bookmarkEnd w:id="174"/>
      <w:bookmarkEnd w:id="175"/>
    </w:p>
    <w:p>
      <w:pPr>
        <w:numPr>
          <w:ilvl w:val="1"/>
          <w:numId w:val="5"/>
        </w:numPr>
        <w:autoSpaceDE w:val="0"/>
        <w:autoSpaceDN w:val="0"/>
        <w:adjustRightInd w:val="0"/>
        <w:snapToGrid w:val="0"/>
        <w:spacing w:line="360" w:lineRule="auto"/>
        <w:rPr>
          <w:rFonts w:ascii="宋体" w:hAnsi="宋体" w:cs="黑体"/>
          <w:b/>
          <w:bCs/>
          <w:dstrike/>
          <w:color w:val="auto"/>
          <w:szCs w:val="21"/>
        </w:rPr>
      </w:pPr>
      <w:r>
        <w:rPr>
          <w:rFonts w:hint="eastAsia" w:ascii="宋体" w:hAnsi="宋体" w:cs="宋体"/>
          <w:color w:val="auto"/>
          <w:szCs w:val="21"/>
        </w:rPr>
        <w:t>报价信封的密封和标记：</w:t>
      </w:r>
    </w:p>
    <w:p>
      <w:pPr>
        <w:numPr>
          <w:ilvl w:val="2"/>
          <w:numId w:val="5"/>
        </w:numPr>
        <w:tabs>
          <w:tab w:val="left" w:pos="851"/>
        </w:tabs>
        <w:autoSpaceDE w:val="0"/>
        <w:autoSpaceDN w:val="0"/>
        <w:adjustRightInd w:val="0"/>
        <w:snapToGrid w:val="0"/>
        <w:spacing w:line="360" w:lineRule="auto"/>
        <w:jc w:val="left"/>
        <w:rPr>
          <w:rFonts w:ascii="宋体" w:hAnsi="宋体" w:cs="黑体"/>
          <w:b/>
          <w:bCs/>
          <w:dstrike/>
          <w:color w:val="auto"/>
          <w:szCs w:val="21"/>
        </w:rPr>
      </w:pPr>
      <w:r>
        <w:rPr>
          <w:rFonts w:hint="eastAsia" w:cs="宋体"/>
          <w:color w:val="auto"/>
          <w:szCs w:val="21"/>
        </w:rPr>
        <w:t>供应商</w:t>
      </w:r>
      <w:r>
        <w:rPr>
          <w:rFonts w:hint="eastAsia" w:ascii="宋体" w:hAnsi="宋体" w:cs="宋体"/>
          <w:color w:val="auto"/>
          <w:szCs w:val="21"/>
          <w:lang w:eastAsia="zh-TW"/>
        </w:rPr>
        <w:t>应将</w:t>
      </w:r>
      <w:r>
        <w:rPr>
          <w:rFonts w:hint="eastAsia" w:ascii="宋体" w:hAnsi="宋体" w:cs="宋体"/>
          <w:color w:val="auto"/>
          <w:kern w:val="0"/>
          <w:szCs w:val="21"/>
        </w:rPr>
        <w:t>竞争性磋商函</w:t>
      </w:r>
      <w:r>
        <w:rPr>
          <w:rFonts w:hint="eastAsia" w:ascii="宋体" w:hAnsi="宋体" w:cs="宋体"/>
          <w:color w:val="auto"/>
          <w:szCs w:val="21"/>
        </w:rPr>
        <w:t>和电子文件</w:t>
      </w:r>
      <w:r>
        <w:rPr>
          <w:rFonts w:hint="eastAsia" w:ascii="宋体" w:hAnsi="宋体" w:cs="宋体"/>
          <w:color w:val="auto"/>
          <w:szCs w:val="21"/>
          <w:lang w:eastAsia="zh-TW"/>
        </w:rPr>
        <w:t>单独</w:t>
      </w:r>
      <w:r>
        <w:rPr>
          <w:rFonts w:hint="eastAsia" w:ascii="宋体" w:hAnsi="宋体" w:cs="宋体"/>
          <w:color w:val="auto"/>
          <w:szCs w:val="21"/>
        </w:rPr>
        <w:t>一起</w:t>
      </w:r>
      <w:r>
        <w:rPr>
          <w:rFonts w:hint="eastAsia" w:ascii="宋体" w:hAnsi="宋体" w:cs="宋体"/>
          <w:color w:val="auto"/>
          <w:szCs w:val="21"/>
          <w:lang w:eastAsia="zh-TW"/>
        </w:rPr>
        <w:t>密封提交</w:t>
      </w:r>
      <w:r>
        <w:rPr>
          <w:rFonts w:hint="eastAsia" w:ascii="宋体" w:hAnsi="宋体" w:cs="宋体"/>
          <w:color w:val="auto"/>
          <w:szCs w:val="21"/>
        </w:rPr>
        <w:t>，</w:t>
      </w:r>
      <w:r>
        <w:rPr>
          <w:rFonts w:hint="eastAsia" w:ascii="宋体" w:hAnsi="宋体" w:cs="宋体"/>
          <w:color w:val="auto"/>
          <w:szCs w:val="21"/>
          <w:lang w:eastAsia="zh-TW"/>
        </w:rPr>
        <w:t>并在信封上标明</w:t>
      </w:r>
      <w:r>
        <w:rPr>
          <w:rFonts w:hint="eastAsia" w:ascii="宋体" w:hAnsi="宋体" w:cs="宋体"/>
          <w:color w:val="auto"/>
          <w:szCs w:val="21"/>
        </w:rPr>
        <w:t>“报价信封”的</w:t>
      </w:r>
      <w:r>
        <w:rPr>
          <w:rFonts w:hint="eastAsia" w:ascii="宋体" w:hAnsi="宋体" w:cs="宋体"/>
          <w:color w:val="auto"/>
          <w:szCs w:val="21"/>
          <w:lang w:eastAsia="zh-TW"/>
        </w:rPr>
        <w:t>字样。</w:t>
      </w:r>
    </w:p>
    <w:p>
      <w:pPr>
        <w:numPr>
          <w:ilvl w:val="1"/>
          <w:numId w:val="5"/>
        </w:numPr>
        <w:autoSpaceDE w:val="0"/>
        <w:autoSpaceDN w:val="0"/>
        <w:adjustRightInd w:val="0"/>
        <w:snapToGrid w:val="0"/>
        <w:spacing w:line="360" w:lineRule="auto"/>
        <w:jc w:val="left"/>
        <w:rPr>
          <w:rFonts w:ascii="宋体" w:hAnsi="宋体"/>
          <w:color w:val="auto"/>
          <w:szCs w:val="21"/>
        </w:rPr>
      </w:pPr>
      <w:r>
        <w:rPr>
          <w:rFonts w:hint="eastAsia" w:ascii="宋体" w:hAnsi="宋体" w:cs="宋体"/>
          <w:color w:val="auto"/>
          <w:szCs w:val="21"/>
        </w:rPr>
        <w:t>磋商响应文件递交及封装：</w:t>
      </w:r>
    </w:p>
    <w:p>
      <w:pPr>
        <w:numPr>
          <w:ilvl w:val="2"/>
          <w:numId w:val="5"/>
        </w:numPr>
        <w:tabs>
          <w:tab w:val="left" w:pos="851"/>
        </w:tabs>
        <w:autoSpaceDE w:val="0"/>
        <w:autoSpaceDN w:val="0"/>
        <w:adjustRightInd w:val="0"/>
        <w:snapToGrid w:val="0"/>
        <w:spacing w:line="360" w:lineRule="auto"/>
        <w:jc w:val="left"/>
        <w:rPr>
          <w:rFonts w:ascii="宋体" w:hAnsi="宋体" w:cs="宋体"/>
          <w:color w:val="auto"/>
          <w:szCs w:val="21"/>
        </w:rPr>
      </w:pPr>
      <w:r>
        <w:rPr>
          <w:rFonts w:hint="eastAsia" w:ascii="宋体" w:hAnsi="宋体" w:cs="宋体"/>
          <w:color w:val="auto"/>
          <w:szCs w:val="21"/>
        </w:rPr>
        <w:t>所有磋商响应文件及样板（如有）应在磋商响应文件递交截止时间前送达磋商响应文件递交地点（时间及地点以第一章竞争性磋商邀请为准），并当面交予采购代理机构专责人员，采购代理机构将拒绝以下情况之一的磋商响应文件：</w:t>
      </w:r>
    </w:p>
    <w:p>
      <w:pPr>
        <w:tabs>
          <w:tab w:val="left" w:pos="851"/>
        </w:tabs>
        <w:autoSpaceDE w:val="0"/>
        <w:autoSpaceDN w:val="0"/>
        <w:adjustRightInd w:val="0"/>
        <w:snapToGrid w:val="0"/>
        <w:spacing w:line="360" w:lineRule="auto"/>
        <w:ind w:firstLine="630" w:firstLineChars="300"/>
        <w:jc w:val="left"/>
        <w:rPr>
          <w:rFonts w:ascii="宋体" w:hAnsi="宋体" w:cs="宋体"/>
          <w:color w:val="auto"/>
          <w:szCs w:val="21"/>
        </w:rPr>
      </w:pPr>
      <w:r>
        <w:rPr>
          <w:rFonts w:hint="eastAsia" w:ascii="宋体" w:hAnsi="宋体" w:cs="宋体"/>
          <w:color w:val="auto"/>
          <w:szCs w:val="21"/>
        </w:rPr>
        <w:t>（1）迟于磋商响应文件递交截止时间递交的；</w:t>
      </w:r>
    </w:p>
    <w:p>
      <w:pPr>
        <w:tabs>
          <w:tab w:val="left" w:pos="851"/>
        </w:tabs>
        <w:autoSpaceDE w:val="0"/>
        <w:autoSpaceDN w:val="0"/>
        <w:adjustRightInd w:val="0"/>
        <w:snapToGrid w:val="0"/>
        <w:spacing w:line="360" w:lineRule="auto"/>
        <w:ind w:firstLine="630" w:firstLineChars="300"/>
        <w:jc w:val="left"/>
        <w:rPr>
          <w:rFonts w:ascii="宋体" w:hAnsi="宋体" w:cs="宋体"/>
          <w:color w:val="auto"/>
          <w:szCs w:val="21"/>
        </w:rPr>
      </w:pPr>
      <w:r>
        <w:rPr>
          <w:rFonts w:hint="eastAsia" w:ascii="宋体" w:hAnsi="宋体" w:cs="宋体"/>
          <w:color w:val="auto"/>
          <w:szCs w:val="21"/>
        </w:rPr>
        <w:t>（2）以电报、电话、电传、传真或邮递形式递交的；</w:t>
      </w:r>
    </w:p>
    <w:p>
      <w:pPr>
        <w:tabs>
          <w:tab w:val="left" w:pos="851"/>
        </w:tabs>
        <w:autoSpaceDE w:val="0"/>
        <w:autoSpaceDN w:val="0"/>
        <w:adjustRightInd w:val="0"/>
        <w:snapToGrid w:val="0"/>
        <w:spacing w:line="360" w:lineRule="auto"/>
        <w:ind w:firstLine="630" w:firstLineChars="300"/>
        <w:jc w:val="left"/>
        <w:rPr>
          <w:rFonts w:ascii="宋体" w:hAnsi="宋体" w:cs="宋体"/>
          <w:color w:val="auto"/>
          <w:szCs w:val="21"/>
        </w:rPr>
      </w:pPr>
      <w:r>
        <w:rPr>
          <w:rFonts w:hint="eastAsia" w:ascii="宋体" w:hAnsi="宋体" w:cs="宋体"/>
          <w:color w:val="auto"/>
          <w:szCs w:val="21"/>
        </w:rPr>
        <w:t>（3）密封不严、册装不整的。</w:t>
      </w:r>
    </w:p>
    <w:p>
      <w:pPr>
        <w:numPr>
          <w:ilvl w:val="2"/>
          <w:numId w:val="5"/>
        </w:numPr>
        <w:tabs>
          <w:tab w:val="left" w:pos="851"/>
        </w:tabs>
        <w:autoSpaceDE w:val="0"/>
        <w:autoSpaceDN w:val="0"/>
        <w:adjustRightInd w:val="0"/>
        <w:snapToGrid w:val="0"/>
        <w:spacing w:line="360" w:lineRule="auto"/>
        <w:jc w:val="left"/>
        <w:rPr>
          <w:rFonts w:ascii="宋体" w:hAnsi="宋体" w:cs="宋体"/>
          <w:color w:val="auto"/>
          <w:szCs w:val="21"/>
        </w:rPr>
      </w:pPr>
      <w:r>
        <w:rPr>
          <w:rFonts w:hint="eastAsia" w:ascii="宋体" w:hAnsi="宋体" w:cs="宋体"/>
          <w:color w:val="auto"/>
          <w:szCs w:val="21"/>
        </w:rPr>
        <w:t>正本单独封装，副本全部一起封装，报价信封单独封装，封套表面标明 “正本”、“副本”或“报价信封”字样。在每一封套上按以下顺序标明如下字样，注明竞争性磋商邀请中指明的项目名称、项目编号和“在(竞争性磋商文件中规定的磋商响应文件递交截止时间)之前不得启封”的字样，如：</w:t>
      </w:r>
    </w:p>
    <w:tbl>
      <w:tblPr>
        <w:tblStyle w:val="90"/>
        <w:tblW w:w="0" w:type="auto"/>
        <w:tblInd w:w="11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0" w:type="dxa"/>
          </w:tcPr>
          <w:p>
            <w:pPr>
              <w:spacing w:line="360" w:lineRule="auto"/>
              <w:ind w:firstLine="420" w:firstLineChars="200"/>
              <w:rPr>
                <w:rFonts w:ascii="宋体" w:hAnsi="宋体"/>
                <w:color w:val="auto"/>
                <w:szCs w:val="21"/>
              </w:rPr>
            </w:pPr>
            <w:r>
              <w:rPr>
                <w:rFonts w:hint="eastAsia" w:ascii="宋体" w:hAnsi="宋体"/>
                <w:color w:val="auto"/>
                <w:szCs w:val="21"/>
              </w:rPr>
              <w:t>收件人名称：广州市信怡招标代理有限公司</w:t>
            </w:r>
          </w:p>
          <w:p>
            <w:pPr>
              <w:spacing w:line="360" w:lineRule="auto"/>
              <w:ind w:firstLine="420" w:firstLineChars="200"/>
              <w:rPr>
                <w:rFonts w:ascii="宋体" w:hAnsi="宋体"/>
                <w:color w:val="auto"/>
                <w:szCs w:val="21"/>
              </w:rPr>
            </w:pPr>
            <w:r>
              <w:rPr>
                <w:rFonts w:hint="eastAsia" w:ascii="宋体" w:hAnsi="宋体"/>
                <w:color w:val="auto"/>
                <w:szCs w:val="21"/>
              </w:rPr>
              <w:t xml:space="preserve">项目编号：                 </w:t>
            </w:r>
          </w:p>
          <w:p>
            <w:pPr>
              <w:spacing w:line="360" w:lineRule="auto"/>
              <w:ind w:firstLine="420" w:firstLineChars="200"/>
              <w:rPr>
                <w:rFonts w:ascii="宋体" w:hAnsi="宋体" w:cs="宋体"/>
                <w:color w:val="auto"/>
                <w:szCs w:val="21"/>
              </w:rPr>
            </w:pPr>
            <w:r>
              <w:rPr>
                <w:rFonts w:hint="eastAsia" w:ascii="宋体" w:hAnsi="宋体"/>
                <w:color w:val="auto"/>
                <w:szCs w:val="21"/>
              </w:rPr>
              <w:t>项目名称：</w:t>
            </w:r>
          </w:p>
          <w:p>
            <w:pPr>
              <w:spacing w:line="360" w:lineRule="auto"/>
              <w:ind w:firstLine="420" w:firstLineChars="200"/>
              <w:rPr>
                <w:rFonts w:ascii="宋体" w:hAnsi="宋体"/>
                <w:color w:val="auto"/>
                <w:szCs w:val="21"/>
              </w:rPr>
            </w:pPr>
            <w:r>
              <w:rPr>
                <w:rFonts w:hint="eastAsia" w:ascii="宋体" w:hAnsi="宋体"/>
                <w:color w:val="auto"/>
                <w:szCs w:val="21"/>
              </w:rPr>
              <w:t>包装内容：</w:t>
            </w:r>
            <w:r>
              <w:rPr>
                <w:rFonts w:hint="eastAsia" w:ascii="宋体" w:hAnsi="宋体" w:cs="宋体"/>
                <w:color w:val="auto"/>
                <w:szCs w:val="21"/>
              </w:rPr>
              <w:t>磋商</w:t>
            </w:r>
            <w:r>
              <w:rPr>
                <w:rFonts w:hint="eastAsia" w:ascii="宋体" w:hAnsi="宋体"/>
                <w:color w:val="auto"/>
                <w:szCs w:val="21"/>
              </w:rPr>
              <w:t>响应文件正本</w:t>
            </w:r>
            <w:r>
              <w:rPr>
                <w:rFonts w:ascii="宋体" w:hAnsi="宋体"/>
                <w:color w:val="auto"/>
                <w:szCs w:val="21"/>
              </w:rPr>
              <w:t>/</w:t>
            </w:r>
            <w:r>
              <w:rPr>
                <w:rFonts w:hint="eastAsia" w:ascii="宋体" w:hAnsi="宋体"/>
                <w:color w:val="auto"/>
                <w:szCs w:val="21"/>
              </w:rPr>
              <w:t>副本</w:t>
            </w:r>
            <w:r>
              <w:rPr>
                <w:rFonts w:ascii="宋体" w:hAnsi="宋体"/>
                <w:color w:val="auto"/>
                <w:szCs w:val="21"/>
              </w:rPr>
              <w:t>/</w:t>
            </w:r>
            <w:r>
              <w:rPr>
                <w:rFonts w:hint="eastAsia" w:ascii="宋体" w:hAnsi="宋体"/>
                <w:color w:val="auto"/>
                <w:szCs w:val="21"/>
              </w:rPr>
              <w:t>报价信封</w:t>
            </w:r>
          </w:p>
          <w:p>
            <w:pPr>
              <w:spacing w:line="360" w:lineRule="auto"/>
              <w:ind w:firstLine="420" w:firstLineChars="200"/>
              <w:rPr>
                <w:rFonts w:ascii="宋体" w:hAnsi="宋体"/>
                <w:color w:val="auto"/>
                <w:szCs w:val="21"/>
              </w:rPr>
            </w:pPr>
            <w:r>
              <w:rPr>
                <w:rFonts w:hint="eastAsia" w:cs="宋体"/>
                <w:color w:val="auto"/>
                <w:szCs w:val="21"/>
              </w:rPr>
              <w:t>供应商</w:t>
            </w:r>
            <w:r>
              <w:rPr>
                <w:rFonts w:hint="eastAsia" w:ascii="宋体" w:hAnsi="宋体"/>
                <w:color w:val="auto"/>
                <w:szCs w:val="21"/>
              </w:rPr>
              <w:t>名称：</w:t>
            </w:r>
          </w:p>
          <w:p>
            <w:pPr>
              <w:spacing w:line="360" w:lineRule="auto"/>
              <w:ind w:firstLine="420" w:firstLineChars="200"/>
              <w:rPr>
                <w:rFonts w:ascii="宋体" w:hAnsi="宋体"/>
                <w:color w:val="auto"/>
                <w:szCs w:val="21"/>
              </w:rPr>
            </w:pPr>
            <w:r>
              <w:rPr>
                <w:rFonts w:hint="eastAsia" w:cs="宋体"/>
                <w:color w:val="auto"/>
                <w:szCs w:val="21"/>
              </w:rPr>
              <w:t>供应商</w:t>
            </w:r>
            <w:r>
              <w:rPr>
                <w:rFonts w:hint="eastAsia" w:ascii="宋体" w:hAnsi="宋体"/>
                <w:color w:val="auto"/>
                <w:szCs w:val="21"/>
              </w:rPr>
              <w:t>地址：</w:t>
            </w:r>
          </w:p>
          <w:p>
            <w:pPr>
              <w:spacing w:line="360" w:lineRule="auto"/>
              <w:ind w:firstLine="420" w:firstLineChars="200"/>
              <w:rPr>
                <w:rFonts w:ascii="宋体" w:hAnsi="宋体"/>
                <w:color w:val="auto"/>
                <w:szCs w:val="21"/>
              </w:rPr>
            </w:pPr>
            <w:r>
              <w:rPr>
                <w:rFonts w:hint="eastAsia" w:ascii="宋体" w:hAnsi="宋体"/>
                <w:color w:val="auto"/>
                <w:szCs w:val="21"/>
              </w:rPr>
              <w:t>联</w:t>
            </w:r>
            <w:r>
              <w:rPr>
                <w:rFonts w:ascii="宋体" w:hAnsi="宋体"/>
                <w:color w:val="auto"/>
                <w:szCs w:val="21"/>
              </w:rPr>
              <w:t xml:space="preserve"> 系 人：</w:t>
            </w:r>
          </w:p>
          <w:p>
            <w:pPr>
              <w:spacing w:line="360" w:lineRule="auto"/>
              <w:ind w:firstLine="420" w:firstLineChars="200"/>
              <w:rPr>
                <w:rFonts w:ascii="宋体" w:hAnsi="宋体"/>
                <w:color w:val="auto"/>
                <w:szCs w:val="21"/>
              </w:rPr>
            </w:pPr>
            <w:r>
              <w:rPr>
                <w:rFonts w:hint="eastAsia" w:ascii="宋体" w:hAnsi="宋体"/>
                <w:color w:val="auto"/>
                <w:szCs w:val="21"/>
              </w:rPr>
              <w:t>联系电话：</w:t>
            </w:r>
          </w:p>
          <w:p>
            <w:pPr>
              <w:spacing w:line="360" w:lineRule="auto"/>
              <w:ind w:firstLine="420" w:firstLineChars="200"/>
              <w:rPr>
                <w:rFonts w:ascii="宋体" w:hAnsi="宋体"/>
                <w:color w:val="auto"/>
                <w:szCs w:val="21"/>
              </w:rPr>
            </w:pPr>
            <w:r>
              <w:rPr>
                <w:rFonts w:hint="eastAsia" w:ascii="宋体" w:hAnsi="宋体"/>
                <w:color w:val="auto"/>
                <w:szCs w:val="21"/>
              </w:rPr>
              <w:t>传真电话：</w:t>
            </w:r>
          </w:p>
          <w:p>
            <w:pPr>
              <w:tabs>
                <w:tab w:val="left" w:pos="851"/>
              </w:tabs>
              <w:autoSpaceDE w:val="0"/>
              <w:autoSpaceDN w:val="0"/>
              <w:adjustRightInd w:val="0"/>
              <w:snapToGrid w:val="0"/>
              <w:spacing w:line="360" w:lineRule="auto"/>
              <w:ind w:firstLine="420" w:firstLineChars="200"/>
              <w:jc w:val="left"/>
              <w:rPr>
                <w:rFonts w:ascii="宋体" w:hAnsi="宋体" w:cs="宋体"/>
                <w:color w:val="auto"/>
                <w:szCs w:val="21"/>
              </w:rPr>
            </w:pPr>
            <w:r>
              <w:rPr>
                <w:rFonts w:hint="eastAsia" w:ascii="宋体" w:hAnsi="宋体"/>
                <w:color w:val="auto"/>
                <w:szCs w:val="21"/>
              </w:rPr>
              <w:t>在规定的磋商时间2020</w:t>
            </w:r>
            <w:r>
              <w:rPr>
                <w:rFonts w:ascii="宋体" w:hAnsi="宋体"/>
                <w:color w:val="auto"/>
                <w:szCs w:val="21"/>
              </w:rPr>
              <w:t>年</w:t>
            </w:r>
            <w:r>
              <w:rPr>
                <w:rFonts w:hint="eastAsia" w:ascii="宋体" w:hAnsi="宋体"/>
                <w:color w:val="auto"/>
                <w:szCs w:val="21"/>
              </w:rPr>
              <w:t xml:space="preserve"> </w:t>
            </w:r>
            <w:r>
              <w:rPr>
                <w:rFonts w:ascii="宋体" w:hAnsi="宋体"/>
                <w:color w:val="auto"/>
                <w:szCs w:val="21"/>
              </w:rPr>
              <w:t>月</w:t>
            </w:r>
            <w:r>
              <w:rPr>
                <w:rFonts w:hint="eastAsia" w:ascii="宋体" w:hAnsi="宋体"/>
                <w:color w:val="auto"/>
                <w:szCs w:val="21"/>
              </w:rPr>
              <w:t xml:space="preserve"> </w:t>
            </w:r>
            <w:r>
              <w:rPr>
                <w:rFonts w:ascii="宋体" w:hAnsi="宋体"/>
                <w:color w:val="auto"/>
                <w:szCs w:val="21"/>
              </w:rPr>
              <w:t>日</w:t>
            </w:r>
            <w:r>
              <w:rPr>
                <w:rFonts w:hint="eastAsia" w:ascii="宋体" w:hAnsi="宋体"/>
                <w:color w:val="auto"/>
                <w:szCs w:val="21"/>
              </w:rPr>
              <w:t>前不得启封</w:t>
            </w:r>
          </w:p>
        </w:tc>
      </w:tr>
    </w:tbl>
    <w:p>
      <w:pPr>
        <w:numPr>
          <w:ilvl w:val="1"/>
          <w:numId w:val="5"/>
        </w:numPr>
        <w:autoSpaceDE w:val="0"/>
        <w:autoSpaceDN w:val="0"/>
        <w:adjustRightInd w:val="0"/>
        <w:snapToGrid w:val="0"/>
        <w:spacing w:line="360" w:lineRule="auto"/>
        <w:rPr>
          <w:rFonts w:ascii="宋体" w:hAnsi="宋体" w:cs="宋体"/>
          <w:color w:val="auto"/>
          <w:szCs w:val="21"/>
        </w:rPr>
      </w:pPr>
      <w:r>
        <w:rPr>
          <w:rFonts w:hint="eastAsia" w:ascii="宋体" w:hAnsi="宋体" w:cs="宋体"/>
          <w:color w:val="auto"/>
          <w:szCs w:val="21"/>
        </w:rPr>
        <w:t>采购代理机构对因不可抗力事件造成的磋商响应文件的损坏、丢失不承担责任。</w:t>
      </w:r>
    </w:p>
    <w:p>
      <w:pPr>
        <w:numPr>
          <w:ilvl w:val="1"/>
          <w:numId w:val="5"/>
        </w:numPr>
        <w:autoSpaceDE w:val="0"/>
        <w:autoSpaceDN w:val="0"/>
        <w:adjustRightInd w:val="0"/>
        <w:snapToGrid w:val="0"/>
        <w:spacing w:line="360" w:lineRule="auto"/>
        <w:rPr>
          <w:rFonts w:ascii="宋体" w:hAnsi="宋体"/>
          <w:color w:val="auto"/>
          <w:szCs w:val="21"/>
        </w:rPr>
      </w:pPr>
      <w:r>
        <w:rPr>
          <w:rFonts w:hint="eastAsia" w:ascii="宋体" w:hAnsi="宋体" w:cs="宋体"/>
          <w:color w:val="auto"/>
          <w:szCs w:val="21"/>
          <w:lang w:eastAsia="zh-TW"/>
        </w:rPr>
        <w:t>如果未按本须知</w:t>
      </w:r>
      <w:r>
        <w:rPr>
          <w:rFonts w:hint="eastAsia" w:ascii="宋体" w:hAnsi="宋体" w:cs="宋体"/>
          <w:color w:val="auto"/>
          <w:szCs w:val="21"/>
        </w:rPr>
        <w:t>上款</w:t>
      </w:r>
      <w:r>
        <w:rPr>
          <w:rFonts w:hint="eastAsia" w:ascii="宋体" w:hAnsi="宋体" w:cs="宋体"/>
          <w:color w:val="auto"/>
          <w:szCs w:val="21"/>
          <w:lang w:eastAsia="zh-TW"/>
        </w:rPr>
        <w:t>要求加写标记和</w:t>
      </w:r>
      <w:r>
        <w:rPr>
          <w:rFonts w:hint="eastAsia" w:ascii="宋体" w:hAnsi="宋体" w:cs="宋体"/>
          <w:color w:val="auto"/>
          <w:szCs w:val="21"/>
        </w:rPr>
        <w:t>密封，</w:t>
      </w:r>
      <w:r>
        <w:rPr>
          <w:rFonts w:hint="eastAsia" w:ascii="宋体" w:hAnsi="宋体" w:cs="宋体"/>
          <w:color w:val="auto"/>
          <w:szCs w:val="21"/>
          <w:lang w:eastAsia="zh-TW"/>
        </w:rPr>
        <w:t>政府采购代理机构对误投或提前启封概不负责</w:t>
      </w:r>
      <w:r>
        <w:rPr>
          <w:rFonts w:hint="eastAsia" w:ascii="宋体" w:hAnsi="宋体" w:cs="宋体"/>
          <w:color w:val="auto"/>
          <w:szCs w:val="21"/>
        </w:rPr>
        <w:t>。</w:t>
      </w:r>
    </w:p>
    <w:p>
      <w:pPr>
        <w:numPr>
          <w:ilvl w:val="0"/>
          <w:numId w:val="5"/>
        </w:numPr>
        <w:autoSpaceDE w:val="0"/>
        <w:autoSpaceDN w:val="0"/>
        <w:adjustRightInd w:val="0"/>
        <w:snapToGrid w:val="0"/>
        <w:spacing w:line="360" w:lineRule="auto"/>
        <w:outlineLvl w:val="0"/>
        <w:rPr>
          <w:rFonts w:ascii="宋体" w:hAnsi="宋体"/>
          <w:b/>
          <w:bCs/>
          <w:color w:val="auto"/>
          <w:sz w:val="24"/>
        </w:rPr>
      </w:pPr>
      <w:bookmarkStart w:id="176" w:name="_Toc323110999"/>
      <w:bookmarkStart w:id="177" w:name="_Toc322680366"/>
      <w:bookmarkStart w:id="178" w:name="_Toc320515089"/>
      <w:bookmarkStart w:id="179" w:name="_Toc315793476"/>
      <w:bookmarkStart w:id="180" w:name="_Toc320515040"/>
      <w:r>
        <w:rPr>
          <w:rFonts w:hint="eastAsia" w:ascii="宋体" w:hAnsi="宋体"/>
          <w:b/>
          <w:bCs/>
          <w:color w:val="auto"/>
          <w:sz w:val="24"/>
        </w:rPr>
        <w:t>磋商响应文件递交截止期</w:t>
      </w:r>
    </w:p>
    <w:p>
      <w:pPr>
        <w:numPr>
          <w:ilvl w:val="1"/>
          <w:numId w:val="5"/>
        </w:numPr>
        <w:autoSpaceDE w:val="0"/>
        <w:autoSpaceDN w:val="0"/>
        <w:adjustRightInd w:val="0"/>
        <w:snapToGrid w:val="0"/>
        <w:spacing w:line="360" w:lineRule="auto"/>
        <w:jc w:val="left"/>
        <w:rPr>
          <w:rFonts w:ascii="宋体" w:hAnsi="宋体" w:cs="黑体"/>
          <w:b/>
          <w:bCs/>
          <w:color w:val="auto"/>
          <w:szCs w:val="21"/>
        </w:rPr>
      </w:pPr>
      <w:r>
        <w:rPr>
          <w:rFonts w:hint="eastAsia" w:cs="宋体"/>
          <w:color w:val="auto"/>
          <w:szCs w:val="21"/>
        </w:rPr>
        <w:t>供应商</w:t>
      </w:r>
      <w:r>
        <w:rPr>
          <w:rFonts w:hint="eastAsia" w:ascii="宋体" w:hAnsi="宋体" w:cs="宋体"/>
          <w:color w:val="auto"/>
          <w:szCs w:val="21"/>
          <w:lang w:eastAsia="zh-TW"/>
        </w:rPr>
        <w:t>应在不迟于</w:t>
      </w:r>
      <w:r>
        <w:rPr>
          <w:rFonts w:hint="eastAsia" w:ascii="宋体" w:hAnsi="宋体" w:cs="宋体"/>
          <w:color w:val="auto"/>
          <w:szCs w:val="21"/>
        </w:rPr>
        <w:t>竞争性磋商文件</w:t>
      </w:r>
      <w:r>
        <w:rPr>
          <w:rFonts w:hint="eastAsia" w:ascii="宋体" w:hAnsi="宋体" w:cs="宋体"/>
          <w:color w:val="auto"/>
          <w:szCs w:val="21"/>
          <w:lang w:eastAsia="zh-TW"/>
        </w:rPr>
        <w:t>规定的</w:t>
      </w:r>
      <w:r>
        <w:rPr>
          <w:rFonts w:hint="eastAsia" w:ascii="宋体" w:hAnsi="宋体" w:cs="宋体"/>
          <w:color w:val="auto"/>
          <w:szCs w:val="21"/>
        </w:rPr>
        <w:t>磋商响应文件递交截止时间</w:t>
      </w:r>
      <w:r>
        <w:rPr>
          <w:rFonts w:hint="eastAsia" w:ascii="宋体" w:hAnsi="宋体" w:cs="宋体"/>
          <w:color w:val="auto"/>
          <w:szCs w:val="21"/>
          <w:lang w:eastAsia="zh-TW"/>
        </w:rPr>
        <w:t>将</w:t>
      </w:r>
      <w:r>
        <w:rPr>
          <w:rFonts w:hint="eastAsia" w:ascii="宋体" w:hAnsi="宋体" w:cs="宋体"/>
          <w:color w:val="auto"/>
          <w:szCs w:val="21"/>
        </w:rPr>
        <w:t>磋商</w:t>
      </w:r>
      <w:r>
        <w:rPr>
          <w:rFonts w:hint="eastAsia" w:ascii="宋体" w:hAnsi="宋体" w:cs="宋体"/>
          <w:color w:val="auto"/>
          <w:szCs w:val="21"/>
          <w:lang w:eastAsia="zh-TW"/>
        </w:rPr>
        <w:t>响应文件递交至政府采购代理机构</w:t>
      </w:r>
      <w:r>
        <w:rPr>
          <w:rFonts w:hint="eastAsia" w:ascii="宋体" w:hAnsi="宋体" w:cs="宋体"/>
          <w:color w:val="auto"/>
          <w:szCs w:val="21"/>
        </w:rPr>
        <w:t>，</w:t>
      </w:r>
      <w:r>
        <w:rPr>
          <w:rFonts w:hint="eastAsia" w:ascii="宋体" w:hAnsi="宋体" w:cs="宋体"/>
          <w:color w:val="auto"/>
          <w:szCs w:val="21"/>
          <w:lang w:eastAsia="zh-TW"/>
        </w:rPr>
        <w:t>递交地点应是</w:t>
      </w:r>
      <w:r>
        <w:rPr>
          <w:rFonts w:hint="eastAsia" w:ascii="宋体" w:hAnsi="宋体" w:cs="宋体"/>
          <w:color w:val="auto"/>
          <w:szCs w:val="21"/>
        </w:rPr>
        <w:t>竞争性磋商文件</w:t>
      </w:r>
      <w:r>
        <w:rPr>
          <w:rFonts w:hint="eastAsia" w:ascii="宋体" w:hAnsi="宋体" w:cs="宋体"/>
          <w:color w:val="auto"/>
          <w:szCs w:val="21"/>
          <w:lang w:eastAsia="zh-TW"/>
        </w:rPr>
        <w:t>中指明的地址。</w:t>
      </w:r>
    </w:p>
    <w:p>
      <w:pPr>
        <w:numPr>
          <w:ilvl w:val="1"/>
          <w:numId w:val="5"/>
        </w:numPr>
        <w:autoSpaceDE w:val="0"/>
        <w:autoSpaceDN w:val="0"/>
        <w:adjustRightInd w:val="0"/>
        <w:snapToGrid w:val="0"/>
        <w:spacing w:line="360" w:lineRule="auto"/>
        <w:jc w:val="left"/>
        <w:rPr>
          <w:rFonts w:ascii="宋体" w:hAnsi="宋体" w:cs="黑体"/>
          <w:b/>
          <w:bCs/>
          <w:color w:val="auto"/>
          <w:szCs w:val="21"/>
        </w:rPr>
      </w:pPr>
      <w:r>
        <w:rPr>
          <w:rFonts w:hint="eastAsia" w:ascii="宋体" w:hAnsi="宋体" w:cs="宋体"/>
          <w:color w:val="auto"/>
          <w:szCs w:val="21"/>
          <w:lang w:eastAsia="zh-TW"/>
        </w:rPr>
        <w:t>采购代理机构将拒绝在规定的</w:t>
      </w:r>
      <w:r>
        <w:rPr>
          <w:rFonts w:hint="eastAsia" w:ascii="宋体" w:hAnsi="宋体" w:cs="宋体"/>
          <w:color w:val="auto"/>
          <w:szCs w:val="21"/>
        </w:rPr>
        <w:t>磋商响应文件递交截止时间</w:t>
      </w:r>
      <w:r>
        <w:rPr>
          <w:rFonts w:hint="eastAsia" w:ascii="宋体" w:hAnsi="宋体" w:cs="宋体"/>
          <w:color w:val="auto"/>
          <w:szCs w:val="21"/>
          <w:lang w:eastAsia="zh-TW"/>
        </w:rPr>
        <w:t>后收到的任何</w:t>
      </w:r>
      <w:r>
        <w:rPr>
          <w:rFonts w:hint="eastAsia" w:ascii="宋体" w:hAnsi="宋体" w:cs="宋体"/>
          <w:color w:val="auto"/>
          <w:szCs w:val="21"/>
        </w:rPr>
        <w:t>磋商</w:t>
      </w:r>
      <w:r>
        <w:rPr>
          <w:rFonts w:hint="eastAsia" w:ascii="宋体" w:hAnsi="宋体" w:cs="宋体"/>
          <w:color w:val="auto"/>
          <w:szCs w:val="21"/>
          <w:lang w:eastAsia="zh-TW"/>
        </w:rPr>
        <w:t>响应文件。</w:t>
      </w:r>
    </w:p>
    <w:bookmarkEnd w:id="176"/>
    <w:bookmarkEnd w:id="177"/>
    <w:bookmarkEnd w:id="178"/>
    <w:bookmarkEnd w:id="179"/>
    <w:bookmarkEnd w:id="180"/>
    <w:p>
      <w:pPr>
        <w:numPr>
          <w:ilvl w:val="0"/>
          <w:numId w:val="5"/>
        </w:numPr>
        <w:autoSpaceDE w:val="0"/>
        <w:autoSpaceDN w:val="0"/>
        <w:adjustRightInd w:val="0"/>
        <w:snapToGrid w:val="0"/>
        <w:spacing w:line="360" w:lineRule="auto"/>
        <w:outlineLvl w:val="0"/>
        <w:rPr>
          <w:rFonts w:ascii="宋体" w:hAnsi="宋体"/>
          <w:b/>
          <w:bCs/>
          <w:color w:val="auto"/>
          <w:sz w:val="24"/>
        </w:rPr>
      </w:pPr>
      <w:bookmarkStart w:id="181" w:name="_Toc475104498"/>
      <w:bookmarkStart w:id="182" w:name="_Toc363737705"/>
      <w:bookmarkStart w:id="183" w:name="_Toc323111000"/>
      <w:r>
        <w:rPr>
          <w:rFonts w:hint="eastAsia" w:ascii="宋体" w:hAnsi="宋体"/>
          <w:b/>
          <w:bCs/>
          <w:color w:val="auto"/>
          <w:sz w:val="24"/>
        </w:rPr>
        <w:t>磋商响应文件的修改和撤回</w:t>
      </w:r>
      <w:bookmarkEnd w:id="181"/>
      <w:bookmarkEnd w:id="182"/>
    </w:p>
    <w:p>
      <w:pPr>
        <w:numPr>
          <w:ilvl w:val="1"/>
          <w:numId w:val="5"/>
        </w:numPr>
        <w:autoSpaceDE w:val="0"/>
        <w:autoSpaceDN w:val="0"/>
        <w:adjustRightInd w:val="0"/>
        <w:snapToGrid w:val="0"/>
        <w:spacing w:line="360" w:lineRule="auto"/>
        <w:jc w:val="left"/>
        <w:rPr>
          <w:rFonts w:ascii="宋体" w:hAnsi="宋体" w:cs="黑体"/>
          <w:b/>
          <w:bCs/>
          <w:color w:val="auto"/>
          <w:szCs w:val="21"/>
        </w:rPr>
      </w:pPr>
      <w:r>
        <w:rPr>
          <w:rFonts w:hint="eastAsia" w:cs="宋体"/>
          <w:color w:val="auto"/>
          <w:szCs w:val="21"/>
        </w:rPr>
        <w:t>供应商</w:t>
      </w:r>
      <w:r>
        <w:rPr>
          <w:rFonts w:hint="eastAsia" w:ascii="宋体" w:hAnsi="宋体" w:cs="宋体"/>
          <w:color w:val="auto"/>
          <w:szCs w:val="21"/>
          <w:lang w:eastAsia="zh-TW"/>
        </w:rPr>
        <w:t>在</w:t>
      </w:r>
      <w:r>
        <w:rPr>
          <w:rFonts w:hint="eastAsia" w:ascii="宋体" w:hAnsi="宋体"/>
          <w:color w:val="auto"/>
        </w:rPr>
        <w:t>磋商响应文件递交截止时间</w:t>
      </w:r>
      <w:r>
        <w:rPr>
          <w:rFonts w:hint="eastAsia" w:ascii="宋体" w:hAnsi="宋体" w:cs="宋体"/>
          <w:color w:val="auto"/>
          <w:szCs w:val="21"/>
          <w:lang w:eastAsia="zh-TW"/>
        </w:rPr>
        <w:t>前，可以对所递交的</w:t>
      </w:r>
      <w:r>
        <w:rPr>
          <w:rFonts w:hint="eastAsia" w:ascii="宋体" w:hAnsi="宋体"/>
          <w:color w:val="auto"/>
          <w:szCs w:val="21"/>
        </w:rPr>
        <w:t>磋商</w:t>
      </w:r>
      <w:r>
        <w:rPr>
          <w:rFonts w:hint="eastAsia" w:ascii="宋体" w:hAnsi="宋体" w:cs="宋体"/>
          <w:color w:val="auto"/>
          <w:szCs w:val="21"/>
          <w:lang w:eastAsia="zh-TW"/>
        </w:rPr>
        <w:t>响应文件进行补充、修改或者撤回，并书面通知</w:t>
      </w:r>
      <w:r>
        <w:rPr>
          <w:rFonts w:hint="eastAsia" w:ascii="宋体" w:hAnsi="宋体" w:cs="宋体"/>
          <w:color w:val="auto"/>
          <w:szCs w:val="21"/>
        </w:rPr>
        <w:t>采购代理机构</w:t>
      </w:r>
      <w:r>
        <w:rPr>
          <w:rFonts w:hint="eastAsia" w:ascii="宋体" w:hAnsi="宋体" w:cs="宋体"/>
          <w:color w:val="auto"/>
          <w:szCs w:val="21"/>
          <w:lang w:eastAsia="zh-TW"/>
        </w:rPr>
        <w:t>。补充、修改的内容应当按竞争性磋商文件要求签署、盖章</w:t>
      </w:r>
      <w:r>
        <w:rPr>
          <w:rFonts w:hint="eastAsia" w:ascii="宋体" w:hAnsi="宋体" w:cs="宋体"/>
          <w:color w:val="auto"/>
          <w:szCs w:val="21"/>
        </w:rPr>
        <w:t>和密封</w:t>
      </w:r>
      <w:r>
        <w:rPr>
          <w:rFonts w:hint="eastAsia" w:ascii="宋体" w:hAnsi="宋体" w:cs="宋体"/>
          <w:color w:val="auto"/>
          <w:szCs w:val="21"/>
          <w:lang w:eastAsia="zh-TW"/>
        </w:rPr>
        <w:t>，</w:t>
      </w:r>
      <w:r>
        <w:rPr>
          <w:rFonts w:hint="eastAsia" w:ascii="宋体" w:hAnsi="宋体" w:cs="宋体"/>
          <w:color w:val="auto"/>
          <w:szCs w:val="21"/>
        </w:rPr>
        <w:t>在磋商响应文件递交截止时间前密封好提交，</w:t>
      </w:r>
      <w:r>
        <w:rPr>
          <w:rFonts w:hint="eastAsia" w:ascii="宋体" w:hAnsi="宋体" w:cs="宋体"/>
          <w:color w:val="auto"/>
          <w:szCs w:val="21"/>
          <w:lang w:eastAsia="zh-TW"/>
        </w:rPr>
        <w:t>并作为</w:t>
      </w:r>
      <w:r>
        <w:rPr>
          <w:rFonts w:hint="eastAsia" w:ascii="宋体" w:hAnsi="宋体" w:cs="宋体"/>
          <w:color w:val="auto"/>
          <w:szCs w:val="21"/>
        </w:rPr>
        <w:t>磋商</w:t>
      </w:r>
      <w:r>
        <w:rPr>
          <w:rFonts w:hint="eastAsia" w:ascii="宋体" w:hAnsi="宋体" w:cs="宋体"/>
          <w:color w:val="auto"/>
          <w:szCs w:val="21"/>
          <w:lang w:eastAsia="zh-TW"/>
        </w:rPr>
        <w:t>响应文件的组成部分。补充、修改的内容与响应文件不一致的，以补充、修改的内容为准。在</w:t>
      </w:r>
      <w:r>
        <w:rPr>
          <w:rFonts w:hint="eastAsia" w:ascii="宋体" w:hAnsi="宋体"/>
          <w:color w:val="auto"/>
        </w:rPr>
        <w:t>磋商响应文件递交截止时间</w:t>
      </w:r>
      <w:r>
        <w:rPr>
          <w:rFonts w:hint="eastAsia" w:ascii="宋体" w:hAnsi="宋体" w:cs="宋体"/>
          <w:color w:val="auto"/>
          <w:szCs w:val="21"/>
          <w:lang w:eastAsia="zh-TW"/>
        </w:rPr>
        <w:t>后，</w:t>
      </w:r>
      <w:r>
        <w:rPr>
          <w:rFonts w:hint="eastAsia" w:cs="宋体"/>
          <w:color w:val="auto"/>
          <w:szCs w:val="21"/>
        </w:rPr>
        <w:t>供应商</w:t>
      </w:r>
      <w:r>
        <w:rPr>
          <w:rFonts w:hint="eastAsia" w:ascii="宋体" w:hAnsi="宋体" w:cs="宋体"/>
          <w:color w:val="auto"/>
          <w:szCs w:val="21"/>
          <w:lang w:eastAsia="zh-TW"/>
        </w:rPr>
        <w:t>不得对其</w:t>
      </w:r>
      <w:r>
        <w:rPr>
          <w:rFonts w:hint="eastAsia" w:ascii="宋体" w:hAnsi="宋体" w:cs="宋体"/>
          <w:color w:val="auto"/>
          <w:szCs w:val="21"/>
        </w:rPr>
        <w:t>磋商</w:t>
      </w:r>
      <w:r>
        <w:rPr>
          <w:rFonts w:hint="eastAsia" w:ascii="宋体" w:hAnsi="宋体" w:cs="宋体"/>
          <w:color w:val="auto"/>
          <w:szCs w:val="21"/>
          <w:lang w:eastAsia="zh-TW"/>
        </w:rPr>
        <w:t>响应文件做任何修改和补充。</w:t>
      </w:r>
    </w:p>
    <w:p>
      <w:pPr>
        <w:numPr>
          <w:ilvl w:val="0"/>
          <w:numId w:val="4"/>
        </w:numPr>
        <w:autoSpaceDE w:val="0"/>
        <w:autoSpaceDN w:val="0"/>
        <w:adjustRightInd w:val="0"/>
        <w:snapToGrid w:val="0"/>
        <w:spacing w:beforeLines="100" w:afterLines="100" w:line="360" w:lineRule="auto"/>
        <w:ind w:left="601" w:hanging="601"/>
        <w:jc w:val="center"/>
        <w:outlineLvl w:val="0"/>
        <w:rPr>
          <w:rFonts w:ascii="宋体" w:hAnsi="宋体"/>
          <w:b/>
          <w:color w:val="auto"/>
          <w:sz w:val="28"/>
          <w:szCs w:val="28"/>
          <w:lang w:eastAsia="zh-TW"/>
        </w:rPr>
      </w:pPr>
      <w:bookmarkStart w:id="184" w:name="_Toc475104499"/>
      <w:bookmarkStart w:id="185" w:name="_Toc363737706"/>
      <w:r>
        <w:rPr>
          <w:rFonts w:hint="eastAsia" w:ascii="宋体" w:hAnsi="宋体"/>
          <w:b/>
          <w:color w:val="auto"/>
          <w:sz w:val="28"/>
          <w:szCs w:val="28"/>
        </w:rPr>
        <w:t>竞争性磋商流程</w:t>
      </w:r>
      <w:bookmarkEnd w:id="183"/>
      <w:bookmarkEnd w:id="184"/>
      <w:bookmarkEnd w:id="185"/>
    </w:p>
    <w:p>
      <w:pPr>
        <w:numPr>
          <w:ilvl w:val="0"/>
          <w:numId w:val="5"/>
        </w:numPr>
        <w:autoSpaceDE w:val="0"/>
        <w:autoSpaceDN w:val="0"/>
        <w:adjustRightInd w:val="0"/>
        <w:snapToGrid w:val="0"/>
        <w:spacing w:line="360" w:lineRule="auto"/>
        <w:outlineLvl w:val="0"/>
        <w:rPr>
          <w:rFonts w:ascii="宋体" w:hAnsi="宋体"/>
          <w:b/>
          <w:bCs/>
          <w:color w:val="auto"/>
          <w:sz w:val="24"/>
        </w:rPr>
      </w:pPr>
      <w:bookmarkStart w:id="186" w:name="_Toc363737707"/>
      <w:bookmarkStart w:id="187" w:name="_Toc323111001"/>
      <w:bookmarkStart w:id="188" w:name="_Toc475104500"/>
      <w:r>
        <w:rPr>
          <w:rFonts w:hint="eastAsia" w:ascii="宋体" w:hAnsi="宋体"/>
          <w:b/>
          <w:bCs/>
          <w:color w:val="auto"/>
          <w:sz w:val="24"/>
        </w:rPr>
        <w:t>磋商及抽取磋商顺序</w:t>
      </w:r>
      <w:bookmarkEnd w:id="186"/>
      <w:bookmarkEnd w:id="187"/>
      <w:bookmarkEnd w:id="188"/>
    </w:p>
    <w:p>
      <w:pPr>
        <w:numPr>
          <w:ilvl w:val="1"/>
          <w:numId w:val="5"/>
        </w:numPr>
        <w:autoSpaceDE w:val="0"/>
        <w:autoSpaceDN w:val="0"/>
        <w:adjustRightInd w:val="0"/>
        <w:snapToGrid w:val="0"/>
        <w:spacing w:line="360" w:lineRule="auto"/>
        <w:jc w:val="left"/>
        <w:rPr>
          <w:rFonts w:ascii="宋体" w:hAnsi="宋体" w:cs="黑体"/>
          <w:b/>
          <w:bCs/>
          <w:color w:val="auto"/>
          <w:szCs w:val="21"/>
        </w:rPr>
      </w:pPr>
      <w:r>
        <w:rPr>
          <w:rFonts w:hint="eastAsia" w:ascii="宋体" w:hAnsi="宋体" w:cs="宋体"/>
          <w:color w:val="auto"/>
          <w:szCs w:val="21"/>
          <w:lang w:eastAsia="zh-TW"/>
        </w:rPr>
        <w:t>磋商在竞争性磋商文件确定的</w:t>
      </w:r>
      <w:r>
        <w:rPr>
          <w:rFonts w:hint="eastAsia" w:ascii="宋体" w:hAnsi="宋体" w:cs="宋体"/>
          <w:color w:val="auto"/>
          <w:szCs w:val="21"/>
        </w:rPr>
        <w:t>磋商响应</w:t>
      </w:r>
      <w:r>
        <w:rPr>
          <w:rFonts w:hint="eastAsia" w:ascii="宋体" w:hAnsi="宋体" w:cs="宋体"/>
          <w:color w:val="auto"/>
          <w:szCs w:val="21"/>
          <w:lang w:eastAsia="zh-TW"/>
        </w:rPr>
        <w:t>文件递交截止时间的同一时间公开进行，磋商地点为竞争性磋商文件预先确定的地点。</w:t>
      </w:r>
    </w:p>
    <w:p>
      <w:pPr>
        <w:numPr>
          <w:ilvl w:val="1"/>
          <w:numId w:val="5"/>
        </w:numPr>
        <w:autoSpaceDE w:val="0"/>
        <w:autoSpaceDN w:val="0"/>
        <w:adjustRightInd w:val="0"/>
        <w:snapToGrid w:val="0"/>
        <w:spacing w:line="360" w:lineRule="auto"/>
        <w:jc w:val="left"/>
        <w:rPr>
          <w:rFonts w:ascii="宋体" w:hAnsi="宋体"/>
          <w:color w:val="auto"/>
          <w:szCs w:val="21"/>
        </w:rPr>
      </w:pPr>
      <w:r>
        <w:rPr>
          <w:rFonts w:hint="eastAsia" w:ascii="宋体" w:hAnsi="宋体" w:cs="宋体"/>
          <w:color w:val="auto"/>
          <w:szCs w:val="21"/>
          <w:lang w:eastAsia="zh-TW"/>
        </w:rPr>
        <w:t>磋商由</w:t>
      </w:r>
      <w:r>
        <w:rPr>
          <w:rFonts w:hint="eastAsia" w:ascii="宋体" w:hAnsi="宋体" w:cs="宋体"/>
          <w:color w:val="auto"/>
          <w:szCs w:val="21"/>
        </w:rPr>
        <w:t>采购人或</w:t>
      </w:r>
      <w:r>
        <w:rPr>
          <w:rFonts w:hint="eastAsia" w:ascii="宋体" w:hAnsi="宋体" w:cs="宋体"/>
          <w:color w:val="auto"/>
          <w:szCs w:val="21"/>
          <w:lang w:eastAsia="zh-TW"/>
        </w:rPr>
        <w:t>采购代理机构主持，</w:t>
      </w:r>
      <w:r>
        <w:rPr>
          <w:rFonts w:hint="eastAsia" w:ascii="宋体" w:hAnsi="宋体" w:cs="宋体"/>
          <w:b/>
          <w:color w:val="auto"/>
          <w:szCs w:val="21"/>
          <w:lang w:eastAsia="zh-TW"/>
        </w:rPr>
        <w:t>邀请所有供应商代表持本人身份证原件</w:t>
      </w:r>
      <w:r>
        <w:rPr>
          <w:rFonts w:hint="eastAsia" w:ascii="宋体" w:hAnsi="宋体" w:cs="宋体"/>
          <w:b/>
          <w:color w:val="auto"/>
          <w:szCs w:val="21"/>
        </w:rPr>
        <w:t>、法定代表人证明书、法定代表人授权书（如适用）参加。</w:t>
      </w:r>
    </w:p>
    <w:p>
      <w:pPr>
        <w:numPr>
          <w:ilvl w:val="1"/>
          <w:numId w:val="5"/>
        </w:numPr>
        <w:autoSpaceDE w:val="0"/>
        <w:autoSpaceDN w:val="0"/>
        <w:adjustRightInd w:val="0"/>
        <w:snapToGrid w:val="0"/>
        <w:spacing w:line="360" w:lineRule="auto"/>
        <w:jc w:val="left"/>
        <w:rPr>
          <w:rFonts w:ascii="宋体" w:hAnsi="宋体"/>
          <w:color w:val="auto"/>
          <w:szCs w:val="21"/>
        </w:rPr>
      </w:pPr>
      <w:r>
        <w:rPr>
          <w:rFonts w:hint="eastAsia" w:ascii="宋体" w:hAnsi="宋体"/>
          <w:color w:val="auto"/>
          <w:szCs w:val="21"/>
        </w:rPr>
        <w:t>在竞争性磋商文件规定的</w:t>
      </w:r>
      <w:r>
        <w:rPr>
          <w:rFonts w:hint="eastAsia" w:ascii="宋体" w:hAnsi="宋体"/>
          <w:color w:val="auto"/>
        </w:rPr>
        <w:t>磋商响应文件递交</w:t>
      </w:r>
      <w:r>
        <w:rPr>
          <w:rFonts w:hint="eastAsia" w:ascii="宋体" w:hAnsi="宋体"/>
          <w:color w:val="auto"/>
          <w:szCs w:val="21"/>
        </w:rPr>
        <w:t>截止时间到点时，主持人应当宣布</w:t>
      </w:r>
      <w:r>
        <w:rPr>
          <w:rFonts w:hint="eastAsia" w:ascii="宋体" w:hAnsi="宋体"/>
          <w:color w:val="auto"/>
        </w:rPr>
        <w:t>磋商响应文件递交截止时间</w:t>
      </w:r>
      <w:r>
        <w:rPr>
          <w:rFonts w:hint="eastAsia" w:ascii="宋体" w:hAnsi="宋体"/>
          <w:color w:val="auto"/>
          <w:szCs w:val="21"/>
        </w:rPr>
        <w:t>已到，以后递交的磋商响应文件一律不予接受。</w:t>
      </w:r>
    </w:p>
    <w:p>
      <w:pPr>
        <w:numPr>
          <w:ilvl w:val="1"/>
          <w:numId w:val="5"/>
        </w:numPr>
        <w:autoSpaceDE w:val="0"/>
        <w:autoSpaceDN w:val="0"/>
        <w:adjustRightInd w:val="0"/>
        <w:snapToGrid w:val="0"/>
        <w:spacing w:line="360" w:lineRule="auto"/>
        <w:jc w:val="left"/>
        <w:rPr>
          <w:rFonts w:ascii="宋体" w:hAnsi="宋体"/>
          <w:color w:val="auto"/>
          <w:szCs w:val="21"/>
        </w:rPr>
      </w:pPr>
      <w:r>
        <w:rPr>
          <w:rFonts w:hint="eastAsia" w:ascii="宋体" w:hAnsi="宋体"/>
          <w:color w:val="auto"/>
          <w:szCs w:val="21"/>
        </w:rPr>
        <w:t>主持人宣读磋商大会会场纪律。</w:t>
      </w:r>
    </w:p>
    <w:p>
      <w:pPr>
        <w:numPr>
          <w:ilvl w:val="1"/>
          <w:numId w:val="5"/>
        </w:numPr>
        <w:autoSpaceDE w:val="0"/>
        <w:autoSpaceDN w:val="0"/>
        <w:adjustRightInd w:val="0"/>
        <w:snapToGrid w:val="0"/>
        <w:spacing w:line="360" w:lineRule="auto"/>
        <w:jc w:val="left"/>
        <w:rPr>
          <w:rFonts w:ascii="宋体" w:hAnsi="宋体"/>
          <w:color w:val="auto"/>
          <w:szCs w:val="21"/>
        </w:rPr>
      </w:pPr>
      <w:r>
        <w:rPr>
          <w:rFonts w:hint="eastAsia" w:ascii="宋体" w:hAnsi="宋体" w:cs="宋体"/>
          <w:color w:val="auto"/>
          <w:szCs w:val="21"/>
          <w:lang w:eastAsia="zh-TW"/>
        </w:rPr>
        <w:t>在</w:t>
      </w:r>
      <w:r>
        <w:rPr>
          <w:rFonts w:hint="eastAsia" w:ascii="宋体" w:hAnsi="宋体"/>
          <w:color w:val="auto"/>
          <w:szCs w:val="21"/>
        </w:rPr>
        <w:t>磋商响应文件递交截止时间</w:t>
      </w:r>
      <w:r>
        <w:rPr>
          <w:rFonts w:hint="eastAsia" w:ascii="宋体" w:hAnsi="宋体" w:cs="宋体"/>
          <w:color w:val="auto"/>
          <w:szCs w:val="21"/>
          <w:lang w:eastAsia="zh-TW"/>
        </w:rPr>
        <w:t>前收到的所有经检查合格的</w:t>
      </w:r>
      <w:r>
        <w:rPr>
          <w:rFonts w:hint="eastAsia" w:ascii="宋体" w:hAnsi="宋体"/>
          <w:color w:val="auto"/>
          <w:szCs w:val="21"/>
        </w:rPr>
        <w:t>磋商</w:t>
      </w:r>
      <w:r>
        <w:rPr>
          <w:rFonts w:hint="eastAsia" w:ascii="宋体" w:hAnsi="宋体" w:cs="宋体"/>
          <w:color w:val="auto"/>
          <w:szCs w:val="21"/>
        </w:rPr>
        <w:t>响应文件</w:t>
      </w:r>
      <w:r>
        <w:rPr>
          <w:rFonts w:hint="eastAsia" w:ascii="宋体" w:hAnsi="宋体" w:cs="宋体"/>
          <w:color w:val="auto"/>
          <w:szCs w:val="21"/>
          <w:lang w:eastAsia="zh-TW"/>
        </w:rPr>
        <w:t>，磋商时，</w:t>
      </w:r>
      <w:r>
        <w:rPr>
          <w:rFonts w:hint="eastAsia" w:ascii="宋体" w:hAnsi="宋体" w:cs="宋体"/>
          <w:color w:val="auto"/>
          <w:kern w:val="0"/>
          <w:szCs w:val="21"/>
        </w:rPr>
        <w:t>由递交</w:t>
      </w:r>
      <w:r>
        <w:rPr>
          <w:rFonts w:hint="eastAsia" w:ascii="宋体" w:hAnsi="宋体"/>
          <w:color w:val="auto"/>
          <w:szCs w:val="21"/>
        </w:rPr>
        <w:t>磋商</w:t>
      </w:r>
      <w:r>
        <w:rPr>
          <w:rFonts w:hint="eastAsia" w:ascii="宋体" w:hAnsi="宋体" w:cs="宋体"/>
          <w:color w:val="auto"/>
          <w:kern w:val="0"/>
          <w:szCs w:val="21"/>
        </w:rPr>
        <w:t>响应文件的前三名</w:t>
      </w:r>
      <w:r>
        <w:rPr>
          <w:rFonts w:hint="eastAsia" w:cs="宋体"/>
          <w:color w:val="auto"/>
          <w:szCs w:val="21"/>
        </w:rPr>
        <w:t>供应商</w:t>
      </w:r>
      <w:r>
        <w:rPr>
          <w:rFonts w:hint="eastAsia" w:ascii="宋体" w:hAnsi="宋体" w:cs="宋体"/>
          <w:color w:val="auto"/>
          <w:kern w:val="0"/>
          <w:szCs w:val="21"/>
        </w:rPr>
        <w:t>授权代表作为全体</w:t>
      </w:r>
      <w:r>
        <w:rPr>
          <w:rFonts w:hint="eastAsia" w:cs="宋体"/>
          <w:color w:val="auto"/>
          <w:szCs w:val="21"/>
        </w:rPr>
        <w:t>供应商</w:t>
      </w:r>
      <w:r>
        <w:rPr>
          <w:rFonts w:hint="eastAsia" w:ascii="宋体" w:hAnsi="宋体" w:cs="宋体"/>
          <w:color w:val="auto"/>
          <w:kern w:val="0"/>
          <w:szCs w:val="21"/>
        </w:rPr>
        <w:t>推选的代表就全部</w:t>
      </w:r>
      <w:r>
        <w:rPr>
          <w:rFonts w:hint="eastAsia" w:ascii="宋体" w:hAnsi="宋体"/>
          <w:color w:val="auto"/>
          <w:szCs w:val="21"/>
        </w:rPr>
        <w:t>磋商</w:t>
      </w:r>
      <w:r>
        <w:rPr>
          <w:rFonts w:hint="eastAsia" w:ascii="宋体" w:hAnsi="宋体" w:cs="宋体"/>
          <w:color w:val="auto"/>
          <w:kern w:val="0"/>
          <w:szCs w:val="21"/>
        </w:rPr>
        <w:t>响应文件的密封情况进行检查，也可以由采购人委托的公证机构检查并公证；经确认无误后，由</w:t>
      </w:r>
      <w:r>
        <w:rPr>
          <w:rFonts w:hint="eastAsia" w:ascii="宋体" w:hAnsi="宋体"/>
          <w:color w:val="auto"/>
          <w:szCs w:val="21"/>
        </w:rPr>
        <w:t>磋商</w:t>
      </w:r>
      <w:r>
        <w:rPr>
          <w:rFonts w:hint="eastAsia" w:ascii="宋体" w:hAnsi="宋体" w:cs="宋体"/>
          <w:color w:val="auto"/>
          <w:kern w:val="0"/>
          <w:szCs w:val="21"/>
        </w:rPr>
        <w:t>工作人员当众拆封，宣读</w:t>
      </w:r>
      <w:r>
        <w:rPr>
          <w:rFonts w:hint="eastAsia" w:cs="宋体"/>
          <w:color w:val="auto"/>
          <w:szCs w:val="21"/>
        </w:rPr>
        <w:t>供应商</w:t>
      </w:r>
      <w:r>
        <w:rPr>
          <w:rFonts w:hint="eastAsia" w:ascii="宋体" w:hAnsi="宋体" w:cs="宋体"/>
          <w:color w:val="auto"/>
          <w:kern w:val="0"/>
          <w:szCs w:val="21"/>
        </w:rPr>
        <w:t>名称、初次报价和</w:t>
      </w:r>
      <w:r>
        <w:rPr>
          <w:rFonts w:hint="eastAsia" w:ascii="宋体" w:hAnsi="宋体"/>
          <w:color w:val="auto"/>
          <w:szCs w:val="21"/>
        </w:rPr>
        <w:t>磋商</w:t>
      </w:r>
      <w:r>
        <w:rPr>
          <w:rFonts w:hint="eastAsia" w:ascii="宋体" w:hAnsi="宋体" w:cs="宋体"/>
          <w:color w:val="auto"/>
          <w:kern w:val="0"/>
          <w:szCs w:val="21"/>
        </w:rPr>
        <w:t>响应文件的其他主要内容</w:t>
      </w:r>
      <w:r>
        <w:rPr>
          <w:rFonts w:hint="eastAsia" w:ascii="宋体" w:hAnsi="宋体" w:cs="宋体"/>
          <w:color w:val="auto"/>
          <w:szCs w:val="21"/>
          <w:lang w:eastAsia="zh-TW"/>
        </w:rPr>
        <w:t>。</w:t>
      </w:r>
    </w:p>
    <w:p>
      <w:pPr>
        <w:numPr>
          <w:ilvl w:val="1"/>
          <w:numId w:val="5"/>
        </w:numPr>
        <w:autoSpaceDE w:val="0"/>
        <w:autoSpaceDN w:val="0"/>
        <w:adjustRightInd w:val="0"/>
        <w:snapToGrid w:val="0"/>
        <w:spacing w:line="360" w:lineRule="auto"/>
        <w:jc w:val="left"/>
        <w:rPr>
          <w:rFonts w:ascii="宋体" w:hAnsi="宋体"/>
          <w:color w:val="auto"/>
          <w:szCs w:val="21"/>
        </w:rPr>
      </w:pPr>
      <w:r>
        <w:rPr>
          <w:rFonts w:hint="eastAsia" w:ascii="宋体" w:hAnsi="宋体" w:cs="宋体"/>
          <w:color w:val="auto"/>
          <w:szCs w:val="21"/>
          <w:lang w:eastAsia="zh-TW"/>
        </w:rPr>
        <w:t>磋商会记录人应在磋商记录表上记录唱标内容，并当场公示。</w:t>
      </w:r>
    </w:p>
    <w:p>
      <w:pPr>
        <w:numPr>
          <w:ilvl w:val="1"/>
          <w:numId w:val="5"/>
        </w:numPr>
        <w:autoSpaceDE w:val="0"/>
        <w:autoSpaceDN w:val="0"/>
        <w:adjustRightInd w:val="0"/>
        <w:snapToGrid w:val="0"/>
        <w:spacing w:line="360" w:lineRule="auto"/>
        <w:jc w:val="left"/>
        <w:rPr>
          <w:rFonts w:ascii="宋体" w:hAnsi="宋体"/>
          <w:color w:val="auto"/>
          <w:szCs w:val="21"/>
        </w:rPr>
      </w:pPr>
      <w:r>
        <w:rPr>
          <w:rFonts w:hint="eastAsia" w:ascii="宋体" w:hAnsi="宋体" w:cs="宋体"/>
          <w:color w:val="auto"/>
          <w:szCs w:val="21"/>
        </w:rPr>
        <w:t>代理机构组织</w:t>
      </w:r>
      <w:r>
        <w:rPr>
          <w:rFonts w:hint="eastAsia" w:cs="宋体"/>
          <w:color w:val="auto"/>
          <w:szCs w:val="21"/>
        </w:rPr>
        <w:t>供应商</w:t>
      </w:r>
      <w:r>
        <w:rPr>
          <w:rFonts w:hint="eastAsia" w:ascii="宋体" w:hAnsi="宋体" w:cs="宋体"/>
          <w:color w:val="auto"/>
          <w:szCs w:val="21"/>
        </w:rPr>
        <w:t>抽签决定磋商顺序。</w:t>
      </w:r>
    </w:p>
    <w:p>
      <w:pPr>
        <w:numPr>
          <w:ilvl w:val="0"/>
          <w:numId w:val="5"/>
        </w:numPr>
        <w:autoSpaceDE w:val="0"/>
        <w:autoSpaceDN w:val="0"/>
        <w:adjustRightInd w:val="0"/>
        <w:snapToGrid w:val="0"/>
        <w:spacing w:line="360" w:lineRule="auto"/>
        <w:outlineLvl w:val="0"/>
        <w:rPr>
          <w:rFonts w:ascii="宋体" w:hAnsi="宋体"/>
          <w:b/>
          <w:bCs/>
          <w:color w:val="auto"/>
          <w:sz w:val="24"/>
        </w:rPr>
      </w:pPr>
      <w:bookmarkStart w:id="189" w:name="_Toc475104501"/>
      <w:bookmarkStart w:id="190" w:name="_Toc323111002"/>
      <w:bookmarkStart w:id="191" w:name="_Toc363737708"/>
      <w:r>
        <w:rPr>
          <w:rFonts w:hint="eastAsia" w:ascii="宋体" w:hAnsi="宋体"/>
          <w:b/>
          <w:bCs/>
          <w:color w:val="auto"/>
          <w:sz w:val="24"/>
        </w:rPr>
        <w:t>磋商小组</w:t>
      </w:r>
      <w:bookmarkEnd w:id="189"/>
      <w:bookmarkEnd w:id="190"/>
      <w:bookmarkEnd w:id="191"/>
    </w:p>
    <w:p>
      <w:pPr>
        <w:numPr>
          <w:ilvl w:val="1"/>
          <w:numId w:val="5"/>
        </w:numPr>
        <w:autoSpaceDE w:val="0"/>
        <w:autoSpaceDN w:val="0"/>
        <w:adjustRightInd w:val="0"/>
        <w:snapToGrid w:val="0"/>
        <w:spacing w:line="360" w:lineRule="auto"/>
        <w:jc w:val="left"/>
        <w:rPr>
          <w:rFonts w:ascii="宋体" w:hAnsi="宋体" w:cs="宋体"/>
          <w:color w:val="auto"/>
          <w:szCs w:val="21"/>
        </w:rPr>
      </w:pPr>
      <w:bookmarkStart w:id="192" w:name="_Toc322680370"/>
      <w:bookmarkStart w:id="193" w:name="_Toc363737709"/>
      <w:bookmarkStart w:id="194" w:name="_Toc323111003"/>
      <w:bookmarkStart w:id="195" w:name="_Toc320515044"/>
      <w:bookmarkStart w:id="196" w:name="_Toc315793480"/>
      <w:bookmarkStart w:id="197" w:name="_Toc320515093"/>
      <w:bookmarkStart w:id="198" w:name="_Toc475104502"/>
      <w:r>
        <w:rPr>
          <w:rFonts w:hint="eastAsia" w:ascii="宋体" w:hAnsi="宋体"/>
          <w:color w:val="auto"/>
          <w:szCs w:val="21"/>
        </w:rPr>
        <w:t>磋商</w:t>
      </w:r>
      <w:r>
        <w:rPr>
          <w:rFonts w:hint="eastAsia" w:ascii="宋体" w:hAnsi="宋体" w:cs="宋体"/>
          <w:color w:val="auto"/>
          <w:szCs w:val="21"/>
        </w:rPr>
        <w:t>由依照政府采购法律、法规、规章、政策的规定组建的</w:t>
      </w:r>
      <w:r>
        <w:rPr>
          <w:rFonts w:hint="eastAsia" w:ascii="宋体" w:hAnsi="宋体"/>
          <w:color w:val="auto"/>
          <w:szCs w:val="21"/>
        </w:rPr>
        <w:t>磋商</w:t>
      </w:r>
      <w:r>
        <w:rPr>
          <w:rFonts w:hint="eastAsia" w:ascii="宋体" w:hAnsi="宋体" w:cs="宋体"/>
          <w:color w:val="auto"/>
          <w:szCs w:val="21"/>
        </w:rPr>
        <w:t>小组负责。磋商小组由采购人代表和评审专家组成，其中评审专家人数不得少于磋商小组成员总数的2/3。评审专家从政府采购评审专家库内相关专业的专家名单中随机抽取。</w:t>
      </w:r>
    </w:p>
    <w:p>
      <w:pPr>
        <w:numPr>
          <w:ilvl w:val="1"/>
          <w:numId w:val="5"/>
        </w:numPr>
        <w:autoSpaceDE w:val="0"/>
        <w:autoSpaceDN w:val="0"/>
        <w:adjustRightInd w:val="0"/>
        <w:snapToGrid w:val="0"/>
        <w:spacing w:line="360" w:lineRule="auto"/>
        <w:jc w:val="left"/>
        <w:rPr>
          <w:rFonts w:ascii="宋体" w:hAnsi="宋体" w:cs="宋体"/>
          <w:color w:val="auto"/>
          <w:szCs w:val="21"/>
          <w:lang w:eastAsia="zh-TW"/>
        </w:rPr>
      </w:pPr>
      <w:r>
        <w:rPr>
          <w:rFonts w:hint="eastAsia" w:ascii="宋体" w:hAnsi="宋体"/>
          <w:color w:val="auto"/>
          <w:szCs w:val="21"/>
        </w:rPr>
        <w:t>磋商</w:t>
      </w:r>
      <w:r>
        <w:rPr>
          <w:rFonts w:hint="eastAsia" w:ascii="宋体" w:hAnsi="宋体" w:cs="宋体"/>
          <w:color w:val="auto"/>
          <w:szCs w:val="21"/>
        </w:rPr>
        <w:t>小组</w:t>
      </w:r>
      <w:r>
        <w:rPr>
          <w:rFonts w:hint="eastAsia" w:ascii="宋体" w:hAnsi="宋体" w:cs="宋体"/>
          <w:color w:val="auto"/>
          <w:szCs w:val="21"/>
          <w:lang w:eastAsia="zh-TW"/>
        </w:rPr>
        <w:t>名单在</w:t>
      </w:r>
      <w:r>
        <w:rPr>
          <w:rFonts w:hint="eastAsia" w:ascii="宋体" w:hAnsi="宋体" w:cs="宋体"/>
          <w:color w:val="auto"/>
          <w:szCs w:val="21"/>
        </w:rPr>
        <w:t>磋商</w:t>
      </w:r>
      <w:r>
        <w:rPr>
          <w:rFonts w:hint="eastAsia" w:ascii="宋体" w:hAnsi="宋体" w:cs="宋体"/>
          <w:color w:val="auto"/>
          <w:szCs w:val="21"/>
          <w:lang w:eastAsia="zh-TW"/>
        </w:rPr>
        <w:t>结果确定前严格保密。评审专家（含采购人代表）</w:t>
      </w:r>
      <w:r>
        <w:rPr>
          <w:rFonts w:hint="eastAsia" w:ascii="宋体" w:hAnsi="宋体" w:cs="宋体"/>
          <w:color w:val="auto"/>
          <w:szCs w:val="21"/>
        </w:rPr>
        <w:t>不得参与同自己或任职单位有利害关系的政府采购项目磋商活动。具有下列情形之一的，评审专家应主动提出回避，采购人、采购代理机构和政府采购监管部门也可以要求其回避</w:t>
      </w:r>
      <w:r>
        <w:rPr>
          <w:rFonts w:hint="eastAsia" w:ascii="宋体" w:hAnsi="宋体" w:cs="宋体"/>
          <w:color w:val="auto"/>
          <w:szCs w:val="21"/>
          <w:lang w:eastAsia="zh-TW"/>
        </w:rPr>
        <w:t xml:space="preserve">： </w:t>
      </w:r>
    </w:p>
    <w:p>
      <w:pPr>
        <w:numPr>
          <w:ilvl w:val="2"/>
          <w:numId w:val="5"/>
        </w:numPr>
        <w:tabs>
          <w:tab w:val="left" w:pos="851"/>
        </w:tabs>
        <w:autoSpaceDE w:val="0"/>
        <w:autoSpaceDN w:val="0"/>
        <w:adjustRightInd w:val="0"/>
        <w:snapToGrid w:val="0"/>
        <w:spacing w:line="360" w:lineRule="auto"/>
        <w:jc w:val="left"/>
        <w:rPr>
          <w:rFonts w:ascii="宋体" w:hAnsi="宋体" w:cs="宋体"/>
          <w:color w:val="auto"/>
          <w:szCs w:val="21"/>
          <w:lang w:eastAsia="zh-TW"/>
        </w:rPr>
      </w:pPr>
      <w:r>
        <w:rPr>
          <w:rFonts w:hint="eastAsia" w:ascii="宋体" w:hAnsi="宋体" w:cs="宋体"/>
          <w:color w:val="auto"/>
          <w:szCs w:val="21"/>
        </w:rPr>
        <w:t>本人、配偶或直系亲属3年内曾在参加该采购项目的</w:t>
      </w:r>
      <w:r>
        <w:rPr>
          <w:rFonts w:hint="eastAsia" w:cs="宋体"/>
          <w:color w:val="auto"/>
          <w:szCs w:val="21"/>
        </w:rPr>
        <w:t>供应商</w:t>
      </w:r>
      <w:r>
        <w:rPr>
          <w:rFonts w:hint="eastAsia" w:ascii="宋体" w:hAnsi="宋体" w:cs="宋体"/>
          <w:color w:val="auto"/>
          <w:szCs w:val="21"/>
        </w:rPr>
        <w:t>中任职（包括一般工作）或担任顾问，或参与该采购项目的</w:t>
      </w:r>
      <w:r>
        <w:rPr>
          <w:rFonts w:hint="eastAsia" w:cs="宋体"/>
          <w:color w:val="auto"/>
          <w:szCs w:val="21"/>
        </w:rPr>
        <w:t>供应商</w:t>
      </w:r>
      <w:r>
        <w:rPr>
          <w:rFonts w:hint="eastAsia" w:ascii="宋体" w:hAnsi="宋体" w:cs="宋体"/>
          <w:color w:val="auto"/>
          <w:szCs w:val="21"/>
        </w:rPr>
        <w:t>发生过法律纠纷；</w:t>
      </w:r>
    </w:p>
    <w:p>
      <w:pPr>
        <w:numPr>
          <w:ilvl w:val="2"/>
          <w:numId w:val="5"/>
        </w:numPr>
        <w:tabs>
          <w:tab w:val="left" w:pos="851"/>
        </w:tabs>
        <w:autoSpaceDE w:val="0"/>
        <w:autoSpaceDN w:val="0"/>
        <w:adjustRightInd w:val="0"/>
        <w:snapToGrid w:val="0"/>
        <w:spacing w:line="360" w:lineRule="auto"/>
        <w:jc w:val="left"/>
        <w:rPr>
          <w:rFonts w:ascii="宋体" w:hAnsi="宋体" w:cs="宋体"/>
          <w:color w:val="auto"/>
          <w:szCs w:val="21"/>
          <w:lang w:eastAsia="zh-TW"/>
        </w:rPr>
      </w:pPr>
      <w:r>
        <w:rPr>
          <w:rFonts w:hint="eastAsia" w:ascii="宋体" w:hAnsi="宋体" w:cs="宋体"/>
          <w:color w:val="auto"/>
          <w:szCs w:val="21"/>
        </w:rPr>
        <w:t>任职单位与采购人或参加该采购项目</w:t>
      </w:r>
      <w:r>
        <w:rPr>
          <w:rFonts w:hint="eastAsia" w:cs="宋体"/>
          <w:color w:val="auto"/>
          <w:szCs w:val="21"/>
        </w:rPr>
        <w:t>供应商</w:t>
      </w:r>
      <w:r>
        <w:rPr>
          <w:rFonts w:hint="eastAsia" w:ascii="宋体" w:hAnsi="宋体" w:cs="宋体"/>
          <w:color w:val="auto"/>
          <w:szCs w:val="21"/>
        </w:rPr>
        <w:t>存在行政隶属关系；</w:t>
      </w:r>
    </w:p>
    <w:p>
      <w:pPr>
        <w:numPr>
          <w:ilvl w:val="2"/>
          <w:numId w:val="5"/>
        </w:numPr>
        <w:tabs>
          <w:tab w:val="left" w:pos="851"/>
        </w:tabs>
        <w:autoSpaceDE w:val="0"/>
        <w:autoSpaceDN w:val="0"/>
        <w:adjustRightInd w:val="0"/>
        <w:snapToGrid w:val="0"/>
        <w:spacing w:line="360" w:lineRule="auto"/>
        <w:jc w:val="left"/>
        <w:rPr>
          <w:rFonts w:ascii="宋体" w:hAnsi="宋体" w:cs="宋体"/>
          <w:color w:val="auto"/>
          <w:szCs w:val="21"/>
          <w:lang w:eastAsia="zh-TW"/>
        </w:rPr>
      </w:pPr>
      <w:r>
        <w:rPr>
          <w:rFonts w:hint="eastAsia" w:ascii="宋体" w:hAnsi="宋体" w:cs="宋体"/>
          <w:color w:val="auto"/>
          <w:szCs w:val="21"/>
        </w:rPr>
        <w:t>曾经参加过该采购项目的进口产品或</w:t>
      </w:r>
      <w:r>
        <w:rPr>
          <w:rFonts w:hint="eastAsia" w:ascii="宋体" w:hAnsi="宋体"/>
          <w:bCs/>
          <w:color w:val="auto"/>
          <w:szCs w:val="21"/>
        </w:rPr>
        <w:t>竞争性磋商文件</w:t>
      </w:r>
      <w:r>
        <w:rPr>
          <w:rFonts w:hint="eastAsia" w:ascii="宋体" w:hAnsi="宋体" w:cs="宋体"/>
          <w:color w:val="auto"/>
          <w:szCs w:val="21"/>
        </w:rPr>
        <w:t>、采购需求、采购方式的论证和咨询服务工作；</w:t>
      </w:r>
    </w:p>
    <w:p>
      <w:pPr>
        <w:numPr>
          <w:ilvl w:val="2"/>
          <w:numId w:val="5"/>
        </w:numPr>
        <w:tabs>
          <w:tab w:val="left" w:pos="851"/>
        </w:tabs>
        <w:autoSpaceDE w:val="0"/>
        <w:autoSpaceDN w:val="0"/>
        <w:adjustRightInd w:val="0"/>
        <w:snapToGrid w:val="0"/>
        <w:spacing w:line="360" w:lineRule="auto"/>
        <w:jc w:val="left"/>
        <w:rPr>
          <w:rFonts w:ascii="宋体" w:hAnsi="宋体" w:cs="宋体"/>
          <w:color w:val="auto"/>
          <w:szCs w:val="21"/>
          <w:lang w:eastAsia="zh-TW"/>
        </w:rPr>
      </w:pPr>
      <w:r>
        <w:rPr>
          <w:rFonts w:hint="eastAsia" w:ascii="宋体" w:hAnsi="宋体" w:cs="宋体"/>
          <w:color w:val="auto"/>
          <w:szCs w:val="21"/>
        </w:rPr>
        <w:t>是参加该采购项目</w:t>
      </w:r>
      <w:r>
        <w:rPr>
          <w:rFonts w:hint="eastAsia" w:cs="宋体"/>
          <w:color w:val="auto"/>
          <w:szCs w:val="21"/>
        </w:rPr>
        <w:t>供应商</w:t>
      </w:r>
      <w:r>
        <w:rPr>
          <w:rFonts w:hint="eastAsia" w:ascii="宋体" w:hAnsi="宋体" w:cs="宋体"/>
          <w:color w:val="auto"/>
          <w:szCs w:val="21"/>
        </w:rPr>
        <w:t>的上级主管部门、控股或参股单位的工作人员、或与该</w:t>
      </w:r>
      <w:r>
        <w:rPr>
          <w:rFonts w:hint="eastAsia" w:cs="宋体"/>
          <w:color w:val="auto"/>
          <w:szCs w:val="21"/>
        </w:rPr>
        <w:t>供应商</w:t>
      </w:r>
      <w:r>
        <w:rPr>
          <w:rFonts w:hint="eastAsia" w:ascii="宋体" w:hAnsi="宋体" w:cs="宋体"/>
          <w:color w:val="auto"/>
          <w:szCs w:val="21"/>
        </w:rPr>
        <w:t>存在其他经济利益关系；</w:t>
      </w:r>
    </w:p>
    <w:p>
      <w:pPr>
        <w:numPr>
          <w:ilvl w:val="2"/>
          <w:numId w:val="5"/>
        </w:numPr>
        <w:tabs>
          <w:tab w:val="left" w:pos="851"/>
        </w:tabs>
        <w:autoSpaceDE w:val="0"/>
        <w:autoSpaceDN w:val="0"/>
        <w:adjustRightInd w:val="0"/>
        <w:snapToGrid w:val="0"/>
        <w:spacing w:line="360" w:lineRule="auto"/>
        <w:jc w:val="left"/>
        <w:rPr>
          <w:rFonts w:ascii="宋体" w:hAnsi="宋体" w:cs="宋体"/>
          <w:color w:val="auto"/>
          <w:szCs w:val="21"/>
          <w:lang w:eastAsia="zh-TW"/>
        </w:rPr>
      </w:pPr>
      <w:r>
        <w:rPr>
          <w:rFonts w:hint="eastAsia" w:ascii="宋体" w:hAnsi="宋体"/>
          <w:color w:val="auto"/>
          <w:szCs w:val="21"/>
        </w:rPr>
        <w:t>磋商</w:t>
      </w:r>
      <w:r>
        <w:rPr>
          <w:rFonts w:hint="eastAsia" w:ascii="宋体" w:hAnsi="宋体" w:cs="宋体"/>
          <w:color w:val="auto"/>
          <w:szCs w:val="21"/>
        </w:rPr>
        <w:t>小组成员之间具有配偶、近亲属关系；</w:t>
      </w:r>
    </w:p>
    <w:p>
      <w:pPr>
        <w:numPr>
          <w:ilvl w:val="2"/>
          <w:numId w:val="5"/>
        </w:numPr>
        <w:tabs>
          <w:tab w:val="left" w:pos="851"/>
        </w:tabs>
        <w:autoSpaceDE w:val="0"/>
        <w:autoSpaceDN w:val="0"/>
        <w:adjustRightInd w:val="0"/>
        <w:snapToGrid w:val="0"/>
        <w:spacing w:line="360" w:lineRule="auto"/>
        <w:jc w:val="left"/>
        <w:rPr>
          <w:rFonts w:ascii="宋体" w:hAnsi="宋体" w:cs="宋体"/>
          <w:color w:val="auto"/>
          <w:szCs w:val="21"/>
          <w:lang w:eastAsia="zh-TW"/>
        </w:rPr>
      </w:pPr>
      <w:r>
        <w:rPr>
          <w:rFonts w:hint="eastAsia" w:ascii="宋体" w:hAnsi="宋体" w:cs="宋体"/>
          <w:color w:val="auto"/>
          <w:szCs w:val="21"/>
        </w:rPr>
        <w:t>同一单位的评审专家在同一项目</w:t>
      </w:r>
      <w:r>
        <w:rPr>
          <w:rFonts w:hint="eastAsia" w:ascii="宋体" w:hAnsi="宋体"/>
          <w:color w:val="auto"/>
          <w:szCs w:val="21"/>
        </w:rPr>
        <w:t>磋商</w:t>
      </w:r>
      <w:r>
        <w:rPr>
          <w:rFonts w:hint="eastAsia" w:ascii="宋体" w:hAnsi="宋体" w:cs="宋体"/>
          <w:color w:val="auto"/>
          <w:szCs w:val="21"/>
        </w:rPr>
        <w:t>小组成员中超过两名；</w:t>
      </w:r>
    </w:p>
    <w:p>
      <w:pPr>
        <w:numPr>
          <w:ilvl w:val="2"/>
          <w:numId w:val="5"/>
        </w:numPr>
        <w:tabs>
          <w:tab w:val="left" w:pos="851"/>
        </w:tabs>
        <w:autoSpaceDE w:val="0"/>
        <w:autoSpaceDN w:val="0"/>
        <w:adjustRightInd w:val="0"/>
        <w:snapToGrid w:val="0"/>
        <w:spacing w:line="360" w:lineRule="auto"/>
        <w:jc w:val="left"/>
        <w:rPr>
          <w:rFonts w:ascii="宋体" w:hAnsi="宋体" w:cs="宋体"/>
          <w:color w:val="auto"/>
          <w:szCs w:val="21"/>
        </w:rPr>
      </w:pPr>
      <w:r>
        <w:rPr>
          <w:rFonts w:hint="eastAsia" w:ascii="宋体" w:hAnsi="宋体" w:cs="宋体"/>
          <w:color w:val="auto"/>
          <w:szCs w:val="21"/>
        </w:rPr>
        <w:t>与</w:t>
      </w:r>
      <w:r>
        <w:rPr>
          <w:rFonts w:hint="eastAsia" w:cs="宋体"/>
          <w:color w:val="auto"/>
          <w:szCs w:val="21"/>
        </w:rPr>
        <w:t>供应商</w:t>
      </w:r>
      <w:r>
        <w:rPr>
          <w:rFonts w:hint="eastAsia" w:ascii="宋体" w:hAnsi="宋体" w:cs="宋体"/>
          <w:color w:val="auto"/>
          <w:szCs w:val="21"/>
        </w:rPr>
        <w:t>的法定代表人或者负责人有夫妻、直系血亲、三代以内旁系血亲或者近姻亲关系；</w:t>
      </w:r>
    </w:p>
    <w:p>
      <w:pPr>
        <w:numPr>
          <w:ilvl w:val="2"/>
          <w:numId w:val="5"/>
        </w:numPr>
        <w:tabs>
          <w:tab w:val="left" w:pos="851"/>
        </w:tabs>
        <w:autoSpaceDE w:val="0"/>
        <w:autoSpaceDN w:val="0"/>
        <w:adjustRightInd w:val="0"/>
        <w:snapToGrid w:val="0"/>
        <w:spacing w:line="360" w:lineRule="auto"/>
        <w:jc w:val="left"/>
        <w:rPr>
          <w:rFonts w:ascii="宋体" w:hAnsi="宋体" w:cs="宋体"/>
          <w:color w:val="auto"/>
          <w:szCs w:val="21"/>
        </w:rPr>
      </w:pPr>
      <w:r>
        <w:rPr>
          <w:rFonts w:hint="eastAsia" w:ascii="宋体" w:hAnsi="宋体" w:cs="宋体"/>
          <w:color w:val="auto"/>
          <w:szCs w:val="21"/>
        </w:rPr>
        <w:t>其他可能影响评审工作公正性情形。</w:t>
      </w:r>
    </w:p>
    <w:p>
      <w:pPr>
        <w:numPr>
          <w:ilvl w:val="0"/>
          <w:numId w:val="5"/>
        </w:numPr>
        <w:autoSpaceDE w:val="0"/>
        <w:autoSpaceDN w:val="0"/>
        <w:adjustRightInd w:val="0"/>
        <w:snapToGrid w:val="0"/>
        <w:spacing w:line="360" w:lineRule="auto"/>
        <w:outlineLvl w:val="0"/>
        <w:rPr>
          <w:rFonts w:ascii="宋体" w:hAnsi="宋体"/>
          <w:b/>
          <w:bCs/>
          <w:color w:val="auto"/>
          <w:sz w:val="24"/>
        </w:rPr>
      </w:pPr>
      <w:r>
        <w:rPr>
          <w:rFonts w:hint="eastAsia" w:ascii="宋体" w:hAnsi="宋体"/>
          <w:b/>
          <w:bCs/>
          <w:color w:val="auto"/>
          <w:sz w:val="24"/>
        </w:rPr>
        <w:t>磋商响应文件的</w:t>
      </w:r>
      <w:bookmarkEnd w:id="192"/>
      <w:bookmarkEnd w:id="193"/>
      <w:bookmarkEnd w:id="194"/>
      <w:bookmarkEnd w:id="195"/>
      <w:bookmarkEnd w:id="196"/>
      <w:bookmarkEnd w:id="197"/>
      <w:r>
        <w:rPr>
          <w:rFonts w:hint="eastAsia" w:ascii="宋体" w:hAnsi="宋体"/>
          <w:b/>
          <w:bCs/>
          <w:color w:val="auto"/>
          <w:sz w:val="24"/>
        </w:rPr>
        <w:t>资格性审查及符合性检查</w:t>
      </w:r>
      <w:bookmarkEnd w:id="198"/>
    </w:p>
    <w:p>
      <w:pPr>
        <w:numPr>
          <w:ilvl w:val="1"/>
          <w:numId w:val="5"/>
        </w:numPr>
        <w:autoSpaceDE w:val="0"/>
        <w:autoSpaceDN w:val="0"/>
        <w:adjustRightInd w:val="0"/>
        <w:snapToGrid w:val="0"/>
        <w:spacing w:line="360" w:lineRule="auto"/>
        <w:jc w:val="left"/>
        <w:rPr>
          <w:rFonts w:ascii="宋体" w:hAnsi="宋体" w:cs="黑体"/>
          <w:b/>
          <w:bCs/>
          <w:color w:val="auto"/>
          <w:szCs w:val="21"/>
        </w:rPr>
      </w:pPr>
      <w:r>
        <w:rPr>
          <w:rFonts w:hint="eastAsia" w:ascii="宋体" w:hAnsi="宋体"/>
          <w:color w:val="auto"/>
          <w:szCs w:val="21"/>
        </w:rPr>
        <w:t>磋商</w:t>
      </w:r>
      <w:r>
        <w:rPr>
          <w:rFonts w:hint="eastAsia" w:ascii="宋体" w:hAnsi="宋体" w:cs="宋体"/>
          <w:color w:val="auto"/>
          <w:szCs w:val="21"/>
        </w:rPr>
        <w:t>小组</w:t>
      </w:r>
      <w:r>
        <w:rPr>
          <w:rFonts w:hint="eastAsia" w:ascii="宋体" w:hAnsi="宋体" w:cs="宋体"/>
          <w:color w:val="auto"/>
          <w:szCs w:val="21"/>
          <w:lang w:eastAsia="zh-TW"/>
        </w:rPr>
        <w:t>将根据</w:t>
      </w:r>
      <w:r>
        <w:rPr>
          <w:rFonts w:hint="eastAsia" w:ascii="宋体" w:hAnsi="宋体" w:cs="宋体"/>
          <w:color w:val="auto"/>
          <w:szCs w:val="21"/>
        </w:rPr>
        <w:t>竞争性磋商文件</w:t>
      </w:r>
      <w:r>
        <w:rPr>
          <w:rFonts w:hint="eastAsia" w:ascii="宋体" w:hAnsi="宋体" w:cs="宋体"/>
          <w:color w:val="auto"/>
          <w:szCs w:val="21"/>
          <w:lang w:eastAsia="zh-TW"/>
        </w:rPr>
        <w:t>的规定，对各</w:t>
      </w:r>
      <w:r>
        <w:rPr>
          <w:rFonts w:hint="eastAsia" w:ascii="宋体" w:hAnsi="宋体"/>
          <w:color w:val="auto"/>
          <w:szCs w:val="21"/>
        </w:rPr>
        <w:t>磋商</w:t>
      </w:r>
      <w:r>
        <w:rPr>
          <w:rFonts w:hint="eastAsia" w:ascii="宋体" w:hAnsi="宋体" w:cs="宋体"/>
          <w:color w:val="auto"/>
          <w:szCs w:val="21"/>
        </w:rPr>
        <w:t>响应文件</w:t>
      </w:r>
      <w:r>
        <w:rPr>
          <w:rFonts w:hint="eastAsia" w:ascii="宋体" w:hAnsi="宋体" w:cs="宋体"/>
          <w:color w:val="auto"/>
          <w:szCs w:val="21"/>
          <w:lang w:eastAsia="zh-TW"/>
        </w:rPr>
        <w:t>进行资格性审查及符合性检查</w:t>
      </w:r>
      <w:r>
        <w:rPr>
          <w:rFonts w:hint="eastAsia" w:ascii="宋体" w:hAnsi="宋体" w:cs="宋体"/>
          <w:color w:val="auto"/>
          <w:szCs w:val="21"/>
        </w:rPr>
        <w:t>。</w:t>
      </w:r>
      <w:r>
        <w:rPr>
          <w:rFonts w:hint="eastAsia" w:ascii="宋体" w:hAnsi="宋体"/>
          <w:color w:val="auto"/>
          <w:szCs w:val="21"/>
        </w:rPr>
        <w:t>磋商</w:t>
      </w:r>
      <w:r>
        <w:rPr>
          <w:rFonts w:hint="eastAsia" w:ascii="宋体" w:hAnsi="宋体" w:cs="宋体"/>
          <w:color w:val="auto"/>
          <w:szCs w:val="21"/>
        </w:rPr>
        <w:t>响应文件</w:t>
      </w:r>
      <w:r>
        <w:rPr>
          <w:rFonts w:hint="eastAsia" w:ascii="宋体" w:hAnsi="宋体" w:cs="宋体"/>
          <w:color w:val="auto"/>
          <w:szCs w:val="21"/>
          <w:lang w:eastAsia="zh-TW"/>
        </w:rPr>
        <w:t>出现下列情况之一时将被认定为</w:t>
      </w:r>
      <w:r>
        <w:rPr>
          <w:rFonts w:hint="eastAsia" w:ascii="宋体" w:hAnsi="宋体" w:cs="宋体"/>
          <w:color w:val="auto"/>
          <w:szCs w:val="21"/>
        </w:rPr>
        <w:t>采购响应无效</w:t>
      </w:r>
      <w:r>
        <w:rPr>
          <w:rFonts w:hint="eastAsia" w:ascii="宋体" w:hAnsi="宋体" w:cs="宋体"/>
          <w:color w:val="auto"/>
          <w:szCs w:val="21"/>
          <w:lang w:eastAsia="zh-TW"/>
        </w:rPr>
        <w:t>：</w:t>
      </w:r>
    </w:p>
    <w:p>
      <w:pPr>
        <w:autoSpaceDE w:val="0"/>
        <w:autoSpaceDN w:val="0"/>
        <w:adjustRightInd w:val="0"/>
        <w:snapToGrid w:val="0"/>
        <w:spacing w:line="360" w:lineRule="auto"/>
        <w:ind w:firstLine="525" w:firstLineChars="250"/>
        <w:jc w:val="left"/>
        <w:rPr>
          <w:rFonts w:ascii="宋体" w:hAnsi="宋体" w:cs="黑体"/>
          <w:bCs/>
          <w:color w:val="auto"/>
          <w:szCs w:val="21"/>
        </w:rPr>
      </w:pPr>
      <w:r>
        <w:rPr>
          <w:rFonts w:hint="eastAsia" w:ascii="宋体" w:hAnsi="宋体" w:cs="黑体"/>
          <w:bCs/>
          <w:color w:val="auto"/>
          <w:szCs w:val="21"/>
        </w:rPr>
        <w:t>1）</w:t>
      </w:r>
      <w:r>
        <w:rPr>
          <w:rFonts w:hint="eastAsia" w:cs="宋体"/>
          <w:color w:val="auto"/>
          <w:szCs w:val="21"/>
        </w:rPr>
        <w:t>供应商</w:t>
      </w:r>
      <w:r>
        <w:rPr>
          <w:rFonts w:hint="eastAsia" w:ascii="宋体" w:hAnsi="宋体" w:cs="黑体"/>
          <w:bCs/>
          <w:color w:val="auto"/>
          <w:szCs w:val="21"/>
        </w:rPr>
        <w:t>不具备《中华人民共和国政府采购法》第二十二条规定条件；</w:t>
      </w:r>
    </w:p>
    <w:p>
      <w:pPr>
        <w:autoSpaceDE w:val="0"/>
        <w:autoSpaceDN w:val="0"/>
        <w:adjustRightInd w:val="0"/>
        <w:snapToGrid w:val="0"/>
        <w:spacing w:line="360" w:lineRule="auto"/>
        <w:ind w:firstLine="525" w:firstLineChars="250"/>
        <w:jc w:val="left"/>
        <w:rPr>
          <w:rFonts w:ascii="宋体" w:hAnsi="宋体"/>
          <w:color w:val="auto"/>
          <w:kern w:val="0"/>
          <w:szCs w:val="21"/>
        </w:rPr>
      </w:pPr>
      <w:r>
        <w:rPr>
          <w:rFonts w:hint="eastAsia" w:ascii="宋体" w:hAnsi="宋体"/>
          <w:color w:val="auto"/>
          <w:kern w:val="0"/>
          <w:szCs w:val="21"/>
        </w:rPr>
        <w:t>2）</w:t>
      </w:r>
      <w:r>
        <w:rPr>
          <w:rFonts w:hint="eastAsia" w:ascii="宋体" w:hAnsi="宋体"/>
          <w:color w:val="auto"/>
          <w:szCs w:val="21"/>
        </w:rPr>
        <w:t>磋商</w:t>
      </w:r>
      <w:r>
        <w:rPr>
          <w:rFonts w:hint="eastAsia" w:ascii="宋体" w:hAnsi="宋体"/>
          <w:color w:val="auto"/>
          <w:kern w:val="0"/>
          <w:szCs w:val="21"/>
        </w:rPr>
        <w:t>响应文件没有</w:t>
      </w:r>
      <w:r>
        <w:rPr>
          <w:rFonts w:hint="eastAsia" w:cs="宋体"/>
          <w:color w:val="auto"/>
          <w:szCs w:val="21"/>
        </w:rPr>
        <w:t>供应商</w:t>
      </w:r>
      <w:r>
        <w:rPr>
          <w:rFonts w:hint="eastAsia" w:ascii="宋体" w:hAnsi="宋体"/>
          <w:color w:val="auto"/>
          <w:kern w:val="0"/>
          <w:szCs w:val="21"/>
        </w:rPr>
        <w:t>盖章及其法定代表人（或法定代表人委托的代理人）的印鉴或签名的；</w:t>
      </w:r>
    </w:p>
    <w:p>
      <w:pPr>
        <w:autoSpaceDE w:val="0"/>
        <w:autoSpaceDN w:val="0"/>
        <w:adjustRightInd w:val="0"/>
        <w:snapToGrid w:val="0"/>
        <w:spacing w:line="360" w:lineRule="auto"/>
        <w:ind w:firstLine="525" w:firstLineChars="250"/>
        <w:jc w:val="left"/>
        <w:rPr>
          <w:rFonts w:ascii="宋体" w:hAnsi="宋体"/>
          <w:color w:val="auto"/>
          <w:kern w:val="0"/>
          <w:szCs w:val="21"/>
        </w:rPr>
      </w:pPr>
      <w:r>
        <w:rPr>
          <w:rFonts w:hint="eastAsia" w:ascii="宋体" w:hAnsi="宋体"/>
          <w:color w:val="auto"/>
          <w:kern w:val="0"/>
          <w:szCs w:val="21"/>
        </w:rPr>
        <w:t>3）</w:t>
      </w:r>
      <w:r>
        <w:rPr>
          <w:rFonts w:hint="eastAsia" w:cs="宋体"/>
          <w:color w:val="auto"/>
          <w:szCs w:val="21"/>
        </w:rPr>
        <w:t>供应商</w:t>
      </w:r>
      <w:r>
        <w:rPr>
          <w:rFonts w:hint="eastAsia" w:ascii="宋体" w:hAnsi="宋体"/>
          <w:color w:val="auto"/>
          <w:kern w:val="0"/>
          <w:szCs w:val="21"/>
        </w:rPr>
        <w:t>不符合资格条件；</w:t>
      </w:r>
    </w:p>
    <w:p>
      <w:pPr>
        <w:autoSpaceDE w:val="0"/>
        <w:autoSpaceDN w:val="0"/>
        <w:adjustRightInd w:val="0"/>
        <w:snapToGrid w:val="0"/>
        <w:spacing w:line="360" w:lineRule="auto"/>
        <w:ind w:firstLine="525" w:firstLineChars="250"/>
        <w:jc w:val="left"/>
        <w:rPr>
          <w:rFonts w:ascii="宋体" w:hAnsi="宋体"/>
          <w:color w:val="auto"/>
          <w:kern w:val="0"/>
          <w:szCs w:val="21"/>
        </w:rPr>
      </w:pPr>
      <w:r>
        <w:rPr>
          <w:rFonts w:hint="eastAsia" w:ascii="宋体" w:hAnsi="宋体"/>
          <w:color w:val="auto"/>
          <w:kern w:val="0"/>
          <w:szCs w:val="21"/>
        </w:rPr>
        <w:t>4）</w:t>
      </w:r>
      <w:r>
        <w:rPr>
          <w:rFonts w:hint="eastAsia" w:ascii="宋体" w:hAnsi="宋体"/>
          <w:color w:val="auto"/>
          <w:szCs w:val="21"/>
        </w:rPr>
        <w:t>磋商</w:t>
      </w:r>
      <w:r>
        <w:rPr>
          <w:rFonts w:hint="eastAsia" w:ascii="宋体" w:hAnsi="宋体"/>
          <w:color w:val="auto"/>
          <w:kern w:val="0"/>
          <w:szCs w:val="21"/>
        </w:rPr>
        <w:t>响应文件提供虚假材料；</w:t>
      </w:r>
    </w:p>
    <w:p>
      <w:pPr>
        <w:autoSpaceDE w:val="0"/>
        <w:autoSpaceDN w:val="0"/>
        <w:adjustRightInd w:val="0"/>
        <w:snapToGrid w:val="0"/>
        <w:spacing w:line="360" w:lineRule="auto"/>
        <w:ind w:firstLine="525" w:firstLineChars="250"/>
        <w:jc w:val="left"/>
        <w:rPr>
          <w:rFonts w:ascii="宋体" w:hAnsi="宋体"/>
          <w:color w:val="auto"/>
          <w:kern w:val="0"/>
          <w:szCs w:val="21"/>
        </w:rPr>
      </w:pPr>
      <w:r>
        <w:rPr>
          <w:rFonts w:hint="eastAsia" w:ascii="宋体" w:hAnsi="宋体"/>
          <w:color w:val="auto"/>
          <w:kern w:val="0"/>
          <w:szCs w:val="21"/>
        </w:rPr>
        <w:t>5）</w:t>
      </w:r>
      <w:r>
        <w:rPr>
          <w:rFonts w:hint="eastAsia" w:ascii="宋体" w:hAnsi="宋体"/>
          <w:color w:val="auto"/>
          <w:szCs w:val="21"/>
        </w:rPr>
        <w:t>磋商</w:t>
      </w:r>
      <w:r>
        <w:rPr>
          <w:rFonts w:hint="eastAsia" w:ascii="宋体" w:hAnsi="宋体"/>
          <w:color w:val="auto"/>
          <w:kern w:val="0"/>
          <w:szCs w:val="21"/>
        </w:rPr>
        <w:t>响应文件未完全满足竞争性磋商文件中带“★”号的条款或指标；</w:t>
      </w:r>
    </w:p>
    <w:p>
      <w:pPr>
        <w:autoSpaceDE w:val="0"/>
        <w:autoSpaceDN w:val="0"/>
        <w:adjustRightInd w:val="0"/>
        <w:snapToGrid w:val="0"/>
        <w:spacing w:line="360" w:lineRule="auto"/>
        <w:ind w:firstLine="525" w:firstLineChars="250"/>
        <w:jc w:val="left"/>
        <w:rPr>
          <w:rFonts w:ascii="宋体" w:hAnsi="宋体"/>
          <w:color w:val="auto"/>
          <w:kern w:val="0"/>
          <w:szCs w:val="21"/>
        </w:rPr>
      </w:pPr>
      <w:r>
        <w:rPr>
          <w:rFonts w:hint="eastAsia" w:ascii="宋体" w:hAnsi="宋体"/>
          <w:color w:val="auto"/>
          <w:kern w:val="0"/>
          <w:szCs w:val="21"/>
        </w:rPr>
        <w:t>6）</w:t>
      </w:r>
      <w:r>
        <w:rPr>
          <w:rFonts w:hint="eastAsia" w:cs="宋体"/>
          <w:color w:val="auto"/>
          <w:szCs w:val="21"/>
        </w:rPr>
        <w:t>供应商</w:t>
      </w:r>
      <w:r>
        <w:rPr>
          <w:rFonts w:hint="eastAsia" w:ascii="宋体" w:hAnsi="宋体"/>
          <w:color w:val="auto"/>
          <w:kern w:val="0"/>
          <w:szCs w:val="21"/>
        </w:rPr>
        <w:t>的相关证件、证明文件、合同和其他文件的原件、复印件没有按竞争性磋商文件规定提交或提交的原件与复印件不一致的；</w:t>
      </w:r>
    </w:p>
    <w:p>
      <w:pPr>
        <w:autoSpaceDE w:val="0"/>
        <w:autoSpaceDN w:val="0"/>
        <w:adjustRightInd w:val="0"/>
        <w:snapToGrid w:val="0"/>
        <w:spacing w:line="360" w:lineRule="auto"/>
        <w:ind w:firstLine="525" w:firstLineChars="250"/>
        <w:jc w:val="left"/>
        <w:rPr>
          <w:rFonts w:ascii="宋体" w:hAnsi="宋体"/>
          <w:color w:val="auto"/>
          <w:kern w:val="0"/>
          <w:szCs w:val="21"/>
        </w:rPr>
      </w:pPr>
      <w:r>
        <w:rPr>
          <w:rFonts w:hint="eastAsia" w:ascii="宋体" w:hAnsi="宋体" w:cs="黑体"/>
          <w:bCs/>
          <w:color w:val="auto"/>
          <w:szCs w:val="21"/>
        </w:rPr>
        <w:t>7）</w:t>
      </w:r>
      <w:r>
        <w:rPr>
          <w:rFonts w:hint="eastAsia" w:ascii="宋体" w:hAnsi="宋体"/>
          <w:color w:val="auto"/>
          <w:kern w:val="0"/>
          <w:szCs w:val="21"/>
        </w:rPr>
        <w:t>最终响应报价不确定或超过竞争性磋商文件中列出的采购预算（最高限价）的；</w:t>
      </w:r>
    </w:p>
    <w:p>
      <w:pPr>
        <w:autoSpaceDE w:val="0"/>
        <w:autoSpaceDN w:val="0"/>
        <w:adjustRightInd w:val="0"/>
        <w:snapToGrid w:val="0"/>
        <w:spacing w:line="360" w:lineRule="auto"/>
        <w:ind w:firstLine="525" w:firstLineChars="250"/>
        <w:jc w:val="left"/>
        <w:rPr>
          <w:rFonts w:ascii="宋体" w:hAnsi="宋体"/>
          <w:color w:val="auto"/>
          <w:kern w:val="0"/>
          <w:szCs w:val="21"/>
        </w:rPr>
      </w:pPr>
      <w:r>
        <w:rPr>
          <w:rFonts w:hint="eastAsia" w:ascii="宋体" w:hAnsi="宋体"/>
          <w:color w:val="auto"/>
          <w:kern w:val="0"/>
          <w:szCs w:val="21"/>
        </w:rPr>
        <w:t>8)恶意竞争低于成本价的；</w:t>
      </w:r>
    </w:p>
    <w:p>
      <w:pPr>
        <w:autoSpaceDE w:val="0"/>
        <w:autoSpaceDN w:val="0"/>
        <w:adjustRightInd w:val="0"/>
        <w:snapToGrid w:val="0"/>
        <w:spacing w:line="360" w:lineRule="auto"/>
        <w:ind w:firstLine="525" w:firstLineChars="250"/>
        <w:jc w:val="left"/>
        <w:rPr>
          <w:rFonts w:ascii="宋体" w:hAnsi="宋体"/>
          <w:color w:val="auto"/>
          <w:kern w:val="0"/>
          <w:szCs w:val="21"/>
        </w:rPr>
      </w:pPr>
      <w:r>
        <w:rPr>
          <w:rFonts w:hint="eastAsia" w:ascii="宋体" w:hAnsi="宋体" w:cs="黑体"/>
          <w:bCs/>
          <w:color w:val="auto"/>
          <w:szCs w:val="21"/>
        </w:rPr>
        <w:t>9）</w:t>
      </w:r>
      <w:r>
        <w:rPr>
          <w:rFonts w:hint="eastAsia" w:ascii="宋体" w:hAnsi="宋体"/>
          <w:color w:val="auto"/>
          <w:szCs w:val="21"/>
        </w:rPr>
        <w:t>磋商</w:t>
      </w:r>
      <w:r>
        <w:rPr>
          <w:rFonts w:hint="eastAsia" w:ascii="宋体" w:hAnsi="宋体"/>
          <w:color w:val="auto"/>
          <w:kern w:val="0"/>
          <w:szCs w:val="21"/>
        </w:rPr>
        <w:t>期间，</w:t>
      </w:r>
      <w:r>
        <w:rPr>
          <w:rFonts w:hint="eastAsia" w:cs="宋体"/>
          <w:color w:val="auto"/>
          <w:szCs w:val="21"/>
        </w:rPr>
        <w:t>供应商</w:t>
      </w:r>
      <w:r>
        <w:rPr>
          <w:rFonts w:hint="eastAsia" w:ascii="宋体" w:hAnsi="宋体"/>
          <w:color w:val="auto"/>
          <w:kern w:val="0"/>
          <w:szCs w:val="21"/>
        </w:rPr>
        <w:t>没有按</w:t>
      </w:r>
      <w:r>
        <w:rPr>
          <w:rFonts w:hint="eastAsia" w:ascii="宋体" w:hAnsi="宋体"/>
          <w:color w:val="auto"/>
          <w:szCs w:val="21"/>
        </w:rPr>
        <w:t>磋商</w:t>
      </w:r>
      <w:r>
        <w:rPr>
          <w:rFonts w:hint="eastAsia" w:ascii="宋体" w:hAnsi="宋体"/>
          <w:color w:val="auto"/>
          <w:kern w:val="0"/>
          <w:szCs w:val="21"/>
        </w:rPr>
        <w:t>小组的要求提交经授权代表签字的澄清、说明、补正或改变了</w:t>
      </w:r>
      <w:r>
        <w:rPr>
          <w:rFonts w:hint="eastAsia" w:ascii="宋体" w:hAnsi="宋体"/>
          <w:color w:val="auto"/>
          <w:szCs w:val="21"/>
        </w:rPr>
        <w:t>磋商</w:t>
      </w:r>
      <w:r>
        <w:rPr>
          <w:rFonts w:hint="eastAsia" w:ascii="宋体" w:hAnsi="宋体"/>
          <w:color w:val="auto"/>
          <w:kern w:val="0"/>
          <w:szCs w:val="21"/>
        </w:rPr>
        <w:t>响应文件的实质性内容；</w:t>
      </w:r>
    </w:p>
    <w:p>
      <w:pPr>
        <w:autoSpaceDE w:val="0"/>
        <w:autoSpaceDN w:val="0"/>
        <w:adjustRightInd w:val="0"/>
        <w:snapToGrid w:val="0"/>
        <w:spacing w:line="360" w:lineRule="auto"/>
        <w:ind w:firstLine="525" w:firstLineChars="250"/>
        <w:jc w:val="left"/>
        <w:rPr>
          <w:rFonts w:ascii="宋体" w:hAnsi="宋体"/>
          <w:color w:val="auto"/>
          <w:kern w:val="0"/>
          <w:szCs w:val="21"/>
        </w:rPr>
      </w:pPr>
      <w:r>
        <w:rPr>
          <w:rFonts w:hint="eastAsia" w:ascii="宋体" w:hAnsi="宋体"/>
          <w:color w:val="auto"/>
          <w:kern w:val="0"/>
          <w:szCs w:val="21"/>
        </w:rPr>
        <w:t>10）</w:t>
      </w:r>
      <w:r>
        <w:rPr>
          <w:rFonts w:hint="eastAsia" w:cs="宋体"/>
          <w:color w:val="auto"/>
          <w:szCs w:val="21"/>
        </w:rPr>
        <w:t>供应商</w:t>
      </w:r>
      <w:r>
        <w:rPr>
          <w:rFonts w:hint="eastAsia" w:ascii="宋体" w:hAnsi="宋体"/>
          <w:color w:val="auto"/>
          <w:kern w:val="0"/>
          <w:szCs w:val="21"/>
        </w:rPr>
        <w:t>对采购人、采购代理机构、</w:t>
      </w:r>
      <w:r>
        <w:rPr>
          <w:rFonts w:hint="eastAsia" w:ascii="宋体" w:hAnsi="宋体"/>
          <w:color w:val="auto"/>
          <w:szCs w:val="21"/>
        </w:rPr>
        <w:t>磋商</w:t>
      </w:r>
      <w:r>
        <w:rPr>
          <w:rFonts w:hint="eastAsia" w:ascii="宋体" w:hAnsi="宋体"/>
          <w:color w:val="auto"/>
          <w:kern w:val="0"/>
          <w:szCs w:val="21"/>
        </w:rPr>
        <w:t>小组及其工作人员施加影响，有碍公平、公正；</w:t>
      </w:r>
    </w:p>
    <w:p>
      <w:pPr>
        <w:autoSpaceDE w:val="0"/>
        <w:autoSpaceDN w:val="0"/>
        <w:adjustRightInd w:val="0"/>
        <w:snapToGrid w:val="0"/>
        <w:spacing w:line="360" w:lineRule="auto"/>
        <w:ind w:firstLine="525" w:firstLineChars="250"/>
        <w:jc w:val="left"/>
        <w:rPr>
          <w:rFonts w:ascii="宋体" w:hAnsi="宋体"/>
          <w:color w:val="auto"/>
          <w:kern w:val="0"/>
          <w:szCs w:val="21"/>
        </w:rPr>
      </w:pPr>
      <w:r>
        <w:rPr>
          <w:rFonts w:hint="eastAsia" w:ascii="宋体" w:hAnsi="宋体"/>
          <w:color w:val="auto"/>
          <w:kern w:val="0"/>
          <w:szCs w:val="21"/>
        </w:rPr>
        <w:t>11）法律、法规、规章规定属于报价无效的其他情形。</w:t>
      </w:r>
    </w:p>
    <w:p>
      <w:pPr>
        <w:spacing w:line="360" w:lineRule="auto"/>
        <w:ind w:left="420" w:leftChars="200" w:firstLine="315" w:firstLineChars="150"/>
        <w:jc w:val="left"/>
        <w:rPr>
          <w:rFonts w:ascii="宋体" w:hAnsi="宋体"/>
          <w:color w:val="auto"/>
          <w:szCs w:val="21"/>
        </w:rPr>
      </w:pPr>
      <w:bookmarkStart w:id="199" w:name="_Toc323111004"/>
      <w:bookmarkStart w:id="200" w:name="_Toc475104503"/>
      <w:bookmarkStart w:id="201" w:name="_Toc363737710"/>
      <w:bookmarkStart w:id="202" w:name="_Toc351716665"/>
      <w:bookmarkStart w:id="203" w:name="_Toc322680372"/>
      <w:bookmarkStart w:id="204" w:name="_Toc320515047"/>
      <w:bookmarkStart w:id="205" w:name="_Toc320515096"/>
      <w:bookmarkStart w:id="206" w:name="_Toc323111005"/>
      <w:bookmarkStart w:id="207" w:name="_Toc315793483"/>
      <w:r>
        <w:rPr>
          <w:rFonts w:hint="eastAsia" w:ascii="宋体" w:hAnsi="宋体"/>
          <w:color w:val="auto"/>
          <w:szCs w:val="21"/>
        </w:rPr>
        <w:t>磋商</w:t>
      </w:r>
      <w:r>
        <w:rPr>
          <w:rFonts w:hint="eastAsia" w:ascii="宋体" w:hAnsi="宋体" w:cs="黑体"/>
          <w:bCs/>
          <w:color w:val="auto"/>
          <w:szCs w:val="21"/>
        </w:rPr>
        <w:t>小组进行资格性、符合性检查时发现</w:t>
      </w:r>
      <w:r>
        <w:rPr>
          <w:rFonts w:hint="eastAsia" w:cs="宋体"/>
          <w:color w:val="auto"/>
          <w:szCs w:val="21"/>
        </w:rPr>
        <w:t>供应商</w:t>
      </w:r>
      <w:r>
        <w:rPr>
          <w:rFonts w:hint="eastAsia" w:ascii="宋体" w:hAnsi="宋体" w:cs="黑体"/>
          <w:bCs/>
          <w:color w:val="auto"/>
          <w:szCs w:val="21"/>
        </w:rPr>
        <w:t>有实质性不响应</w:t>
      </w:r>
      <w:r>
        <w:rPr>
          <w:rFonts w:hint="eastAsia" w:ascii="宋体" w:hAnsi="宋体"/>
          <w:color w:val="auto"/>
          <w:kern w:val="0"/>
          <w:szCs w:val="21"/>
        </w:rPr>
        <w:t>竞争性磋商文件</w:t>
      </w:r>
      <w:r>
        <w:rPr>
          <w:rFonts w:hint="eastAsia" w:ascii="宋体" w:hAnsi="宋体" w:cs="黑体"/>
          <w:bCs/>
          <w:color w:val="auto"/>
          <w:szCs w:val="21"/>
        </w:rPr>
        <w:t>的，即现场告知</w:t>
      </w:r>
      <w:r>
        <w:rPr>
          <w:rFonts w:hint="eastAsia" w:cs="宋体"/>
          <w:color w:val="auto"/>
          <w:szCs w:val="21"/>
        </w:rPr>
        <w:t>供应商</w:t>
      </w:r>
      <w:r>
        <w:rPr>
          <w:rFonts w:hint="eastAsia" w:ascii="宋体" w:hAnsi="宋体" w:cs="黑体"/>
          <w:bCs/>
          <w:color w:val="auto"/>
          <w:szCs w:val="21"/>
        </w:rPr>
        <w:t>并说明理由。如其</w:t>
      </w:r>
      <w:r>
        <w:rPr>
          <w:rFonts w:hint="eastAsia" w:ascii="宋体" w:hAnsi="宋体"/>
          <w:color w:val="auto"/>
          <w:szCs w:val="21"/>
        </w:rPr>
        <w:t>磋商</w:t>
      </w:r>
      <w:r>
        <w:rPr>
          <w:rFonts w:hint="eastAsia" w:ascii="宋体" w:hAnsi="宋体" w:cs="黑体"/>
          <w:bCs/>
          <w:color w:val="auto"/>
          <w:szCs w:val="21"/>
        </w:rPr>
        <w:t>响应文件</w:t>
      </w:r>
      <w:r>
        <w:rPr>
          <w:rFonts w:hint="eastAsia" w:ascii="宋体" w:hAnsi="宋体" w:cs="宋体"/>
          <w:color w:val="auto"/>
          <w:szCs w:val="21"/>
          <w:lang w:eastAsia="zh-TW"/>
        </w:rPr>
        <w:t>被认定为无效</w:t>
      </w:r>
      <w:r>
        <w:rPr>
          <w:rFonts w:hint="eastAsia" w:ascii="宋体" w:hAnsi="宋体" w:cs="宋体"/>
          <w:color w:val="auto"/>
          <w:szCs w:val="21"/>
        </w:rPr>
        <w:t>报价</w:t>
      </w:r>
      <w:r>
        <w:rPr>
          <w:rFonts w:hint="eastAsia" w:ascii="宋体" w:hAnsi="宋体" w:cs="黑体"/>
          <w:bCs/>
          <w:color w:val="auto"/>
          <w:szCs w:val="21"/>
        </w:rPr>
        <w:t>即被视为不能通过资格性审查及符合性检查，不得参与技术、商务和价格等的后续磋商。</w:t>
      </w:r>
    </w:p>
    <w:p>
      <w:pPr>
        <w:numPr>
          <w:ilvl w:val="0"/>
          <w:numId w:val="5"/>
        </w:numPr>
        <w:autoSpaceDE w:val="0"/>
        <w:autoSpaceDN w:val="0"/>
        <w:adjustRightInd w:val="0"/>
        <w:snapToGrid w:val="0"/>
        <w:spacing w:line="360" w:lineRule="auto"/>
        <w:outlineLvl w:val="0"/>
        <w:rPr>
          <w:rFonts w:ascii="宋体" w:hAnsi="宋体"/>
          <w:b/>
          <w:bCs/>
          <w:color w:val="auto"/>
          <w:sz w:val="24"/>
        </w:rPr>
      </w:pPr>
      <w:r>
        <w:rPr>
          <w:rFonts w:hint="eastAsia" w:ascii="宋体" w:hAnsi="宋体"/>
          <w:b/>
          <w:bCs/>
          <w:color w:val="auto"/>
          <w:sz w:val="24"/>
        </w:rPr>
        <w:t>磋商响应文件的详细评审</w:t>
      </w:r>
      <w:bookmarkEnd w:id="199"/>
      <w:r>
        <w:rPr>
          <w:rFonts w:hint="eastAsia" w:ascii="宋体" w:hAnsi="宋体"/>
          <w:b/>
          <w:bCs/>
          <w:color w:val="auto"/>
          <w:sz w:val="24"/>
        </w:rPr>
        <w:t>及谈判</w:t>
      </w:r>
      <w:bookmarkEnd w:id="200"/>
      <w:bookmarkEnd w:id="201"/>
      <w:bookmarkEnd w:id="202"/>
    </w:p>
    <w:p>
      <w:pPr>
        <w:numPr>
          <w:ilvl w:val="1"/>
          <w:numId w:val="5"/>
        </w:numPr>
        <w:autoSpaceDE w:val="0"/>
        <w:autoSpaceDN w:val="0"/>
        <w:adjustRightInd w:val="0"/>
        <w:snapToGrid w:val="0"/>
        <w:spacing w:line="360" w:lineRule="auto"/>
        <w:jc w:val="left"/>
        <w:rPr>
          <w:rFonts w:ascii="宋体" w:hAnsi="宋体"/>
          <w:color w:val="auto"/>
          <w:szCs w:val="21"/>
        </w:rPr>
      </w:pPr>
      <w:bookmarkStart w:id="208" w:name="_Toc475104505"/>
      <w:bookmarkStart w:id="209" w:name="_Toc363737712"/>
      <w:r>
        <w:rPr>
          <w:rFonts w:hint="eastAsia" w:ascii="宋体" w:hAnsi="宋体" w:cs="黑体"/>
          <w:color w:val="auto"/>
          <w:szCs w:val="21"/>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应当在提交首次响应文件截止之日3个工作日前，以书面形式通知所有接收磋商文件的报价人，不足3个工作日的，应当顺延提交首次响应文件截止之日。</w:t>
      </w:r>
    </w:p>
    <w:p>
      <w:pPr>
        <w:numPr>
          <w:ilvl w:val="1"/>
          <w:numId w:val="5"/>
        </w:numPr>
        <w:autoSpaceDE w:val="0"/>
        <w:autoSpaceDN w:val="0"/>
        <w:adjustRightInd w:val="0"/>
        <w:snapToGrid w:val="0"/>
        <w:spacing w:line="360" w:lineRule="auto"/>
        <w:jc w:val="left"/>
        <w:rPr>
          <w:rFonts w:ascii="宋体" w:hAnsi="宋体"/>
          <w:color w:val="auto"/>
          <w:szCs w:val="21"/>
        </w:rPr>
      </w:pPr>
      <w:r>
        <w:rPr>
          <w:rFonts w:hint="eastAsia" w:ascii="宋体" w:hAnsi="宋体"/>
          <w:color w:val="auto"/>
          <w:szCs w:val="21"/>
        </w:rPr>
        <w:t>磋商小组将对</w:t>
      </w:r>
      <w:r>
        <w:rPr>
          <w:rFonts w:hint="eastAsia" w:cs="宋体"/>
          <w:color w:val="auto"/>
          <w:szCs w:val="21"/>
        </w:rPr>
        <w:t>供应商</w:t>
      </w:r>
      <w:r>
        <w:rPr>
          <w:rFonts w:hint="eastAsia" w:ascii="宋体" w:hAnsi="宋体"/>
          <w:color w:val="auto"/>
          <w:szCs w:val="21"/>
        </w:rPr>
        <w:t>磋商响应文件进行审查，审查磋商响应文件是否对竞争性磋商文件作出实质性的响应。对未作出实质性响应的</w:t>
      </w:r>
      <w:r>
        <w:rPr>
          <w:rFonts w:hint="eastAsia" w:cs="宋体"/>
          <w:color w:val="auto"/>
          <w:szCs w:val="21"/>
        </w:rPr>
        <w:t>供应商</w:t>
      </w:r>
      <w:r>
        <w:rPr>
          <w:rFonts w:hint="eastAsia" w:ascii="宋体" w:hAnsi="宋体"/>
          <w:color w:val="auto"/>
          <w:szCs w:val="21"/>
        </w:rPr>
        <w:t>应实行现场告知，以让其核证、澄清事实。</w:t>
      </w:r>
    </w:p>
    <w:p>
      <w:pPr>
        <w:numPr>
          <w:ilvl w:val="1"/>
          <w:numId w:val="5"/>
        </w:numPr>
        <w:autoSpaceDE w:val="0"/>
        <w:autoSpaceDN w:val="0"/>
        <w:adjustRightInd w:val="0"/>
        <w:snapToGrid w:val="0"/>
        <w:spacing w:line="360" w:lineRule="auto"/>
        <w:rPr>
          <w:rFonts w:ascii="宋体" w:hAnsi="宋体"/>
          <w:color w:val="auto"/>
          <w:szCs w:val="21"/>
        </w:rPr>
      </w:pPr>
      <w:r>
        <w:rPr>
          <w:rFonts w:hint="eastAsia" w:ascii="宋体" w:hAnsi="宋体"/>
          <w:color w:val="auto"/>
          <w:szCs w:val="21"/>
        </w:rPr>
        <w:t>磋商小组在对响应文件的有效性、完整性和响应程度进行审查时，可以要求供应商对响应文件中含义不明确、同类问题表述不一致或者有明显文字和计算错误的内容等作出必要的澄清、说明或者更正。报价人的澄清、说明或者更正不得超出响应文件的范围或者改变响应文件的实质性内容。</w:t>
      </w:r>
    </w:p>
    <w:p>
      <w:pPr>
        <w:numPr>
          <w:ilvl w:val="1"/>
          <w:numId w:val="5"/>
        </w:numPr>
        <w:autoSpaceDE w:val="0"/>
        <w:autoSpaceDN w:val="0"/>
        <w:adjustRightInd w:val="0"/>
        <w:snapToGrid w:val="0"/>
        <w:spacing w:line="360" w:lineRule="auto"/>
        <w:rPr>
          <w:rFonts w:ascii="宋体" w:hAnsi="宋体"/>
          <w:color w:val="auto"/>
          <w:szCs w:val="21"/>
        </w:rPr>
      </w:pPr>
      <w:r>
        <w:rPr>
          <w:rFonts w:hint="eastAsia" w:ascii="宋体" w:hAnsi="宋体"/>
          <w:color w:val="auto"/>
          <w:szCs w:val="21"/>
        </w:rPr>
        <w:t>磋商小组要求供应商澄清、说明或者更正响应文件应当以书面形式作出。报价人的澄清、说明或者更正应当由法定代表人或其授权代表签字或者加盖公章。由授权代表签字的，应当附法定代表人授权书。报价人为自然人的，应当由本人签字并附身份证明。</w:t>
      </w:r>
    </w:p>
    <w:p>
      <w:pPr>
        <w:numPr>
          <w:ilvl w:val="1"/>
          <w:numId w:val="5"/>
        </w:numPr>
        <w:autoSpaceDE w:val="0"/>
        <w:autoSpaceDN w:val="0"/>
        <w:adjustRightInd w:val="0"/>
        <w:snapToGrid w:val="0"/>
        <w:spacing w:line="360" w:lineRule="auto"/>
        <w:jc w:val="left"/>
        <w:rPr>
          <w:rFonts w:ascii="宋体" w:hAnsi="宋体"/>
          <w:color w:val="auto"/>
          <w:szCs w:val="21"/>
        </w:rPr>
      </w:pPr>
      <w:r>
        <w:rPr>
          <w:rFonts w:hint="eastAsia" w:ascii="宋体" w:hAnsi="宋体"/>
          <w:color w:val="auto"/>
          <w:szCs w:val="21"/>
        </w:rPr>
        <w:t>磋商小组所有成员集中将逐一与通过符合性审（检）查的</w:t>
      </w:r>
      <w:r>
        <w:rPr>
          <w:rFonts w:hint="eastAsia" w:cs="宋体"/>
          <w:color w:val="auto"/>
          <w:szCs w:val="21"/>
        </w:rPr>
        <w:t>供应商</w:t>
      </w:r>
      <w:r>
        <w:rPr>
          <w:rFonts w:hint="eastAsia" w:ascii="宋体" w:hAnsi="宋体"/>
          <w:color w:val="auto"/>
          <w:szCs w:val="21"/>
        </w:rPr>
        <w:t>（以抽签顺序为准）分别进行相同轮次的磋商（一轮或多轮，不超过三轮报价，具体磋商轮次由磋商小组视情况决定），磋商的内容包括但不限于：商务条件、技术规格、价格、验收、合同执行计划、相关服务、质量保证、与采购人配合等内容，磋商目的在于澄清报价、优化需求，在磋商中，磋商小组及有关当事人应当严格遵守保密原则，任何人不得透露与谈判有关的</w:t>
      </w:r>
      <w:r>
        <w:rPr>
          <w:rFonts w:hint="eastAsia" w:cs="宋体"/>
          <w:color w:val="auto"/>
          <w:szCs w:val="21"/>
        </w:rPr>
        <w:t>供应商</w:t>
      </w:r>
      <w:r>
        <w:rPr>
          <w:rFonts w:hint="eastAsia" w:ascii="宋体" w:hAnsi="宋体"/>
          <w:color w:val="auto"/>
          <w:szCs w:val="21"/>
        </w:rPr>
        <w:t>的服务、价格和其他任何信息。</w:t>
      </w:r>
    </w:p>
    <w:p>
      <w:pPr>
        <w:numPr>
          <w:ilvl w:val="1"/>
          <w:numId w:val="5"/>
        </w:numPr>
        <w:autoSpaceDE w:val="0"/>
        <w:autoSpaceDN w:val="0"/>
        <w:adjustRightInd w:val="0"/>
        <w:snapToGrid w:val="0"/>
        <w:spacing w:line="360" w:lineRule="auto"/>
        <w:rPr>
          <w:rFonts w:ascii="宋体" w:hAnsi="宋体"/>
          <w:color w:val="auto"/>
          <w:szCs w:val="21"/>
        </w:rPr>
      </w:pPr>
      <w:r>
        <w:rPr>
          <w:rFonts w:hint="eastAsia" w:ascii="宋体" w:hAnsi="宋体"/>
          <w:color w:val="auto"/>
          <w:szCs w:val="21"/>
        </w:rPr>
        <w:t>在磋商过程中，磋商小组可以根据磋商文件和磋商情况实质性变动采购需求中的技术、服务要求以及合同草案条款，但不得变动磋商文件中的其他内容。实质性变动的内容，须经采购人代表确认。</w:t>
      </w:r>
    </w:p>
    <w:p>
      <w:pPr>
        <w:numPr>
          <w:ilvl w:val="2"/>
          <w:numId w:val="5"/>
        </w:numPr>
        <w:tabs>
          <w:tab w:val="left" w:pos="851"/>
        </w:tabs>
        <w:autoSpaceDE w:val="0"/>
        <w:autoSpaceDN w:val="0"/>
        <w:adjustRightInd w:val="0"/>
        <w:snapToGrid w:val="0"/>
        <w:spacing w:line="360" w:lineRule="auto"/>
        <w:jc w:val="left"/>
        <w:rPr>
          <w:rFonts w:ascii="宋体" w:hAnsi="宋体" w:cs="宋体"/>
          <w:color w:val="auto"/>
          <w:szCs w:val="21"/>
          <w:lang w:eastAsia="zh-TW"/>
        </w:rPr>
      </w:pPr>
      <w:r>
        <w:rPr>
          <w:rFonts w:hint="eastAsia" w:ascii="宋体" w:hAnsi="宋体" w:cs="宋体"/>
          <w:color w:val="auto"/>
          <w:szCs w:val="21"/>
          <w:lang w:eastAsia="zh-TW"/>
        </w:rPr>
        <w:t>对</w:t>
      </w:r>
      <w:r>
        <w:rPr>
          <w:rFonts w:hint="eastAsia" w:ascii="宋体" w:hAnsi="宋体" w:cs="宋体"/>
          <w:color w:val="auto"/>
          <w:szCs w:val="21"/>
        </w:rPr>
        <w:t>磋商</w:t>
      </w:r>
      <w:r>
        <w:rPr>
          <w:rFonts w:hint="eastAsia" w:ascii="宋体" w:hAnsi="宋体" w:cs="宋体"/>
          <w:color w:val="auto"/>
          <w:szCs w:val="21"/>
          <w:lang w:eastAsia="zh-TW"/>
        </w:rPr>
        <w:t>文件作出的实质性变动是</w:t>
      </w:r>
      <w:r>
        <w:rPr>
          <w:rFonts w:hint="eastAsia" w:ascii="宋体" w:hAnsi="宋体" w:cs="宋体"/>
          <w:color w:val="auto"/>
          <w:szCs w:val="21"/>
        </w:rPr>
        <w:t>磋商</w:t>
      </w:r>
      <w:r>
        <w:rPr>
          <w:rFonts w:hint="eastAsia" w:ascii="宋体" w:hAnsi="宋体" w:cs="宋体"/>
          <w:color w:val="auto"/>
          <w:szCs w:val="21"/>
          <w:lang w:eastAsia="zh-TW"/>
        </w:rPr>
        <w:t>文件的有效组成部分，</w:t>
      </w:r>
      <w:r>
        <w:rPr>
          <w:rFonts w:hint="eastAsia" w:ascii="宋体" w:hAnsi="宋体" w:cs="宋体"/>
          <w:color w:val="auto"/>
          <w:szCs w:val="21"/>
        </w:rPr>
        <w:t>磋商</w:t>
      </w:r>
      <w:r>
        <w:rPr>
          <w:rFonts w:hint="eastAsia" w:ascii="宋体" w:hAnsi="宋体" w:cs="宋体"/>
          <w:color w:val="auto"/>
          <w:szCs w:val="21"/>
          <w:lang w:eastAsia="zh-TW"/>
        </w:rPr>
        <w:t>小组应当及时以书面形式同时通知所有参加</w:t>
      </w:r>
      <w:r>
        <w:rPr>
          <w:rFonts w:hint="eastAsia" w:ascii="宋体" w:hAnsi="宋体" w:cs="宋体"/>
          <w:color w:val="auto"/>
          <w:szCs w:val="21"/>
        </w:rPr>
        <w:t>磋商</w:t>
      </w:r>
      <w:r>
        <w:rPr>
          <w:rFonts w:hint="eastAsia" w:ascii="宋体" w:hAnsi="宋体" w:cs="宋体"/>
          <w:color w:val="auto"/>
          <w:szCs w:val="21"/>
          <w:lang w:eastAsia="zh-TW"/>
        </w:rPr>
        <w:t>的</w:t>
      </w:r>
      <w:r>
        <w:rPr>
          <w:rFonts w:hint="eastAsia" w:ascii="宋体" w:hAnsi="宋体" w:cs="宋体"/>
          <w:color w:val="auto"/>
          <w:szCs w:val="21"/>
        </w:rPr>
        <w:t>报价人</w:t>
      </w:r>
      <w:r>
        <w:rPr>
          <w:rFonts w:hint="eastAsia" w:ascii="宋体" w:hAnsi="宋体" w:cs="宋体"/>
          <w:color w:val="auto"/>
          <w:szCs w:val="21"/>
          <w:lang w:eastAsia="zh-TW"/>
        </w:rPr>
        <w:t>。</w:t>
      </w:r>
    </w:p>
    <w:p>
      <w:pPr>
        <w:numPr>
          <w:ilvl w:val="2"/>
          <w:numId w:val="5"/>
        </w:numPr>
        <w:tabs>
          <w:tab w:val="left" w:pos="851"/>
        </w:tabs>
        <w:autoSpaceDE w:val="0"/>
        <w:autoSpaceDN w:val="0"/>
        <w:adjustRightInd w:val="0"/>
        <w:snapToGrid w:val="0"/>
        <w:spacing w:line="360" w:lineRule="auto"/>
        <w:jc w:val="left"/>
        <w:rPr>
          <w:rFonts w:ascii="宋体" w:hAnsi="宋体" w:cs="宋体"/>
          <w:color w:val="auto"/>
          <w:szCs w:val="21"/>
          <w:lang w:eastAsia="zh-TW"/>
        </w:rPr>
      </w:pPr>
      <w:r>
        <w:rPr>
          <w:rFonts w:hint="eastAsia" w:ascii="宋体" w:hAnsi="宋体" w:cs="宋体"/>
          <w:color w:val="auto"/>
          <w:szCs w:val="21"/>
        </w:rPr>
        <w:t>报价人</w:t>
      </w:r>
      <w:r>
        <w:rPr>
          <w:rFonts w:hint="eastAsia" w:ascii="宋体" w:hAnsi="宋体" w:cs="宋体"/>
          <w:color w:val="auto"/>
          <w:szCs w:val="21"/>
          <w:lang w:eastAsia="zh-TW"/>
        </w:rPr>
        <w:t>应当按照</w:t>
      </w:r>
      <w:r>
        <w:rPr>
          <w:rFonts w:hint="eastAsia" w:ascii="宋体" w:hAnsi="宋体" w:cs="宋体"/>
          <w:color w:val="auto"/>
          <w:szCs w:val="21"/>
        </w:rPr>
        <w:t>磋商</w:t>
      </w:r>
      <w:r>
        <w:rPr>
          <w:rFonts w:hint="eastAsia" w:ascii="宋体" w:hAnsi="宋体" w:cs="宋体"/>
          <w:color w:val="auto"/>
          <w:szCs w:val="21"/>
          <w:lang w:eastAsia="zh-TW"/>
        </w:rPr>
        <w:t>文件的变动情况和</w:t>
      </w:r>
      <w:r>
        <w:rPr>
          <w:rFonts w:hint="eastAsia" w:ascii="宋体" w:hAnsi="宋体" w:cs="宋体"/>
          <w:color w:val="auto"/>
          <w:szCs w:val="21"/>
        </w:rPr>
        <w:t>磋商</w:t>
      </w:r>
      <w:r>
        <w:rPr>
          <w:rFonts w:hint="eastAsia" w:ascii="宋体" w:hAnsi="宋体" w:cs="宋体"/>
          <w:color w:val="auto"/>
          <w:szCs w:val="21"/>
          <w:lang w:eastAsia="zh-TW"/>
        </w:rPr>
        <w:t>小组的要求重新提交响应文件，并由其法定代表人或授权代表签字或者加盖公章。由授权代表签字的，应当附法定代表人授权书。</w:t>
      </w:r>
      <w:r>
        <w:rPr>
          <w:rFonts w:hint="eastAsia" w:ascii="宋体" w:hAnsi="宋体" w:cs="宋体"/>
          <w:color w:val="auto"/>
          <w:szCs w:val="21"/>
        </w:rPr>
        <w:t>报价人</w:t>
      </w:r>
      <w:r>
        <w:rPr>
          <w:rFonts w:hint="eastAsia" w:ascii="宋体" w:hAnsi="宋体" w:cs="宋体"/>
          <w:color w:val="auto"/>
          <w:szCs w:val="21"/>
          <w:lang w:eastAsia="zh-TW"/>
        </w:rPr>
        <w:t>为自然人的，应当由本人签字并附身份证明。</w:t>
      </w:r>
    </w:p>
    <w:p>
      <w:pPr>
        <w:numPr>
          <w:ilvl w:val="1"/>
          <w:numId w:val="5"/>
        </w:numPr>
        <w:autoSpaceDE w:val="0"/>
        <w:autoSpaceDN w:val="0"/>
        <w:adjustRightInd w:val="0"/>
        <w:snapToGrid w:val="0"/>
        <w:spacing w:line="360" w:lineRule="auto"/>
        <w:jc w:val="left"/>
        <w:rPr>
          <w:rFonts w:ascii="宋体" w:hAnsi="宋体"/>
          <w:color w:val="auto"/>
          <w:szCs w:val="21"/>
        </w:rPr>
      </w:pPr>
      <w:r>
        <w:rPr>
          <w:rFonts w:hint="eastAsia" w:ascii="宋体" w:hAnsi="宋体"/>
          <w:color w:val="auto"/>
          <w:szCs w:val="21"/>
        </w:rPr>
        <w:t>竞争性磋商文件的修正：磋商小组调整或修改采购需求内容时，应取得磋商小组的一致同意，并以书面形式通知所有参加磋商的</w:t>
      </w:r>
      <w:r>
        <w:rPr>
          <w:rFonts w:hint="eastAsia" w:cs="宋体"/>
          <w:color w:val="auto"/>
          <w:szCs w:val="21"/>
        </w:rPr>
        <w:t>供应商</w:t>
      </w:r>
      <w:r>
        <w:rPr>
          <w:rFonts w:hint="eastAsia" w:ascii="宋体" w:hAnsi="宋体"/>
          <w:color w:val="auto"/>
          <w:szCs w:val="21"/>
        </w:rPr>
        <w:t>。但任何形式的决定须以符合公平、公正原则和有利于项目的顺利实施为前提。</w:t>
      </w:r>
    </w:p>
    <w:p>
      <w:pPr>
        <w:numPr>
          <w:ilvl w:val="1"/>
          <w:numId w:val="5"/>
        </w:numPr>
        <w:autoSpaceDE w:val="0"/>
        <w:autoSpaceDN w:val="0"/>
        <w:adjustRightInd w:val="0"/>
        <w:snapToGrid w:val="0"/>
        <w:spacing w:line="360" w:lineRule="auto"/>
        <w:jc w:val="left"/>
        <w:rPr>
          <w:rFonts w:ascii="宋体" w:hAnsi="宋体"/>
          <w:color w:val="auto"/>
          <w:szCs w:val="21"/>
        </w:rPr>
      </w:pPr>
      <w:r>
        <w:rPr>
          <w:rFonts w:hint="eastAsia" w:ascii="宋体" w:hAnsi="宋体"/>
          <w:color w:val="auto"/>
          <w:szCs w:val="21"/>
        </w:rPr>
        <w:t>磋商小组在谈判结束后，要求所有参加磋商的</w:t>
      </w:r>
      <w:r>
        <w:rPr>
          <w:rFonts w:hint="eastAsia" w:cs="宋体"/>
          <w:color w:val="auto"/>
          <w:szCs w:val="21"/>
        </w:rPr>
        <w:t>供应商</w:t>
      </w:r>
      <w:r>
        <w:rPr>
          <w:rFonts w:hint="eastAsia" w:ascii="宋体" w:hAnsi="宋体"/>
          <w:color w:val="auto"/>
          <w:szCs w:val="21"/>
        </w:rPr>
        <w:t>在规定的时间内集中密封提交最后报价（最后报价时间视磋商进程由磋商小组决定）及作出有关承诺。</w:t>
      </w:r>
    </w:p>
    <w:p>
      <w:pPr>
        <w:numPr>
          <w:ilvl w:val="1"/>
          <w:numId w:val="5"/>
        </w:numPr>
        <w:autoSpaceDE w:val="0"/>
        <w:autoSpaceDN w:val="0"/>
        <w:adjustRightInd w:val="0"/>
        <w:snapToGrid w:val="0"/>
        <w:spacing w:line="360" w:lineRule="auto"/>
        <w:jc w:val="left"/>
        <w:rPr>
          <w:rFonts w:ascii="宋体" w:hAnsi="宋体"/>
          <w:color w:val="auto"/>
          <w:szCs w:val="21"/>
        </w:rPr>
      </w:pPr>
      <w:r>
        <w:rPr>
          <w:rFonts w:hint="eastAsia" w:ascii="宋体" w:hAnsi="宋体"/>
          <w:color w:val="auto"/>
          <w:szCs w:val="21"/>
        </w:rPr>
        <w:t>在磋商过程中，</w:t>
      </w:r>
      <w:r>
        <w:rPr>
          <w:rFonts w:hint="eastAsia" w:cs="宋体"/>
          <w:color w:val="auto"/>
          <w:szCs w:val="21"/>
        </w:rPr>
        <w:t>供应商</w:t>
      </w:r>
      <w:r>
        <w:rPr>
          <w:rFonts w:hint="eastAsia" w:ascii="宋体" w:hAnsi="宋体"/>
          <w:color w:val="auto"/>
          <w:szCs w:val="21"/>
        </w:rPr>
        <w:t>提交的澄清文件和最后报价文件，由</w:t>
      </w:r>
      <w:r>
        <w:rPr>
          <w:rFonts w:hint="eastAsia" w:cs="宋体"/>
          <w:color w:val="auto"/>
          <w:szCs w:val="21"/>
        </w:rPr>
        <w:t>供应商</w:t>
      </w:r>
      <w:r>
        <w:rPr>
          <w:rFonts w:hint="eastAsia" w:ascii="宋体" w:hAnsi="宋体"/>
          <w:color w:val="auto"/>
          <w:szCs w:val="21"/>
        </w:rPr>
        <w:t>法人代表或其授权代表签字或加盖公章后生效。供应商为自然人的，应当由本人签字并附身份证明。</w:t>
      </w:r>
      <w:r>
        <w:rPr>
          <w:rFonts w:hint="eastAsia" w:cs="宋体"/>
          <w:color w:val="auto"/>
          <w:szCs w:val="21"/>
        </w:rPr>
        <w:t>供应商</w:t>
      </w:r>
      <w:r>
        <w:rPr>
          <w:rFonts w:hint="eastAsia" w:ascii="宋体" w:hAnsi="宋体"/>
          <w:color w:val="auto"/>
          <w:szCs w:val="21"/>
        </w:rPr>
        <w:t>应受其约束。</w:t>
      </w:r>
    </w:p>
    <w:p>
      <w:pPr>
        <w:numPr>
          <w:ilvl w:val="1"/>
          <w:numId w:val="5"/>
        </w:numPr>
        <w:autoSpaceDE w:val="0"/>
        <w:autoSpaceDN w:val="0"/>
        <w:adjustRightInd w:val="0"/>
        <w:snapToGrid w:val="0"/>
        <w:spacing w:line="360" w:lineRule="auto"/>
        <w:jc w:val="left"/>
        <w:rPr>
          <w:rFonts w:ascii="宋体" w:hAnsi="宋体"/>
          <w:color w:val="auto"/>
          <w:szCs w:val="21"/>
        </w:rPr>
      </w:pPr>
      <w:r>
        <w:rPr>
          <w:rFonts w:hint="eastAsia" w:ascii="宋体" w:hAnsi="宋体"/>
          <w:color w:val="auto"/>
          <w:szCs w:val="21"/>
        </w:rPr>
        <w:t>经磋商确定最终采购需求和提交最后报价的供应商后，由磋商小组采用综合评分法对提交最后报价的供应商的响应文件和最后报价进行综合评分。</w:t>
      </w:r>
    </w:p>
    <w:p>
      <w:pPr>
        <w:numPr>
          <w:ilvl w:val="0"/>
          <w:numId w:val="5"/>
        </w:numPr>
        <w:autoSpaceDE w:val="0"/>
        <w:autoSpaceDN w:val="0"/>
        <w:adjustRightInd w:val="0"/>
        <w:snapToGrid w:val="0"/>
        <w:spacing w:line="360" w:lineRule="auto"/>
        <w:outlineLvl w:val="0"/>
        <w:rPr>
          <w:rFonts w:ascii="宋体" w:hAnsi="宋体"/>
          <w:b/>
          <w:bCs/>
          <w:color w:val="auto"/>
          <w:sz w:val="24"/>
        </w:rPr>
      </w:pPr>
      <w:bookmarkStart w:id="210" w:name="_Toc351716666"/>
      <w:bookmarkStart w:id="211" w:name="_Toc363737711"/>
      <w:bookmarkStart w:id="212" w:name="_Toc475104504"/>
      <w:r>
        <w:rPr>
          <w:rFonts w:hint="eastAsia" w:ascii="宋体" w:hAnsi="宋体"/>
          <w:b/>
          <w:bCs/>
          <w:color w:val="auto"/>
          <w:sz w:val="24"/>
        </w:rPr>
        <w:t>评定成交的评审方法和标准</w:t>
      </w:r>
      <w:bookmarkEnd w:id="210"/>
      <w:bookmarkEnd w:id="211"/>
      <w:bookmarkEnd w:id="212"/>
    </w:p>
    <w:p>
      <w:pPr>
        <w:numPr>
          <w:ilvl w:val="1"/>
          <w:numId w:val="5"/>
        </w:numPr>
        <w:autoSpaceDE w:val="0"/>
        <w:autoSpaceDN w:val="0"/>
        <w:adjustRightInd w:val="0"/>
        <w:snapToGrid w:val="0"/>
        <w:spacing w:line="360" w:lineRule="auto"/>
        <w:rPr>
          <w:rFonts w:ascii="宋体" w:hAnsi="宋体"/>
          <w:color w:val="auto"/>
          <w:szCs w:val="21"/>
        </w:rPr>
      </w:pPr>
      <w:r>
        <w:rPr>
          <w:rFonts w:hint="eastAsia" w:ascii="宋体" w:hAnsi="宋体"/>
          <w:color w:val="auto"/>
          <w:szCs w:val="21"/>
        </w:rPr>
        <w:t>磋商小组按照竞争性磋商文件确定的、方法、步骤、标准，对磋商响应文件进行评审，提出书面竞争性磋商报告。</w:t>
      </w:r>
    </w:p>
    <w:p>
      <w:pPr>
        <w:numPr>
          <w:ilvl w:val="1"/>
          <w:numId w:val="5"/>
        </w:numPr>
        <w:autoSpaceDE w:val="0"/>
        <w:autoSpaceDN w:val="0"/>
        <w:adjustRightInd w:val="0"/>
        <w:snapToGrid w:val="0"/>
        <w:spacing w:line="360" w:lineRule="auto"/>
        <w:rPr>
          <w:rFonts w:ascii="宋体" w:hAnsi="宋体"/>
          <w:color w:val="auto"/>
          <w:szCs w:val="21"/>
        </w:rPr>
      </w:pPr>
      <w:r>
        <w:rPr>
          <w:rFonts w:hint="eastAsia" w:ascii="宋体" w:hAnsi="宋体"/>
          <w:color w:val="auto"/>
          <w:szCs w:val="21"/>
        </w:rPr>
        <w:t>竞争性磋商</w:t>
      </w:r>
      <w:r>
        <w:rPr>
          <w:rFonts w:hint="eastAsia"/>
          <w:color w:val="auto"/>
        </w:rPr>
        <w:t>报告应当由磋商小组全体人员签字认可。磋商小组成员对</w:t>
      </w:r>
      <w:r>
        <w:rPr>
          <w:rFonts w:hint="eastAsia" w:ascii="宋体" w:hAnsi="宋体"/>
          <w:color w:val="auto"/>
          <w:szCs w:val="21"/>
        </w:rPr>
        <w:t>竞争性磋商</w:t>
      </w:r>
      <w:r>
        <w:rPr>
          <w:rFonts w:hint="eastAsia"/>
          <w:color w:val="auto"/>
        </w:rPr>
        <w:t>报告有异议的，磋商小组按照少数服从多数的原则推荐成交候选人，采购程序继续进行。对竞争性磋商报告有异议的磋商小组成员，应当在报告上签署不同意见并说明理由，由磋商小组书面记录相关情况。磋商小组成员拒绝在报告上签字又不书面说明其不同意见和理由的，视为同意</w:t>
      </w:r>
      <w:r>
        <w:rPr>
          <w:rFonts w:hint="eastAsia" w:ascii="宋体" w:hAnsi="宋体"/>
          <w:color w:val="auto"/>
          <w:szCs w:val="21"/>
        </w:rPr>
        <w:t>竞争性磋商</w:t>
      </w:r>
      <w:r>
        <w:rPr>
          <w:rFonts w:hint="eastAsia"/>
          <w:color w:val="auto"/>
        </w:rPr>
        <w:t>报告。</w:t>
      </w:r>
    </w:p>
    <w:p>
      <w:pPr>
        <w:numPr>
          <w:ilvl w:val="1"/>
          <w:numId w:val="5"/>
        </w:numPr>
        <w:autoSpaceDE w:val="0"/>
        <w:autoSpaceDN w:val="0"/>
        <w:adjustRightInd w:val="0"/>
        <w:snapToGrid w:val="0"/>
        <w:spacing w:line="360" w:lineRule="auto"/>
        <w:rPr>
          <w:rFonts w:ascii="宋体" w:hAnsi="宋体"/>
          <w:color w:val="auto"/>
          <w:szCs w:val="21"/>
        </w:rPr>
      </w:pPr>
      <w:r>
        <w:rPr>
          <w:rFonts w:hint="eastAsia" w:ascii="宋体" w:hAnsi="宋体"/>
          <w:color w:val="auto"/>
          <w:szCs w:val="21"/>
        </w:rPr>
        <w:t>综合评分=技术得分+商务得分+价格得分。</w:t>
      </w:r>
    </w:p>
    <w:p>
      <w:pPr>
        <w:numPr>
          <w:ilvl w:val="1"/>
          <w:numId w:val="5"/>
        </w:numPr>
        <w:autoSpaceDE w:val="0"/>
        <w:autoSpaceDN w:val="0"/>
        <w:adjustRightInd w:val="0"/>
        <w:snapToGrid w:val="0"/>
        <w:spacing w:line="360" w:lineRule="auto"/>
        <w:rPr>
          <w:rFonts w:ascii="宋体" w:hAnsi="宋体"/>
          <w:color w:val="auto"/>
          <w:szCs w:val="21"/>
        </w:rPr>
      </w:pPr>
      <w:r>
        <w:rPr>
          <w:rFonts w:hint="eastAsia" w:ascii="宋体" w:hAnsi="宋体"/>
          <w:color w:val="auto"/>
          <w:szCs w:val="21"/>
        </w:rPr>
        <w:t>采用综合评分法的，按评审后评审得分由高到低顺序排列。综合评分相同的，按照最后报价由低到高的顺序推荐。综合得分且最后报价相同的，按照价格由低到高的顺序推荐。评审得分相同，且评标价和技术评分均相同的，名次由磋商小组会投票决定。磋商小组会按上述排列向采购人推荐综合总得分第一名为第一成交候选人，第二名为第二成交候选人，第三名为第三成交候选人，以此类推。第一成交候选人不得随意放弃成交资格。</w:t>
      </w:r>
    </w:p>
    <w:p>
      <w:pPr>
        <w:numPr>
          <w:ilvl w:val="0"/>
          <w:numId w:val="5"/>
        </w:numPr>
        <w:autoSpaceDE w:val="0"/>
        <w:autoSpaceDN w:val="0"/>
        <w:adjustRightInd w:val="0"/>
        <w:snapToGrid w:val="0"/>
        <w:spacing w:line="360" w:lineRule="auto"/>
        <w:outlineLvl w:val="0"/>
        <w:rPr>
          <w:rFonts w:ascii="宋体" w:hAnsi="宋体"/>
          <w:b/>
          <w:bCs/>
          <w:color w:val="auto"/>
          <w:sz w:val="24"/>
        </w:rPr>
      </w:pPr>
      <w:r>
        <w:rPr>
          <w:rFonts w:hint="eastAsia" w:ascii="宋体" w:hAnsi="宋体"/>
          <w:b/>
          <w:bCs/>
          <w:color w:val="auto"/>
          <w:sz w:val="24"/>
        </w:rPr>
        <w:t>小型和微型企业产品价格扣除</w:t>
      </w:r>
      <w:bookmarkEnd w:id="208"/>
    </w:p>
    <w:p>
      <w:pPr>
        <w:autoSpaceDE w:val="0"/>
        <w:autoSpaceDN w:val="0"/>
        <w:adjustRightInd w:val="0"/>
        <w:snapToGrid w:val="0"/>
        <w:spacing w:line="360" w:lineRule="auto"/>
        <w:ind w:left="525" w:hanging="525" w:hangingChars="250"/>
        <w:jc w:val="left"/>
        <w:rPr>
          <w:rFonts w:ascii="宋体" w:hAnsi="宋体"/>
          <w:bCs/>
          <w:color w:val="auto"/>
          <w:szCs w:val="21"/>
        </w:rPr>
      </w:pPr>
      <w:r>
        <w:rPr>
          <w:rFonts w:hint="eastAsia" w:ascii="宋体" w:hAnsi="宋体"/>
          <w:bCs/>
          <w:color w:val="auto"/>
          <w:szCs w:val="21"/>
        </w:rPr>
        <w:t>27.1根据财政部、工业和信息化部印发的《政府采购促进中小企业发展暂行办法》（财库[2011]181号）的规定，对小型和微型企业产品的价格给予6%的扣除，用扣除后的价格参与评审；提供产品中仅有部分小型和微型企业产品的，则按所投小型和微型企业产品的价格予以扣除。</w:t>
      </w:r>
    </w:p>
    <w:p>
      <w:pPr>
        <w:autoSpaceDE w:val="0"/>
        <w:autoSpaceDN w:val="0"/>
        <w:adjustRightInd w:val="0"/>
        <w:snapToGrid w:val="0"/>
        <w:spacing w:line="360" w:lineRule="auto"/>
        <w:ind w:left="525" w:hanging="525" w:hangingChars="250"/>
        <w:jc w:val="left"/>
        <w:rPr>
          <w:rFonts w:ascii="宋体" w:hAnsi="宋体"/>
          <w:bCs/>
          <w:color w:val="auto"/>
          <w:szCs w:val="21"/>
        </w:rPr>
      </w:pPr>
      <w:r>
        <w:rPr>
          <w:rFonts w:hint="eastAsia" w:ascii="宋体" w:hAnsi="宋体"/>
          <w:bCs/>
          <w:color w:val="auto"/>
          <w:szCs w:val="21"/>
        </w:rPr>
        <w:t>27.2《政府采购促进中小企业发展暂行办法》所称中小企业（含中型、小型、微型企业，下同）应当同时符合以下条件：</w:t>
      </w:r>
    </w:p>
    <w:p>
      <w:pPr>
        <w:autoSpaceDE w:val="0"/>
        <w:autoSpaceDN w:val="0"/>
        <w:adjustRightInd w:val="0"/>
        <w:snapToGrid w:val="0"/>
        <w:spacing w:line="360" w:lineRule="auto"/>
        <w:ind w:left="525" w:hanging="525" w:hangingChars="250"/>
        <w:jc w:val="left"/>
        <w:rPr>
          <w:rFonts w:ascii="宋体" w:hAnsi="宋体"/>
          <w:bCs/>
          <w:color w:val="auto"/>
          <w:szCs w:val="21"/>
        </w:rPr>
      </w:pPr>
      <w:r>
        <w:rPr>
          <w:rFonts w:hint="eastAsia" w:ascii="宋体" w:hAnsi="宋体"/>
          <w:bCs/>
          <w:color w:val="auto"/>
          <w:szCs w:val="21"/>
        </w:rPr>
        <w:t>27.3符合中小企业划分标准，并以</w:t>
      </w:r>
      <w:r>
        <w:rPr>
          <w:rFonts w:hint="eastAsia" w:ascii="宋体" w:hAnsi="宋体"/>
          <w:bCs/>
          <w:color w:val="auto"/>
          <w:szCs w:val="21"/>
          <w:u w:val="single"/>
        </w:rPr>
        <w:t>提供中小企业管理部门出具的证明为准</w:t>
      </w:r>
      <w:r>
        <w:rPr>
          <w:rFonts w:hint="eastAsia" w:ascii="宋体" w:hAnsi="宋体"/>
          <w:bCs/>
          <w:color w:val="auto"/>
          <w:szCs w:val="21"/>
        </w:rPr>
        <w:t>；</w:t>
      </w:r>
    </w:p>
    <w:p>
      <w:pPr>
        <w:autoSpaceDE w:val="0"/>
        <w:autoSpaceDN w:val="0"/>
        <w:adjustRightInd w:val="0"/>
        <w:snapToGrid w:val="0"/>
        <w:spacing w:line="360" w:lineRule="auto"/>
        <w:ind w:left="525" w:hanging="525" w:hangingChars="250"/>
        <w:jc w:val="left"/>
        <w:rPr>
          <w:rFonts w:ascii="宋体" w:hAnsi="宋体"/>
          <w:bCs/>
          <w:color w:val="auto"/>
          <w:szCs w:val="21"/>
        </w:rPr>
      </w:pPr>
      <w:r>
        <w:rPr>
          <w:rFonts w:hint="eastAsia" w:ascii="宋体" w:hAnsi="宋体"/>
          <w:bCs/>
          <w:color w:val="auto"/>
          <w:szCs w:val="21"/>
        </w:rPr>
        <w:t>27.4提供本企业制造的货物、承担的工程或者服务，或者提供其他中小企业制造的货物。本项所称货物不包括使用大型企业注册商标的货物。</w:t>
      </w:r>
    </w:p>
    <w:p>
      <w:pPr>
        <w:autoSpaceDE w:val="0"/>
        <w:autoSpaceDN w:val="0"/>
        <w:adjustRightInd w:val="0"/>
        <w:snapToGrid w:val="0"/>
        <w:spacing w:line="360" w:lineRule="auto"/>
        <w:ind w:left="525" w:hanging="525" w:hangingChars="250"/>
        <w:jc w:val="left"/>
        <w:rPr>
          <w:rFonts w:ascii="宋体" w:hAnsi="宋体"/>
          <w:bCs/>
          <w:color w:val="auto"/>
          <w:szCs w:val="21"/>
        </w:rPr>
      </w:pPr>
      <w:r>
        <w:rPr>
          <w:rFonts w:hint="eastAsia" w:ascii="宋体" w:hAnsi="宋体"/>
          <w:bCs/>
          <w:color w:val="auto"/>
          <w:szCs w:val="21"/>
        </w:rPr>
        <w:t>27.5中小企业划分标准以《工业和信息化部、国家统计局、国家发展和改革委员会、财政部关于印发中小企业划型标准规定的通知》（工信部联企业[2011]300号）规定的划分标准为准。</w:t>
      </w:r>
    </w:p>
    <w:p>
      <w:pPr>
        <w:autoSpaceDE w:val="0"/>
        <w:autoSpaceDN w:val="0"/>
        <w:adjustRightInd w:val="0"/>
        <w:snapToGrid w:val="0"/>
        <w:spacing w:line="360" w:lineRule="auto"/>
        <w:ind w:left="525" w:hanging="525" w:hangingChars="250"/>
        <w:jc w:val="left"/>
        <w:rPr>
          <w:rFonts w:ascii="宋体" w:hAnsi="宋体"/>
          <w:bCs/>
          <w:color w:val="auto"/>
          <w:szCs w:val="21"/>
        </w:rPr>
      </w:pPr>
      <w:r>
        <w:rPr>
          <w:rFonts w:hint="eastAsia" w:ascii="宋体" w:hAnsi="宋体"/>
          <w:bCs/>
          <w:color w:val="auto"/>
          <w:szCs w:val="21"/>
        </w:rPr>
        <w:t>27.6小型、微型企业提供中型企业制造的货物的，视同为中型企业。</w:t>
      </w:r>
    </w:p>
    <w:p>
      <w:pPr>
        <w:autoSpaceDE w:val="0"/>
        <w:autoSpaceDN w:val="0"/>
        <w:adjustRightInd w:val="0"/>
        <w:snapToGrid w:val="0"/>
        <w:spacing w:line="360" w:lineRule="auto"/>
        <w:ind w:left="525" w:hanging="525" w:hangingChars="250"/>
        <w:jc w:val="left"/>
        <w:rPr>
          <w:rFonts w:ascii="宋体" w:hAnsi="宋体"/>
          <w:bCs/>
          <w:color w:val="auto"/>
        </w:rPr>
      </w:pPr>
      <w:r>
        <w:rPr>
          <w:rFonts w:hint="eastAsia" w:ascii="宋体" w:hAnsi="宋体"/>
          <w:bCs/>
          <w:color w:val="auto"/>
          <w:szCs w:val="21"/>
        </w:rPr>
        <w:t>27.7</w:t>
      </w:r>
      <w:r>
        <w:rPr>
          <w:rFonts w:hint="eastAsia" w:ascii="宋体" w:hAnsi="宋体"/>
          <w:bCs/>
          <w:color w:val="auto"/>
        </w:rPr>
        <w:t>参加政府采购活动的中小企业应当提供《中小企业声明函》（格式见报价文件格式）。</w:t>
      </w:r>
    </w:p>
    <w:p>
      <w:pPr>
        <w:autoSpaceDE w:val="0"/>
        <w:autoSpaceDN w:val="0"/>
        <w:adjustRightInd w:val="0"/>
        <w:snapToGrid w:val="0"/>
        <w:spacing w:line="360" w:lineRule="auto"/>
        <w:ind w:left="525" w:hanging="525" w:hangingChars="250"/>
        <w:jc w:val="left"/>
        <w:rPr>
          <w:rFonts w:ascii="宋体" w:hAnsi="宋体"/>
          <w:bCs/>
          <w:color w:val="auto"/>
        </w:rPr>
      </w:pPr>
      <w:r>
        <w:rPr>
          <w:rFonts w:hint="eastAsia" w:ascii="宋体" w:hAnsi="宋体"/>
          <w:bCs/>
          <w:color w:val="auto"/>
        </w:rPr>
        <w:t>27.8监狱企业视同小型、微型企业，享受评审中价格扣除：</w:t>
      </w:r>
    </w:p>
    <w:p>
      <w:pPr>
        <w:autoSpaceDE w:val="0"/>
        <w:autoSpaceDN w:val="0"/>
        <w:adjustRightInd w:val="0"/>
        <w:snapToGrid w:val="0"/>
        <w:spacing w:line="360" w:lineRule="auto"/>
        <w:ind w:left="525" w:hanging="525" w:hangingChars="250"/>
        <w:jc w:val="left"/>
        <w:rPr>
          <w:rFonts w:ascii="宋体" w:hAnsi="宋体"/>
          <w:bCs/>
          <w:color w:val="auto"/>
        </w:rPr>
      </w:pPr>
      <w:r>
        <w:rPr>
          <w:rFonts w:hint="eastAsia" w:ascii="宋体" w:hAnsi="宋体"/>
          <w:bCs/>
          <w:color w:val="auto"/>
        </w:rPr>
        <w:t>27.8.1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autoSpaceDE w:val="0"/>
        <w:autoSpaceDN w:val="0"/>
        <w:adjustRightInd w:val="0"/>
        <w:snapToGrid w:val="0"/>
        <w:spacing w:line="360" w:lineRule="auto"/>
        <w:ind w:left="525" w:hanging="525" w:hangingChars="250"/>
        <w:jc w:val="left"/>
        <w:rPr>
          <w:rFonts w:ascii="宋体" w:hAnsi="宋体"/>
          <w:bCs/>
          <w:color w:val="auto"/>
        </w:rPr>
      </w:pPr>
      <w:r>
        <w:rPr>
          <w:rFonts w:hint="eastAsia" w:ascii="宋体" w:hAnsi="宋体"/>
          <w:bCs/>
          <w:color w:val="auto"/>
        </w:rPr>
        <w:t>27.8.2监狱企业参加政府采购活动时，应当提供由省级以上监狱管理局、戒毒管理局（含新疆生产建设兵团）出具的属于监狱企业的证明文件，否则不予认可。</w:t>
      </w:r>
    </w:p>
    <w:p>
      <w:pPr>
        <w:autoSpaceDE w:val="0"/>
        <w:autoSpaceDN w:val="0"/>
        <w:adjustRightInd w:val="0"/>
        <w:snapToGrid w:val="0"/>
        <w:spacing w:line="360" w:lineRule="auto"/>
        <w:ind w:left="525" w:hanging="525" w:hangingChars="250"/>
        <w:jc w:val="left"/>
        <w:rPr>
          <w:rFonts w:ascii="宋体" w:hAnsi="宋体"/>
          <w:bCs/>
          <w:color w:val="auto"/>
          <w:szCs w:val="21"/>
        </w:rPr>
      </w:pPr>
      <w:r>
        <w:rPr>
          <w:rFonts w:hint="eastAsia" w:ascii="宋体" w:hAnsi="宋体"/>
          <w:bCs/>
          <w:color w:val="auto"/>
        </w:rPr>
        <w:t>27.9供应商同时为小型、微型企业和监狱企业的，评审中只享受一次价格扣除。不重复进行价格扣除。</w:t>
      </w:r>
    </w:p>
    <w:p>
      <w:pPr>
        <w:autoSpaceDE w:val="0"/>
        <w:autoSpaceDN w:val="0"/>
        <w:adjustRightInd w:val="0"/>
        <w:snapToGrid w:val="0"/>
        <w:spacing w:line="360" w:lineRule="auto"/>
        <w:ind w:left="525" w:hanging="525" w:hangingChars="250"/>
        <w:jc w:val="left"/>
        <w:rPr>
          <w:rFonts w:ascii="宋体" w:hAnsi="宋体"/>
          <w:color w:val="auto"/>
          <w:szCs w:val="21"/>
        </w:rPr>
      </w:pPr>
      <w:r>
        <w:rPr>
          <w:rFonts w:hint="eastAsia" w:ascii="宋体" w:hAnsi="宋体"/>
          <w:bCs/>
          <w:color w:val="auto"/>
          <w:szCs w:val="21"/>
        </w:rPr>
        <w:t>27.10</w:t>
      </w:r>
      <w:r>
        <w:rPr>
          <w:rFonts w:hint="eastAsia" w:ascii="宋体" w:hAnsi="宋体"/>
          <w:color w:val="auto"/>
          <w:szCs w:val="21"/>
        </w:rPr>
        <w:t>提供产品中含节能产品时，在评分标准中应给予总分3%*B的加分；含环境标志产品时，在评分标准中应给予总分3%*C的加分（其中B为节能产品报价占总报价比重，C为环境标志产品占总报价比重）。</w:t>
      </w:r>
    </w:p>
    <w:p>
      <w:pPr>
        <w:autoSpaceDE w:val="0"/>
        <w:autoSpaceDN w:val="0"/>
        <w:adjustRightInd w:val="0"/>
        <w:snapToGrid w:val="0"/>
        <w:spacing w:line="360" w:lineRule="auto"/>
        <w:outlineLvl w:val="0"/>
        <w:rPr>
          <w:rFonts w:ascii="宋体" w:hAnsi="宋体"/>
          <w:b/>
          <w:bCs/>
          <w:color w:val="auto"/>
          <w:sz w:val="24"/>
        </w:rPr>
      </w:pPr>
      <w:bookmarkStart w:id="213" w:name="_Toc475104506"/>
      <w:r>
        <w:rPr>
          <w:rFonts w:hint="eastAsia" w:ascii="宋体" w:hAnsi="宋体"/>
          <w:color w:val="auto"/>
          <w:szCs w:val="21"/>
        </w:rPr>
        <w:t>27.11</w:t>
      </w:r>
      <w:r>
        <w:rPr>
          <w:rFonts w:hint="eastAsia" w:ascii="宋体" w:hAnsi="宋体"/>
          <w:bCs/>
          <w:color w:val="auto"/>
        </w:rPr>
        <w:t>供应商</w:t>
      </w:r>
      <w:r>
        <w:rPr>
          <w:rFonts w:hint="eastAsia" w:ascii="宋体" w:hAnsi="宋体"/>
          <w:bCs/>
          <w:color w:val="auto"/>
          <w:szCs w:val="21"/>
        </w:rPr>
        <w:t>应当提供《</w:t>
      </w:r>
      <w:r>
        <w:rPr>
          <w:rFonts w:hint="eastAsia" w:ascii="宋体" w:hAnsi="宋体"/>
          <w:color w:val="auto"/>
          <w:szCs w:val="21"/>
          <w:lang w:val="en-GB"/>
        </w:rPr>
        <w:t>产品适用政府采购政策情况表</w:t>
      </w:r>
      <w:r>
        <w:rPr>
          <w:rFonts w:hint="eastAsia" w:ascii="宋体" w:hAnsi="宋体"/>
          <w:bCs/>
          <w:color w:val="auto"/>
          <w:szCs w:val="21"/>
        </w:rPr>
        <w:t>》（格式见报价文件格式）。</w:t>
      </w:r>
      <w:bookmarkEnd w:id="213"/>
    </w:p>
    <w:p>
      <w:pPr>
        <w:numPr>
          <w:ilvl w:val="0"/>
          <w:numId w:val="5"/>
        </w:numPr>
        <w:autoSpaceDE w:val="0"/>
        <w:autoSpaceDN w:val="0"/>
        <w:adjustRightInd w:val="0"/>
        <w:snapToGrid w:val="0"/>
        <w:spacing w:line="360" w:lineRule="auto"/>
        <w:outlineLvl w:val="0"/>
        <w:rPr>
          <w:rFonts w:ascii="宋体" w:hAnsi="宋体"/>
          <w:b/>
          <w:bCs/>
          <w:color w:val="auto"/>
          <w:sz w:val="24"/>
        </w:rPr>
      </w:pPr>
      <w:bookmarkStart w:id="214" w:name="_Toc475104507"/>
      <w:r>
        <w:rPr>
          <w:rFonts w:hint="eastAsia" w:ascii="宋体" w:hAnsi="宋体"/>
          <w:b/>
          <w:bCs/>
          <w:color w:val="auto"/>
          <w:sz w:val="24"/>
        </w:rPr>
        <w:t>定标原则与授标</w:t>
      </w:r>
      <w:bookmarkEnd w:id="203"/>
      <w:bookmarkEnd w:id="204"/>
      <w:bookmarkEnd w:id="205"/>
      <w:bookmarkEnd w:id="206"/>
      <w:bookmarkEnd w:id="207"/>
      <w:bookmarkEnd w:id="209"/>
      <w:bookmarkEnd w:id="214"/>
    </w:p>
    <w:p>
      <w:pPr>
        <w:numPr>
          <w:ilvl w:val="1"/>
          <w:numId w:val="5"/>
        </w:numPr>
        <w:autoSpaceDE w:val="0"/>
        <w:autoSpaceDN w:val="0"/>
        <w:adjustRightInd w:val="0"/>
        <w:snapToGrid w:val="0"/>
        <w:spacing w:line="360" w:lineRule="auto"/>
        <w:jc w:val="left"/>
        <w:rPr>
          <w:rFonts w:ascii="宋体" w:hAnsi="宋体" w:cs="黑体"/>
          <w:b/>
          <w:bCs/>
          <w:color w:val="auto"/>
          <w:szCs w:val="21"/>
        </w:rPr>
      </w:pPr>
      <w:bookmarkStart w:id="215" w:name="_Toc363737713"/>
      <w:bookmarkStart w:id="216" w:name="_Toc320515097"/>
      <w:bookmarkStart w:id="217" w:name="_Toc475104508"/>
      <w:bookmarkStart w:id="218" w:name="_Toc315793484"/>
      <w:bookmarkStart w:id="219" w:name="_Toc320515048"/>
      <w:bookmarkStart w:id="220" w:name="_Toc323111007"/>
      <w:bookmarkStart w:id="221" w:name="_Toc322680374"/>
      <w:r>
        <w:rPr>
          <w:rFonts w:hint="eastAsia" w:ascii="宋体" w:hAnsi="宋体"/>
          <w:color w:val="auto"/>
          <w:szCs w:val="21"/>
        </w:rPr>
        <w:t>磋商小组按照竞争性磋商文件确定的、方法、步骤、标准，对磋商响应文件进行评审，提出书面竞争性磋商报告。</w:t>
      </w:r>
    </w:p>
    <w:p>
      <w:pPr>
        <w:numPr>
          <w:ilvl w:val="1"/>
          <w:numId w:val="5"/>
        </w:numPr>
        <w:autoSpaceDE w:val="0"/>
        <w:autoSpaceDN w:val="0"/>
        <w:adjustRightInd w:val="0"/>
        <w:snapToGrid w:val="0"/>
        <w:spacing w:line="360" w:lineRule="auto"/>
        <w:jc w:val="left"/>
        <w:rPr>
          <w:rFonts w:ascii="宋体" w:hAnsi="宋体" w:cs="黑体"/>
          <w:color w:val="auto"/>
          <w:szCs w:val="21"/>
        </w:rPr>
      </w:pPr>
      <w:r>
        <w:rPr>
          <w:rFonts w:hint="eastAsia" w:ascii="宋体" w:hAnsi="宋体" w:cs="黑体"/>
          <w:color w:val="auto"/>
          <w:szCs w:val="21"/>
        </w:rPr>
        <w:t>磋商报告应当由磋商小组全体人员签字认可。磋商小组成员对磋商报告有异议的，磋商小组按照少数服从多数的原则推荐成交候选人，采购程序继续进行。对磋商报告有异议的磋商小组成员，应当在报告上签署不同意见并说明理由，由磋商小组书面记录相关情况。磋商小组成员拒绝在报告上签字又不书面说明其不同意见和理由的，视为同意磋商报告。</w:t>
      </w:r>
    </w:p>
    <w:p>
      <w:pPr>
        <w:numPr>
          <w:ilvl w:val="1"/>
          <w:numId w:val="5"/>
        </w:numPr>
        <w:autoSpaceDE w:val="0"/>
        <w:autoSpaceDN w:val="0"/>
        <w:adjustRightInd w:val="0"/>
        <w:snapToGrid w:val="0"/>
        <w:spacing w:line="360" w:lineRule="auto"/>
        <w:jc w:val="left"/>
        <w:rPr>
          <w:rFonts w:ascii="宋体" w:hAnsi="宋体"/>
          <w:color w:val="auto"/>
          <w:szCs w:val="21"/>
        </w:rPr>
      </w:pPr>
      <w:r>
        <w:rPr>
          <w:rFonts w:hint="eastAsia" w:ascii="宋体" w:hAnsi="宋体"/>
          <w:color w:val="auto"/>
          <w:szCs w:val="21"/>
        </w:rPr>
        <w:t>磋商</w:t>
      </w:r>
      <w:r>
        <w:rPr>
          <w:rFonts w:ascii="宋体" w:hAnsi="宋体"/>
          <w:color w:val="auto"/>
          <w:szCs w:val="21"/>
        </w:rPr>
        <w:t>小组提</w:t>
      </w:r>
      <w:r>
        <w:rPr>
          <w:rFonts w:hint="eastAsia" w:ascii="宋体" w:hAnsi="宋体"/>
          <w:color w:val="auto"/>
          <w:szCs w:val="21"/>
        </w:rPr>
        <w:t>交竞争性磋商</w:t>
      </w:r>
      <w:r>
        <w:rPr>
          <w:rFonts w:ascii="宋体" w:hAnsi="宋体"/>
          <w:color w:val="auto"/>
          <w:szCs w:val="21"/>
        </w:rPr>
        <w:t>报告和推荐</w:t>
      </w:r>
      <w:r>
        <w:rPr>
          <w:rFonts w:hint="eastAsia" w:ascii="宋体" w:hAnsi="宋体"/>
          <w:color w:val="auto"/>
          <w:szCs w:val="21"/>
        </w:rPr>
        <w:t>成交</w:t>
      </w:r>
      <w:r>
        <w:rPr>
          <w:rFonts w:ascii="宋体" w:hAnsi="宋体"/>
          <w:color w:val="auto"/>
          <w:szCs w:val="21"/>
        </w:rPr>
        <w:t>意见报</w:t>
      </w:r>
      <w:r>
        <w:rPr>
          <w:rFonts w:hint="eastAsia" w:ascii="宋体" w:hAnsi="宋体"/>
          <w:color w:val="auto"/>
          <w:szCs w:val="21"/>
        </w:rPr>
        <w:t>采购人确认，采购人在收到竞争性磋商报告后的法定时间内，按照竞争性磋商报告中推荐的成交候选人顺序确定成交供应商，也可以事先授权磋商小组直接确定成交供应商。确认后政府采购代理机构将在政府采购指定媒体上</w:t>
      </w:r>
      <w:r>
        <w:rPr>
          <w:rFonts w:ascii="宋体" w:hAnsi="宋体"/>
          <w:color w:val="auto"/>
          <w:szCs w:val="21"/>
        </w:rPr>
        <w:t>发</w:t>
      </w:r>
      <w:r>
        <w:rPr>
          <w:rFonts w:hint="eastAsia" w:ascii="宋体" w:hAnsi="宋体"/>
          <w:color w:val="auto"/>
          <w:szCs w:val="21"/>
        </w:rPr>
        <w:t>布成交公告。不在成交名单之列者即为未成交供应商，政府采购代理机构不再以其他方式另行通知。</w:t>
      </w:r>
    </w:p>
    <w:p>
      <w:pPr>
        <w:numPr>
          <w:ilvl w:val="1"/>
          <w:numId w:val="5"/>
        </w:numPr>
        <w:shd w:val="clear" w:color="auto" w:fill="FFFFFF"/>
        <w:autoSpaceDE w:val="0"/>
        <w:autoSpaceDN w:val="0"/>
        <w:adjustRightInd w:val="0"/>
        <w:snapToGrid w:val="0"/>
        <w:spacing w:line="360" w:lineRule="auto"/>
        <w:jc w:val="left"/>
        <w:rPr>
          <w:rFonts w:ascii="宋体" w:hAnsi="宋体"/>
          <w:color w:val="auto"/>
          <w:szCs w:val="21"/>
        </w:rPr>
      </w:pPr>
      <w:r>
        <w:rPr>
          <w:rFonts w:hint="eastAsia" w:ascii="宋体" w:hAnsi="宋体"/>
          <w:color w:val="auto"/>
        </w:rPr>
        <w:t>政府购买服务项目（含政府和社会资本合作项目），在采购过程中符合要求的</w:t>
      </w:r>
      <w:r>
        <w:rPr>
          <w:rFonts w:hint="eastAsia" w:ascii="宋体" w:hAnsi="宋体"/>
          <w:bCs/>
          <w:color w:val="auto"/>
        </w:rPr>
        <w:t>供应商</w:t>
      </w:r>
      <w:r>
        <w:rPr>
          <w:rFonts w:hint="eastAsia" w:ascii="宋体" w:hAnsi="宋体"/>
          <w:color w:val="auto"/>
        </w:rPr>
        <w:t>（社会资本）只有2家的，竞争性磋商采购活动可以继续进行。</w:t>
      </w:r>
    </w:p>
    <w:p>
      <w:pPr>
        <w:autoSpaceDE w:val="0"/>
        <w:autoSpaceDN w:val="0"/>
        <w:adjustRightInd w:val="0"/>
        <w:snapToGrid w:val="0"/>
        <w:spacing w:line="360" w:lineRule="auto"/>
        <w:ind w:left="420" w:hanging="420" w:hangingChars="200"/>
        <w:jc w:val="left"/>
        <w:outlineLvl w:val="0"/>
        <w:rPr>
          <w:rFonts w:ascii="宋体" w:hAnsi="宋体"/>
          <w:color w:val="auto"/>
        </w:rPr>
      </w:pPr>
      <w:r>
        <w:rPr>
          <w:rFonts w:hint="eastAsia" w:ascii="宋体" w:hAnsi="宋体"/>
          <w:color w:val="auto"/>
          <w:szCs w:val="21"/>
        </w:rPr>
        <w:t>27.5.</w:t>
      </w:r>
      <w:r>
        <w:rPr>
          <w:rFonts w:hint="eastAsia" w:ascii="宋体" w:hAnsi="宋体"/>
          <w:color w:val="auto"/>
        </w:rPr>
        <w:t>因不可抗力或自身原因不能履行政府采购合同的、不按要求与采购人签订政府采购合同、成交供应商放弃成交、成交资格被依法确认无效的，采购人可以与排位在成交供应商之后第一位的成交候选人签订政府采购合同，没有其他成交候选人的，应当重新组织采购活动。</w:t>
      </w:r>
    </w:p>
    <w:p>
      <w:pPr>
        <w:numPr>
          <w:ilvl w:val="0"/>
          <w:numId w:val="5"/>
        </w:numPr>
        <w:autoSpaceDE w:val="0"/>
        <w:autoSpaceDN w:val="0"/>
        <w:adjustRightInd w:val="0"/>
        <w:snapToGrid w:val="0"/>
        <w:spacing w:line="360" w:lineRule="auto"/>
        <w:outlineLvl w:val="0"/>
        <w:rPr>
          <w:rFonts w:ascii="宋体" w:hAnsi="宋体"/>
          <w:b/>
          <w:bCs/>
          <w:color w:val="auto"/>
          <w:sz w:val="24"/>
        </w:rPr>
      </w:pPr>
      <w:r>
        <w:rPr>
          <w:rFonts w:hint="eastAsia" w:ascii="宋体" w:hAnsi="宋体"/>
          <w:b/>
          <w:bCs/>
          <w:color w:val="auto"/>
          <w:sz w:val="24"/>
        </w:rPr>
        <w:t>质疑与回复</w:t>
      </w:r>
      <w:bookmarkEnd w:id="215"/>
      <w:bookmarkEnd w:id="216"/>
      <w:bookmarkEnd w:id="217"/>
      <w:bookmarkEnd w:id="218"/>
      <w:bookmarkEnd w:id="219"/>
    </w:p>
    <w:p>
      <w:pPr>
        <w:numPr>
          <w:ilvl w:val="1"/>
          <w:numId w:val="5"/>
        </w:numPr>
        <w:autoSpaceDE w:val="0"/>
        <w:autoSpaceDN w:val="0"/>
        <w:adjustRightInd w:val="0"/>
        <w:snapToGrid w:val="0"/>
        <w:spacing w:line="360" w:lineRule="auto"/>
        <w:jc w:val="left"/>
        <w:rPr>
          <w:rFonts w:ascii="宋体" w:hAnsi="宋体"/>
          <w:color w:val="auto"/>
          <w:szCs w:val="21"/>
        </w:rPr>
      </w:pPr>
      <w:r>
        <w:rPr>
          <w:rFonts w:hint="eastAsia" w:ascii="宋体" w:hAnsi="宋体"/>
          <w:color w:val="auto"/>
          <w:szCs w:val="21"/>
        </w:rPr>
        <w:t>质疑书应当包括下列主要内容：</w:t>
      </w:r>
    </w:p>
    <w:p>
      <w:pPr>
        <w:numPr>
          <w:ilvl w:val="2"/>
          <w:numId w:val="5"/>
        </w:numPr>
        <w:autoSpaceDE w:val="0"/>
        <w:autoSpaceDN w:val="0"/>
        <w:adjustRightInd w:val="0"/>
        <w:snapToGrid w:val="0"/>
        <w:spacing w:line="360" w:lineRule="auto"/>
        <w:jc w:val="left"/>
        <w:rPr>
          <w:rFonts w:ascii="宋体" w:hAnsi="宋体"/>
          <w:color w:val="auto"/>
          <w:szCs w:val="21"/>
        </w:rPr>
      </w:pPr>
      <w:r>
        <w:rPr>
          <w:rFonts w:hint="eastAsia" w:ascii="宋体" w:hAnsi="宋体"/>
          <w:color w:val="auto"/>
          <w:szCs w:val="21"/>
        </w:rPr>
        <w:t>供应商的姓名或者名称、地址、邮编、联系人及联系电话；</w:t>
      </w:r>
    </w:p>
    <w:p>
      <w:pPr>
        <w:numPr>
          <w:ilvl w:val="2"/>
          <w:numId w:val="5"/>
        </w:numPr>
        <w:autoSpaceDE w:val="0"/>
        <w:autoSpaceDN w:val="0"/>
        <w:adjustRightInd w:val="0"/>
        <w:snapToGrid w:val="0"/>
        <w:spacing w:line="360" w:lineRule="auto"/>
        <w:jc w:val="left"/>
        <w:rPr>
          <w:rFonts w:ascii="宋体" w:hAnsi="宋体"/>
          <w:color w:val="auto"/>
          <w:szCs w:val="21"/>
        </w:rPr>
      </w:pPr>
      <w:r>
        <w:rPr>
          <w:rFonts w:hint="eastAsia" w:ascii="宋体" w:hAnsi="宋体"/>
          <w:color w:val="auto"/>
          <w:szCs w:val="21"/>
        </w:rPr>
        <w:t>质疑项目的名称、编号；</w:t>
      </w:r>
    </w:p>
    <w:p>
      <w:pPr>
        <w:numPr>
          <w:ilvl w:val="2"/>
          <w:numId w:val="5"/>
        </w:numPr>
        <w:autoSpaceDE w:val="0"/>
        <w:autoSpaceDN w:val="0"/>
        <w:adjustRightInd w:val="0"/>
        <w:snapToGrid w:val="0"/>
        <w:spacing w:line="360" w:lineRule="auto"/>
        <w:jc w:val="left"/>
        <w:rPr>
          <w:rFonts w:ascii="宋体" w:hAnsi="宋体"/>
          <w:color w:val="auto"/>
          <w:szCs w:val="21"/>
        </w:rPr>
      </w:pPr>
      <w:r>
        <w:rPr>
          <w:rFonts w:hint="eastAsia" w:ascii="宋体" w:hAnsi="宋体"/>
          <w:color w:val="auto"/>
          <w:szCs w:val="21"/>
        </w:rPr>
        <w:t>具体、明确的质疑事项和与质疑事项相关的请求；</w:t>
      </w:r>
    </w:p>
    <w:p>
      <w:pPr>
        <w:numPr>
          <w:ilvl w:val="2"/>
          <w:numId w:val="5"/>
        </w:numPr>
        <w:autoSpaceDE w:val="0"/>
        <w:autoSpaceDN w:val="0"/>
        <w:adjustRightInd w:val="0"/>
        <w:snapToGrid w:val="0"/>
        <w:spacing w:line="360" w:lineRule="auto"/>
        <w:jc w:val="left"/>
        <w:rPr>
          <w:rFonts w:ascii="宋体" w:hAnsi="宋体"/>
          <w:color w:val="auto"/>
          <w:szCs w:val="21"/>
        </w:rPr>
      </w:pPr>
      <w:r>
        <w:rPr>
          <w:rFonts w:hint="eastAsia" w:ascii="宋体" w:hAnsi="宋体"/>
          <w:color w:val="auto"/>
          <w:szCs w:val="21"/>
        </w:rPr>
        <w:t>事实依据；</w:t>
      </w:r>
    </w:p>
    <w:p>
      <w:pPr>
        <w:numPr>
          <w:ilvl w:val="2"/>
          <w:numId w:val="5"/>
        </w:numPr>
        <w:autoSpaceDE w:val="0"/>
        <w:autoSpaceDN w:val="0"/>
        <w:adjustRightInd w:val="0"/>
        <w:snapToGrid w:val="0"/>
        <w:spacing w:line="360" w:lineRule="auto"/>
        <w:jc w:val="left"/>
        <w:rPr>
          <w:rFonts w:ascii="宋体" w:hAnsi="宋体"/>
          <w:color w:val="auto"/>
          <w:szCs w:val="21"/>
        </w:rPr>
      </w:pPr>
      <w:r>
        <w:rPr>
          <w:rFonts w:hint="eastAsia" w:ascii="宋体" w:hAnsi="宋体"/>
          <w:color w:val="auto"/>
          <w:szCs w:val="21"/>
        </w:rPr>
        <w:t>必要的法律依据；</w:t>
      </w:r>
    </w:p>
    <w:p>
      <w:pPr>
        <w:numPr>
          <w:ilvl w:val="2"/>
          <w:numId w:val="5"/>
        </w:numPr>
        <w:autoSpaceDE w:val="0"/>
        <w:autoSpaceDN w:val="0"/>
        <w:adjustRightInd w:val="0"/>
        <w:snapToGrid w:val="0"/>
        <w:spacing w:line="360" w:lineRule="auto"/>
        <w:jc w:val="left"/>
        <w:rPr>
          <w:rFonts w:ascii="宋体" w:hAnsi="宋体"/>
          <w:color w:val="auto"/>
          <w:szCs w:val="21"/>
        </w:rPr>
      </w:pPr>
      <w:r>
        <w:rPr>
          <w:rFonts w:hint="eastAsia" w:ascii="宋体" w:hAnsi="宋体"/>
          <w:color w:val="auto"/>
          <w:szCs w:val="21"/>
        </w:rPr>
        <w:t>提出质疑的日期。</w:t>
      </w:r>
    </w:p>
    <w:p>
      <w:pPr>
        <w:numPr>
          <w:ilvl w:val="1"/>
          <w:numId w:val="5"/>
        </w:numPr>
        <w:autoSpaceDE w:val="0"/>
        <w:autoSpaceDN w:val="0"/>
        <w:adjustRightInd w:val="0"/>
        <w:snapToGrid w:val="0"/>
        <w:spacing w:line="360" w:lineRule="auto"/>
        <w:jc w:val="left"/>
        <w:rPr>
          <w:rFonts w:ascii="宋体" w:hAnsi="宋体" w:cs="黑体"/>
          <w:b/>
          <w:bCs/>
          <w:color w:val="auto"/>
          <w:szCs w:val="21"/>
        </w:rPr>
      </w:pPr>
      <w:r>
        <w:rPr>
          <w:rFonts w:hint="eastAsia" w:ascii="宋体" w:hAnsi="宋体"/>
          <w:color w:val="auto"/>
          <w:szCs w:val="21"/>
        </w:rPr>
        <w:t>质疑书应当署名。供应商为自然人的，应当由本人签字；供应商为法人或者其他组织的，应当由法定代表人、主要负责人，或者其授权代表签字或者盖章，并加盖公章。</w:t>
      </w:r>
    </w:p>
    <w:p>
      <w:pPr>
        <w:numPr>
          <w:ilvl w:val="1"/>
          <w:numId w:val="5"/>
        </w:numPr>
        <w:autoSpaceDE w:val="0"/>
        <w:autoSpaceDN w:val="0"/>
        <w:adjustRightInd w:val="0"/>
        <w:snapToGrid w:val="0"/>
        <w:spacing w:line="360" w:lineRule="auto"/>
        <w:jc w:val="left"/>
        <w:rPr>
          <w:rFonts w:ascii="宋体" w:hAnsi="宋体" w:cs="黑体"/>
          <w:bCs/>
          <w:color w:val="auto"/>
          <w:szCs w:val="21"/>
        </w:rPr>
      </w:pPr>
      <w:r>
        <w:rPr>
          <w:rFonts w:hint="eastAsia" w:ascii="宋体" w:hAnsi="宋体"/>
          <w:bCs/>
          <w:color w:val="auto"/>
        </w:rPr>
        <w:t>供应商</w:t>
      </w:r>
      <w:r>
        <w:rPr>
          <w:rFonts w:hint="eastAsia" w:ascii="宋体" w:hAnsi="宋体"/>
          <w:color w:val="auto"/>
          <w:szCs w:val="21"/>
        </w:rPr>
        <w:t>认为竞争性磋商文件的内容损害其权益的，应当以书面形式（加盖</w:t>
      </w:r>
      <w:r>
        <w:rPr>
          <w:rFonts w:hint="eastAsia" w:ascii="宋体" w:hAnsi="宋体"/>
          <w:bCs/>
          <w:color w:val="auto"/>
        </w:rPr>
        <w:t>供应商</w:t>
      </w:r>
      <w:r>
        <w:rPr>
          <w:rFonts w:hint="eastAsia" w:ascii="宋体" w:hAnsi="宋体"/>
          <w:color w:val="auto"/>
          <w:szCs w:val="21"/>
        </w:rPr>
        <w:t>公章）在竞争性磋商文件公示期间或者自期满之日起7个工作日内向政府采购代理机构提交质疑书，逾期质疑无效。</w:t>
      </w:r>
      <w:r>
        <w:rPr>
          <w:rFonts w:hint="eastAsia" w:ascii="宋体" w:hAnsi="宋体"/>
          <w:bCs/>
          <w:color w:val="auto"/>
        </w:rPr>
        <w:t>供应商</w:t>
      </w:r>
      <w:r>
        <w:rPr>
          <w:rFonts w:hint="eastAsia" w:ascii="宋体" w:hAnsi="宋体"/>
          <w:color w:val="auto"/>
          <w:szCs w:val="21"/>
        </w:rPr>
        <w:t>以电话、传真或电邮形式提交的质疑属于无效质疑。</w:t>
      </w:r>
    </w:p>
    <w:p>
      <w:pPr>
        <w:numPr>
          <w:ilvl w:val="1"/>
          <w:numId w:val="5"/>
        </w:numPr>
        <w:autoSpaceDE w:val="0"/>
        <w:autoSpaceDN w:val="0"/>
        <w:adjustRightInd w:val="0"/>
        <w:snapToGrid w:val="0"/>
        <w:spacing w:line="360" w:lineRule="auto"/>
        <w:jc w:val="left"/>
        <w:rPr>
          <w:rFonts w:ascii="宋体" w:hAnsi="宋体" w:cs="黑体"/>
          <w:bCs/>
          <w:color w:val="auto"/>
          <w:szCs w:val="21"/>
        </w:rPr>
      </w:pPr>
      <w:r>
        <w:rPr>
          <w:rFonts w:hint="eastAsia" w:ascii="宋体" w:hAnsi="宋体"/>
          <w:bCs/>
          <w:color w:val="auto"/>
        </w:rPr>
        <w:t>供应商</w:t>
      </w:r>
      <w:r>
        <w:rPr>
          <w:rFonts w:hint="eastAsia" w:ascii="宋体" w:hAnsi="宋体" w:cs="黑体"/>
          <w:bCs/>
          <w:color w:val="auto"/>
          <w:szCs w:val="21"/>
        </w:rPr>
        <w:t>认为采购过程和</w:t>
      </w:r>
      <w:r>
        <w:rPr>
          <w:rFonts w:hint="eastAsia" w:ascii="宋体" w:hAnsi="宋体"/>
          <w:color w:val="auto"/>
          <w:szCs w:val="21"/>
        </w:rPr>
        <w:t>成交</w:t>
      </w:r>
      <w:r>
        <w:rPr>
          <w:rFonts w:hint="eastAsia" w:ascii="宋体" w:hAnsi="宋体" w:cs="黑体"/>
          <w:bCs/>
          <w:color w:val="auto"/>
          <w:szCs w:val="21"/>
        </w:rPr>
        <w:t>结果使自己的权益受到损害的，应当以书面形式（加盖</w:t>
      </w:r>
      <w:r>
        <w:rPr>
          <w:rFonts w:hint="eastAsia" w:ascii="宋体" w:hAnsi="宋体"/>
          <w:bCs/>
          <w:color w:val="auto"/>
        </w:rPr>
        <w:t>供应商</w:t>
      </w:r>
      <w:r>
        <w:rPr>
          <w:rFonts w:hint="eastAsia" w:ascii="宋体" w:hAnsi="宋体" w:cs="黑体"/>
          <w:bCs/>
          <w:color w:val="auto"/>
          <w:szCs w:val="21"/>
        </w:rPr>
        <w:t>公章）在知道或者应知其权益受到损害之日起7个工作日内向政府采购代理机构提交质疑书，逾期质疑无效。</w:t>
      </w:r>
      <w:r>
        <w:rPr>
          <w:rFonts w:hint="eastAsia" w:ascii="宋体" w:hAnsi="宋体"/>
          <w:bCs/>
          <w:color w:val="auto"/>
        </w:rPr>
        <w:t>供应商</w:t>
      </w:r>
      <w:r>
        <w:rPr>
          <w:rFonts w:hint="eastAsia" w:ascii="宋体" w:hAnsi="宋体" w:cs="黑体"/>
          <w:bCs/>
          <w:color w:val="auto"/>
          <w:szCs w:val="21"/>
        </w:rPr>
        <w:t>以电话、传真或电邮形式提交的质疑属于无效质疑。</w:t>
      </w:r>
    </w:p>
    <w:p>
      <w:pPr>
        <w:numPr>
          <w:ilvl w:val="1"/>
          <w:numId w:val="5"/>
        </w:numPr>
        <w:autoSpaceDE w:val="0"/>
        <w:autoSpaceDN w:val="0"/>
        <w:adjustRightInd w:val="0"/>
        <w:snapToGrid w:val="0"/>
        <w:spacing w:line="360" w:lineRule="auto"/>
        <w:jc w:val="left"/>
        <w:rPr>
          <w:rFonts w:ascii="宋体" w:hAnsi="宋体"/>
          <w:color w:val="auto"/>
          <w:szCs w:val="21"/>
        </w:rPr>
      </w:pPr>
      <w:r>
        <w:rPr>
          <w:rFonts w:hint="eastAsia" w:ascii="宋体" w:hAnsi="宋体"/>
          <w:color w:val="auto"/>
          <w:szCs w:val="21"/>
        </w:rPr>
        <w:t>质疑内容不得含有虚假、恶意成分。依据谁主张谁举证的原则，质疑者提供的质疑书应当包括下列主要内容：具体的质疑事项、事实依据及相关确凿的证明材料和注明事实的确切来源、</w:t>
      </w:r>
      <w:r>
        <w:rPr>
          <w:rFonts w:hint="eastAsia" w:ascii="宋体" w:hAnsi="宋体"/>
          <w:bCs/>
          <w:color w:val="auto"/>
        </w:rPr>
        <w:t>供应商</w:t>
      </w:r>
      <w:r>
        <w:rPr>
          <w:rFonts w:hint="eastAsia" w:ascii="宋体" w:hAnsi="宋体"/>
          <w:color w:val="auto"/>
          <w:szCs w:val="21"/>
        </w:rPr>
        <w:t>名称、联系人与联系电话、质疑时间，质疑书应当署名并由法定代表人或授权代表签字并加盖公章。政府采购代理机构受理书面质疑书之日起，在规定的期限内作出答复。对于捏造事实、进行虚假质疑及投诉情节严重的，禁止参加政府采购活动一至三年。</w:t>
      </w:r>
    </w:p>
    <w:p>
      <w:pPr>
        <w:numPr>
          <w:ilvl w:val="1"/>
          <w:numId w:val="5"/>
        </w:numPr>
        <w:autoSpaceDE w:val="0"/>
        <w:autoSpaceDN w:val="0"/>
        <w:adjustRightInd w:val="0"/>
        <w:snapToGrid w:val="0"/>
        <w:spacing w:line="360" w:lineRule="auto"/>
        <w:jc w:val="left"/>
        <w:rPr>
          <w:rFonts w:ascii="宋体" w:hAnsi="宋体" w:cs="黑体"/>
          <w:b/>
          <w:bCs/>
          <w:color w:val="auto"/>
          <w:szCs w:val="21"/>
        </w:rPr>
      </w:pPr>
      <w:r>
        <w:rPr>
          <w:rFonts w:hint="eastAsia" w:ascii="宋体" w:hAnsi="宋体"/>
          <w:color w:val="auto"/>
          <w:szCs w:val="21"/>
        </w:rPr>
        <w:t>政府采购代理机构在收到</w:t>
      </w:r>
      <w:r>
        <w:rPr>
          <w:rFonts w:hint="eastAsia" w:ascii="宋体" w:hAnsi="宋体"/>
          <w:bCs/>
          <w:color w:val="auto"/>
        </w:rPr>
        <w:t>供应商</w:t>
      </w:r>
      <w:r>
        <w:rPr>
          <w:rFonts w:hint="eastAsia" w:ascii="宋体" w:hAnsi="宋体"/>
          <w:color w:val="auto"/>
          <w:szCs w:val="21"/>
        </w:rPr>
        <w:t>的有效书面质疑后七个工作日内作出答复，但答复的内容不涉及商业秘密，质疑</w:t>
      </w:r>
      <w:r>
        <w:rPr>
          <w:rFonts w:hint="eastAsia" w:ascii="宋体" w:hAnsi="宋体"/>
          <w:bCs/>
          <w:color w:val="auto"/>
        </w:rPr>
        <w:t>供应商</w:t>
      </w:r>
      <w:r>
        <w:rPr>
          <w:rFonts w:hint="eastAsia" w:ascii="宋体" w:hAnsi="宋体"/>
          <w:color w:val="auto"/>
          <w:szCs w:val="21"/>
        </w:rPr>
        <w:t>对采购人、政府采购代理机构的质疑答复不满意，或采购人、政府采购代理机构未在规定期限内作出答复的，可以在答复期满后十五个工作日内向同级政府采购监督管理部门提出投诉。投诉事项应该是经过质疑的事项。</w:t>
      </w:r>
    </w:p>
    <w:p>
      <w:pPr>
        <w:numPr>
          <w:ilvl w:val="1"/>
          <w:numId w:val="5"/>
        </w:numPr>
        <w:autoSpaceDE w:val="0"/>
        <w:autoSpaceDN w:val="0"/>
        <w:adjustRightInd w:val="0"/>
        <w:snapToGrid w:val="0"/>
        <w:spacing w:line="360" w:lineRule="auto"/>
        <w:jc w:val="left"/>
        <w:rPr>
          <w:rFonts w:ascii="宋体" w:hAnsi="宋体"/>
          <w:color w:val="auto"/>
          <w:szCs w:val="21"/>
        </w:rPr>
      </w:pPr>
      <w:r>
        <w:rPr>
          <w:rFonts w:hint="eastAsia" w:ascii="宋体" w:hAnsi="宋体"/>
          <w:color w:val="auto"/>
          <w:szCs w:val="21"/>
        </w:rPr>
        <w:t>质疑</w:t>
      </w:r>
      <w:r>
        <w:rPr>
          <w:rFonts w:hint="eastAsia" w:ascii="宋体" w:hAnsi="宋体"/>
          <w:bCs/>
          <w:color w:val="auto"/>
        </w:rPr>
        <w:t>供应商</w:t>
      </w:r>
      <w:r>
        <w:rPr>
          <w:rFonts w:hint="eastAsia" w:ascii="宋体" w:hAnsi="宋体"/>
          <w:color w:val="auto"/>
          <w:szCs w:val="21"/>
        </w:rPr>
        <w:t>需要修改、补充质疑函的，应当在质疑有效期内提交修改或补充材料。质疑函收到日期以提交修改或补充的质疑函之日计算。</w:t>
      </w:r>
    </w:p>
    <w:p>
      <w:pPr>
        <w:numPr>
          <w:ilvl w:val="1"/>
          <w:numId w:val="5"/>
        </w:numPr>
        <w:autoSpaceDE w:val="0"/>
        <w:autoSpaceDN w:val="0"/>
        <w:adjustRightInd w:val="0"/>
        <w:snapToGrid w:val="0"/>
        <w:spacing w:line="360" w:lineRule="auto"/>
        <w:jc w:val="left"/>
        <w:rPr>
          <w:rFonts w:ascii="宋体" w:hAnsi="宋体"/>
          <w:color w:val="auto"/>
          <w:szCs w:val="21"/>
        </w:rPr>
      </w:pPr>
      <w:r>
        <w:rPr>
          <w:rFonts w:hint="eastAsia" w:ascii="宋体" w:hAnsi="宋体"/>
          <w:color w:val="auto"/>
          <w:szCs w:val="21"/>
        </w:rPr>
        <w:t>接收质疑函的方式如下：</w:t>
      </w:r>
    </w:p>
    <w:p>
      <w:pPr>
        <w:numPr>
          <w:ilvl w:val="2"/>
          <w:numId w:val="5"/>
        </w:numPr>
        <w:autoSpaceDE w:val="0"/>
        <w:autoSpaceDN w:val="0"/>
        <w:adjustRightInd w:val="0"/>
        <w:snapToGrid w:val="0"/>
        <w:spacing w:line="360" w:lineRule="auto"/>
        <w:jc w:val="left"/>
        <w:rPr>
          <w:rFonts w:ascii="宋体" w:hAnsi="宋体"/>
          <w:color w:val="auto"/>
          <w:szCs w:val="21"/>
        </w:rPr>
      </w:pPr>
      <w:r>
        <w:rPr>
          <w:rFonts w:hint="eastAsia" w:ascii="宋体" w:hAnsi="宋体"/>
          <w:color w:val="auto"/>
          <w:szCs w:val="21"/>
        </w:rPr>
        <w:t>联系部门：广州市信怡招标代理有限公司招标代理部</w:t>
      </w:r>
    </w:p>
    <w:p>
      <w:pPr>
        <w:numPr>
          <w:ilvl w:val="2"/>
          <w:numId w:val="5"/>
        </w:numPr>
        <w:autoSpaceDE w:val="0"/>
        <w:autoSpaceDN w:val="0"/>
        <w:adjustRightInd w:val="0"/>
        <w:snapToGrid w:val="0"/>
        <w:spacing w:line="360" w:lineRule="auto"/>
        <w:jc w:val="left"/>
        <w:rPr>
          <w:rFonts w:ascii="宋体" w:hAnsi="宋体"/>
          <w:color w:val="auto"/>
          <w:szCs w:val="21"/>
        </w:rPr>
      </w:pPr>
      <w:r>
        <w:rPr>
          <w:rFonts w:hint="eastAsia" w:ascii="宋体" w:hAnsi="宋体"/>
          <w:color w:val="auto"/>
          <w:szCs w:val="21"/>
        </w:rPr>
        <w:t>联系电话：020-89001296</w:t>
      </w:r>
    </w:p>
    <w:p>
      <w:pPr>
        <w:numPr>
          <w:ilvl w:val="2"/>
          <w:numId w:val="5"/>
        </w:numPr>
        <w:autoSpaceDE w:val="0"/>
        <w:autoSpaceDN w:val="0"/>
        <w:adjustRightInd w:val="0"/>
        <w:snapToGrid w:val="0"/>
        <w:spacing w:line="360" w:lineRule="auto"/>
        <w:jc w:val="left"/>
        <w:rPr>
          <w:rFonts w:ascii="宋体" w:hAnsi="宋体"/>
          <w:color w:val="auto"/>
          <w:szCs w:val="21"/>
        </w:rPr>
      </w:pPr>
      <w:r>
        <w:rPr>
          <w:rFonts w:hint="eastAsia" w:ascii="宋体" w:hAnsi="宋体"/>
          <w:color w:val="auto"/>
          <w:szCs w:val="21"/>
        </w:rPr>
        <w:t>通讯地址：广州市海珠区红卫新村西路29号UP智谷D栋503房。</w:t>
      </w:r>
    </w:p>
    <w:bookmarkEnd w:id="220"/>
    <w:bookmarkEnd w:id="221"/>
    <w:p>
      <w:pPr>
        <w:numPr>
          <w:ilvl w:val="0"/>
          <w:numId w:val="5"/>
        </w:numPr>
        <w:autoSpaceDE w:val="0"/>
        <w:autoSpaceDN w:val="0"/>
        <w:adjustRightInd w:val="0"/>
        <w:snapToGrid w:val="0"/>
        <w:spacing w:line="360" w:lineRule="auto"/>
        <w:outlineLvl w:val="0"/>
        <w:rPr>
          <w:rFonts w:ascii="宋体" w:hAnsi="宋体"/>
          <w:b/>
          <w:bCs/>
          <w:color w:val="auto"/>
          <w:sz w:val="24"/>
        </w:rPr>
      </w:pPr>
      <w:bookmarkStart w:id="222" w:name="_Toc475104509"/>
      <w:bookmarkStart w:id="223" w:name="_Toc363737714"/>
      <w:r>
        <w:rPr>
          <w:rFonts w:hint="eastAsia" w:ascii="宋体" w:hAnsi="宋体"/>
          <w:b/>
          <w:bCs/>
          <w:color w:val="auto"/>
          <w:sz w:val="24"/>
        </w:rPr>
        <w:t>成交通知书</w:t>
      </w:r>
      <w:bookmarkEnd w:id="222"/>
      <w:bookmarkEnd w:id="223"/>
    </w:p>
    <w:p>
      <w:pPr>
        <w:numPr>
          <w:ilvl w:val="1"/>
          <w:numId w:val="5"/>
        </w:numPr>
        <w:autoSpaceDE w:val="0"/>
        <w:autoSpaceDN w:val="0"/>
        <w:adjustRightInd w:val="0"/>
        <w:snapToGrid w:val="0"/>
        <w:spacing w:line="360" w:lineRule="auto"/>
        <w:jc w:val="left"/>
        <w:rPr>
          <w:rFonts w:ascii="宋体" w:hAnsi="宋体" w:cs="黑体"/>
          <w:b/>
          <w:bCs/>
          <w:color w:val="auto"/>
          <w:szCs w:val="21"/>
        </w:rPr>
      </w:pPr>
      <w:r>
        <w:rPr>
          <w:rFonts w:hint="eastAsia" w:ascii="宋体" w:hAnsi="宋体" w:cs="宋体"/>
          <w:color w:val="auto"/>
          <w:szCs w:val="21"/>
          <w:lang w:eastAsia="zh-TW"/>
        </w:rPr>
        <w:t>成交供应商确定后</w:t>
      </w:r>
      <w:r>
        <w:rPr>
          <w:rFonts w:hint="eastAsia" w:ascii="宋体" w:hAnsi="宋体" w:cs="宋体"/>
          <w:color w:val="auto"/>
          <w:szCs w:val="21"/>
        </w:rPr>
        <w:t>，</w:t>
      </w:r>
      <w:r>
        <w:rPr>
          <w:rFonts w:hint="eastAsia" w:ascii="宋体" w:hAnsi="宋体" w:cs="宋体"/>
          <w:color w:val="auto"/>
          <w:szCs w:val="21"/>
          <w:lang w:eastAsia="zh-TW"/>
        </w:rPr>
        <w:t>政府采购代理机构将在政府采购监督管理部门</w:t>
      </w:r>
      <w:r>
        <w:rPr>
          <w:rFonts w:hint="eastAsia" w:ascii="宋体" w:hAnsi="宋体" w:cs="宋体"/>
          <w:color w:val="auto"/>
          <w:szCs w:val="21"/>
        </w:rPr>
        <w:t>法定</w:t>
      </w:r>
      <w:r>
        <w:rPr>
          <w:rFonts w:hint="eastAsia" w:ascii="宋体" w:hAnsi="宋体" w:cs="宋体"/>
          <w:color w:val="auto"/>
          <w:szCs w:val="21"/>
          <w:lang w:eastAsia="zh-TW"/>
        </w:rPr>
        <w:t>的媒体上发布</w:t>
      </w:r>
      <w:r>
        <w:rPr>
          <w:rFonts w:hint="eastAsia" w:ascii="宋体" w:hAnsi="宋体"/>
          <w:color w:val="auto"/>
          <w:szCs w:val="21"/>
        </w:rPr>
        <w:t>成交</w:t>
      </w:r>
      <w:r>
        <w:rPr>
          <w:rFonts w:hint="eastAsia" w:ascii="宋体" w:hAnsi="宋体" w:cs="宋体"/>
          <w:color w:val="auto"/>
          <w:szCs w:val="21"/>
        </w:rPr>
        <w:t>结果公告</w:t>
      </w:r>
      <w:r>
        <w:rPr>
          <w:rFonts w:hint="eastAsia" w:ascii="宋体" w:hAnsi="宋体" w:cs="宋体"/>
          <w:color w:val="auto"/>
          <w:szCs w:val="21"/>
          <w:lang w:eastAsia="zh-TW"/>
        </w:rPr>
        <w:t>，并向成交供应商发出《成交通知书》</w:t>
      </w:r>
      <w:r>
        <w:rPr>
          <w:rFonts w:hint="eastAsia" w:ascii="宋体" w:hAnsi="宋体" w:cs="宋体"/>
          <w:color w:val="auto"/>
          <w:szCs w:val="21"/>
        </w:rPr>
        <w:t>，</w:t>
      </w:r>
      <w:r>
        <w:rPr>
          <w:rFonts w:hint="eastAsia" w:ascii="宋体" w:hAnsi="宋体" w:cs="宋体"/>
          <w:color w:val="auto"/>
          <w:szCs w:val="21"/>
          <w:lang w:eastAsia="zh-TW"/>
        </w:rPr>
        <w:t>《成交通知书》对成交供应商和采购人具有同等法律效力。</w:t>
      </w:r>
    </w:p>
    <w:p>
      <w:pPr>
        <w:numPr>
          <w:ilvl w:val="1"/>
          <w:numId w:val="5"/>
        </w:numPr>
        <w:autoSpaceDE w:val="0"/>
        <w:autoSpaceDN w:val="0"/>
        <w:adjustRightInd w:val="0"/>
        <w:snapToGrid w:val="0"/>
        <w:spacing w:line="360" w:lineRule="auto"/>
        <w:jc w:val="left"/>
        <w:rPr>
          <w:rFonts w:ascii="宋体" w:hAnsi="宋体" w:cs="黑体"/>
          <w:b/>
          <w:bCs/>
          <w:color w:val="auto"/>
          <w:szCs w:val="21"/>
        </w:rPr>
      </w:pPr>
      <w:r>
        <w:rPr>
          <w:rFonts w:hint="eastAsia" w:ascii="宋体" w:hAnsi="宋体"/>
          <w:color w:val="auto"/>
          <w:szCs w:val="21"/>
        </w:rPr>
        <w:t>《成交通知书》将作为授予合同资格的合法依据，是合同的一个组成部分。</w:t>
      </w:r>
    </w:p>
    <w:p>
      <w:pPr>
        <w:numPr>
          <w:ilvl w:val="0"/>
          <w:numId w:val="4"/>
        </w:numPr>
        <w:autoSpaceDE w:val="0"/>
        <w:autoSpaceDN w:val="0"/>
        <w:adjustRightInd w:val="0"/>
        <w:snapToGrid w:val="0"/>
        <w:spacing w:beforeLines="100" w:afterLines="100" w:line="360" w:lineRule="auto"/>
        <w:ind w:left="601" w:hanging="601"/>
        <w:jc w:val="center"/>
        <w:outlineLvl w:val="0"/>
        <w:rPr>
          <w:rFonts w:ascii="宋体" w:hAnsi="宋体"/>
          <w:b/>
          <w:color w:val="auto"/>
          <w:sz w:val="28"/>
          <w:szCs w:val="28"/>
          <w:lang w:eastAsia="zh-TW"/>
        </w:rPr>
      </w:pPr>
      <w:bookmarkStart w:id="224" w:name="_Toc320515099"/>
      <w:bookmarkStart w:id="225" w:name="_Toc475104510"/>
      <w:bookmarkStart w:id="226" w:name="_Toc315793486"/>
      <w:bookmarkStart w:id="227" w:name="_Toc363737715"/>
      <w:bookmarkStart w:id="228" w:name="_Toc320515050"/>
      <w:bookmarkStart w:id="229" w:name="_Toc14450813"/>
      <w:bookmarkStart w:id="230" w:name="_Toc28489462"/>
      <w:r>
        <w:rPr>
          <w:rFonts w:hint="eastAsia" w:ascii="宋体" w:hAnsi="宋体"/>
          <w:b/>
          <w:color w:val="auto"/>
          <w:sz w:val="28"/>
          <w:szCs w:val="28"/>
          <w:lang w:eastAsia="zh-TW"/>
        </w:rPr>
        <w:t>授予合同</w:t>
      </w:r>
      <w:bookmarkEnd w:id="224"/>
      <w:bookmarkEnd w:id="225"/>
      <w:bookmarkEnd w:id="226"/>
      <w:bookmarkEnd w:id="227"/>
      <w:bookmarkEnd w:id="228"/>
    </w:p>
    <w:p>
      <w:pPr>
        <w:numPr>
          <w:ilvl w:val="0"/>
          <w:numId w:val="5"/>
        </w:numPr>
        <w:autoSpaceDE w:val="0"/>
        <w:autoSpaceDN w:val="0"/>
        <w:adjustRightInd w:val="0"/>
        <w:snapToGrid w:val="0"/>
        <w:spacing w:line="360" w:lineRule="auto"/>
        <w:outlineLvl w:val="0"/>
        <w:rPr>
          <w:rFonts w:ascii="宋体" w:hAnsi="宋体"/>
          <w:b/>
          <w:bCs/>
          <w:color w:val="auto"/>
          <w:sz w:val="24"/>
        </w:rPr>
      </w:pPr>
      <w:bookmarkStart w:id="231" w:name="_Toc315793487"/>
      <w:bookmarkStart w:id="232" w:name="_Toc475104511"/>
      <w:bookmarkStart w:id="233" w:name="_Toc320515051"/>
      <w:bookmarkStart w:id="234" w:name="_Toc363737716"/>
      <w:bookmarkStart w:id="235" w:name="_Toc320515100"/>
      <w:r>
        <w:rPr>
          <w:rFonts w:hint="eastAsia" w:ascii="宋体" w:hAnsi="宋体"/>
          <w:b/>
          <w:bCs/>
          <w:color w:val="auto"/>
          <w:sz w:val="24"/>
        </w:rPr>
        <w:t>合同的订立</w:t>
      </w:r>
      <w:bookmarkEnd w:id="231"/>
      <w:bookmarkEnd w:id="232"/>
      <w:bookmarkEnd w:id="233"/>
      <w:bookmarkEnd w:id="234"/>
      <w:bookmarkEnd w:id="235"/>
    </w:p>
    <w:p>
      <w:pPr>
        <w:numPr>
          <w:ilvl w:val="1"/>
          <w:numId w:val="5"/>
        </w:numPr>
        <w:autoSpaceDE w:val="0"/>
        <w:autoSpaceDN w:val="0"/>
        <w:adjustRightInd w:val="0"/>
        <w:snapToGrid w:val="0"/>
        <w:spacing w:line="360" w:lineRule="auto"/>
        <w:jc w:val="left"/>
        <w:rPr>
          <w:rFonts w:ascii="宋体" w:hAnsi="宋体" w:cs="黑体"/>
          <w:b/>
          <w:bCs/>
          <w:color w:val="auto"/>
          <w:szCs w:val="21"/>
        </w:rPr>
      </w:pPr>
      <w:bookmarkStart w:id="236" w:name="_Toc363737717"/>
      <w:bookmarkStart w:id="237" w:name="_Toc315793488"/>
      <w:bookmarkStart w:id="238" w:name="_Toc320515101"/>
      <w:bookmarkStart w:id="239" w:name="_Toc475104512"/>
      <w:bookmarkStart w:id="240" w:name="_Toc320515052"/>
      <w:r>
        <w:rPr>
          <w:rFonts w:hint="eastAsia" w:ascii="宋体" w:hAnsi="宋体" w:cs="宋体"/>
          <w:color w:val="auto"/>
          <w:szCs w:val="21"/>
          <w:lang w:eastAsia="zh-TW"/>
        </w:rPr>
        <w:t>采购人或者</w:t>
      </w:r>
      <w:r>
        <w:rPr>
          <w:rFonts w:hint="eastAsia" w:ascii="宋体" w:hAnsi="宋体" w:cs="宋体"/>
          <w:color w:val="auto"/>
          <w:szCs w:val="21"/>
        </w:rPr>
        <w:t>政府</w:t>
      </w:r>
      <w:r>
        <w:rPr>
          <w:rFonts w:hint="eastAsia" w:ascii="宋体" w:hAnsi="宋体" w:cs="宋体"/>
          <w:color w:val="auto"/>
          <w:szCs w:val="21"/>
          <w:lang w:eastAsia="zh-TW"/>
        </w:rPr>
        <w:t>采购代理机构应当自成交通知书发出之日起三十日内，按照竞争性磋商文件和成交供应商</w:t>
      </w:r>
      <w:r>
        <w:rPr>
          <w:rFonts w:hint="eastAsia" w:ascii="宋体" w:hAnsi="宋体"/>
          <w:color w:val="auto"/>
          <w:szCs w:val="21"/>
        </w:rPr>
        <w:t>磋商</w:t>
      </w:r>
      <w:r>
        <w:rPr>
          <w:rFonts w:hint="eastAsia" w:ascii="宋体" w:hAnsi="宋体" w:cs="宋体"/>
          <w:color w:val="auto"/>
          <w:szCs w:val="21"/>
          <w:lang w:eastAsia="zh-TW"/>
        </w:rPr>
        <w:t>响应文件的约定，与成交供应商签订书面合同。所签订的合同不得对竞争性磋商文件和成交供应商</w:t>
      </w:r>
      <w:r>
        <w:rPr>
          <w:rFonts w:hint="eastAsia" w:ascii="宋体" w:hAnsi="宋体"/>
          <w:color w:val="auto"/>
          <w:szCs w:val="21"/>
        </w:rPr>
        <w:t>磋商</w:t>
      </w:r>
      <w:r>
        <w:rPr>
          <w:rFonts w:hint="eastAsia" w:ascii="宋体" w:hAnsi="宋体" w:cs="宋体"/>
          <w:color w:val="auto"/>
          <w:szCs w:val="21"/>
          <w:lang w:eastAsia="zh-TW"/>
        </w:rPr>
        <w:t>响应文件作实质性修改</w:t>
      </w:r>
      <w:r>
        <w:rPr>
          <w:rFonts w:hint="eastAsia" w:ascii="宋体" w:hAnsi="宋体" w:cs="宋体"/>
          <w:color w:val="auto"/>
          <w:szCs w:val="21"/>
        </w:rPr>
        <w:t>。</w:t>
      </w:r>
    </w:p>
    <w:p>
      <w:pPr>
        <w:numPr>
          <w:ilvl w:val="1"/>
          <w:numId w:val="5"/>
        </w:numPr>
        <w:autoSpaceDE w:val="0"/>
        <w:autoSpaceDN w:val="0"/>
        <w:adjustRightInd w:val="0"/>
        <w:snapToGrid w:val="0"/>
        <w:spacing w:line="360" w:lineRule="auto"/>
        <w:jc w:val="left"/>
        <w:rPr>
          <w:rFonts w:ascii="宋体" w:hAnsi="宋体" w:cs="宋体"/>
          <w:color w:val="auto"/>
          <w:szCs w:val="21"/>
        </w:rPr>
      </w:pPr>
      <w:r>
        <w:rPr>
          <w:rFonts w:hint="eastAsia" w:ascii="宋体" w:hAnsi="宋体" w:cs="宋体"/>
          <w:color w:val="auto"/>
          <w:szCs w:val="21"/>
        </w:rPr>
        <w:t xml:space="preserve">招标采购单位不得向成交供应商提出任何不合理的要求，作为签订合同的条件，不得与成交供应商私下订立背离合同实质性内容的协议。 </w:t>
      </w:r>
    </w:p>
    <w:p>
      <w:pPr>
        <w:numPr>
          <w:ilvl w:val="1"/>
          <w:numId w:val="5"/>
        </w:numPr>
        <w:autoSpaceDE w:val="0"/>
        <w:autoSpaceDN w:val="0"/>
        <w:adjustRightInd w:val="0"/>
        <w:snapToGrid w:val="0"/>
        <w:spacing w:line="360" w:lineRule="auto"/>
        <w:jc w:val="left"/>
        <w:rPr>
          <w:rFonts w:ascii="宋体" w:hAnsi="宋体" w:cs="宋体"/>
          <w:color w:val="auto"/>
          <w:szCs w:val="21"/>
        </w:rPr>
      </w:pPr>
      <w:r>
        <w:rPr>
          <w:rFonts w:hint="eastAsia" w:ascii="宋体" w:hAnsi="宋体" w:cs="宋体"/>
          <w:color w:val="auto"/>
          <w:szCs w:val="21"/>
          <w:lang w:eastAsia="zh-TW"/>
        </w:rPr>
        <w:t>签订政府采购合同后</w:t>
      </w:r>
      <w:r>
        <w:rPr>
          <w:rFonts w:hint="eastAsia" w:ascii="宋体" w:hAnsi="宋体" w:cs="宋体"/>
          <w:color w:val="auto"/>
          <w:szCs w:val="21"/>
        </w:rPr>
        <w:t>七</w:t>
      </w:r>
      <w:r>
        <w:rPr>
          <w:rFonts w:hint="eastAsia" w:ascii="宋体" w:hAnsi="宋体" w:cs="宋体"/>
          <w:color w:val="auto"/>
          <w:szCs w:val="21"/>
          <w:lang w:eastAsia="zh-TW"/>
        </w:rPr>
        <w:t>个工作日内，采购人应将政府采购合同副本报同级政府采购监督管理部门备案。</w:t>
      </w:r>
    </w:p>
    <w:p>
      <w:pPr>
        <w:numPr>
          <w:ilvl w:val="0"/>
          <w:numId w:val="5"/>
        </w:numPr>
        <w:autoSpaceDE w:val="0"/>
        <w:autoSpaceDN w:val="0"/>
        <w:adjustRightInd w:val="0"/>
        <w:snapToGrid w:val="0"/>
        <w:spacing w:line="360" w:lineRule="auto"/>
        <w:outlineLvl w:val="0"/>
        <w:rPr>
          <w:rFonts w:ascii="宋体" w:hAnsi="宋体"/>
          <w:b/>
          <w:bCs/>
          <w:color w:val="auto"/>
          <w:sz w:val="24"/>
        </w:rPr>
      </w:pPr>
      <w:r>
        <w:rPr>
          <w:rFonts w:hint="eastAsia" w:ascii="宋体" w:hAnsi="宋体"/>
          <w:b/>
          <w:bCs/>
          <w:color w:val="auto"/>
          <w:sz w:val="24"/>
        </w:rPr>
        <w:t>合同的履行</w:t>
      </w:r>
      <w:bookmarkEnd w:id="236"/>
      <w:bookmarkEnd w:id="237"/>
      <w:bookmarkEnd w:id="238"/>
      <w:bookmarkEnd w:id="239"/>
      <w:bookmarkEnd w:id="240"/>
    </w:p>
    <w:p>
      <w:pPr>
        <w:numPr>
          <w:ilvl w:val="1"/>
          <w:numId w:val="5"/>
        </w:numPr>
        <w:autoSpaceDE w:val="0"/>
        <w:autoSpaceDN w:val="0"/>
        <w:adjustRightInd w:val="0"/>
        <w:snapToGrid w:val="0"/>
        <w:spacing w:line="360" w:lineRule="auto"/>
        <w:jc w:val="left"/>
        <w:rPr>
          <w:rFonts w:ascii="宋体" w:hAnsi="宋体" w:cs="黑体"/>
          <w:b/>
          <w:bCs/>
          <w:color w:val="auto"/>
          <w:szCs w:val="21"/>
        </w:rPr>
      </w:pPr>
      <w:r>
        <w:rPr>
          <w:rFonts w:hint="eastAsia" w:ascii="宋体" w:hAnsi="宋体" w:cs="宋体"/>
          <w:color w:val="auto"/>
          <w:szCs w:val="21"/>
          <w:lang w:eastAsia="zh-TW"/>
        </w:rPr>
        <w:t>政府采购合同订立后，合同各方不得擅自变更、中止或者终止合同。政府采购合同需要变更的，采购人应将有关合同变更内容，以书面形式报政府采购监督管理</w:t>
      </w:r>
      <w:r>
        <w:rPr>
          <w:rFonts w:hint="eastAsia" w:ascii="宋体" w:hAnsi="宋体" w:cs="宋体"/>
          <w:color w:val="auto"/>
          <w:szCs w:val="21"/>
        </w:rPr>
        <w:t>部门</w:t>
      </w:r>
      <w:r>
        <w:rPr>
          <w:rFonts w:hint="eastAsia" w:ascii="宋体" w:hAnsi="宋体" w:cs="宋体"/>
          <w:color w:val="auto"/>
          <w:szCs w:val="21"/>
          <w:lang w:eastAsia="zh-TW"/>
        </w:rPr>
        <w:t>备案；因特殊情况需要中止或终止合同的，采购人应将中止或终止合同的理由以及相应措施，以书面形式报政府采购监督管理</w:t>
      </w:r>
      <w:r>
        <w:rPr>
          <w:rFonts w:hint="eastAsia" w:ascii="宋体" w:hAnsi="宋体" w:cs="宋体"/>
          <w:color w:val="auto"/>
          <w:szCs w:val="21"/>
        </w:rPr>
        <w:t>部门</w:t>
      </w:r>
      <w:r>
        <w:rPr>
          <w:rFonts w:hint="eastAsia" w:ascii="宋体" w:hAnsi="宋体" w:cs="宋体"/>
          <w:color w:val="auto"/>
          <w:szCs w:val="21"/>
          <w:lang w:eastAsia="zh-TW"/>
        </w:rPr>
        <w:t>备案。</w:t>
      </w:r>
    </w:p>
    <w:p>
      <w:pPr>
        <w:numPr>
          <w:ilvl w:val="1"/>
          <w:numId w:val="5"/>
        </w:numPr>
        <w:autoSpaceDE w:val="0"/>
        <w:autoSpaceDN w:val="0"/>
        <w:adjustRightInd w:val="0"/>
        <w:snapToGrid w:val="0"/>
        <w:spacing w:line="360" w:lineRule="auto"/>
        <w:jc w:val="left"/>
        <w:rPr>
          <w:rFonts w:ascii="宋体" w:hAnsi="宋体" w:cs="黑体"/>
          <w:b/>
          <w:bCs/>
          <w:color w:val="auto"/>
          <w:szCs w:val="21"/>
        </w:rPr>
      </w:pPr>
      <w:r>
        <w:rPr>
          <w:rFonts w:hint="eastAsia" w:ascii="宋体" w:hAnsi="宋体" w:cs="宋体"/>
          <w:color w:val="auto"/>
          <w:szCs w:val="21"/>
          <w:lang w:eastAsia="zh-TW"/>
        </w:rPr>
        <w:t>政府采购合同履行中，采购人需追加与合同标的相同的货物、工程或者服务的，在不改变合同其他条款的前提下，可以与</w:t>
      </w:r>
      <w:r>
        <w:rPr>
          <w:rFonts w:hint="eastAsia" w:ascii="宋体" w:hAnsi="宋体" w:cs="宋体"/>
          <w:color w:val="auto"/>
          <w:szCs w:val="21"/>
        </w:rPr>
        <w:t>成交</w:t>
      </w:r>
      <w:r>
        <w:rPr>
          <w:rFonts w:hint="eastAsia" w:ascii="宋体" w:hAnsi="宋体" w:cs="宋体"/>
          <w:color w:val="auto"/>
          <w:szCs w:val="21"/>
          <w:lang w:eastAsia="zh-TW"/>
        </w:rPr>
        <w:t>供应商签订补充合同，但所补充合同的采购金额不得超过原</w:t>
      </w:r>
      <w:r>
        <w:rPr>
          <w:rFonts w:hint="eastAsia" w:ascii="宋体" w:hAnsi="宋体" w:cs="宋体"/>
          <w:color w:val="auto"/>
          <w:szCs w:val="21"/>
        </w:rPr>
        <w:t>合同</w:t>
      </w:r>
      <w:r>
        <w:rPr>
          <w:rFonts w:hint="eastAsia" w:ascii="宋体" w:hAnsi="宋体" w:cs="宋体"/>
          <w:color w:val="auto"/>
          <w:szCs w:val="21"/>
          <w:lang w:eastAsia="zh-TW"/>
        </w:rPr>
        <w:t>采购金额的百分之十。签订补充合同的必须按规定备案。</w:t>
      </w:r>
    </w:p>
    <w:p>
      <w:pPr>
        <w:numPr>
          <w:ilvl w:val="0"/>
          <w:numId w:val="5"/>
        </w:numPr>
        <w:autoSpaceDE w:val="0"/>
        <w:autoSpaceDN w:val="0"/>
        <w:adjustRightInd w:val="0"/>
        <w:snapToGrid w:val="0"/>
        <w:spacing w:line="360" w:lineRule="auto"/>
        <w:outlineLvl w:val="0"/>
        <w:rPr>
          <w:rFonts w:ascii="宋体" w:hAnsi="宋体"/>
          <w:b/>
          <w:bCs/>
          <w:color w:val="auto"/>
          <w:sz w:val="24"/>
        </w:rPr>
      </w:pPr>
      <w:r>
        <w:rPr>
          <w:rFonts w:hint="eastAsia" w:ascii="宋体" w:hAnsi="宋体"/>
          <w:b/>
          <w:bCs/>
          <w:color w:val="auto"/>
          <w:sz w:val="24"/>
        </w:rPr>
        <w:t>采购代理服务费</w:t>
      </w:r>
    </w:p>
    <w:p>
      <w:pPr>
        <w:numPr>
          <w:ilvl w:val="1"/>
          <w:numId w:val="5"/>
        </w:numPr>
        <w:autoSpaceDE w:val="0"/>
        <w:autoSpaceDN w:val="0"/>
        <w:adjustRightInd w:val="0"/>
        <w:snapToGrid w:val="0"/>
        <w:spacing w:line="360" w:lineRule="auto"/>
        <w:outlineLvl w:val="0"/>
        <w:rPr>
          <w:rFonts w:ascii="宋体" w:hAnsi="宋体" w:cs="宋体"/>
          <w:color w:val="auto"/>
          <w:szCs w:val="21"/>
        </w:rPr>
      </w:pPr>
      <w:bookmarkStart w:id="241" w:name="_Toc475104515"/>
      <w:bookmarkStart w:id="242" w:name="_Toc363737720"/>
      <w:r>
        <w:rPr>
          <w:rFonts w:hint="eastAsia" w:ascii="宋体" w:hAnsi="宋体" w:cs="宋体"/>
          <w:color w:val="auto"/>
          <w:szCs w:val="21"/>
        </w:rPr>
        <w:t>成交服务费按</w:t>
      </w:r>
      <w:r>
        <w:rPr>
          <w:rFonts w:hint="eastAsia" w:ascii="宋体" w:hAnsi="宋体"/>
          <w:color w:val="auto"/>
          <w:szCs w:val="21"/>
        </w:rPr>
        <w:t>采购代</w:t>
      </w:r>
      <w:r>
        <w:rPr>
          <w:rFonts w:hint="eastAsia" w:ascii="宋体" w:hAnsi="宋体" w:cs="宋体"/>
          <w:color w:val="auto"/>
          <w:szCs w:val="21"/>
        </w:rPr>
        <w:t>理服务费收费依据及方法按《竞争性</w:t>
      </w:r>
      <w:r>
        <w:rPr>
          <w:rFonts w:hint="eastAsia" w:ascii="宋体" w:hAnsi="宋体"/>
          <w:color w:val="auto"/>
          <w:szCs w:val="21"/>
        </w:rPr>
        <w:t>磋商</w:t>
      </w:r>
      <w:r>
        <w:rPr>
          <w:rFonts w:hint="eastAsia" w:ascii="宋体" w:hAnsi="宋体" w:cs="宋体"/>
          <w:color w:val="auto"/>
          <w:szCs w:val="21"/>
        </w:rPr>
        <w:t>须知一览表》中规定执行。</w:t>
      </w:r>
      <w:bookmarkEnd w:id="241"/>
      <w:bookmarkEnd w:id="242"/>
    </w:p>
    <w:p>
      <w:pPr>
        <w:numPr>
          <w:ilvl w:val="0"/>
          <w:numId w:val="5"/>
        </w:numPr>
        <w:autoSpaceDE w:val="0"/>
        <w:autoSpaceDN w:val="0"/>
        <w:adjustRightInd w:val="0"/>
        <w:snapToGrid w:val="0"/>
        <w:spacing w:line="360" w:lineRule="auto"/>
        <w:outlineLvl w:val="0"/>
        <w:rPr>
          <w:rFonts w:ascii="宋体" w:hAnsi="宋体" w:cs="宋体"/>
          <w:b/>
          <w:color w:val="auto"/>
          <w:sz w:val="24"/>
        </w:rPr>
      </w:pPr>
      <w:bookmarkStart w:id="243" w:name="_Toc363737723"/>
      <w:bookmarkStart w:id="244" w:name="_Toc475104518"/>
      <w:r>
        <w:rPr>
          <w:rFonts w:hint="eastAsia" w:ascii="宋体" w:hAnsi="宋体" w:cs="宋体"/>
          <w:b/>
          <w:color w:val="auto"/>
          <w:sz w:val="24"/>
        </w:rPr>
        <w:t>其他</w:t>
      </w:r>
      <w:bookmarkEnd w:id="243"/>
      <w:bookmarkEnd w:id="244"/>
    </w:p>
    <w:p>
      <w:pPr>
        <w:numPr>
          <w:ilvl w:val="1"/>
          <w:numId w:val="5"/>
        </w:numPr>
        <w:autoSpaceDE w:val="0"/>
        <w:autoSpaceDN w:val="0"/>
        <w:adjustRightInd w:val="0"/>
        <w:snapToGrid w:val="0"/>
        <w:spacing w:line="360" w:lineRule="auto"/>
        <w:outlineLvl w:val="0"/>
        <w:rPr>
          <w:rFonts w:ascii="宋体" w:hAnsi="宋体" w:cs="宋体"/>
          <w:color w:val="auto"/>
          <w:szCs w:val="21"/>
        </w:rPr>
      </w:pPr>
      <w:bookmarkStart w:id="245" w:name="_Toc363737724"/>
      <w:bookmarkStart w:id="246" w:name="_Toc475104519"/>
      <w:r>
        <w:rPr>
          <w:rFonts w:hint="eastAsia" w:ascii="宋体" w:hAnsi="宋体" w:cs="宋体"/>
          <w:color w:val="auto"/>
          <w:szCs w:val="21"/>
        </w:rPr>
        <w:t>本项目相关公告在以下媒体发布：中国采购与招标网（网址：www.chinabidding.com.cn）、广州市信怡招标代理有限公司网站（www.gzxyzb.com）和广东省农业科学院动物科学研究所网站（new.gdias.net或www.gdias.com ）。相关公告在法定媒体上公布之日即视为有效送达，不再另行通知。</w:t>
      </w:r>
      <w:bookmarkEnd w:id="245"/>
      <w:bookmarkEnd w:id="246"/>
    </w:p>
    <w:p>
      <w:pPr>
        <w:numPr>
          <w:ilvl w:val="1"/>
          <w:numId w:val="5"/>
        </w:numPr>
        <w:autoSpaceDE w:val="0"/>
        <w:autoSpaceDN w:val="0"/>
        <w:adjustRightInd w:val="0"/>
        <w:snapToGrid w:val="0"/>
        <w:spacing w:line="360" w:lineRule="auto"/>
        <w:outlineLvl w:val="0"/>
        <w:rPr>
          <w:rFonts w:ascii="宋体" w:hAnsi="宋体" w:cs="宋体"/>
          <w:color w:val="auto"/>
          <w:szCs w:val="21"/>
        </w:rPr>
      </w:pPr>
      <w:bookmarkStart w:id="247" w:name="_Toc363737725"/>
      <w:bookmarkStart w:id="248" w:name="_Toc475104520"/>
      <w:r>
        <w:rPr>
          <w:rFonts w:hint="eastAsia" w:ascii="宋体" w:hAnsi="宋体" w:cs="宋体"/>
          <w:color w:val="auto"/>
          <w:szCs w:val="21"/>
        </w:rPr>
        <w:t>其他未尽事宜，依照《中华人民共和国政府采购法》和省市相关法律、法规执行。</w:t>
      </w:r>
      <w:bookmarkEnd w:id="247"/>
      <w:bookmarkEnd w:id="248"/>
    </w:p>
    <w:p>
      <w:pPr>
        <w:numPr>
          <w:ilvl w:val="1"/>
          <w:numId w:val="5"/>
        </w:numPr>
        <w:autoSpaceDE w:val="0"/>
        <w:autoSpaceDN w:val="0"/>
        <w:adjustRightInd w:val="0"/>
        <w:snapToGrid w:val="0"/>
        <w:spacing w:line="360" w:lineRule="auto"/>
        <w:outlineLvl w:val="0"/>
        <w:rPr>
          <w:rFonts w:ascii="宋体" w:hAnsi="宋体" w:cs="宋体"/>
          <w:color w:val="auto"/>
          <w:szCs w:val="21"/>
        </w:rPr>
      </w:pPr>
      <w:r>
        <w:rPr>
          <w:rFonts w:hint="eastAsia" w:ascii="宋体" w:hAnsi="宋体" w:cs="宋体"/>
          <w:color w:val="auto"/>
          <w:szCs w:val="21"/>
        </w:rPr>
        <w:t>询问函、质疑函格式</w:t>
      </w:r>
    </w:p>
    <w:p>
      <w:pPr>
        <w:snapToGrid w:val="0"/>
        <w:spacing w:line="360" w:lineRule="auto"/>
        <w:ind w:firstLine="424" w:firstLineChars="201"/>
        <w:rPr>
          <w:rFonts w:ascii="宋体"/>
          <w:b/>
          <w:color w:val="auto"/>
          <w:szCs w:val="21"/>
        </w:rPr>
      </w:pPr>
      <w:r>
        <w:rPr>
          <w:rFonts w:hint="eastAsia" w:ascii="宋体" w:hAnsi="宋体"/>
          <w:b/>
          <w:color w:val="auto"/>
          <w:szCs w:val="21"/>
        </w:rPr>
        <w:t>说明：本部分格式为投标人提交询问函、质疑函时使用，不属于响应文件格式的组成部分。</w:t>
      </w:r>
    </w:p>
    <w:p>
      <w:pPr>
        <w:jc w:val="center"/>
        <w:rPr>
          <w:rFonts w:ascii="宋体" w:hAnsi="宋体"/>
          <w:b/>
          <w:bCs/>
          <w:color w:val="auto"/>
          <w:sz w:val="28"/>
          <w:szCs w:val="28"/>
        </w:rPr>
      </w:pPr>
    </w:p>
    <w:p>
      <w:pPr>
        <w:jc w:val="center"/>
        <w:rPr>
          <w:rFonts w:ascii="宋体"/>
          <w:b/>
          <w:bCs/>
          <w:color w:val="auto"/>
          <w:sz w:val="28"/>
          <w:szCs w:val="28"/>
        </w:rPr>
      </w:pPr>
      <w:r>
        <w:rPr>
          <w:rFonts w:hint="eastAsia" w:ascii="宋体" w:hAnsi="宋体"/>
          <w:b/>
          <w:bCs/>
          <w:color w:val="auto"/>
          <w:sz w:val="28"/>
          <w:szCs w:val="28"/>
        </w:rPr>
        <w:t>询</w:t>
      </w:r>
      <w:r>
        <w:rPr>
          <w:rFonts w:ascii="宋体" w:hAnsi="宋体"/>
          <w:b/>
          <w:bCs/>
          <w:color w:val="auto"/>
          <w:sz w:val="28"/>
          <w:szCs w:val="28"/>
        </w:rPr>
        <w:t xml:space="preserve">  </w:t>
      </w:r>
      <w:r>
        <w:rPr>
          <w:rFonts w:hint="eastAsia" w:ascii="宋体" w:hAnsi="宋体"/>
          <w:b/>
          <w:bCs/>
          <w:color w:val="auto"/>
          <w:sz w:val="28"/>
          <w:szCs w:val="28"/>
        </w:rPr>
        <w:t>问</w:t>
      </w:r>
      <w:r>
        <w:rPr>
          <w:rFonts w:ascii="宋体" w:hAnsi="宋体"/>
          <w:b/>
          <w:bCs/>
          <w:color w:val="auto"/>
          <w:sz w:val="28"/>
          <w:szCs w:val="28"/>
        </w:rPr>
        <w:t xml:space="preserve">  </w:t>
      </w:r>
      <w:r>
        <w:rPr>
          <w:rFonts w:hint="eastAsia" w:ascii="宋体" w:hAnsi="宋体"/>
          <w:b/>
          <w:bCs/>
          <w:color w:val="auto"/>
          <w:sz w:val="28"/>
          <w:szCs w:val="28"/>
        </w:rPr>
        <w:t>函</w:t>
      </w:r>
    </w:p>
    <w:p>
      <w:pPr>
        <w:widowControl/>
        <w:snapToGrid w:val="0"/>
        <w:spacing w:line="360" w:lineRule="auto"/>
        <w:rPr>
          <w:rFonts w:ascii="宋体"/>
          <w:b/>
          <w:color w:val="auto"/>
          <w:szCs w:val="21"/>
        </w:rPr>
      </w:pPr>
      <w:r>
        <w:rPr>
          <w:rFonts w:hint="eastAsia" w:ascii="宋体" w:hAnsi="宋体"/>
          <w:b/>
          <w:color w:val="auto"/>
          <w:szCs w:val="21"/>
        </w:rPr>
        <w:t>广州市信怡招标代理有限公司：</w:t>
      </w:r>
    </w:p>
    <w:p>
      <w:pPr>
        <w:widowControl/>
        <w:tabs>
          <w:tab w:val="left" w:pos="6300"/>
        </w:tabs>
        <w:snapToGrid w:val="0"/>
        <w:spacing w:line="360" w:lineRule="auto"/>
        <w:ind w:firstLine="420" w:firstLineChars="200"/>
        <w:rPr>
          <w:rFonts w:ascii="宋体"/>
          <w:color w:val="auto"/>
          <w:szCs w:val="21"/>
        </w:rPr>
      </w:pPr>
      <w:r>
        <w:rPr>
          <w:rFonts w:hint="eastAsia" w:ascii="宋体" w:hAnsi="宋体"/>
          <w:color w:val="auto"/>
          <w:szCs w:val="21"/>
        </w:rPr>
        <w:t>我单位已报名并准备参与</w:t>
      </w:r>
      <w:r>
        <w:rPr>
          <w:rFonts w:hint="eastAsia" w:ascii="宋体" w:hAnsi="宋体"/>
          <w:color w:val="auto"/>
          <w:szCs w:val="21"/>
          <w:u w:val="single"/>
        </w:rPr>
        <w:t>（项目名称）</w:t>
      </w:r>
      <w:r>
        <w:rPr>
          <w:rFonts w:hint="eastAsia" w:ascii="宋体" w:hAnsi="宋体"/>
          <w:color w:val="auto"/>
          <w:szCs w:val="21"/>
        </w:rPr>
        <w:t>项目（项目采购编号：</w:t>
      </w:r>
      <w:r>
        <w:rPr>
          <w:rFonts w:hint="eastAsia" w:ascii="宋体" w:hAnsi="宋体"/>
          <w:color w:val="auto"/>
          <w:szCs w:val="21"/>
          <w:u w:val="single"/>
        </w:rPr>
        <w:t xml:space="preserve">    </w:t>
      </w:r>
      <w:r>
        <w:rPr>
          <w:rFonts w:hint="eastAsia" w:ascii="宋体" w:hAnsi="宋体"/>
          <w:color w:val="auto"/>
          <w:szCs w:val="21"/>
        </w:rPr>
        <w:t>）的投标（或报价）活动，现有以下几个内容（或条款）存在疑问（或无法理解），特提出询问。</w:t>
      </w:r>
    </w:p>
    <w:p>
      <w:pPr>
        <w:widowControl/>
        <w:tabs>
          <w:tab w:val="center" w:pos="5019"/>
        </w:tabs>
        <w:snapToGrid w:val="0"/>
        <w:spacing w:line="360" w:lineRule="auto"/>
        <w:ind w:firstLine="420" w:firstLineChars="200"/>
        <w:rPr>
          <w:rFonts w:ascii="宋体"/>
          <w:color w:val="auto"/>
          <w:szCs w:val="21"/>
        </w:rPr>
      </w:pPr>
      <w:r>
        <w:rPr>
          <w:rFonts w:hint="eastAsia" w:ascii="宋体" w:hAnsi="宋体"/>
          <w:color w:val="auto"/>
          <w:szCs w:val="21"/>
        </w:rPr>
        <w:t>一、</w:t>
      </w:r>
      <w:r>
        <w:rPr>
          <w:rFonts w:ascii="宋体" w:hAnsi="宋体"/>
          <w:color w:val="auto"/>
          <w:szCs w:val="21"/>
        </w:rPr>
        <w:t>_____________________</w:t>
      </w:r>
      <w:r>
        <w:rPr>
          <w:rFonts w:hint="eastAsia" w:ascii="宋体" w:hAnsi="宋体"/>
          <w:color w:val="auto"/>
          <w:szCs w:val="21"/>
        </w:rPr>
        <w:t>（事项一）</w:t>
      </w:r>
      <w:r>
        <w:rPr>
          <w:rFonts w:ascii="宋体"/>
          <w:color w:val="auto"/>
          <w:szCs w:val="21"/>
        </w:rPr>
        <w:tab/>
      </w:r>
    </w:p>
    <w:p>
      <w:pPr>
        <w:widowControl/>
        <w:tabs>
          <w:tab w:val="left" w:pos="6300"/>
        </w:tabs>
        <w:snapToGrid w:val="0"/>
        <w:spacing w:line="360" w:lineRule="auto"/>
        <w:ind w:firstLine="420" w:firstLineChars="200"/>
        <w:rPr>
          <w:rFonts w:ascii="宋体"/>
          <w:color w:val="auto"/>
          <w:szCs w:val="21"/>
        </w:rPr>
      </w:pPr>
      <w:r>
        <w:rPr>
          <w:rFonts w:hint="eastAsia" w:ascii="宋体" w:hAnsi="宋体"/>
          <w:color w:val="auto"/>
          <w:szCs w:val="21"/>
        </w:rPr>
        <w:t>（</w:t>
      </w:r>
      <w:r>
        <w:rPr>
          <w:rFonts w:ascii="宋体" w:hAnsi="宋体"/>
          <w:color w:val="auto"/>
          <w:szCs w:val="21"/>
        </w:rPr>
        <w:t>1</w:t>
      </w:r>
      <w:r>
        <w:rPr>
          <w:rFonts w:hint="eastAsia" w:ascii="宋体" w:hAnsi="宋体"/>
          <w:color w:val="auto"/>
          <w:szCs w:val="21"/>
        </w:rPr>
        <w:t>）</w:t>
      </w:r>
      <w:r>
        <w:rPr>
          <w:rFonts w:ascii="宋体" w:hAnsi="宋体"/>
          <w:color w:val="auto"/>
          <w:szCs w:val="21"/>
        </w:rPr>
        <w:t>____________________</w:t>
      </w:r>
      <w:r>
        <w:rPr>
          <w:rFonts w:hint="eastAsia" w:ascii="宋体" w:hAnsi="宋体"/>
          <w:color w:val="auto"/>
          <w:szCs w:val="21"/>
        </w:rPr>
        <w:t>（问题或条款内容）</w:t>
      </w:r>
    </w:p>
    <w:p>
      <w:pPr>
        <w:widowControl/>
        <w:tabs>
          <w:tab w:val="left" w:pos="6300"/>
        </w:tabs>
        <w:snapToGrid w:val="0"/>
        <w:spacing w:line="360" w:lineRule="auto"/>
        <w:ind w:firstLine="420" w:firstLineChars="200"/>
        <w:rPr>
          <w:rFonts w:ascii="宋体"/>
          <w:color w:val="auto"/>
          <w:szCs w:val="21"/>
        </w:rPr>
      </w:pPr>
      <w:r>
        <w:rPr>
          <w:rFonts w:hint="eastAsia" w:ascii="宋体" w:hAnsi="宋体"/>
          <w:color w:val="auto"/>
          <w:szCs w:val="21"/>
        </w:rPr>
        <w:t>（</w:t>
      </w:r>
      <w:r>
        <w:rPr>
          <w:rFonts w:ascii="宋体" w:hAnsi="宋体"/>
          <w:color w:val="auto"/>
          <w:szCs w:val="21"/>
        </w:rPr>
        <w:t>2</w:t>
      </w:r>
      <w:r>
        <w:rPr>
          <w:rFonts w:hint="eastAsia" w:ascii="宋体" w:hAnsi="宋体"/>
          <w:color w:val="auto"/>
          <w:szCs w:val="21"/>
        </w:rPr>
        <w:t>）</w:t>
      </w:r>
      <w:r>
        <w:rPr>
          <w:rFonts w:ascii="宋体" w:hAnsi="宋体"/>
          <w:color w:val="auto"/>
          <w:szCs w:val="21"/>
        </w:rPr>
        <w:t>____________________</w:t>
      </w:r>
      <w:r>
        <w:rPr>
          <w:rFonts w:hint="eastAsia" w:ascii="宋体" w:hAnsi="宋体"/>
          <w:color w:val="auto"/>
          <w:szCs w:val="21"/>
        </w:rPr>
        <w:t>（说明疑问或无法理解原因）</w:t>
      </w:r>
    </w:p>
    <w:p>
      <w:pPr>
        <w:widowControl/>
        <w:tabs>
          <w:tab w:val="left" w:pos="6300"/>
        </w:tabs>
        <w:snapToGrid w:val="0"/>
        <w:spacing w:line="360" w:lineRule="auto"/>
        <w:ind w:firstLine="420" w:firstLineChars="200"/>
        <w:rPr>
          <w:rFonts w:ascii="宋体"/>
          <w:color w:val="auto"/>
          <w:szCs w:val="21"/>
        </w:rPr>
      </w:pPr>
      <w:r>
        <w:rPr>
          <w:rFonts w:hint="eastAsia" w:ascii="宋体" w:hAnsi="宋体"/>
          <w:color w:val="auto"/>
          <w:szCs w:val="21"/>
        </w:rPr>
        <w:t>（</w:t>
      </w:r>
      <w:r>
        <w:rPr>
          <w:rFonts w:ascii="宋体" w:hAnsi="宋体"/>
          <w:color w:val="auto"/>
          <w:szCs w:val="21"/>
        </w:rPr>
        <w:t>3</w:t>
      </w:r>
      <w:r>
        <w:rPr>
          <w:rFonts w:hint="eastAsia" w:ascii="宋体" w:hAnsi="宋体"/>
          <w:color w:val="auto"/>
          <w:szCs w:val="21"/>
        </w:rPr>
        <w:t>）</w:t>
      </w:r>
      <w:r>
        <w:rPr>
          <w:rFonts w:ascii="宋体" w:hAnsi="宋体"/>
          <w:color w:val="auto"/>
          <w:szCs w:val="21"/>
        </w:rPr>
        <w:t>____________________</w:t>
      </w:r>
      <w:r>
        <w:rPr>
          <w:rFonts w:hint="eastAsia" w:ascii="宋体" w:hAnsi="宋体"/>
          <w:color w:val="auto"/>
          <w:szCs w:val="21"/>
        </w:rPr>
        <w:t>（建议）</w:t>
      </w:r>
    </w:p>
    <w:p>
      <w:pPr>
        <w:widowControl/>
        <w:tabs>
          <w:tab w:val="left" w:pos="6300"/>
        </w:tabs>
        <w:snapToGrid w:val="0"/>
        <w:spacing w:line="360" w:lineRule="auto"/>
        <w:ind w:firstLine="420" w:firstLineChars="200"/>
        <w:rPr>
          <w:rFonts w:ascii="宋体"/>
          <w:color w:val="auto"/>
          <w:szCs w:val="21"/>
        </w:rPr>
      </w:pPr>
      <w:r>
        <w:rPr>
          <w:rFonts w:hint="eastAsia" w:ascii="宋体" w:hAnsi="宋体"/>
          <w:color w:val="auto"/>
          <w:szCs w:val="21"/>
        </w:rPr>
        <w:t>二、</w:t>
      </w:r>
      <w:r>
        <w:rPr>
          <w:rFonts w:ascii="宋体" w:hAnsi="宋体"/>
          <w:color w:val="auto"/>
          <w:szCs w:val="21"/>
        </w:rPr>
        <w:t>_____________________</w:t>
      </w:r>
      <w:r>
        <w:rPr>
          <w:rFonts w:hint="eastAsia" w:ascii="宋体" w:hAnsi="宋体"/>
          <w:color w:val="auto"/>
          <w:szCs w:val="21"/>
        </w:rPr>
        <w:t>（事项二）</w:t>
      </w:r>
    </w:p>
    <w:p>
      <w:pPr>
        <w:widowControl/>
        <w:tabs>
          <w:tab w:val="left" w:pos="6300"/>
        </w:tabs>
        <w:snapToGrid w:val="0"/>
        <w:spacing w:line="360" w:lineRule="auto"/>
        <w:ind w:firstLine="420" w:firstLineChars="200"/>
        <w:rPr>
          <w:rFonts w:ascii="宋体"/>
          <w:color w:val="auto"/>
          <w:szCs w:val="21"/>
        </w:rPr>
      </w:pPr>
      <w:r>
        <w:rPr>
          <w:rFonts w:hint="eastAsia" w:ascii="宋体" w:hAnsi="宋体"/>
          <w:color w:val="auto"/>
          <w:szCs w:val="21"/>
        </w:rPr>
        <w:t>……</w:t>
      </w:r>
    </w:p>
    <w:p>
      <w:pPr>
        <w:widowControl/>
        <w:tabs>
          <w:tab w:val="left" w:pos="6300"/>
        </w:tabs>
        <w:snapToGrid w:val="0"/>
        <w:spacing w:line="360" w:lineRule="auto"/>
        <w:ind w:firstLine="420" w:firstLineChars="200"/>
        <w:rPr>
          <w:rFonts w:ascii="宋体"/>
          <w:color w:val="auto"/>
          <w:szCs w:val="21"/>
        </w:rPr>
      </w:pPr>
      <w:r>
        <w:rPr>
          <w:rFonts w:hint="eastAsia" w:ascii="宋体" w:hAnsi="宋体"/>
          <w:color w:val="auto"/>
          <w:szCs w:val="21"/>
        </w:rPr>
        <w:t>随附相关证明材料如下：（目录）。</w:t>
      </w:r>
    </w:p>
    <w:p>
      <w:pPr>
        <w:widowControl/>
        <w:tabs>
          <w:tab w:val="left" w:pos="6300"/>
        </w:tabs>
        <w:snapToGrid w:val="0"/>
        <w:spacing w:line="360" w:lineRule="auto"/>
        <w:ind w:firstLine="420" w:firstLineChars="200"/>
        <w:rPr>
          <w:rFonts w:ascii="宋体" w:hAnsi="宋体"/>
          <w:color w:val="auto"/>
          <w:szCs w:val="21"/>
        </w:rPr>
      </w:pPr>
      <w:r>
        <w:rPr>
          <w:rFonts w:hint="eastAsia" w:ascii="宋体" w:hAnsi="宋体"/>
          <w:color w:val="auto"/>
          <w:szCs w:val="21"/>
        </w:rPr>
        <w:t>询问人全称（加盖公章）:</w:t>
      </w:r>
    </w:p>
    <w:p>
      <w:pPr>
        <w:widowControl/>
        <w:tabs>
          <w:tab w:val="left" w:pos="6300"/>
        </w:tabs>
        <w:snapToGrid w:val="0"/>
        <w:spacing w:line="360" w:lineRule="auto"/>
        <w:ind w:firstLine="420" w:firstLineChars="200"/>
        <w:rPr>
          <w:rFonts w:ascii="宋体" w:hAnsi="宋体"/>
          <w:color w:val="auto"/>
          <w:szCs w:val="21"/>
        </w:rPr>
      </w:pPr>
      <w:r>
        <w:rPr>
          <w:rFonts w:hint="eastAsia" w:ascii="宋体" w:hAnsi="宋体"/>
          <w:color w:val="auto"/>
          <w:szCs w:val="21"/>
        </w:rPr>
        <w:t>法定代表或其授权代表(签字或签章)：</w:t>
      </w:r>
    </w:p>
    <w:p>
      <w:pPr>
        <w:widowControl/>
        <w:tabs>
          <w:tab w:val="left" w:pos="6300"/>
        </w:tabs>
        <w:snapToGrid w:val="0"/>
        <w:spacing w:line="360" w:lineRule="auto"/>
        <w:ind w:firstLine="420" w:firstLineChars="200"/>
        <w:rPr>
          <w:rFonts w:ascii="宋体" w:hAnsi="宋体"/>
          <w:color w:val="auto"/>
          <w:szCs w:val="21"/>
        </w:rPr>
      </w:pPr>
      <w:r>
        <w:rPr>
          <w:rFonts w:hint="eastAsia" w:ascii="宋体" w:hAnsi="宋体"/>
          <w:color w:val="auto"/>
          <w:szCs w:val="21"/>
        </w:rPr>
        <w:t>地址/邮编：</w:t>
      </w:r>
    </w:p>
    <w:p>
      <w:pPr>
        <w:widowControl/>
        <w:tabs>
          <w:tab w:val="left" w:pos="6300"/>
        </w:tabs>
        <w:snapToGrid w:val="0"/>
        <w:spacing w:line="360" w:lineRule="auto"/>
        <w:ind w:firstLine="420" w:firstLineChars="200"/>
        <w:rPr>
          <w:rFonts w:ascii="宋体" w:hAnsi="宋体"/>
          <w:color w:val="auto"/>
          <w:szCs w:val="21"/>
        </w:rPr>
      </w:pPr>
      <w:r>
        <w:rPr>
          <w:rFonts w:hint="eastAsia" w:ascii="宋体" w:hAnsi="宋体"/>
          <w:color w:val="auto"/>
          <w:szCs w:val="21"/>
        </w:rPr>
        <w:t>电话/传真：</w:t>
      </w:r>
    </w:p>
    <w:p>
      <w:pPr>
        <w:widowControl/>
        <w:tabs>
          <w:tab w:val="left" w:pos="6300"/>
        </w:tabs>
        <w:snapToGrid w:val="0"/>
        <w:spacing w:line="360" w:lineRule="auto"/>
        <w:ind w:firstLine="420" w:firstLineChars="200"/>
        <w:rPr>
          <w:rFonts w:ascii="宋体" w:hAnsi="宋体" w:cs="宋体"/>
          <w:bCs/>
          <w:color w:val="auto"/>
          <w:szCs w:val="21"/>
        </w:rPr>
      </w:pPr>
      <w:r>
        <w:rPr>
          <w:rFonts w:hint="eastAsia" w:ascii="宋体" w:hAnsi="宋体"/>
          <w:color w:val="auto"/>
          <w:szCs w:val="21"/>
        </w:rPr>
        <w:t xml:space="preserve">日    期：     年   月  </w:t>
      </w:r>
      <w:r>
        <w:rPr>
          <w:rFonts w:hint="eastAsia" w:ascii="宋体" w:hAnsi="宋体" w:cs="宋体"/>
          <w:bCs/>
          <w:color w:val="auto"/>
          <w:szCs w:val="21"/>
        </w:rPr>
        <w:t xml:space="preserve"> 日</w:t>
      </w:r>
    </w:p>
    <w:p>
      <w:pPr>
        <w:snapToGrid w:val="0"/>
        <w:spacing w:line="360" w:lineRule="auto"/>
        <w:ind w:firstLine="422" w:firstLineChars="201"/>
        <w:rPr>
          <w:rFonts w:ascii="宋体"/>
          <w:color w:val="auto"/>
          <w:szCs w:val="21"/>
        </w:rPr>
      </w:pPr>
    </w:p>
    <w:p>
      <w:pPr>
        <w:pStyle w:val="2"/>
        <w:rPr>
          <w:color w:val="auto"/>
        </w:rPr>
      </w:pPr>
    </w:p>
    <w:p>
      <w:pPr>
        <w:spacing w:line="440" w:lineRule="exact"/>
        <w:jc w:val="center"/>
        <w:rPr>
          <w:rFonts w:ascii="宋体"/>
          <w:b/>
          <w:bCs/>
          <w:color w:val="auto"/>
          <w:sz w:val="28"/>
          <w:szCs w:val="28"/>
        </w:rPr>
      </w:pPr>
      <w:r>
        <w:rPr>
          <w:rFonts w:hint="eastAsia" w:ascii="宋体" w:hAnsi="宋体"/>
          <w:b/>
          <w:bCs/>
          <w:color w:val="auto"/>
          <w:sz w:val="28"/>
          <w:szCs w:val="28"/>
        </w:rPr>
        <w:t>质  疑  函</w:t>
      </w:r>
    </w:p>
    <w:p>
      <w:pPr>
        <w:widowControl/>
        <w:spacing w:line="360" w:lineRule="auto"/>
        <w:jc w:val="center"/>
        <w:rPr>
          <w:rFonts w:ascii="宋体" w:cs="Tahoma"/>
          <w:b/>
          <w:bCs/>
          <w:color w:val="auto"/>
          <w:spacing w:val="10"/>
          <w:szCs w:val="21"/>
        </w:rPr>
      </w:pPr>
      <w:r>
        <w:rPr>
          <w:rFonts w:ascii="宋体" w:hAnsi="宋体" w:cs="Tahoma"/>
          <w:color w:val="auto"/>
          <w:spacing w:val="10"/>
          <w:szCs w:val="21"/>
        </w:rPr>
        <w:t xml:space="preserve"> (</w:t>
      </w:r>
      <w:r>
        <w:rPr>
          <w:rFonts w:hint="eastAsia" w:ascii="宋体" w:hAnsi="宋体" w:cs="Tahoma"/>
          <w:color w:val="auto"/>
          <w:spacing w:val="10"/>
          <w:szCs w:val="21"/>
        </w:rPr>
        <w:t>可根据质疑内容增加或删减</w:t>
      </w:r>
      <w:r>
        <w:rPr>
          <w:rFonts w:ascii="宋体" w:hAnsi="宋体" w:cs="Tahoma"/>
          <w:color w:val="auto"/>
          <w:spacing w:val="10"/>
          <w:szCs w:val="21"/>
        </w:rPr>
        <w:t>)</w:t>
      </w:r>
    </w:p>
    <w:p>
      <w:pPr>
        <w:widowControl/>
        <w:snapToGrid w:val="0"/>
        <w:spacing w:line="360" w:lineRule="auto"/>
        <w:rPr>
          <w:rFonts w:ascii="宋体"/>
          <w:b/>
          <w:color w:val="auto"/>
          <w:szCs w:val="21"/>
        </w:rPr>
      </w:pPr>
      <w:r>
        <w:rPr>
          <w:rFonts w:hint="eastAsia" w:ascii="宋体" w:hAnsi="宋体"/>
          <w:b/>
          <w:color w:val="auto"/>
          <w:szCs w:val="21"/>
        </w:rPr>
        <w:t>广州市信怡招标代理有限公司：</w:t>
      </w:r>
    </w:p>
    <w:p>
      <w:pPr>
        <w:widowControl/>
        <w:snapToGrid w:val="0"/>
        <w:spacing w:line="360" w:lineRule="auto"/>
        <w:ind w:firstLine="420" w:firstLineChars="200"/>
        <w:rPr>
          <w:rFonts w:ascii="宋体"/>
          <w:color w:val="auto"/>
          <w:szCs w:val="21"/>
        </w:rPr>
      </w:pPr>
      <w:r>
        <w:rPr>
          <w:rFonts w:hint="eastAsia" w:ascii="宋体" w:hAnsi="宋体"/>
          <w:color w:val="auto"/>
          <w:szCs w:val="21"/>
        </w:rPr>
        <w:t>我公司依法参与了</w:t>
      </w:r>
      <w:r>
        <w:rPr>
          <w:rFonts w:hint="eastAsia" w:ascii="宋体" w:hAnsi="宋体"/>
          <w:color w:val="auto"/>
          <w:szCs w:val="21"/>
          <w:u w:val="single"/>
        </w:rPr>
        <w:t>（采购代理机构或采购人）</w:t>
      </w:r>
      <w:r>
        <w:rPr>
          <w:rFonts w:hint="eastAsia" w:ascii="宋体" w:hAnsi="宋体"/>
          <w:color w:val="auto"/>
          <w:szCs w:val="21"/>
        </w:rPr>
        <w:t>于</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日组织的政府采购活动。根据《政府采购法》和《政府采购供应商投诉处理办法》等规定，我公司认为</w:t>
      </w:r>
      <w:r>
        <w:rPr>
          <w:rFonts w:ascii="宋体" w:hAnsi="宋体"/>
          <w:color w:val="auto"/>
          <w:szCs w:val="21"/>
          <w:u w:val="single"/>
        </w:rPr>
        <w:t xml:space="preserve"> </w:t>
      </w:r>
      <w:r>
        <w:rPr>
          <w:rFonts w:hint="eastAsia" w:ascii="宋体" w:hAnsi="宋体"/>
          <w:color w:val="auto"/>
          <w:szCs w:val="21"/>
          <w:u w:val="single"/>
        </w:rPr>
        <w:t>（采购项目名称）（采购项目编号：</w:t>
      </w:r>
      <w:r>
        <w:rPr>
          <w:rFonts w:ascii="宋体" w:hAnsi="宋体"/>
          <w:color w:val="auto"/>
          <w:szCs w:val="21"/>
          <w:u w:val="single"/>
        </w:rPr>
        <w:t xml:space="preserve">     </w:t>
      </w:r>
      <w:r>
        <w:rPr>
          <w:rFonts w:hint="eastAsia" w:ascii="宋体" w:hAnsi="宋体"/>
          <w:color w:val="auto"/>
          <w:szCs w:val="21"/>
          <w:u w:val="single"/>
        </w:rPr>
        <w:t>）</w:t>
      </w:r>
      <w:r>
        <w:rPr>
          <w:rFonts w:hint="eastAsia" w:ascii="宋体" w:hAnsi="宋体"/>
          <w:color w:val="auto"/>
          <w:szCs w:val="21"/>
        </w:rPr>
        <w:t>项目的采购活动中，</w:t>
      </w:r>
      <w:r>
        <w:rPr>
          <w:rFonts w:hint="eastAsia" w:ascii="宋体" w:hAnsi="宋体"/>
          <w:color w:val="auto"/>
          <w:szCs w:val="21"/>
          <w:u w:val="single"/>
        </w:rPr>
        <w:t>（采购文件、采购过程、中标</w:t>
      </w:r>
      <w:r>
        <w:rPr>
          <w:rFonts w:ascii="宋体" w:hAnsi="宋体"/>
          <w:color w:val="auto"/>
          <w:szCs w:val="21"/>
          <w:u w:val="single"/>
        </w:rPr>
        <w:t>/</w:t>
      </w:r>
      <w:r>
        <w:rPr>
          <w:rFonts w:hint="eastAsia" w:ascii="宋体" w:hAnsi="宋体"/>
          <w:color w:val="auto"/>
          <w:szCs w:val="21"/>
          <w:u w:val="single"/>
        </w:rPr>
        <w:t>成交结果）</w:t>
      </w:r>
      <w:r>
        <w:rPr>
          <w:rFonts w:ascii="宋体" w:hAnsi="宋体"/>
          <w:color w:val="auto"/>
          <w:szCs w:val="21"/>
          <w:u w:val="single"/>
        </w:rPr>
        <w:t xml:space="preserve"> </w:t>
      </w:r>
      <w:r>
        <w:rPr>
          <w:rFonts w:hint="eastAsia" w:ascii="宋体" w:hAnsi="宋体"/>
          <w:color w:val="auto"/>
          <w:szCs w:val="21"/>
        </w:rPr>
        <w:t>损害了我公司权益，特提出质疑。</w:t>
      </w:r>
    </w:p>
    <w:p>
      <w:pPr>
        <w:widowControl/>
        <w:snapToGrid w:val="0"/>
        <w:spacing w:line="360" w:lineRule="auto"/>
        <w:ind w:firstLine="420" w:firstLineChars="200"/>
        <w:rPr>
          <w:rFonts w:ascii="宋体"/>
          <w:color w:val="auto"/>
          <w:szCs w:val="21"/>
        </w:rPr>
      </w:pPr>
      <w:r>
        <w:rPr>
          <w:rFonts w:hint="eastAsia" w:ascii="宋体" w:hAnsi="宋体"/>
          <w:color w:val="auto"/>
          <w:szCs w:val="21"/>
        </w:rPr>
        <w:t>一、我公司认为项目的</w:t>
      </w:r>
      <w:r>
        <w:rPr>
          <w:rFonts w:hint="eastAsia" w:ascii="宋体" w:hAnsi="宋体"/>
          <w:color w:val="auto"/>
          <w:szCs w:val="21"/>
          <w:u w:val="single"/>
        </w:rPr>
        <w:t>（采购文件、采购过程、中标</w:t>
      </w:r>
      <w:r>
        <w:rPr>
          <w:rFonts w:ascii="宋体" w:hAnsi="宋体"/>
          <w:color w:val="auto"/>
          <w:szCs w:val="21"/>
          <w:u w:val="single"/>
        </w:rPr>
        <w:t>/</w:t>
      </w:r>
      <w:r>
        <w:rPr>
          <w:rFonts w:hint="eastAsia" w:ascii="宋体" w:hAnsi="宋体"/>
          <w:color w:val="auto"/>
          <w:szCs w:val="21"/>
          <w:u w:val="single"/>
        </w:rPr>
        <w:t>成交结果）</w:t>
      </w:r>
      <w:r>
        <w:rPr>
          <w:rFonts w:hint="eastAsia" w:ascii="宋体" w:hAnsi="宋体"/>
          <w:color w:val="auto"/>
          <w:szCs w:val="21"/>
        </w:rPr>
        <w:t>损害了我司权益，具体事项如下（每个质疑事项应有与之相对应的证据予以支持。质疑事项属于涉密的，应提供信息来源或有效证据）：</w:t>
      </w:r>
    </w:p>
    <w:p>
      <w:pPr>
        <w:widowControl/>
        <w:snapToGrid w:val="0"/>
        <w:spacing w:line="360" w:lineRule="auto"/>
        <w:ind w:firstLine="422" w:firstLineChars="200"/>
        <w:rPr>
          <w:rFonts w:ascii="宋体"/>
          <w:b/>
          <w:color w:val="auto"/>
          <w:szCs w:val="21"/>
        </w:rPr>
      </w:pPr>
      <w:r>
        <w:rPr>
          <w:rFonts w:hint="eastAsia" w:ascii="宋体" w:hAnsi="宋体"/>
          <w:b/>
          <w:color w:val="auto"/>
          <w:szCs w:val="21"/>
        </w:rPr>
        <w:t>质疑采购文件</w:t>
      </w:r>
    </w:p>
    <w:p>
      <w:pPr>
        <w:widowControl/>
        <w:snapToGrid w:val="0"/>
        <w:spacing w:line="360" w:lineRule="auto"/>
        <w:ind w:firstLine="420" w:firstLineChars="200"/>
        <w:rPr>
          <w:rFonts w:ascii="宋体"/>
          <w:color w:val="auto"/>
          <w:szCs w:val="21"/>
        </w:rPr>
      </w:pPr>
      <w:r>
        <w:rPr>
          <w:rFonts w:ascii="宋体" w:hAnsi="宋体"/>
          <w:color w:val="auto"/>
          <w:szCs w:val="21"/>
        </w:rPr>
        <w:t>1</w:t>
      </w:r>
      <w:r>
        <w:rPr>
          <w:rFonts w:hint="eastAsia" w:ascii="宋体" w:hAnsi="宋体"/>
          <w:color w:val="auto"/>
          <w:szCs w:val="21"/>
        </w:rPr>
        <w:t>．质疑内容采购文件页，内容“</w:t>
      </w:r>
      <w:r>
        <w:rPr>
          <w:rFonts w:ascii="宋体" w:hAnsi="宋体"/>
          <w:color w:val="auto"/>
          <w:szCs w:val="21"/>
        </w:rPr>
        <w:t xml:space="preserve">  </w:t>
      </w:r>
      <w:r>
        <w:rPr>
          <w:rFonts w:hint="eastAsia" w:ascii="宋体" w:hAnsi="宋体"/>
          <w:color w:val="auto"/>
          <w:szCs w:val="21"/>
        </w:rPr>
        <w:t>”</w:t>
      </w:r>
      <w:r>
        <w:rPr>
          <w:rFonts w:ascii="宋体" w:hAnsi="宋体"/>
          <w:color w:val="auto"/>
          <w:szCs w:val="21"/>
        </w:rPr>
        <w:t xml:space="preserve"> </w:t>
      </w:r>
      <w:r>
        <w:rPr>
          <w:rFonts w:hint="eastAsia" w:ascii="宋体" w:hAnsi="宋体"/>
          <w:color w:val="auto"/>
          <w:szCs w:val="21"/>
        </w:rPr>
        <w:t>损害了我公司权益，</w:t>
      </w:r>
    </w:p>
    <w:p>
      <w:pPr>
        <w:widowControl/>
        <w:snapToGrid w:val="0"/>
        <w:spacing w:line="360" w:lineRule="auto"/>
        <w:ind w:firstLine="735" w:firstLineChars="350"/>
        <w:rPr>
          <w:rFonts w:ascii="宋体"/>
          <w:color w:val="auto"/>
          <w:szCs w:val="21"/>
        </w:rPr>
      </w:pPr>
      <w:r>
        <w:rPr>
          <w:rFonts w:hint="eastAsia" w:ascii="宋体" w:hAnsi="宋体"/>
          <w:color w:val="auto"/>
          <w:szCs w:val="21"/>
        </w:rPr>
        <w:t>事实依据：</w:t>
      </w:r>
      <w:r>
        <w:rPr>
          <w:rFonts w:ascii="宋体" w:hAnsi="宋体"/>
          <w:color w:val="auto"/>
          <w:szCs w:val="21"/>
        </w:rPr>
        <w:t xml:space="preserve"> </w:t>
      </w:r>
      <w:r>
        <w:rPr>
          <w:rFonts w:ascii="宋体" w:hAnsi="宋体"/>
          <w:color w:val="auto"/>
          <w:szCs w:val="21"/>
          <w:u w:val="single"/>
        </w:rPr>
        <w:t xml:space="preserve">                          </w:t>
      </w:r>
      <w:r>
        <w:rPr>
          <w:rFonts w:hint="eastAsia" w:ascii="宋体" w:hAnsi="宋体"/>
          <w:color w:val="auto"/>
          <w:szCs w:val="21"/>
          <w:u w:val="single"/>
        </w:rPr>
        <w:t>（</w:t>
      </w:r>
      <w:r>
        <w:rPr>
          <w:rFonts w:hint="eastAsia" w:ascii="宋体" w:hAnsi="宋体"/>
          <w:color w:val="auto"/>
          <w:szCs w:val="21"/>
        </w:rPr>
        <w:t>证据见附件第页）</w:t>
      </w:r>
    </w:p>
    <w:p>
      <w:pPr>
        <w:widowControl/>
        <w:spacing w:line="360" w:lineRule="auto"/>
        <w:ind w:firstLine="743" w:firstLineChars="354"/>
        <w:rPr>
          <w:rFonts w:ascii="宋体" w:cs="Arial"/>
          <w:color w:val="auto"/>
          <w:szCs w:val="21"/>
        </w:rPr>
      </w:pPr>
      <w:r>
        <w:rPr>
          <w:rFonts w:hint="eastAsia" w:ascii="宋体" w:hAnsi="宋体"/>
          <w:color w:val="auto"/>
          <w:szCs w:val="21"/>
        </w:rPr>
        <w:t>法律依据</w:t>
      </w:r>
      <w:r>
        <w:rPr>
          <w:rFonts w:hint="eastAsia" w:ascii="宋体" w:hAnsi="宋体" w:cs="Arial"/>
          <w:color w:val="auto"/>
          <w:szCs w:val="21"/>
        </w:rPr>
        <w:t>：</w:t>
      </w:r>
    </w:p>
    <w:p>
      <w:pPr>
        <w:widowControl/>
        <w:spacing w:line="360" w:lineRule="auto"/>
        <w:ind w:firstLine="743" w:firstLineChars="354"/>
        <w:rPr>
          <w:rFonts w:ascii="宋体"/>
          <w:color w:val="auto"/>
          <w:szCs w:val="21"/>
          <w:u w:val="single"/>
        </w:rPr>
      </w:pPr>
      <w:r>
        <w:rPr>
          <w:rFonts w:hint="eastAsia" w:ascii="宋体" w:hAnsi="宋体"/>
          <w:color w:val="auto"/>
          <w:szCs w:val="21"/>
        </w:rPr>
        <w:t>我方请求采购文件做如下修改：</w:t>
      </w:r>
    </w:p>
    <w:p>
      <w:pPr>
        <w:widowControl/>
        <w:spacing w:line="360" w:lineRule="auto"/>
        <w:ind w:firstLine="743" w:firstLineChars="354"/>
        <w:rPr>
          <w:rFonts w:ascii="宋体"/>
          <w:color w:val="auto"/>
          <w:szCs w:val="21"/>
        </w:rPr>
      </w:pPr>
      <w:r>
        <w:rPr>
          <w:rFonts w:hint="eastAsia" w:ascii="宋体" w:hAnsi="宋体"/>
          <w:color w:val="auto"/>
          <w:szCs w:val="21"/>
        </w:rPr>
        <w:t>我方对采购文件其他内容无质疑。</w:t>
      </w:r>
    </w:p>
    <w:p>
      <w:pPr>
        <w:widowControl/>
        <w:snapToGrid w:val="0"/>
        <w:spacing w:line="360" w:lineRule="auto"/>
        <w:ind w:firstLine="422" w:firstLineChars="200"/>
        <w:rPr>
          <w:rFonts w:ascii="宋体"/>
          <w:b/>
          <w:color w:val="auto"/>
          <w:szCs w:val="21"/>
        </w:rPr>
      </w:pPr>
      <w:r>
        <w:rPr>
          <w:rFonts w:hint="eastAsia" w:ascii="宋体" w:hAnsi="宋体"/>
          <w:b/>
          <w:color w:val="auto"/>
          <w:szCs w:val="21"/>
        </w:rPr>
        <w:t>质疑采购过程</w:t>
      </w:r>
    </w:p>
    <w:p>
      <w:pPr>
        <w:widowControl/>
        <w:snapToGrid w:val="0"/>
        <w:spacing w:line="360" w:lineRule="auto"/>
        <w:ind w:firstLine="420" w:firstLineChars="200"/>
        <w:rPr>
          <w:rFonts w:ascii="宋体"/>
          <w:color w:val="auto"/>
          <w:szCs w:val="21"/>
        </w:rPr>
      </w:pPr>
      <w:r>
        <w:rPr>
          <w:rFonts w:ascii="宋体" w:hAnsi="宋体"/>
          <w:color w:val="auto"/>
          <w:szCs w:val="21"/>
        </w:rPr>
        <w:t>1</w:t>
      </w:r>
      <w:r>
        <w:rPr>
          <w:rFonts w:hint="eastAsia" w:ascii="宋体" w:hAnsi="宋体"/>
          <w:color w:val="auto"/>
          <w:szCs w:val="21"/>
        </w:rPr>
        <w:t>．于</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日，在进行的（收取采购文件（样品）、开标、谈判）过程，发生损害了我公司权益的事项，</w:t>
      </w:r>
    </w:p>
    <w:p>
      <w:pPr>
        <w:widowControl/>
        <w:spacing w:line="360" w:lineRule="auto"/>
        <w:ind w:firstLine="743" w:firstLineChars="354"/>
        <w:rPr>
          <w:rFonts w:ascii="宋体"/>
          <w:color w:val="auto"/>
          <w:szCs w:val="21"/>
        </w:rPr>
      </w:pPr>
      <w:r>
        <w:rPr>
          <w:rFonts w:hint="eastAsia" w:ascii="宋体" w:hAnsi="宋体"/>
          <w:color w:val="auto"/>
          <w:szCs w:val="21"/>
        </w:rPr>
        <w:t>事实依据：</w:t>
      </w:r>
      <w:r>
        <w:rPr>
          <w:rFonts w:ascii="宋体" w:hAnsi="宋体"/>
          <w:color w:val="auto"/>
          <w:szCs w:val="21"/>
        </w:rPr>
        <w:t xml:space="preserve"> </w:t>
      </w:r>
      <w:r>
        <w:rPr>
          <w:rFonts w:ascii="宋体" w:hAnsi="宋体"/>
          <w:color w:val="auto"/>
          <w:szCs w:val="21"/>
          <w:u w:val="single"/>
        </w:rPr>
        <w:t xml:space="preserve">                          </w:t>
      </w:r>
      <w:r>
        <w:rPr>
          <w:rFonts w:hint="eastAsia" w:ascii="宋体" w:hAnsi="宋体"/>
          <w:color w:val="auto"/>
          <w:szCs w:val="21"/>
          <w:u w:val="single"/>
        </w:rPr>
        <w:t>（</w:t>
      </w:r>
      <w:r>
        <w:rPr>
          <w:rFonts w:hint="eastAsia" w:ascii="宋体" w:hAnsi="宋体"/>
          <w:color w:val="auto"/>
          <w:szCs w:val="21"/>
        </w:rPr>
        <w:t>证据见附件第页）</w:t>
      </w:r>
    </w:p>
    <w:p>
      <w:pPr>
        <w:widowControl/>
        <w:spacing w:line="360" w:lineRule="auto"/>
        <w:ind w:firstLine="743" w:firstLineChars="354"/>
        <w:rPr>
          <w:rFonts w:ascii="宋体" w:cs="Arial"/>
          <w:color w:val="auto"/>
          <w:szCs w:val="21"/>
        </w:rPr>
      </w:pPr>
      <w:r>
        <w:rPr>
          <w:rFonts w:hint="eastAsia" w:ascii="宋体" w:hAnsi="宋体"/>
          <w:color w:val="auto"/>
          <w:szCs w:val="21"/>
        </w:rPr>
        <w:t>法律依据</w:t>
      </w:r>
      <w:r>
        <w:rPr>
          <w:rFonts w:hint="eastAsia" w:ascii="宋体" w:hAnsi="宋体" w:cs="Arial"/>
          <w:color w:val="auto"/>
          <w:szCs w:val="21"/>
        </w:rPr>
        <w:t>：</w:t>
      </w:r>
    </w:p>
    <w:p>
      <w:pPr>
        <w:widowControl/>
        <w:spacing w:line="360" w:lineRule="auto"/>
        <w:ind w:firstLine="743" w:firstLineChars="354"/>
        <w:rPr>
          <w:rFonts w:ascii="宋体"/>
          <w:color w:val="auto"/>
          <w:szCs w:val="21"/>
          <w:u w:val="single"/>
        </w:rPr>
      </w:pPr>
      <w:r>
        <w:rPr>
          <w:rFonts w:hint="eastAsia" w:ascii="宋体" w:hAnsi="宋体"/>
          <w:color w:val="auto"/>
          <w:szCs w:val="21"/>
        </w:rPr>
        <w:t>我方请求：</w:t>
      </w:r>
    </w:p>
    <w:p>
      <w:pPr>
        <w:widowControl/>
        <w:spacing w:line="360" w:lineRule="auto"/>
        <w:ind w:firstLine="743" w:firstLineChars="354"/>
        <w:rPr>
          <w:rFonts w:ascii="宋体"/>
          <w:color w:val="auto"/>
          <w:szCs w:val="21"/>
        </w:rPr>
      </w:pPr>
      <w:r>
        <w:rPr>
          <w:rFonts w:hint="eastAsia" w:ascii="宋体" w:hAnsi="宋体"/>
          <w:color w:val="auto"/>
          <w:szCs w:val="21"/>
        </w:rPr>
        <w:t>我方对其他采购过程无质疑。</w:t>
      </w:r>
    </w:p>
    <w:p>
      <w:pPr>
        <w:widowControl/>
        <w:snapToGrid w:val="0"/>
        <w:spacing w:line="360" w:lineRule="auto"/>
        <w:ind w:firstLine="422" w:firstLineChars="200"/>
        <w:rPr>
          <w:rFonts w:ascii="宋体"/>
          <w:b/>
          <w:color w:val="auto"/>
          <w:szCs w:val="21"/>
        </w:rPr>
      </w:pPr>
      <w:r>
        <w:rPr>
          <w:rFonts w:hint="eastAsia" w:ascii="宋体" w:hAnsi="宋体"/>
          <w:b/>
          <w:color w:val="auto"/>
          <w:szCs w:val="21"/>
        </w:rPr>
        <w:t>质疑采购结果</w:t>
      </w:r>
    </w:p>
    <w:p>
      <w:pPr>
        <w:widowControl/>
        <w:snapToGrid w:val="0"/>
        <w:spacing w:line="360" w:lineRule="auto"/>
        <w:ind w:firstLine="420" w:firstLineChars="200"/>
        <w:rPr>
          <w:rFonts w:ascii="宋体"/>
          <w:color w:val="auto"/>
          <w:szCs w:val="21"/>
        </w:rPr>
      </w:pPr>
      <w:r>
        <w:rPr>
          <w:rFonts w:ascii="宋体" w:hAnsi="宋体"/>
          <w:color w:val="auto"/>
          <w:szCs w:val="21"/>
        </w:rPr>
        <w:t>1</w:t>
      </w:r>
      <w:r>
        <w:rPr>
          <w:rFonts w:hint="eastAsia" w:ascii="宋体" w:hAnsi="宋体"/>
          <w:color w:val="auto"/>
          <w:szCs w:val="21"/>
        </w:rPr>
        <w:t>．于</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日公布的中标（成交）结果，发生损害了我公司权益的事项，</w:t>
      </w:r>
    </w:p>
    <w:p>
      <w:pPr>
        <w:widowControl/>
        <w:spacing w:line="360" w:lineRule="auto"/>
        <w:ind w:firstLine="743" w:firstLineChars="354"/>
        <w:rPr>
          <w:rFonts w:ascii="宋体"/>
          <w:color w:val="auto"/>
          <w:szCs w:val="21"/>
        </w:rPr>
      </w:pPr>
      <w:r>
        <w:rPr>
          <w:rFonts w:hint="eastAsia" w:ascii="宋体" w:hAnsi="宋体"/>
          <w:color w:val="auto"/>
          <w:szCs w:val="21"/>
        </w:rPr>
        <w:t>事实依据：</w:t>
      </w:r>
      <w:r>
        <w:rPr>
          <w:rFonts w:ascii="宋体" w:hAnsi="宋体"/>
          <w:color w:val="auto"/>
          <w:szCs w:val="21"/>
        </w:rPr>
        <w:t xml:space="preserve"> </w:t>
      </w:r>
      <w:r>
        <w:rPr>
          <w:rFonts w:ascii="宋体" w:hAnsi="宋体"/>
          <w:color w:val="auto"/>
          <w:szCs w:val="21"/>
          <w:u w:val="single"/>
        </w:rPr>
        <w:t xml:space="preserve">                          </w:t>
      </w:r>
      <w:r>
        <w:rPr>
          <w:rFonts w:hint="eastAsia" w:ascii="宋体" w:hAnsi="宋体"/>
          <w:color w:val="auto"/>
          <w:szCs w:val="21"/>
          <w:u w:val="single"/>
        </w:rPr>
        <w:t>（</w:t>
      </w:r>
      <w:r>
        <w:rPr>
          <w:rFonts w:hint="eastAsia" w:ascii="宋体" w:hAnsi="宋体"/>
          <w:color w:val="auto"/>
          <w:szCs w:val="21"/>
        </w:rPr>
        <w:t>证据见附件第页）</w:t>
      </w:r>
    </w:p>
    <w:p>
      <w:pPr>
        <w:widowControl/>
        <w:spacing w:line="360" w:lineRule="auto"/>
        <w:ind w:firstLine="743" w:firstLineChars="354"/>
        <w:rPr>
          <w:rFonts w:ascii="宋体" w:cs="Arial"/>
          <w:color w:val="auto"/>
          <w:szCs w:val="21"/>
        </w:rPr>
      </w:pPr>
      <w:r>
        <w:rPr>
          <w:rFonts w:hint="eastAsia" w:ascii="宋体" w:hAnsi="宋体"/>
          <w:color w:val="auto"/>
          <w:szCs w:val="21"/>
        </w:rPr>
        <w:t>法律依据</w:t>
      </w:r>
      <w:r>
        <w:rPr>
          <w:rFonts w:hint="eastAsia" w:ascii="宋体" w:hAnsi="宋体" w:cs="Arial"/>
          <w:color w:val="auto"/>
          <w:szCs w:val="21"/>
        </w:rPr>
        <w:t>：</w:t>
      </w:r>
    </w:p>
    <w:p>
      <w:pPr>
        <w:widowControl/>
        <w:spacing w:line="360" w:lineRule="auto"/>
        <w:ind w:firstLine="743" w:firstLineChars="354"/>
        <w:rPr>
          <w:rFonts w:ascii="宋体"/>
          <w:color w:val="auto"/>
          <w:szCs w:val="21"/>
          <w:u w:val="single"/>
        </w:rPr>
      </w:pPr>
      <w:r>
        <w:rPr>
          <w:rFonts w:hint="eastAsia" w:ascii="宋体" w:hAnsi="宋体"/>
          <w:color w:val="auto"/>
          <w:szCs w:val="21"/>
        </w:rPr>
        <w:t>我方请求：</w:t>
      </w:r>
    </w:p>
    <w:p>
      <w:pPr>
        <w:widowControl/>
        <w:spacing w:line="360" w:lineRule="auto"/>
        <w:ind w:firstLine="743" w:firstLineChars="354"/>
        <w:rPr>
          <w:rFonts w:ascii="宋体"/>
          <w:color w:val="auto"/>
          <w:szCs w:val="21"/>
        </w:rPr>
      </w:pPr>
      <w:r>
        <w:rPr>
          <w:rFonts w:hint="eastAsia" w:ascii="宋体" w:hAnsi="宋体"/>
          <w:color w:val="auto"/>
          <w:szCs w:val="21"/>
        </w:rPr>
        <w:t>我方对中标（成交）结果公告其他内容无质疑。</w:t>
      </w:r>
    </w:p>
    <w:p>
      <w:pPr>
        <w:widowControl/>
        <w:snapToGrid w:val="0"/>
        <w:spacing w:line="360" w:lineRule="auto"/>
        <w:ind w:firstLine="420" w:firstLineChars="200"/>
        <w:rPr>
          <w:rFonts w:ascii="宋体"/>
          <w:color w:val="auto"/>
          <w:szCs w:val="21"/>
        </w:rPr>
      </w:pPr>
    </w:p>
    <w:p>
      <w:pPr>
        <w:widowControl/>
        <w:snapToGrid w:val="0"/>
        <w:spacing w:line="360" w:lineRule="auto"/>
        <w:ind w:firstLine="420" w:firstLineChars="200"/>
        <w:rPr>
          <w:rFonts w:ascii="宋体"/>
          <w:color w:val="auto"/>
          <w:szCs w:val="21"/>
        </w:rPr>
      </w:pPr>
      <w:r>
        <w:rPr>
          <w:rFonts w:hint="eastAsia" w:ascii="宋体" w:hAnsi="宋体"/>
          <w:color w:val="auto"/>
          <w:szCs w:val="21"/>
        </w:rPr>
        <w:t>二、为维护我公司的合法权益，现要求贵方就上述质疑事项依照政府采购有关规定在限期内作出回复。</w:t>
      </w:r>
    </w:p>
    <w:p>
      <w:pPr>
        <w:widowControl/>
        <w:snapToGrid w:val="0"/>
        <w:spacing w:line="360" w:lineRule="auto"/>
        <w:ind w:firstLine="420" w:firstLineChars="200"/>
        <w:rPr>
          <w:rFonts w:ascii="宋体"/>
          <w:color w:val="auto"/>
          <w:szCs w:val="21"/>
        </w:rPr>
      </w:pPr>
      <w:r>
        <w:rPr>
          <w:rFonts w:hint="eastAsia" w:ascii="宋体" w:hAnsi="宋体"/>
          <w:color w:val="auto"/>
          <w:szCs w:val="21"/>
        </w:rPr>
        <w:t>质疑供应商</w:t>
      </w:r>
      <w:r>
        <w:rPr>
          <w:rFonts w:hint="eastAsia" w:ascii="宋体" w:hAnsi="宋体"/>
          <w:color w:val="auto"/>
          <w:szCs w:val="21"/>
          <w:u w:val="single"/>
        </w:rPr>
        <w:t>：</w:t>
      </w:r>
      <w:r>
        <w:rPr>
          <w:rFonts w:ascii="宋体" w:hAnsi="宋体"/>
          <w:color w:val="auto"/>
          <w:szCs w:val="21"/>
          <w:u w:val="single"/>
        </w:rPr>
        <w:t xml:space="preserve"> </w:t>
      </w:r>
      <w:r>
        <w:rPr>
          <w:rFonts w:hint="eastAsia" w:ascii="宋体" w:hAnsi="宋体"/>
          <w:color w:val="auto"/>
          <w:szCs w:val="21"/>
          <w:u w:val="single"/>
        </w:rPr>
        <w:t>（签章）</w:t>
      </w:r>
      <w:r>
        <w:rPr>
          <w:rFonts w:ascii="宋体" w:hAnsi="宋体"/>
          <w:color w:val="auto"/>
          <w:szCs w:val="21"/>
          <w:u w:val="single"/>
        </w:rPr>
        <w:t xml:space="preserve">  </w:t>
      </w:r>
    </w:p>
    <w:p>
      <w:pPr>
        <w:widowControl/>
        <w:snapToGrid w:val="0"/>
        <w:spacing w:line="360" w:lineRule="auto"/>
        <w:ind w:firstLine="420" w:firstLineChars="200"/>
        <w:rPr>
          <w:rFonts w:ascii="宋体"/>
          <w:color w:val="auto"/>
          <w:szCs w:val="21"/>
        </w:rPr>
      </w:pPr>
      <w:r>
        <w:rPr>
          <w:rFonts w:hint="eastAsia" w:ascii="宋体" w:hAnsi="宋体"/>
          <w:color w:val="auto"/>
          <w:szCs w:val="21"/>
        </w:rPr>
        <w:t>主要负责人</w:t>
      </w:r>
      <w:r>
        <w:rPr>
          <w:rFonts w:ascii="宋体" w:hAnsi="宋体"/>
          <w:color w:val="auto"/>
          <w:szCs w:val="21"/>
        </w:rPr>
        <w:t xml:space="preserve"> </w:t>
      </w:r>
      <w:r>
        <w:rPr>
          <w:rFonts w:hint="eastAsia" w:ascii="宋体" w:hAnsi="宋体"/>
          <w:color w:val="auto"/>
          <w:szCs w:val="21"/>
        </w:rPr>
        <w:t>：（签署本人姓名或印盖本人姓名章）</w:t>
      </w:r>
    </w:p>
    <w:p>
      <w:pPr>
        <w:widowControl/>
        <w:snapToGrid w:val="0"/>
        <w:spacing w:line="360" w:lineRule="auto"/>
        <w:ind w:firstLine="420" w:firstLineChars="200"/>
        <w:rPr>
          <w:rFonts w:ascii="宋体"/>
          <w:color w:val="auto"/>
          <w:szCs w:val="21"/>
        </w:rPr>
      </w:pPr>
      <w:r>
        <w:rPr>
          <w:rFonts w:hint="eastAsia" w:ascii="宋体" w:hAnsi="宋体"/>
          <w:color w:val="auto"/>
          <w:szCs w:val="21"/>
        </w:rPr>
        <w:t>项目联系人：</w:t>
      </w:r>
    </w:p>
    <w:p>
      <w:pPr>
        <w:widowControl/>
        <w:snapToGrid w:val="0"/>
        <w:spacing w:line="360" w:lineRule="auto"/>
        <w:ind w:firstLine="420" w:firstLineChars="200"/>
        <w:rPr>
          <w:rFonts w:ascii="宋体"/>
          <w:color w:val="auto"/>
          <w:szCs w:val="21"/>
          <w:u w:val="single"/>
        </w:rPr>
      </w:pPr>
      <w:r>
        <w:rPr>
          <w:rFonts w:hint="eastAsia" w:ascii="宋体" w:hAnsi="宋体"/>
          <w:color w:val="auto"/>
          <w:szCs w:val="21"/>
        </w:rPr>
        <w:t>地址：</w:t>
      </w:r>
    </w:p>
    <w:p>
      <w:pPr>
        <w:widowControl/>
        <w:snapToGrid w:val="0"/>
        <w:spacing w:line="360" w:lineRule="auto"/>
        <w:ind w:firstLine="420" w:firstLineChars="200"/>
        <w:rPr>
          <w:rFonts w:ascii="宋体"/>
          <w:color w:val="auto"/>
          <w:szCs w:val="21"/>
          <w:u w:val="single"/>
        </w:rPr>
      </w:pPr>
      <w:r>
        <w:rPr>
          <w:rFonts w:hint="eastAsia" w:ascii="宋体" w:hAnsi="宋体"/>
          <w:color w:val="auto"/>
          <w:szCs w:val="21"/>
        </w:rPr>
        <w:t>法定代表人：（签署本人姓名或印盖本人姓名章）</w:t>
      </w:r>
    </w:p>
    <w:p>
      <w:pPr>
        <w:widowControl/>
        <w:snapToGrid w:val="0"/>
        <w:spacing w:line="360" w:lineRule="auto"/>
        <w:ind w:firstLine="420" w:firstLineChars="200"/>
        <w:rPr>
          <w:rFonts w:ascii="宋体"/>
          <w:color w:val="auto"/>
          <w:szCs w:val="21"/>
          <w:u w:val="single"/>
        </w:rPr>
      </w:pPr>
      <w:r>
        <w:rPr>
          <w:rFonts w:hint="eastAsia" w:ascii="宋体" w:hAnsi="宋体"/>
          <w:color w:val="auto"/>
          <w:szCs w:val="21"/>
        </w:rPr>
        <w:t>职位：</w:t>
      </w:r>
    </w:p>
    <w:p>
      <w:pPr>
        <w:widowControl/>
        <w:snapToGrid w:val="0"/>
        <w:spacing w:line="360" w:lineRule="auto"/>
        <w:ind w:firstLine="420" w:firstLineChars="200"/>
        <w:rPr>
          <w:rFonts w:ascii="宋体"/>
          <w:color w:val="auto"/>
          <w:szCs w:val="21"/>
        </w:rPr>
      </w:pPr>
      <w:r>
        <w:rPr>
          <w:rFonts w:hint="eastAsia" w:ascii="宋体" w:hAnsi="宋体"/>
          <w:color w:val="auto"/>
          <w:szCs w:val="21"/>
        </w:rPr>
        <w:t>电话（手机</w:t>
      </w:r>
      <w:r>
        <w:rPr>
          <w:rFonts w:ascii="宋体" w:hAnsi="宋体"/>
          <w:color w:val="auto"/>
          <w:szCs w:val="21"/>
        </w:rPr>
        <w:t>/</w:t>
      </w:r>
      <w:r>
        <w:rPr>
          <w:rFonts w:hint="eastAsia" w:ascii="宋体" w:hAnsi="宋体"/>
          <w:color w:val="auto"/>
          <w:szCs w:val="21"/>
        </w:rPr>
        <w:t>座机）：</w:t>
      </w:r>
    </w:p>
    <w:p>
      <w:pPr>
        <w:widowControl/>
        <w:snapToGrid w:val="0"/>
        <w:spacing w:line="360" w:lineRule="auto"/>
        <w:ind w:firstLine="420" w:firstLineChars="200"/>
        <w:rPr>
          <w:rFonts w:ascii="宋体"/>
          <w:color w:val="auto"/>
          <w:szCs w:val="21"/>
        </w:rPr>
      </w:pPr>
      <w:r>
        <w:rPr>
          <w:rFonts w:hint="eastAsia" w:ascii="宋体" w:hAnsi="宋体"/>
          <w:color w:val="auto"/>
          <w:szCs w:val="21"/>
        </w:rPr>
        <w:t>邮编：</w:t>
      </w:r>
    </w:p>
    <w:p>
      <w:pPr>
        <w:widowControl/>
        <w:snapToGrid w:val="0"/>
        <w:spacing w:line="360" w:lineRule="auto"/>
        <w:ind w:firstLine="420" w:firstLineChars="200"/>
        <w:rPr>
          <w:rFonts w:ascii="宋体"/>
          <w:color w:val="auto"/>
          <w:szCs w:val="21"/>
        </w:rPr>
      </w:pPr>
      <w:r>
        <w:rPr>
          <w:rFonts w:hint="eastAsia" w:ascii="宋体" w:hAnsi="宋体"/>
          <w:color w:val="auto"/>
          <w:szCs w:val="21"/>
        </w:rPr>
        <w:t>电子邮箱：</w:t>
      </w:r>
    </w:p>
    <w:p>
      <w:pPr>
        <w:widowControl/>
        <w:snapToGrid w:val="0"/>
        <w:spacing w:line="360" w:lineRule="auto"/>
        <w:ind w:firstLine="420" w:firstLineChars="200"/>
        <w:rPr>
          <w:rFonts w:ascii="宋体"/>
          <w:color w:val="auto"/>
          <w:szCs w:val="21"/>
          <w:u w:val="single"/>
        </w:rPr>
      </w:pPr>
      <w:r>
        <w:rPr>
          <w:rFonts w:hint="eastAsia" w:ascii="宋体" w:hAnsi="宋体"/>
          <w:color w:val="auto"/>
          <w:szCs w:val="21"/>
        </w:rPr>
        <w:t>传真：</w:t>
      </w:r>
    </w:p>
    <w:p>
      <w:pPr>
        <w:widowControl/>
        <w:snapToGrid w:val="0"/>
        <w:spacing w:line="360" w:lineRule="auto"/>
        <w:ind w:firstLine="420" w:firstLineChars="200"/>
        <w:jc w:val="left"/>
        <w:rPr>
          <w:rFonts w:ascii="宋体"/>
          <w:color w:val="auto"/>
          <w:szCs w:val="21"/>
        </w:rPr>
      </w:pPr>
      <w:r>
        <w:rPr>
          <w:rFonts w:hint="eastAsia" w:ascii="宋体" w:hAnsi="宋体"/>
          <w:color w:val="auto"/>
          <w:szCs w:val="21"/>
        </w:rPr>
        <w:t xml:space="preserve">日期：     年   月  </w:t>
      </w:r>
      <w:r>
        <w:rPr>
          <w:rFonts w:hint="eastAsia" w:ascii="宋体" w:hAnsi="宋体" w:cs="宋体"/>
          <w:bCs/>
          <w:color w:val="auto"/>
          <w:szCs w:val="21"/>
        </w:rPr>
        <w:t xml:space="preserve"> 日</w:t>
      </w:r>
    </w:p>
    <w:p>
      <w:pPr>
        <w:widowControl/>
        <w:snapToGrid w:val="0"/>
        <w:spacing w:line="360" w:lineRule="auto"/>
        <w:ind w:firstLine="420" w:firstLineChars="200"/>
        <w:rPr>
          <w:rFonts w:ascii="宋体"/>
          <w:color w:val="auto"/>
          <w:szCs w:val="21"/>
        </w:rPr>
      </w:pPr>
      <w:r>
        <w:rPr>
          <w:rFonts w:hint="eastAsia" w:ascii="宋体" w:hAnsi="宋体"/>
          <w:color w:val="auto"/>
          <w:szCs w:val="21"/>
        </w:rPr>
        <w:t>备注：</w:t>
      </w:r>
    </w:p>
    <w:p>
      <w:pPr>
        <w:widowControl/>
        <w:numPr>
          <w:ilvl w:val="0"/>
          <w:numId w:val="6"/>
        </w:numPr>
        <w:snapToGrid w:val="0"/>
        <w:spacing w:line="360" w:lineRule="auto"/>
        <w:rPr>
          <w:rFonts w:ascii="宋体"/>
          <w:color w:val="auto"/>
          <w:szCs w:val="21"/>
        </w:rPr>
      </w:pPr>
      <w:r>
        <w:rPr>
          <w:rFonts w:hint="eastAsia" w:ascii="宋体" w:hAnsi="宋体"/>
          <w:color w:val="auto"/>
          <w:szCs w:val="21"/>
        </w:rPr>
        <w:t>每个质疑事项应有与之相对应的证据予以支持。质疑事项属于涉密的，应提供信息来源或有效证据。</w:t>
      </w:r>
    </w:p>
    <w:p>
      <w:pPr>
        <w:widowControl/>
        <w:numPr>
          <w:ilvl w:val="0"/>
          <w:numId w:val="6"/>
        </w:numPr>
        <w:snapToGrid w:val="0"/>
        <w:spacing w:line="360" w:lineRule="auto"/>
        <w:rPr>
          <w:rFonts w:ascii="宋体"/>
          <w:color w:val="auto"/>
          <w:szCs w:val="21"/>
        </w:rPr>
      </w:pPr>
      <w:r>
        <w:rPr>
          <w:rFonts w:hint="eastAsia" w:ascii="宋体" w:hAnsi="宋体"/>
          <w:color w:val="auto"/>
          <w:szCs w:val="21"/>
        </w:rPr>
        <w:t>供应商质疑、投诉应当有明确的请求和必要的证明材料</w:t>
      </w:r>
      <w:r>
        <w:rPr>
          <w:rFonts w:ascii="宋体" w:hAnsi="宋体"/>
          <w:color w:val="auto"/>
          <w:szCs w:val="21"/>
        </w:rPr>
        <w:t>(</w:t>
      </w:r>
      <w:r>
        <w:rPr>
          <w:rFonts w:hint="eastAsia" w:ascii="宋体" w:hAnsi="宋体"/>
          <w:color w:val="auto"/>
          <w:szCs w:val="21"/>
        </w:rPr>
        <w:t>依据《中华人民共和国政府采购法实施条例》第五十七条，捏造事实、提供虚假材料或者以非法手段取得证明材料不能作为质疑、投诉的证明材料；依据《中华人民共和国政府采购法实施条例》第七十三条，供应商捏造事实、提供虚假材料或者以非法手段取得证明材料进行投诉的，由财政部门列入不良行为记录名单，禁止</w:t>
      </w:r>
      <w:r>
        <w:rPr>
          <w:rFonts w:ascii="宋体" w:hAnsi="宋体"/>
          <w:color w:val="auto"/>
          <w:szCs w:val="21"/>
        </w:rPr>
        <w:t>1</w:t>
      </w:r>
      <w:r>
        <w:rPr>
          <w:rFonts w:hint="eastAsia" w:ascii="宋体" w:hAnsi="宋体"/>
          <w:color w:val="auto"/>
          <w:szCs w:val="21"/>
        </w:rPr>
        <w:t>至</w:t>
      </w:r>
      <w:r>
        <w:rPr>
          <w:rFonts w:ascii="宋体" w:hAnsi="宋体"/>
          <w:color w:val="auto"/>
          <w:szCs w:val="21"/>
        </w:rPr>
        <w:t>3</w:t>
      </w:r>
      <w:r>
        <w:rPr>
          <w:rFonts w:hint="eastAsia" w:ascii="宋体" w:hAnsi="宋体"/>
          <w:color w:val="auto"/>
          <w:szCs w:val="21"/>
        </w:rPr>
        <w:t>年内参加政府采购活动</w:t>
      </w:r>
      <w:r>
        <w:rPr>
          <w:rFonts w:ascii="宋体" w:hAnsi="宋体"/>
          <w:color w:val="auto"/>
          <w:szCs w:val="21"/>
        </w:rPr>
        <w:t>)</w:t>
      </w:r>
      <w:r>
        <w:rPr>
          <w:rFonts w:hint="eastAsia" w:ascii="宋体" w:hAnsi="宋体"/>
          <w:color w:val="auto"/>
          <w:szCs w:val="21"/>
        </w:rPr>
        <w:t>。</w:t>
      </w:r>
    </w:p>
    <w:p>
      <w:pPr>
        <w:widowControl/>
        <w:numPr>
          <w:ilvl w:val="0"/>
          <w:numId w:val="6"/>
        </w:numPr>
        <w:snapToGrid w:val="0"/>
        <w:spacing w:line="360" w:lineRule="auto"/>
        <w:rPr>
          <w:rFonts w:ascii="宋体"/>
          <w:color w:val="auto"/>
          <w:szCs w:val="21"/>
        </w:rPr>
      </w:pPr>
      <w:r>
        <w:rPr>
          <w:rFonts w:hint="eastAsia" w:ascii="宋体" w:hAnsi="宋体"/>
          <w:color w:val="auto"/>
          <w:szCs w:val="21"/>
        </w:rPr>
        <w:t>质疑函应当署名。质疑人为自然人的，应当有本人签名；质疑人为法人或者其他组织的，应当由法定代表人或者主要负责人</w:t>
      </w:r>
      <w:r>
        <w:rPr>
          <w:rFonts w:hint="eastAsia" w:ascii="宋体" w:hAnsi="宋体" w:cs="宋体"/>
          <w:color w:val="auto"/>
          <w:szCs w:val="21"/>
          <w:lang w:eastAsia="zh-TW"/>
        </w:rPr>
        <w:t>签署本人姓名（或印盖本人姓名章）</w:t>
      </w:r>
      <w:r>
        <w:rPr>
          <w:rFonts w:hint="eastAsia" w:ascii="宋体" w:hAnsi="宋体"/>
          <w:color w:val="auto"/>
          <w:szCs w:val="21"/>
        </w:rPr>
        <w:t>并加盖公章。</w:t>
      </w:r>
    </w:p>
    <w:p>
      <w:pPr>
        <w:autoSpaceDE w:val="0"/>
        <w:autoSpaceDN w:val="0"/>
        <w:adjustRightInd w:val="0"/>
        <w:snapToGrid w:val="0"/>
        <w:spacing w:line="360" w:lineRule="auto"/>
        <w:outlineLvl w:val="0"/>
        <w:rPr>
          <w:rFonts w:ascii="宋体" w:hAnsi="宋体" w:cs="宋体"/>
          <w:color w:val="auto"/>
          <w:szCs w:val="21"/>
        </w:rPr>
      </w:pPr>
      <w:r>
        <w:rPr>
          <w:rFonts w:ascii="宋体" w:hAnsi="宋体" w:cs="宋体"/>
          <w:color w:val="auto"/>
          <w:szCs w:val="21"/>
        </w:rPr>
        <w:br w:type="page"/>
      </w:r>
    </w:p>
    <w:p>
      <w:pPr>
        <w:spacing w:line="360" w:lineRule="auto"/>
        <w:rPr>
          <w:rFonts w:ascii="宋体" w:hAnsi="宋体"/>
          <w:color w:val="auto"/>
          <w:sz w:val="44"/>
        </w:rPr>
      </w:pPr>
      <w:bookmarkStart w:id="249" w:name="_Toc320515055"/>
    </w:p>
    <w:p>
      <w:pPr>
        <w:spacing w:line="360" w:lineRule="auto"/>
        <w:rPr>
          <w:rFonts w:ascii="宋体" w:hAnsi="宋体"/>
          <w:color w:val="auto"/>
          <w:sz w:val="44"/>
        </w:rPr>
      </w:pPr>
    </w:p>
    <w:p>
      <w:pPr>
        <w:spacing w:line="360" w:lineRule="auto"/>
        <w:rPr>
          <w:rFonts w:ascii="宋体" w:hAnsi="宋体"/>
          <w:color w:val="auto"/>
          <w:sz w:val="44"/>
        </w:rPr>
      </w:pPr>
    </w:p>
    <w:p>
      <w:pPr>
        <w:spacing w:line="360" w:lineRule="auto"/>
        <w:rPr>
          <w:rFonts w:ascii="宋体" w:hAnsi="宋体"/>
          <w:color w:val="auto"/>
          <w:sz w:val="44"/>
        </w:rPr>
      </w:pPr>
    </w:p>
    <w:p>
      <w:pPr>
        <w:spacing w:line="360" w:lineRule="auto"/>
        <w:rPr>
          <w:rFonts w:ascii="宋体" w:hAnsi="宋体"/>
          <w:color w:val="auto"/>
          <w:sz w:val="44"/>
        </w:rPr>
      </w:pPr>
    </w:p>
    <w:p>
      <w:pPr>
        <w:spacing w:line="360" w:lineRule="auto"/>
        <w:rPr>
          <w:rFonts w:ascii="宋体" w:hAnsi="宋体"/>
          <w:color w:val="auto"/>
          <w:sz w:val="44"/>
        </w:rPr>
      </w:pPr>
    </w:p>
    <w:p>
      <w:pPr>
        <w:pStyle w:val="4"/>
        <w:autoSpaceDE w:val="0"/>
        <w:rPr>
          <w:color w:val="auto"/>
          <w:sz w:val="44"/>
        </w:rPr>
      </w:pPr>
      <w:bookmarkStart w:id="250" w:name="_Toc475104521"/>
      <w:r>
        <w:rPr>
          <w:rFonts w:cs="ZWAdobeF"/>
          <w:b w:val="0"/>
          <w:color w:val="auto"/>
          <w:sz w:val="2"/>
          <w:szCs w:val="2"/>
        </w:rPr>
        <w:t>2B2B</w:t>
      </w:r>
      <w:r>
        <w:rPr>
          <w:rFonts w:hint="eastAsia"/>
          <w:color w:val="auto"/>
          <w:sz w:val="44"/>
        </w:rPr>
        <w:t>第三章</w:t>
      </w:r>
      <w:bookmarkStart w:id="251" w:name="_Toc10525517"/>
      <w:r>
        <w:rPr>
          <w:rFonts w:hint="eastAsia"/>
          <w:color w:val="auto"/>
          <w:sz w:val="44"/>
        </w:rPr>
        <w:t xml:space="preserve"> 采购人需求书</w:t>
      </w:r>
      <w:bookmarkEnd w:id="229"/>
      <w:bookmarkEnd w:id="230"/>
      <w:bookmarkEnd w:id="249"/>
      <w:bookmarkEnd w:id="250"/>
      <w:bookmarkEnd w:id="251"/>
    </w:p>
    <w:p>
      <w:pPr>
        <w:spacing w:line="360" w:lineRule="auto"/>
        <w:rPr>
          <w:rFonts w:ascii="宋体" w:hAnsi="宋体"/>
          <w:color w:val="auto"/>
        </w:rPr>
      </w:pPr>
      <w:bookmarkStart w:id="252" w:name="_Toc14450822"/>
      <w:bookmarkStart w:id="253" w:name="_Toc28489480"/>
    </w:p>
    <w:p>
      <w:pPr>
        <w:spacing w:line="360" w:lineRule="auto"/>
        <w:rPr>
          <w:rFonts w:ascii="宋体" w:hAnsi="宋体"/>
          <w:color w:val="auto"/>
        </w:rPr>
      </w:pPr>
    </w:p>
    <w:p>
      <w:pPr>
        <w:spacing w:line="360" w:lineRule="auto"/>
        <w:rPr>
          <w:rFonts w:ascii="宋体" w:hAnsi="宋体"/>
          <w:color w:val="auto"/>
        </w:rPr>
      </w:pPr>
    </w:p>
    <w:p>
      <w:pPr>
        <w:spacing w:line="360" w:lineRule="auto"/>
        <w:rPr>
          <w:rFonts w:ascii="宋体" w:hAnsi="宋体"/>
          <w:color w:val="auto"/>
        </w:rPr>
      </w:pPr>
    </w:p>
    <w:p>
      <w:pPr>
        <w:spacing w:line="360" w:lineRule="auto"/>
        <w:rPr>
          <w:rFonts w:ascii="宋体" w:hAnsi="宋体"/>
          <w:color w:val="auto"/>
        </w:rPr>
      </w:pPr>
    </w:p>
    <w:p>
      <w:pPr>
        <w:spacing w:line="360" w:lineRule="auto"/>
        <w:rPr>
          <w:rFonts w:ascii="宋体" w:hAnsi="宋体"/>
          <w:color w:val="auto"/>
        </w:rPr>
      </w:pPr>
    </w:p>
    <w:p>
      <w:pPr>
        <w:spacing w:line="360" w:lineRule="auto"/>
        <w:rPr>
          <w:rFonts w:ascii="宋体" w:hAnsi="宋体"/>
          <w:color w:val="auto"/>
        </w:rPr>
      </w:pPr>
    </w:p>
    <w:p>
      <w:pPr>
        <w:spacing w:line="360" w:lineRule="auto"/>
        <w:rPr>
          <w:rFonts w:ascii="宋体" w:hAnsi="宋体"/>
          <w:color w:val="auto"/>
        </w:rPr>
      </w:pPr>
    </w:p>
    <w:p>
      <w:pPr>
        <w:spacing w:line="360" w:lineRule="auto"/>
        <w:rPr>
          <w:rFonts w:ascii="宋体" w:hAnsi="宋体"/>
          <w:color w:val="auto"/>
        </w:rPr>
      </w:pPr>
    </w:p>
    <w:p>
      <w:pPr>
        <w:spacing w:line="360" w:lineRule="auto"/>
        <w:rPr>
          <w:rFonts w:ascii="宋体" w:hAnsi="宋体"/>
          <w:color w:val="auto"/>
        </w:rPr>
      </w:pPr>
    </w:p>
    <w:p>
      <w:pPr>
        <w:spacing w:line="360" w:lineRule="auto"/>
        <w:rPr>
          <w:rFonts w:ascii="宋体" w:hAnsi="宋体"/>
          <w:color w:val="auto"/>
        </w:rPr>
      </w:pPr>
    </w:p>
    <w:p>
      <w:pPr>
        <w:spacing w:line="360" w:lineRule="auto"/>
        <w:rPr>
          <w:rFonts w:ascii="宋体" w:hAnsi="宋体"/>
          <w:color w:val="auto"/>
        </w:rPr>
      </w:pPr>
    </w:p>
    <w:p>
      <w:pPr>
        <w:spacing w:line="360" w:lineRule="auto"/>
        <w:rPr>
          <w:rFonts w:ascii="宋体" w:hAnsi="宋体"/>
          <w:color w:val="auto"/>
        </w:rPr>
      </w:pPr>
    </w:p>
    <w:p>
      <w:pPr>
        <w:spacing w:line="360" w:lineRule="auto"/>
        <w:rPr>
          <w:rFonts w:ascii="宋体" w:hAnsi="宋体"/>
          <w:color w:val="auto"/>
        </w:rPr>
      </w:pPr>
    </w:p>
    <w:p>
      <w:pPr>
        <w:adjustRightInd w:val="0"/>
        <w:snapToGrid w:val="0"/>
        <w:spacing w:line="360" w:lineRule="auto"/>
        <w:rPr>
          <w:rFonts w:ascii="宋体" w:hAnsi="宋体"/>
          <w:b/>
          <w:color w:val="auto"/>
          <w:sz w:val="24"/>
        </w:rPr>
      </w:pPr>
      <w:bookmarkStart w:id="254" w:name="_Toc321815826"/>
      <w:bookmarkEnd w:id="254"/>
      <w:bookmarkStart w:id="255" w:name="_Toc321815815"/>
      <w:bookmarkEnd w:id="255"/>
      <w:bookmarkStart w:id="256" w:name="_Toc321815809"/>
      <w:bookmarkEnd w:id="256"/>
      <w:bookmarkStart w:id="257" w:name="_Toc321815817"/>
      <w:bookmarkEnd w:id="257"/>
      <w:bookmarkStart w:id="258" w:name="_Toc321815825"/>
      <w:bookmarkEnd w:id="258"/>
      <w:bookmarkStart w:id="259" w:name="_Toc321815804"/>
      <w:bookmarkEnd w:id="259"/>
      <w:bookmarkStart w:id="260" w:name="_Toc321815821"/>
      <w:bookmarkEnd w:id="260"/>
      <w:bookmarkStart w:id="261" w:name="_Toc321815806"/>
      <w:bookmarkEnd w:id="261"/>
      <w:bookmarkStart w:id="262" w:name="_Toc321815802"/>
      <w:bookmarkEnd w:id="262"/>
      <w:bookmarkStart w:id="263" w:name="_Toc321815818"/>
      <w:bookmarkEnd w:id="263"/>
      <w:bookmarkStart w:id="264" w:name="_Toc321815801"/>
      <w:bookmarkEnd w:id="264"/>
      <w:bookmarkStart w:id="265" w:name="_Toc321815810"/>
      <w:bookmarkEnd w:id="265"/>
      <w:bookmarkStart w:id="266" w:name="_Toc321815811"/>
      <w:bookmarkEnd w:id="266"/>
      <w:bookmarkStart w:id="267" w:name="_Toc321815819"/>
      <w:bookmarkEnd w:id="267"/>
      <w:bookmarkStart w:id="268" w:name="_Toc321815813"/>
      <w:bookmarkEnd w:id="268"/>
      <w:bookmarkStart w:id="269" w:name="_Toc321815822"/>
      <w:bookmarkEnd w:id="269"/>
      <w:bookmarkStart w:id="270" w:name="_Toc321815812"/>
      <w:bookmarkEnd w:id="270"/>
      <w:bookmarkStart w:id="271" w:name="_Toc321815820"/>
      <w:bookmarkEnd w:id="271"/>
      <w:bookmarkStart w:id="272" w:name="_Toc321815805"/>
      <w:bookmarkEnd w:id="272"/>
      <w:bookmarkStart w:id="273" w:name="_Toc321815814"/>
      <w:bookmarkEnd w:id="273"/>
      <w:bookmarkStart w:id="274" w:name="_Toc321815816"/>
      <w:bookmarkEnd w:id="274"/>
      <w:bookmarkStart w:id="275" w:name="_Toc321815808"/>
      <w:bookmarkEnd w:id="275"/>
      <w:bookmarkStart w:id="276" w:name="_Toc321815807"/>
      <w:bookmarkEnd w:id="276"/>
      <w:bookmarkStart w:id="277" w:name="_Toc321815824"/>
      <w:bookmarkEnd w:id="277"/>
      <w:bookmarkStart w:id="278" w:name="_Toc321815823"/>
      <w:bookmarkEnd w:id="278"/>
      <w:bookmarkStart w:id="279" w:name="_Toc320515056"/>
    </w:p>
    <w:p>
      <w:pPr>
        <w:adjustRightInd w:val="0"/>
        <w:snapToGrid w:val="0"/>
        <w:spacing w:line="360" w:lineRule="auto"/>
        <w:rPr>
          <w:rFonts w:ascii="宋体" w:hAnsi="宋体"/>
          <w:b/>
          <w:color w:val="auto"/>
          <w:sz w:val="24"/>
        </w:rPr>
      </w:pPr>
    </w:p>
    <w:p>
      <w:pPr>
        <w:adjustRightInd w:val="0"/>
        <w:snapToGrid w:val="0"/>
        <w:spacing w:line="360" w:lineRule="auto"/>
        <w:rPr>
          <w:rFonts w:ascii="宋体" w:hAnsi="宋体"/>
          <w:b/>
          <w:color w:val="auto"/>
          <w:sz w:val="24"/>
        </w:rPr>
      </w:pPr>
    </w:p>
    <w:p>
      <w:pPr>
        <w:adjustRightInd w:val="0"/>
        <w:snapToGrid w:val="0"/>
        <w:spacing w:line="360" w:lineRule="auto"/>
        <w:rPr>
          <w:rFonts w:ascii="宋体" w:hAnsi="宋体"/>
          <w:b/>
          <w:color w:val="auto"/>
          <w:sz w:val="24"/>
        </w:rPr>
      </w:pPr>
    </w:p>
    <w:p>
      <w:pPr>
        <w:adjustRightInd w:val="0"/>
        <w:snapToGrid w:val="0"/>
        <w:spacing w:line="360" w:lineRule="auto"/>
        <w:rPr>
          <w:rFonts w:ascii="宋体" w:hAnsi="宋体"/>
          <w:b/>
          <w:color w:val="auto"/>
          <w:sz w:val="24"/>
        </w:rPr>
      </w:pPr>
    </w:p>
    <w:p>
      <w:pPr>
        <w:autoSpaceDE w:val="0"/>
        <w:autoSpaceDN w:val="0"/>
        <w:adjustRightInd w:val="0"/>
        <w:snapToGrid w:val="0"/>
        <w:spacing w:line="360" w:lineRule="auto"/>
        <w:jc w:val="center"/>
        <w:outlineLvl w:val="0"/>
        <w:rPr>
          <w:rFonts w:ascii="宋体" w:hAnsi="宋体"/>
          <w:b/>
          <w:bCs/>
          <w:color w:val="auto"/>
          <w:sz w:val="28"/>
          <w:szCs w:val="28"/>
        </w:rPr>
      </w:pPr>
    </w:p>
    <w:p>
      <w:pPr>
        <w:autoSpaceDE w:val="0"/>
        <w:autoSpaceDN w:val="0"/>
        <w:adjustRightInd w:val="0"/>
        <w:snapToGrid w:val="0"/>
        <w:spacing w:line="360" w:lineRule="auto"/>
        <w:jc w:val="center"/>
        <w:outlineLvl w:val="0"/>
        <w:rPr>
          <w:rFonts w:ascii="宋体" w:hAnsi="宋体"/>
          <w:b/>
          <w:bCs/>
          <w:color w:val="auto"/>
          <w:sz w:val="28"/>
          <w:szCs w:val="28"/>
        </w:rPr>
      </w:pPr>
    </w:p>
    <w:p>
      <w:pPr>
        <w:autoSpaceDE w:val="0"/>
        <w:autoSpaceDN w:val="0"/>
        <w:adjustRightInd w:val="0"/>
        <w:snapToGrid w:val="0"/>
        <w:spacing w:line="360" w:lineRule="auto"/>
        <w:jc w:val="center"/>
        <w:outlineLvl w:val="0"/>
        <w:rPr>
          <w:rFonts w:ascii="宋体" w:hAnsi="宋体"/>
          <w:b/>
          <w:bCs/>
          <w:color w:val="auto"/>
          <w:sz w:val="28"/>
          <w:szCs w:val="28"/>
        </w:rPr>
      </w:pPr>
      <w:r>
        <w:rPr>
          <w:rFonts w:hint="eastAsia" w:ascii="宋体" w:hAnsi="宋体"/>
          <w:b/>
          <w:bCs/>
          <w:color w:val="auto"/>
          <w:sz w:val="28"/>
          <w:szCs w:val="28"/>
        </w:rPr>
        <w:t>采购人需求</w:t>
      </w:r>
    </w:p>
    <w:bookmarkEnd w:id="252"/>
    <w:bookmarkEnd w:id="253"/>
    <w:bookmarkEnd w:id="279"/>
    <w:p>
      <w:pPr>
        <w:pStyle w:val="46"/>
        <w:tabs>
          <w:tab w:val="left" w:pos="7740"/>
        </w:tabs>
        <w:adjustRightInd w:val="0"/>
        <w:snapToGrid w:val="0"/>
        <w:spacing w:beforeLines="50" w:line="360" w:lineRule="auto"/>
        <w:outlineLvl w:val="1"/>
        <w:rPr>
          <w:rFonts w:hAnsi="宋体"/>
          <w:b/>
          <w:color w:val="auto"/>
          <w:lang w:val="zh-CN"/>
        </w:rPr>
      </w:pPr>
      <w:bookmarkStart w:id="280" w:name="_Toc317609036"/>
      <w:r>
        <w:rPr>
          <w:rFonts w:hint="eastAsia" w:hAnsi="宋体"/>
          <w:b/>
          <w:color w:val="auto"/>
          <w:lang w:val="zh-CN"/>
        </w:rPr>
        <w:t>一、项目情况介绍</w:t>
      </w:r>
      <w:bookmarkEnd w:id="280"/>
    </w:p>
    <w:p>
      <w:pPr>
        <w:spacing w:line="360" w:lineRule="auto"/>
        <w:rPr>
          <w:color w:val="auto"/>
        </w:rPr>
      </w:pPr>
      <w:r>
        <w:rPr>
          <w:rFonts w:hint="eastAsia"/>
          <w:color w:val="auto"/>
        </w:rPr>
        <w:t>（一）</w:t>
      </w:r>
      <w:r>
        <w:rPr>
          <w:color w:val="auto"/>
        </w:rPr>
        <w:t>项目名称</w:t>
      </w:r>
      <w:r>
        <w:rPr>
          <w:rFonts w:hint="eastAsia"/>
          <w:color w:val="auto"/>
        </w:rPr>
        <w:t>：广东省农业科学院动物科学研究所系统微生物研究实验室内部改造工程</w:t>
      </w:r>
    </w:p>
    <w:p>
      <w:pPr>
        <w:spacing w:line="360" w:lineRule="auto"/>
        <w:rPr>
          <w:color w:val="auto"/>
        </w:rPr>
      </w:pPr>
      <w:r>
        <w:rPr>
          <w:rFonts w:hint="eastAsia"/>
          <w:color w:val="auto"/>
        </w:rPr>
        <w:t>（二）采购人</w:t>
      </w:r>
      <w:r>
        <w:rPr>
          <w:color w:val="auto"/>
        </w:rPr>
        <w:t>：</w:t>
      </w:r>
      <w:r>
        <w:rPr>
          <w:rFonts w:hint="eastAsia"/>
          <w:color w:val="auto"/>
        </w:rPr>
        <w:t>广东省农业科学院动物科学研究所</w:t>
      </w:r>
    </w:p>
    <w:p>
      <w:pPr>
        <w:spacing w:line="360" w:lineRule="auto"/>
        <w:rPr>
          <w:rFonts w:ascii="宋体" w:hAnsi="宋体" w:cs="宋体"/>
          <w:color w:val="auto"/>
          <w:kern w:val="0"/>
          <w:sz w:val="24"/>
        </w:rPr>
      </w:pPr>
      <w:r>
        <w:rPr>
          <w:rFonts w:hint="eastAsia"/>
          <w:color w:val="auto"/>
        </w:rPr>
        <w:t>（三）项目实施</w:t>
      </w:r>
      <w:r>
        <w:rPr>
          <w:color w:val="auto"/>
        </w:rPr>
        <w:t>地点：</w:t>
      </w:r>
      <w:r>
        <w:rPr>
          <w:rFonts w:hint="eastAsia"/>
          <w:color w:val="auto"/>
        </w:rPr>
        <w:t>天河区大丰一街1号动科所内</w:t>
      </w:r>
    </w:p>
    <w:p>
      <w:pPr>
        <w:spacing w:line="360" w:lineRule="auto"/>
        <w:rPr>
          <w:color w:val="auto"/>
        </w:rPr>
      </w:pPr>
      <w:r>
        <w:rPr>
          <w:rFonts w:hint="eastAsia"/>
          <w:color w:val="auto"/>
        </w:rPr>
        <w:t>（四）采购预算：人民币496652.89</w:t>
      </w:r>
      <w:r>
        <w:rPr>
          <w:color w:val="auto"/>
        </w:rPr>
        <w:t>元</w:t>
      </w:r>
    </w:p>
    <w:p>
      <w:pPr>
        <w:tabs>
          <w:tab w:val="left" w:pos="840"/>
        </w:tabs>
        <w:spacing w:line="440" w:lineRule="exact"/>
        <w:rPr>
          <w:rFonts w:ascii="宋体" w:hAnsi="宋体"/>
          <w:b/>
          <w:color w:val="auto"/>
        </w:rPr>
      </w:pPr>
      <w:r>
        <w:rPr>
          <w:rFonts w:hint="eastAsia" w:ascii="宋体" w:hAnsi="宋体"/>
          <w:b/>
          <w:color w:val="auto"/>
        </w:rPr>
        <w:t>二、现场踏勘</w:t>
      </w:r>
    </w:p>
    <w:p>
      <w:pPr>
        <w:spacing w:line="440" w:lineRule="exact"/>
        <w:ind w:firstLine="420" w:firstLineChars="200"/>
        <w:rPr>
          <w:rFonts w:ascii="宋体" w:hAnsi="宋体"/>
          <w:color w:val="auto"/>
          <w:lang w:val="zh-CN"/>
        </w:rPr>
      </w:pPr>
      <w:r>
        <w:rPr>
          <w:rFonts w:hint="eastAsia" w:ascii="宋体" w:hAnsi="宋体"/>
          <w:color w:val="auto"/>
          <w:lang w:val="zh-CN"/>
        </w:rPr>
        <w:t>本项目不集中组织</w:t>
      </w:r>
      <w:r>
        <w:rPr>
          <w:rFonts w:hint="eastAsia" w:ascii="宋体" w:hAnsi="宋体"/>
          <w:b/>
          <w:color w:val="auto"/>
        </w:rPr>
        <w:t>现场踏勘</w:t>
      </w:r>
      <w:r>
        <w:rPr>
          <w:rFonts w:hint="eastAsia" w:ascii="宋体" w:hAnsi="宋体"/>
          <w:color w:val="auto"/>
          <w:lang w:val="zh-CN"/>
        </w:rPr>
        <w:t>，由供应商自行踏勘；供应商应充分重视和仔细地进行这种考察，以便供应商获取那些须供应商自己负责的有关编制响应文件和签署合同所涉及现场所有的资料，供应商不进行踏勘的，视为已熟知现场条件，自行承担相关风险。一旦中标，这种考察即被认为其结果已在中标文件中得到充分反映。考察现场的费用由供应商自己承担。</w:t>
      </w:r>
    </w:p>
    <w:p>
      <w:pPr>
        <w:tabs>
          <w:tab w:val="left" w:pos="840"/>
        </w:tabs>
        <w:spacing w:line="440" w:lineRule="exact"/>
        <w:rPr>
          <w:rFonts w:ascii="宋体" w:hAnsi="宋体"/>
          <w:b/>
          <w:color w:val="auto"/>
          <w:lang w:val="zh-CN"/>
        </w:rPr>
      </w:pPr>
      <w:r>
        <w:rPr>
          <w:rFonts w:hint="eastAsia" w:ascii="宋体" w:hAnsi="宋体"/>
          <w:b/>
          <w:color w:val="auto"/>
        </w:rPr>
        <w:t>三、相关图纸</w:t>
      </w:r>
      <w:r>
        <w:rPr>
          <w:rFonts w:hint="eastAsia" w:ascii="宋体" w:hAnsi="宋体"/>
          <w:b/>
          <w:color w:val="auto"/>
          <w:lang w:val="zh-CN"/>
        </w:rPr>
        <w:t>（另册）和清单报价表（另册）</w:t>
      </w:r>
    </w:p>
    <w:p>
      <w:pPr>
        <w:spacing w:line="440" w:lineRule="exact"/>
        <w:ind w:firstLine="420" w:firstLineChars="200"/>
        <w:rPr>
          <w:rFonts w:ascii="宋体" w:hAnsi="宋体"/>
          <w:color w:val="auto"/>
          <w:lang w:val="zh-CN"/>
        </w:rPr>
      </w:pPr>
      <w:r>
        <w:rPr>
          <w:rFonts w:hint="eastAsia" w:ascii="宋体" w:hAnsi="宋体"/>
          <w:color w:val="auto"/>
          <w:lang w:val="zh-CN"/>
        </w:rPr>
        <w:t>★1）</w:t>
      </w:r>
      <w:r>
        <w:rPr>
          <w:rFonts w:hint="eastAsia" w:ascii="宋体" w:hAnsi="宋体" w:cs="宋体"/>
          <w:color w:val="auto"/>
          <w:szCs w:val="21"/>
        </w:rPr>
        <w:t>清单报价表</w:t>
      </w:r>
      <w:r>
        <w:rPr>
          <w:rFonts w:hint="eastAsia" w:ascii="宋体" w:hAnsi="宋体"/>
          <w:color w:val="auto"/>
          <w:lang w:val="zh-CN"/>
        </w:rPr>
        <w:t>（含封面）正本采用采购人提供的原件手工填写的。投标人不得修改《</w:t>
      </w:r>
      <w:r>
        <w:rPr>
          <w:rFonts w:hint="eastAsia" w:ascii="宋体" w:hAnsi="宋体" w:cs="宋体"/>
          <w:color w:val="auto"/>
          <w:szCs w:val="21"/>
        </w:rPr>
        <w:t>清单报价表</w:t>
      </w:r>
      <w:r>
        <w:rPr>
          <w:rFonts w:hint="eastAsia" w:ascii="宋体" w:hAnsi="宋体"/>
          <w:color w:val="auto"/>
          <w:lang w:val="zh-CN"/>
        </w:rPr>
        <w:t>》中项目内容及工程数量；</w:t>
      </w:r>
    </w:p>
    <w:p>
      <w:pPr>
        <w:numPr>
          <w:ilvl w:val="0"/>
          <w:numId w:val="7"/>
        </w:numPr>
        <w:spacing w:line="440" w:lineRule="exact"/>
        <w:ind w:firstLine="420" w:firstLineChars="200"/>
        <w:rPr>
          <w:rFonts w:ascii="宋体" w:hAnsi="宋体"/>
          <w:color w:val="auto"/>
          <w:lang w:val="zh-CN"/>
        </w:rPr>
      </w:pPr>
      <w:r>
        <w:rPr>
          <w:rFonts w:hint="eastAsia" w:ascii="宋体" w:hAnsi="宋体" w:cs="宋体"/>
          <w:color w:val="auto"/>
          <w:szCs w:val="21"/>
        </w:rPr>
        <w:t>清单报价表</w:t>
      </w:r>
      <w:r>
        <w:rPr>
          <w:rFonts w:hint="eastAsia" w:ascii="宋体" w:hAnsi="宋体"/>
          <w:color w:val="auto"/>
          <w:lang w:val="zh-CN"/>
        </w:rPr>
        <w:t>（含封面）需提交一正二副，正本需在封面、骑缝及逐页加盖公章确认，若有修改的地方应在相应的地方加盖公章，副本可以采用正本复印并在封面及骑缝加盖公章确认；</w:t>
      </w:r>
    </w:p>
    <w:p>
      <w:pPr>
        <w:numPr>
          <w:ilvl w:val="0"/>
          <w:numId w:val="7"/>
        </w:numPr>
        <w:spacing w:line="440" w:lineRule="exact"/>
        <w:ind w:firstLine="420" w:firstLineChars="200"/>
        <w:rPr>
          <w:rFonts w:ascii="宋体" w:hAnsi="宋体"/>
          <w:color w:val="auto"/>
          <w:lang w:val="zh-CN"/>
        </w:rPr>
      </w:pPr>
      <w:r>
        <w:rPr>
          <w:rFonts w:hint="eastAsia" w:ascii="宋体" w:hAnsi="宋体"/>
          <w:color w:val="auto"/>
          <w:lang w:val="zh-CN"/>
        </w:rPr>
        <w:t>相关图纸（另册）：</w:t>
      </w:r>
      <w:r>
        <w:rPr>
          <w:rFonts w:hint="eastAsia" w:ascii="宋体" w:hAnsi="宋体" w:cs="宋体"/>
          <w:color w:val="auto"/>
          <w:szCs w:val="21"/>
        </w:rPr>
        <w:t>清单报价表等</w:t>
      </w:r>
      <w:r>
        <w:rPr>
          <w:rFonts w:hint="eastAsia" w:ascii="宋体" w:hAnsi="宋体"/>
          <w:color w:val="auto"/>
          <w:lang w:val="zh-CN"/>
        </w:rPr>
        <w:t>资料每本售价500元/套（人民币）；</w:t>
      </w:r>
    </w:p>
    <w:p>
      <w:pPr>
        <w:numPr>
          <w:ilvl w:val="0"/>
          <w:numId w:val="7"/>
        </w:numPr>
        <w:spacing w:line="440" w:lineRule="exact"/>
        <w:ind w:firstLine="420" w:firstLineChars="200"/>
        <w:rPr>
          <w:rFonts w:ascii="宋体" w:hAnsi="宋体"/>
          <w:color w:val="auto"/>
          <w:lang w:val="zh-CN"/>
        </w:rPr>
      </w:pPr>
      <w:r>
        <w:rPr>
          <w:rFonts w:hint="eastAsia" w:ascii="宋体" w:hAnsi="宋体"/>
          <w:color w:val="auto"/>
          <w:lang w:val="zh-CN"/>
        </w:rPr>
        <w:t>具体工程范围和内容以图纸和清单为准,如两者有差异,以清单为准。</w:t>
      </w:r>
    </w:p>
    <w:p>
      <w:pPr>
        <w:tabs>
          <w:tab w:val="left" w:pos="840"/>
        </w:tabs>
        <w:spacing w:line="440" w:lineRule="exact"/>
        <w:rPr>
          <w:rFonts w:ascii="宋体" w:hAnsi="宋体"/>
          <w:b/>
          <w:color w:val="auto"/>
          <w:lang w:val="zh-CN"/>
        </w:rPr>
      </w:pPr>
      <w:r>
        <w:rPr>
          <w:rFonts w:hint="eastAsia" w:ascii="宋体" w:hAnsi="宋体"/>
          <w:b/>
          <w:color w:val="auto"/>
          <w:lang w:val="zh-CN"/>
        </w:rPr>
        <w:t>四、质量保修期及售后服务要求</w:t>
      </w:r>
    </w:p>
    <w:p>
      <w:pPr>
        <w:spacing w:line="440" w:lineRule="exact"/>
        <w:ind w:firstLine="420" w:firstLineChars="200"/>
        <w:rPr>
          <w:rFonts w:ascii="宋体" w:hAnsi="宋体" w:cs="宋体"/>
          <w:color w:val="auto"/>
          <w:szCs w:val="21"/>
          <w:lang w:val="zh-CN"/>
        </w:rPr>
      </w:pPr>
      <w:r>
        <w:rPr>
          <w:rFonts w:hint="eastAsia" w:ascii="宋体" w:hAnsi="宋体" w:cs="宋体"/>
          <w:color w:val="auto"/>
          <w:szCs w:val="21"/>
          <w:lang w:val="zh-CN"/>
        </w:rPr>
        <w:t>1.质量保修期不低于</w:t>
      </w:r>
      <w:r>
        <w:rPr>
          <w:rFonts w:hint="eastAsia" w:ascii="宋体" w:hAnsi="宋体" w:cs="宋体"/>
          <w:color w:val="auto"/>
          <w:szCs w:val="21"/>
          <w:u w:val="single"/>
        </w:rPr>
        <w:t>二</w:t>
      </w:r>
      <w:r>
        <w:rPr>
          <w:rFonts w:hint="eastAsia" w:ascii="宋体" w:hAnsi="宋体" w:cs="宋体"/>
          <w:color w:val="auto"/>
          <w:szCs w:val="21"/>
          <w:lang w:val="zh-CN"/>
        </w:rPr>
        <w:t>年，质量保修期内中标人对所供项目内容实行包修、包换、包维护保养</w:t>
      </w:r>
      <w:r>
        <w:rPr>
          <w:rFonts w:hint="eastAsia" w:ascii="宋体" w:hAnsi="宋体" w:cs="宋体"/>
          <w:color w:val="auto"/>
          <w:szCs w:val="21"/>
        </w:rPr>
        <w:t>，结合具体工程要求如下：(如有)</w:t>
      </w:r>
      <w:r>
        <w:rPr>
          <w:rFonts w:hint="eastAsia" w:ascii="宋体" w:hAnsi="宋体" w:cs="宋体"/>
          <w:color w:val="auto"/>
          <w:szCs w:val="21"/>
          <w:lang w:val="zh-CN"/>
        </w:rPr>
        <w:t>。</w:t>
      </w:r>
    </w:p>
    <w:p>
      <w:pPr>
        <w:spacing w:line="440" w:lineRule="exact"/>
        <w:ind w:firstLine="420" w:firstLineChars="200"/>
        <w:rPr>
          <w:rFonts w:ascii="宋体" w:hAnsi="宋体" w:cs="宋体"/>
          <w:color w:val="auto"/>
          <w:szCs w:val="21"/>
          <w:lang w:val="zh-CN"/>
        </w:rPr>
      </w:pPr>
      <w:r>
        <w:rPr>
          <w:rFonts w:hint="eastAsia" w:ascii="宋体" w:hAnsi="宋体" w:cs="宋体"/>
          <w:color w:val="auto"/>
          <w:szCs w:val="21"/>
          <w:lang w:val="zh-CN"/>
        </w:rPr>
        <w:t>1)地基基础工程、主体结构工程为设计文件规定的合理使用年限；</w:t>
      </w:r>
    </w:p>
    <w:p>
      <w:pPr>
        <w:spacing w:line="440" w:lineRule="exact"/>
        <w:ind w:firstLine="420" w:firstLineChars="200"/>
        <w:rPr>
          <w:rFonts w:ascii="宋体" w:hAnsi="宋体" w:cs="宋体"/>
          <w:color w:val="auto"/>
          <w:szCs w:val="21"/>
          <w:lang w:val="zh-CN"/>
        </w:rPr>
      </w:pPr>
      <w:r>
        <w:rPr>
          <w:rFonts w:hint="eastAsia" w:ascii="宋体" w:hAnsi="宋体" w:cs="宋体"/>
          <w:color w:val="auto"/>
          <w:szCs w:val="21"/>
          <w:lang w:val="zh-CN"/>
        </w:rPr>
        <w:t>2)屋面防水工程、有防水要求的卫生间、房间和外墙面的防渗漏工程为</w:t>
      </w:r>
      <w:r>
        <w:rPr>
          <w:rFonts w:hint="eastAsia" w:ascii="宋体" w:hAnsi="宋体" w:cs="宋体"/>
          <w:color w:val="auto"/>
          <w:szCs w:val="21"/>
          <w:u w:val="single"/>
          <w:lang w:val="zh-CN"/>
        </w:rPr>
        <w:t>五</w:t>
      </w:r>
      <w:r>
        <w:rPr>
          <w:rFonts w:hint="eastAsia" w:ascii="宋体" w:hAnsi="宋体" w:cs="宋体"/>
          <w:color w:val="auto"/>
          <w:szCs w:val="21"/>
          <w:lang w:val="zh-CN"/>
        </w:rPr>
        <w:t>年；</w:t>
      </w:r>
    </w:p>
    <w:p>
      <w:pPr>
        <w:spacing w:line="440" w:lineRule="exact"/>
        <w:ind w:firstLine="420" w:firstLineChars="200"/>
        <w:rPr>
          <w:rFonts w:ascii="宋体" w:hAnsi="宋体" w:cs="宋体"/>
          <w:color w:val="auto"/>
          <w:szCs w:val="21"/>
          <w:lang w:val="zh-CN"/>
        </w:rPr>
      </w:pPr>
      <w:r>
        <w:rPr>
          <w:rFonts w:hint="eastAsia" w:ascii="宋体" w:hAnsi="宋体" w:cs="宋体"/>
          <w:color w:val="auto"/>
          <w:szCs w:val="21"/>
          <w:lang w:val="zh-CN"/>
        </w:rPr>
        <w:t>3)电气管线工程、给排水管道工程、设备安装工程为</w:t>
      </w:r>
      <w:r>
        <w:rPr>
          <w:rFonts w:hint="eastAsia" w:ascii="宋体" w:hAnsi="宋体" w:cs="宋体"/>
          <w:color w:val="auto"/>
          <w:szCs w:val="21"/>
          <w:u w:val="single"/>
          <w:lang w:val="zh-CN"/>
        </w:rPr>
        <w:t xml:space="preserve"> 两 </w:t>
      </w:r>
      <w:r>
        <w:rPr>
          <w:rFonts w:hint="eastAsia" w:ascii="宋体" w:hAnsi="宋体" w:cs="宋体"/>
          <w:color w:val="auto"/>
          <w:szCs w:val="21"/>
          <w:lang w:val="zh-CN"/>
        </w:rPr>
        <w:t>年；</w:t>
      </w:r>
    </w:p>
    <w:p>
      <w:pPr>
        <w:spacing w:line="440" w:lineRule="exact"/>
        <w:ind w:firstLine="420" w:firstLineChars="200"/>
        <w:rPr>
          <w:rFonts w:ascii="宋体" w:hAnsi="宋体" w:cs="宋体"/>
          <w:color w:val="auto"/>
          <w:szCs w:val="21"/>
          <w:lang w:val="zh-CN"/>
        </w:rPr>
      </w:pPr>
      <w:r>
        <w:rPr>
          <w:rFonts w:hint="eastAsia" w:ascii="宋体" w:hAnsi="宋体" w:cs="宋体"/>
          <w:color w:val="auto"/>
          <w:szCs w:val="21"/>
          <w:lang w:val="zh-CN"/>
        </w:rPr>
        <w:t>4)供热、供冷系统工程为</w:t>
      </w:r>
      <w:r>
        <w:rPr>
          <w:rFonts w:hint="eastAsia" w:ascii="宋体" w:hAnsi="宋体" w:cs="宋体"/>
          <w:color w:val="auto"/>
          <w:szCs w:val="21"/>
          <w:u w:val="single"/>
          <w:lang w:val="zh-CN"/>
        </w:rPr>
        <w:t xml:space="preserve">  两 </w:t>
      </w:r>
      <w:r>
        <w:rPr>
          <w:rFonts w:hint="eastAsia" w:ascii="宋体" w:hAnsi="宋体" w:cs="宋体"/>
          <w:color w:val="auto"/>
          <w:szCs w:val="21"/>
          <w:lang w:val="zh-CN"/>
        </w:rPr>
        <w:t xml:space="preserve">个采暖期、供冷期； </w:t>
      </w:r>
    </w:p>
    <w:p>
      <w:pPr>
        <w:spacing w:line="440" w:lineRule="exact"/>
        <w:ind w:firstLine="420" w:firstLineChars="200"/>
        <w:rPr>
          <w:rFonts w:ascii="宋体" w:hAnsi="宋体" w:cs="宋体"/>
          <w:color w:val="auto"/>
          <w:szCs w:val="21"/>
          <w:lang w:val="zh-CN"/>
        </w:rPr>
      </w:pPr>
      <w:r>
        <w:rPr>
          <w:rFonts w:hint="eastAsia" w:ascii="宋体" w:hAnsi="宋体" w:cs="宋体"/>
          <w:color w:val="auto"/>
          <w:szCs w:val="21"/>
          <w:lang w:val="zh-CN"/>
        </w:rPr>
        <w:t>5)装饰装修工程为</w:t>
      </w:r>
      <w:r>
        <w:rPr>
          <w:rFonts w:hint="eastAsia" w:ascii="宋体" w:hAnsi="宋体" w:cs="宋体"/>
          <w:color w:val="auto"/>
          <w:szCs w:val="21"/>
          <w:u w:val="single"/>
          <w:lang w:val="zh-CN"/>
        </w:rPr>
        <w:t xml:space="preserve"> </w:t>
      </w:r>
      <w:r>
        <w:rPr>
          <w:rFonts w:hint="eastAsia" w:ascii="宋体" w:hAnsi="宋体" w:cs="宋体"/>
          <w:color w:val="auto"/>
          <w:szCs w:val="21"/>
          <w:u w:val="single"/>
          <w:lang w:val="zh-CN"/>
        </w:rPr>
        <w:tab/>
      </w:r>
      <w:r>
        <w:rPr>
          <w:rFonts w:hint="eastAsia" w:ascii="宋体" w:hAnsi="宋体" w:cs="宋体"/>
          <w:color w:val="auto"/>
          <w:szCs w:val="21"/>
          <w:u w:val="single"/>
          <w:lang w:val="zh-CN"/>
        </w:rPr>
        <w:t xml:space="preserve">两   </w:t>
      </w:r>
      <w:r>
        <w:rPr>
          <w:rFonts w:hint="eastAsia" w:ascii="宋体" w:hAnsi="宋体" w:cs="宋体"/>
          <w:color w:val="auto"/>
          <w:szCs w:val="21"/>
          <w:lang w:val="zh-CN"/>
        </w:rPr>
        <w:t>年；</w:t>
      </w:r>
    </w:p>
    <w:p>
      <w:pPr>
        <w:spacing w:line="440" w:lineRule="exact"/>
        <w:ind w:firstLine="420" w:firstLineChars="200"/>
        <w:rPr>
          <w:rFonts w:ascii="宋体" w:hAnsi="宋体" w:cs="宋体"/>
          <w:color w:val="auto"/>
          <w:szCs w:val="21"/>
          <w:lang w:val="zh-CN"/>
        </w:rPr>
      </w:pPr>
      <w:r>
        <w:rPr>
          <w:rFonts w:hint="eastAsia" w:ascii="宋体" w:hAnsi="宋体" w:cs="宋体"/>
          <w:color w:val="auto"/>
          <w:szCs w:val="21"/>
          <w:lang w:val="zh-CN"/>
        </w:rPr>
        <w:t>6)其他项目</w:t>
      </w:r>
      <w:r>
        <w:rPr>
          <w:rFonts w:hint="eastAsia" w:ascii="宋体" w:hAnsi="宋体" w:cs="宋体"/>
          <w:color w:val="auto"/>
          <w:szCs w:val="21"/>
          <w:u w:val="single"/>
          <w:lang w:val="zh-CN"/>
        </w:rPr>
        <w:t xml:space="preserve"> 保修期为竣工证书发出后的24个月</w:t>
      </w:r>
      <w:r>
        <w:rPr>
          <w:rFonts w:hint="eastAsia" w:ascii="宋体" w:hAnsi="宋体" w:cs="宋体"/>
          <w:color w:val="auto"/>
          <w:szCs w:val="21"/>
          <w:lang w:val="zh-CN"/>
        </w:rPr>
        <w:t>。</w:t>
      </w:r>
    </w:p>
    <w:p>
      <w:pPr>
        <w:spacing w:line="440" w:lineRule="exact"/>
        <w:ind w:firstLine="420" w:firstLineChars="200"/>
        <w:rPr>
          <w:rFonts w:ascii="宋体" w:hAnsi="宋体"/>
          <w:color w:val="auto"/>
          <w:lang w:val="zh-CN"/>
        </w:rPr>
      </w:pPr>
      <w:r>
        <w:rPr>
          <w:rFonts w:hint="eastAsia" w:ascii="宋体" w:hAnsi="宋体"/>
          <w:color w:val="auto"/>
          <w:lang w:val="zh-CN"/>
        </w:rPr>
        <w:t>2.</w:t>
      </w:r>
      <w:r>
        <w:rPr>
          <w:rFonts w:hint="eastAsia" w:ascii="宋体" w:hAnsi="宋体" w:cs="宋体"/>
          <w:color w:val="auto"/>
          <w:szCs w:val="21"/>
        </w:rPr>
        <w:t xml:space="preserve"> 项目完成后，中标人向采购人提交结算价5%的质量保证金，在两年质保期满后15个工作日内由采购人无息退还给中标人若承包人在质量保证期内未完全履行缺陷保修义务的，发包人有权扣除质量保证金，并保留进一步索赔的权利。</w:t>
      </w:r>
    </w:p>
    <w:p>
      <w:pPr>
        <w:tabs>
          <w:tab w:val="left" w:pos="840"/>
        </w:tabs>
        <w:spacing w:line="440" w:lineRule="exact"/>
        <w:rPr>
          <w:rFonts w:ascii="宋体" w:hAnsi="宋体"/>
          <w:b/>
          <w:color w:val="auto"/>
          <w:lang w:val="zh-CN"/>
        </w:rPr>
      </w:pPr>
      <w:bookmarkStart w:id="281" w:name="_Toc317609046"/>
      <w:r>
        <w:rPr>
          <w:rFonts w:hint="eastAsia" w:ascii="宋体" w:hAnsi="宋体"/>
          <w:b/>
          <w:color w:val="auto"/>
          <w:lang w:val="zh-CN"/>
        </w:rPr>
        <w:t>五、采购项目商务要求</w:t>
      </w:r>
      <w:bookmarkEnd w:id="281"/>
    </w:p>
    <w:p>
      <w:pPr>
        <w:spacing w:line="440" w:lineRule="exact"/>
        <w:ind w:firstLine="420" w:firstLineChars="200"/>
        <w:rPr>
          <w:rFonts w:ascii="宋体" w:hAnsi="宋体"/>
          <w:color w:val="auto"/>
          <w:lang w:val="zh-CN"/>
        </w:rPr>
      </w:pPr>
      <w:bookmarkStart w:id="282" w:name="_Toc317609047"/>
      <w:r>
        <w:rPr>
          <w:rFonts w:hint="eastAsia" w:ascii="宋体" w:hAnsi="宋体"/>
          <w:color w:val="auto"/>
          <w:lang w:val="zh-CN"/>
        </w:rPr>
        <w:t>1.工期：</w:t>
      </w:r>
      <w:r>
        <w:rPr>
          <w:rFonts w:hint="eastAsia" w:ascii="宋体" w:hAnsi="宋体"/>
          <w:color w:val="auto"/>
        </w:rPr>
        <w:t>60</w:t>
      </w:r>
      <w:r>
        <w:rPr>
          <w:rFonts w:hint="eastAsia" w:ascii="宋体" w:hAnsi="宋体"/>
          <w:color w:val="auto"/>
          <w:lang w:val="zh-CN"/>
        </w:rPr>
        <w:t>日历天。</w:t>
      </w:r>
      <w:bookmarkEnd w:id="282"/>
    </w:p>
    <w:p>
      <w:pPr>
        <w:spacing w:line="440" w:lineRule="exact"/>
        <w:ind w:firstLine="420" w:firstLineChars="200"/>
        <w:rPr>
          <w:rFonts w:ascii="宋体" w:hAnsi="宋体"/>
          <w:color w:val="auto"/>
          <w:lang w:val="zh-CN"/>
        </w:rPr>
      </w:pPr>
      <w:bookmarkStart w:id="283" w:name="_Toc317609048"/>
      <w:r>
        <w:rPr>
          <w:rFonts w:hint="eastAsia" w:ascii="宋体" w:hAnsi="宋体"/>
          <w:color w:val="auto"/>
          <w:lang w:val="zh-CN"/>
        </w:rPr>
        <w:t>2.质量要求：按国家相关规范规程一次性验收达到合格标准。</w:t>
      </w:r>
      <w:bookmarkEnd w:id="283"/>
    </w:p>
    <w:p>
      <w:pPr>
        <w:spacing w:line="440" w:lineRule="exact"/>
        <w:ind w:firstLine="420" w:firstLineChars="200"/>
        <w:rPr>
          <w:rFonts w:ascii="宋体" w:hAnsi="宋体"/>
          <w:color w:val="auto"/>
          <w:lang w:val="zh-CN"/>
        </w:rPr>
      </w:pPr>
      <w:bookmarkStart w:id="284" w:name="_Toc317609049"/>
      <w:r>
        <w:rPr>
          <w:rFonts w:hint="eastAsia" w:ascii="宋体" w:hAnsi="宋体"/>
          <w:color w:val="auto"/>
          <w:lang w:val="zh-CN"/>
        </w:rPr>
        <w:t>3.安全文明安装要求：按广州市的相关规定执行。</w:t>
      </w:r>
      <w:bookmarkEnd w:id="284"/>
    </w:p>
    <w:p>
      <w:pPr>
        <w:tabs>
          <w:tab w:val="left" w:pos="840"/>
        </w:tabs>
        <w:spacing w:line="440" w:lineRule="exact"/>
        <w:rPr>
          <w:rFonts w:ascii="宋体" w:hAnsi="宋体"/>
          <w:b/>
          <w:color w:val="auto"/>
          <w:lang w:val="zh-CN"/>
        </w:rPr>
      </w:pPr>
      <w:r>
        <w:rPr>
          <w:rFonts w:hint="eastAsia" w:ascii="宋体" w:hAnsi="宋体"/>
          <w:b/>
          <w:color w:val="auto"/>
          <w:lang w:val="zh-CN"/>
        </w:rPr>
        <w:t>六、其他</w:t>
      </w:r>
    </w:p>
    <w:p>
      <w:pPr>
        <w:spacing w:line="440" w:lineRule="exact"/>
        <w:ind w:firstLine="420" w:firstLineChars="200"/>
        <w:rPr>
          <w:rFonts w:ascii="宋体" w:hAnsi="宋体"/>
          <w:color w:val="auto"/>
          <w:lang w:val="zh-CN"/>
        </w:rPr>
      </w:pPr>
      <w:r>
        <w:rPr>
          <w:rFonts w:hint="eastAsia" w:ascii="宋体" w:hAnsi="宋体"/>
          <w:color w:val="auto"/>
          <w:lang w:val="zh-CN"/>
        </w:rPr>
        <w:t>1.本次报价包括以上清单中所有内容，供应商必须给出清单所有项目的综合单价（综合单价须有明细内容）和合价，若有缺项漏项，应视为均摊在其他费用中。</w:t>
      </w:r>
    </w:p>
    <w:p>
      <w:pPr>
        <w:spacing w:line="440" w:lineRule="exact"/>
        <w:ind w:firstLine="420" w:firstLineChars="200"/>
        <w:rPr>
          <w:rFonts w:ascii="宋体" w:hAnsi="宋体"/>
          <w:color w:val="auto"/>
          <w:lang w:val="zh-CN"/>
        </w:rPr>
      </w:pPr>
      <w:r>
        <w:rPr>
          <w:rFonts w:hint="eastAsia" w:ascii="宋体" w:hAnsi="宋体"/>
          <w:color w:val="auto"/>
          <w:lang w:val="zh-CN"/>
        </w:rPr>
        <w:t>2.若本项目有增加工作量部分，则按原清单中单价计价，若清单中无该项目则按相关规范按实际发生工作量结算。</w:t>
      </w:r>
    </w:p>
    <w:p>
      <w:pPr>
        <w:spacing w:line="440" w:lineRule="exact"/>
        <w:ind w:firstLine="420" w:firstLineChars="200"/>
        <w:rPr>
          <w:rFonts w:ascii="宋体" w:hAnsi="宋体"/>
          <w:color w:val="auto"/>
          <w:lang w:val="zh-CN"/>
        </w:rPr>
      </w:pPr>
      <w:r>
        <w:rPr>
          <w:rFonts w:hint="eastAsia" w:ascii="宋体" w:hAnsi="宋体"/>
          <w:color w:val="auto"/>
          <w:lang w:val="zh-CN"/>
        </w:rPr>
        <w:t>3.各供应商必须给出产品的详细资料，包括技术标准、产品配置、尺寸等，以便采购人综合进行评定。</w:t>
      </w:r>
    </w:p>
    <w:p>
      <w:pPr>
        <w:spacing w:line="440" w:lineRule="exact"/>
        <w:ind w:firstLine="420" w:firstLineChars="200"/>
        <w:rPr>
          <w:rFonts w:ascii="宋体" w:hAnsi="宋体"/>
          <w:color w:val="auto"/>
          <w:lang w:val="zh-CN"/>
        </w:rPr>
      </w:pPr>
      <w:r>
        <w:rPr>
          <w:rFonts w:hint="eastAsia" w:ascii="宋体" w:hAnsi="宋体"/>
          <w:color w:val="auto"/>
          <w:lang w:val="zh-CN"/>
        </w:rPr>
        <w:t>4.供应商必须保证：报价所列内容使得整个工程在功能上的完整性，并正常运行，验收合格。</w:t>
      </w:r>
    </w:p>
    <w:p>
      <w:pPr>
        <w:spacing w:line="440" w:lineRule="exact"/>
        <w:ind w:firstLine="420" w:firstLineChars="200"/>
        <w:rPr>
          <w:rFonts w:ascii="宋体" w:hAnsi="宋体"/>
          <w:color w:val="auto"/>
        </w:rPr>
      </w:pPr>
      <w:r>
        <w:rPr>
          <w:rFonts w:hint="eastAsia" w:ascii="宋体" w:hAnsi="宋体"/>
          <w:color w:val="auto"/>
        </w:rPr>
        <w:t>5.中标人责任:中标人在施工过程中需要负责处理好与周边的关系及经济问题，发生任何纠纷以及产生所有费用均由中标人自行承担。</w:t>
      </w:r>
    </w:p>
    <w:p>
      <w:pPr>
        <w:tabs>
          <w:tab w:val="left" w:pos="840"/>
        </w:tabs>
        <w:spacing w:line="440" w:lineRule="exact"/>
        <w:rPr>
          <w:rFonts w:ascii="宋体" w:hAnsi="宋体"/>
          <w:b/>
          <w:color w:val="auto"/>
        </w:rPr>
      </w:pPr>
      <w:r>
        <w:rPr>
          <w:rFonts w:hint="eastAsia" w:ascii="宋体" w:hAnsi="宋体"/>
          <w:b/>
          <w:color w:val="auto"/>
          <w:lang w:val="zh-CN"/>
        </w:rPr>
        <w:t>七、支付方式</w:t>
      </w:r>
    </w:p>
    <w:p>
      <w:pPr>
        <w:spacing w:line="440" w:lineRule="exact"/>
        <w:ind w:firstLine="420" w:firstLineChars="200"/>
        <w:rPr>
          <w:rFonts w:ascii="宋体" w:hAnsi="宋体"/>
          <w:color w:val="auto"/>
          <w:szCs w:val="21"/>
        </w:rPr>
      </w:pPr>
      <w:r>
        <w:rPr>
          <w:rFonts w:hint="eastAsia" w:ascii="宋体" w:hAnsi="宋体"/>
          <w:color w:val="auto"/>
          <w:szCs w:val="21"/>
        </w:rPr>
        <w:t>1.支付方式：</w:t>
      </w:r>
    </w:p>
    <w:p>
      <w:pPr>
        <w:spacing w:line="440" w:lineRule="exact"/>
        <w:ind w:firstLine="420" w:firstLineChars="200"/>
        <w:rPr>
          <w:rFonts w:ascii="宋体" w:hAnsi="宋体"/>
          <w:color w:val="auto"/>
          <w:szCs w:val="21"/>
        </w:rPr>
      </w:pPr>
      <w:r>
        <w:rPr>
          <w:rFonts w:hint="eastAsia" w:ascii="宋体" w:hAnsi="宋体"/>
          <w:color w:val="auto"/>
          <w:szCs w:val="21"/>
        </w:rPr>
        <w:t>采购人按下述进度以转账方式支付相应款项。</w:t>
      </w:r>
    </w:p>
    <w:p>
      <w:pPr>
        <w:spacing w:line="440" w:lineRule="exact"/>
        <w:ind w:firstLine="420" w:firstLineChars="200"/>
        <w:rPr>
          <w:rFonts w:ascii="宋体" w:hAnsi="宋体"/>
          <w:color w:val="auto"/>
          <w:szCs w:val="21"/>
        </w:rPr>
      </w:pPr>
      <w:r>
        <w:rPr>
          <w:rFonts w:hint="eastAsia" w:ascii="宋体" w:hAnsi="宋体"/>
          <w:color w:val="auto"/>
          <w:szCs w:val="21"/>
        </w:rPr>
        <w:t>2.支付进度：</w:t>
      </w:r>
    </w:p>
    <w:p>
      <w:pPr>
        <w:spacing w:line="440" w:lineRule="exact"/>
        <w:ind w:firstLine="420" w:firstLineChars="200"/>
        <w:rPr>
          <w:rFonts w:ascii="宋体" w:hAnsi="宋体"/>
          <w:color w:val="auto"/>
          <w:szCs w:val="21"/>
        </w:rPr>
      </w:pPr>
      <w:r>
        <w:rPr>
          <w:rFonts w:hint="eastAsia" w:ascii="宋体" w:hAnsi="宋体"/>
          <w:color w:val="auto"/>
          <w:szCs w:val="21"/>
        </w:rPr>
        <w:t>（一）付款采用 分期付款 方式；</w:t>
      </w:r>
    </w:p>
    <w:p>
      <w:pPr>
        <w:spacing w:line="440" w:lineRule="exact"/>
        <w:ind w:firstLine="420" w:firstLineChars="200"/>
        <w:rPr>
          <w:rFonts w:ascii="宋体" w:hAnsi="宋体"/>
          <w:color w:val="auto"/>
          <w:szCs w:val="21"/>
        </w:rPr>
      </w:pPr>
      <w:r>
        <w:rPr>
          <w:rFonts w:hint="eastAsia" w:ascii="宋体" w:hAnsi="宋体"/>
          <w:color w:val="auto"/>
          <w:szCs w:val="21"/>
        </w:rPr>
        <w:t>（二）具体付款方式：</w:t>
      </w:r>
    </w:p>
    <w:p>
      <w:pPr>
        <w:spacing w:line="440" w:lineRule="exact"/>
        <w:ind w:firstLine="420" w:firstLineChars="200"/>
        <w:rPr>
          <w:rFonts w:ascii="宋体" w:hAnsi="宋体"/>
          <w:color w:val="auto"/>
          <w:szCs w:val="21"/>
        </w:rPr>
      </w:pPr>
      <w:r>
        <w:rPr>
          <w:rFonts w:hint="eastAsia" w:cs="Calibri"/>
          <w:color w:val="auto"/>
          <w:szCs w:val="21"/>
        </w:rPr>
        <w:t>（1）</w:t>
      </w:r>
      <w:r>
        <w:rPr>
          <w:rFonts w:hint="eastAsia" w:ascii="宋体" w:hAnsi="宋体"/>
          <w:color w:val="auto"/>
          <w:szCs w:val="21"/>
        </w:rPr>
        <w:t>合同签订生效后，采购人支付中标人合同金额30%预付款</w:t>
      </w:r>
    </w:p>
    <w:p>
      <w:pPr>
        <w:spacing w:line="440" w:lineRule="exact"/>
        <w:ind w:firstLine="420" w:firstLineChars="200"/>
        <w:rPr>
          <w:rFonts w:ascii="宋体" w:hAnsi="宋体"/>
          <w:color w:val="auto"/>
          <w:szCs w:val="21"/>
        </w:rPr>
      </w:pPr>
      <w:r>
        <w:rPr>
          <w:rFonts w:hint="eastAsia" w:cs="Calibri"/>
          <w:color w:val="auto"/>
          <w:szCs w:val="21"/>
        </w:rPr>
        <w:t>（2）项目</w:t>
      </w:r>
      <w:r>
        <w:rPr>
          <w:rFonts w:hint="eastAsia" w:ascii="宋体" w:hAnsi="宋体"/>
          <w:color w:val="auto"/>
          <w:szCs w:val="21"/>
        </w:rPr>
        <w:t>完成合同金额60%的工作量并经采购人确认，采购人按合同金额向中标人支付至50%的款项；</w:t>
      </w:r>
    </w:p>
    <w:p>
      <w:pPr>
        <w:spacing w:line="440" w:lineRule="exact"/>
        <w:ind w:firstLine="420" w:firstLineChars="200"/>
        <w:rPr>
          <w:rFonts w:ascii="宋体" w:hAnsi="宋体"/>
          <w:color w:val="auto"/>
          <w:szCs w:val="21"/>
        </w:rPr>
      </w:pPr>
      <w:r>
        <w:rPr>
          <w:rFonts w:hint="eastAsia" w:cs="Calibri"/>
          <w:color w:val="auto"/>
          <w:szCs w:val="21"/>
        </w:rPr>
        <w:t>（3）</w:t>
      </w:r>
      <w:r>
        <w:rPr>
          <w:rFonts w:hint="eastAsia" w:ascii="宋体" w:hAnsi="宋体"/>
          <w:color w:val="auto"/>
          <w:szCs w:val="21"/>
        </w:rPr>
        <w:t>项目完工并经采购人及上级主管部门验收合格，采购人按合同金额向中标人支付至85%的款项；</w:t>
      </w:r>
    </w:p>
    <w:p>
      <w:pPr>
        <w:spacing w:line="440" w:lineRule="exact"/>
        <w:ind w:firstLine="420" w:firstLineChars="200"/>
        <w:rPr>
          <w:rFonts w:ascii="宋体" w:hAnsi="宋体"/>
          <w:color w:val="auto"/>
          <w:szCs w:val="21"/>
        </w:rPr>
      </w:pPr>
      <w:r>
        <w:rPr>
          <w:rFonts w:hint="eastAsia" w:ascii="宋体" w:hAnsi="宋体" w:cs="宋体"/>
          <w:color w:val="auto"/>
          <w:szCs w:val="21"/>
        </w:rPr>
        <w:t>（4）项目完成结算确认手续后10个工作日内，支付至结算金额</w:t>
      </w:r>
      <w:r>
        <w:rPr>
          <w:rFonts w:hint="eastAsia" w:ascii="宋体" w:hAnsi="宋体"/>
          <w:color w:val="auto"/>
          <w:szCs w:val="21"/>
        </w:rPr>
        <w:t>的95%，余下5%作为本项目质保金，质保期到期后无责免息支付给中标人。</w:t>
      </w:r>
    </w:p>
    <w:p>
      <w:pPr>
        <w:spacing w:line="440" w:lineRule="exact"/>
        <w:ind w:firstLine="420" w:firstLineChars="200"/>
        <w:rPr>
          <w:rFonts w:ascii="宋体" w:hAnsi="宋体"/>
          <w:color w:val="auto"/>
          <w:szCs w:val="21"/>
        </w:rPr>
      </w:pPr>
      <w:r>
        <w:rPr>
          <w:rFonts w:hint="eastAsia" w:ascii="宋体" w:hAnsi="宋体"/>
          <w:color w:val="auto"/>
          <w:szCs w:val="21"/>
        </w:rPr>
        <w:t>（三）中标人向采购人申请支付货款时需提供：</w:t>
      </w:r>
    </w:p>
    <w:p>
      <w:pPr>
        <w:spacing w:line="440" w:lineRule="exact"/>
        <w:ind w:firstLine="420" w:firstLineChars="200"/>
        <w:rPr>
          <w:rFonts w:ascii="宋体" w:hAnsi="宋体"/>
          <w:color w:val="auto"/>
          <w:szCs w:val="21"/>
        </w:rPr>
      </w:pPr>
      <w:r>
        <w:rPr>
          <w:rFonts w:hint="eastAsia" w:ascii="宋体" w:hAnsi="宋体"/>
          <w:color w:val="auto"/>
          <w:szCs w:val="21"/>
        </w:rPr>
        <w:t>（1）合同；</w:t>
      </w:r>
    </w:p>
    <w:p>
      <w:pPr>
        <w:spacing w:line="440" w:lineRule="exact"/>
        <w:ind w:firstLine="420" w:firstLineChars="200"/>
        <w:rPr>
          <w:rFonts w:ascii="宋体" w:hAnsi="宋体"/>
          <w:color w:val="auto"/>
          <w:szCs w:val="21"/>
        </w:rPr>
      </w:pPr>
      <w:r>
        <w:rPr>
          <w:rFonts w:hint="eastAsia" w:ascii="宋体" w:hAnsi="宋体"/>
          <w:color w:val="auto"/>
          <w:szCs w:val="21"/>
        </w:rPr>
        <w:t>（2）中标人开具正式全额发票；</w:t>
      </w:r>
    </w:p>
    <w:p>
      <w:pPr>
        <w:spacing w:line="440" w:lineRule="exact"/>
        <w:ind w:firstLine="420" w:firstLineChars="200"/>
        <w:rPr>
          <w:rFonts w:ascii="宋体" w:hAnsi="宋体"/>
          <w:color w:val="auto"/>
          <w:szCs w:val="21"/>
        </w:rPr>
      </w:pPr>
      <w:r>
        <w:rPr>
          <w:rFonts w:hint="eastAsia" w:ascii="宋体" w:hAnsi="宋体"/>
          <w:color w:val="auto"/>
          <w:szCs w:val="21"/>
        </w:rPr>
        <w:t>（3）验收调试报告加盖采购人公章；</w:t>
      </w:r>
    </w:p>
    <w:p>
      <w:pPr>
        <w:spacing w:line="440" w:lineRule="exact"/>
        <w:ind w:firstLine="420" w:firstLineChars="200"/>
        <w:rPr>
          <w:rFonts w:ascii="宋体" w:hAnsi="宋体"/>
          <w:color w:val="auto"/>
          <w:szCs w:val="21"/>
        </w:rPr>
      </w:pPr>
      <w:r>
        <w:rPr>
          <w:rFonts w:hint="eastAsia" w:ascii="宋体" w:hAnsi="宋体"/>
          <w:color w:val="auto"/>
          <w:szCs w:val="21"/>
        </w:rPr>
        <w:t>（4）中标通知书。</w:t>
      </w:r>
    </w:p>
    <w:p>
      <w:pPr>
        <w:pStyle w:val="4"/>
        <w:autoSpaceDE w:val="0"/>
        <w:rPr>
          <w:color w:val="auto"/>
          <w:sz w:val="44"/>
        </w:rPr>
      </w:pPr>
      <w:r>
        <w:rPr>
          <w:color w:val="auto"/>
          <w:sz w:val="44"/>
        </w:rPr>
        <w:br w:type="page"/>
      </w:r>
    </w:p>
    <w:p>
      <w:pPr>
        <w:pStyle w:val="4"/>
        <w:autoSpaceDE w:val="0"/>
        <w:rPr>
          <w:color w:val="auto"/>
          <w:sz w:val="44"/>
        </w:rPr>
      </w:pPr>
    </w:p>
    <w:p>
      <w:pPr>
        <w:pStyle w:val="4"/>
        <w:autoSpaceDE w:val="0"/>
        <w:rPr>
          <w:color w:val="auto"/>
          <w:sz w:val="44"/>
        </w:rPr>
      </w:pPr>
    </w:p>
    <w:p>
      <w:pPr>
        <w:pStyle w:val="4"/>
        <w:autoSpaceDE w:val="0"/>
        <w:rPr>
          <w:color w:val="auto"/>
          <w:sz w:val="44"/>
        </w:rPr>
      </w:pPr>
    </w:p>
    <w:p>
      <w:pPr>
        <w:pStyle w:val="4"/>
        <w:autoSpaceDE w:val="0"/>
        <w:rPr>
          <w:color w:val="auto"/>
          <w:sz w:val="44"/>
        </w:rPr>
      </w:pPr>
    </w:p>
    <w:p>
      <w:pPr>
        <w:pStyle w:val="4"/>
        <w:autoSpaceDE w:val="0"/>
        <w:rPr>
          <w:color w:val="auto"/>
          <w:sz w:val="44"/>
        </w:rPr>
      </w:pPr>
      <w:r>
        <w:rPr>
          <w:rFonts w:hint="eastAsia"/>
          <w:color w:val="auto"/>
          <w:sz w:val="44"/>
        </w:rPr>
        <w:t>第四章</w:t>
      </w:r>
      <w:r>
        <w:rPr>
          <w:color w:val="auto"/>
          <w:sz w:val="44"/>
        </w:rPr>
        <w:tab/>
      </w:r>
      <w:r>
        <w:rPr>
          <w:rFonts w:hint="eastAsia"/>
          <w:color w:val="auto"/>
          <w:sz w:val="44"/>
        </w:rPr>
        <w:t>政府采购合同（样本）</w:t>
      </w:r>
    </w:p>
    <w:p>
      <w:pPr>
        <w:spacing w:line="360" w:lineRule="auto"/>
        <w:jc w:val="center"/>
        <w:rPr>
          <w:rFonts w:hAnsi="宋体"/>
          <w:color w:val="auto"/>
        </w:rPr>
      </w:pPr>
      <w:r>
        <w:rPr>
          <w:rFonts w:hint="eastAsia" w:hAnsi="宋体"/>
          <w:bCs/>
          <w:color w:val="auto"/>
          <w:kern w:val="44"/>
          <w:lang w:val="zh-CN"/>
        </w:rPr>
        <w:t>（仅供参考，最终以甲、乙双方签订的合同为准）</w:t>
      </w:r>
    </w:p>
    <w:p>
      <w:pPr>
        <w:tabs>
          <w:tab w:val="center" w:pos="4252"/>
          <w:tab w:val="left" w:pos="5517"/>
        </w:tabs>
        <w:spacing w:line="360" w:lineRule="auto"/>
        <w:rPr>
          <w:rFonts w:ascii="宋体" w:hAnsi="宋体"/>
          <w:b/>
          <w:color w:val="auto"/>
          <w:sz w:val="28"/>
          <w:szCs w:val="28"/>
        </w:rPr>
      </w:pPr>
    </w:p>
    <w:p>
      <w:pPr>
        <w:spacing w:line="360" w:lineRule="auto"/>
        <w:rPr>
          <w:rFonts w:ascii="宋体" w:hAnsi="宋体"/>
          <w:b/>
          <w:color w:val="auto"/>
          <w:sz w:val="24"/>
        </w:rPr>
      </w:pPr>
    </w:p>
    <w:p>
      <w:pPr>
        <w:tabs>
          <w:tab w:val="center" w:pos="4252"/>
          <w:tab w:val="left" w:pos="5517"/>
        </w:tabs>
        <w:spacing w:line="360" w:lineRule="auto"/>
        <w:rPr>
          <w:rFonts w:ascii="宋体" w:hAnsi="宋体"/>
          <w:color w:val="auto"/>
        </w:rPr>
      </w:pPr>
      <w:r>
        <w:rPr>
          <w:rFonts w:hint="eastAsia" w:ascii="宋体" w:hAnsi="宋体"/>
          <w:color w:val="auto"/>
        </w:rPr>
        <w:t xml:space="preserve"> </w:t>
      </w:r>
    </w:p>
    <w:p>
      <w:pPr>
        <w:tabs>
          <w:tab w:val="center" w:pos="4252"/>
          <w:tab w:val="left" w:pos="5517"/>
        </w:tabs>
        <w:spacing w:line="360" w:lineRule="auto"/>
        <w:rPr>
          <w:rFonts w:ascii="宋体" w:hAnsi="宋体"/>
          <w:b/>
          <w:color w:val="auto"/>
          <w:sz w:val="28"/>
          <w:szCs w:val="28"/>
        </w:rPr>
      </w:pPr>
      <w:r>
        <w:rPr>
          <w:rFonts w:hint="eastAsia" w:ascii="宋体" w:hAnsi="宋体"/>
          <w:color w:val="auto"/>
        </w:rPr>
        <w:br w:type="page"/>
      </w:r>
      <w:r>
        <w:rPr>
          <w:rFonts w:hint="eastAsia" w:ascii="宋体" w:hAnsi="宋体"/>
          <w:color w:val="auto"/>
          <w:szCs w:val="21"/>
        </w:rPr>
        <w:t>注：本合同条款仅供参考，甲乙双方可根据实际情况进行补充，但不得对采购文件作实质性修改。</w:t>
      </w:r>
    </w:p>
    <w:p>
      <w:pPr>
        <w:spacing w:line="360" w:lineRule="auto"/>
        <w:rPr>
          <w:rFonts w:ascii="宋体" w:hAnsi="宋体"/>
          <w:b/>
          <w:color w:val="auto"/>
          <w:sz w:val="24"/>
        </w:rPr>
      </w:pPr>
    </w:p>
    <w:p>
      <w:pPr>
        <w:tabs>
          <w:tab w:val="left" w:pos="3900"/>
          <w:tab w:val="right" w:pos="10245"/>
        </w:tabs>
        <w:wordWrap w:val="0"/>
        <w:spacing w:line="360" w:lineRule="auto"/>
        <w:jc w:val="left"/>
        <w:rPr>
          <w:rFonts w:ascii="宋体" w:hAnsi="宋体" w:cs="宋体"/>
          <w:color w:val="auto"/>
          <w:sz w:val="30"/>
          <w:szCs w:val="30"/>
          <w:u w:val="single"/>
        </w:rPr>
      </w:pPr>
      <w:r>
        <w:rPr>
          <w:rFonts w:hint="eastAsia" w:ascii="宋体" w:hAnsi="宋体" w:cs="宋体"/>
          <w:color w:val="auto"/>
          <w:sz w:val="30"/>
          <w:szCs w:val="30"/>
        </w:rPr>
        <w:tab/>
      </w:r>
      <w:r>
        <w:rPr>
          <w:rFonts w:hint="eastAsia" w:ascii="宋体" w:hAnsi="宋体" w:cs="宋体"/>
          <w:color w:val="auto"/>
          <w:sz w:val="30"/>
          <w:szCs w:val="30"/>
        </w:rPr>
        <w:tab/>
      </w:r>
      <w:r>
        <w:rPr>
          <w:rFonts w:hint="eastAsia" w:ascii="宋体" w:hAnsi="宋体" w:cs="宋体"/>
          <w:color w:val="auto"/>
          <w:sz w:val="30"/>
          <w:szCs w:val="30"/>
        </w:rPr>
        <w:t>合同编号：</w:t>
      </w:r>
      <w:r>
        <w:rPr>
          <w:rFonts w:hint="eastAsia" w:ascii="宋体" w:hAnsi="宋体" w:cs="宋体"/>
          <w:color w:val="auto"/>
          <w:sz w:val="30"/>
          <w:szCs w:val="30"/>
          <w:u w:val="single"/>
        </w:rPr>
        <w:t xml:space="preserve">                 </w:t>
      </w:r>
    </w:p>
    <w:p>
      <w:pPr>
        <w:spacing w:line="360" w:lineRule="auto"/>
        <w:jc w:val="right"/>
        <w:rPr>
          <w:rFonts w:ascii="宋体" w:hAnsi="宋体" w:cs="宋体"/>
          <w:color w:val="auto"/>
          <w:sz w:val="32"/>
          <w:szCs w:val="32"/>
          <w:u w:val="single"/>
        </w:rPr>
      </w:pPr>
    </w:p>
    <w:p>
      <w:pPr>
        <w:spacing w:line="360" w:lineRule="auto"/>
        <w:jc w:val="right"/>
        <w:rPr>
          <w:rFonts w:ascii="宋体" w:hAnsi="宋体" w:cs="宋体"/>
          <w:color w:val="auto"/>
          <w:sz w:val="32"/>
          <w:szCs w:val="32"/>
          <w:u w:val="single"/>
        </w:rPr>
      </w:pPr>
    </w:p>
    <w:p>
      <w:pPr>
        <w:spacing w:line="360" w:lineRule="auto"/>
        <w:jc w:val="right"/>
        <w:rPr>
          <w:rFonts w:ascii="宋体" w:hAnsi="宋体" w:cs="宋体"/>
          <w:color w:val="auto"/>
          <w:sz w:val="32"/>
          <w:szCs w:val="32"/>
          <w:u w:val="single"/>
        </w:rPr>
      </w:pPr>
    </w:p>
    <w:p>
      <w:pPr>
        <w:spacing w:line="360" w:lineRule="auto"/>
        <w:jc w:val="center"/>
        <w:rPr>
          <w:rFonts w:ascii="宋体" w:hAnsi="宋体" w:cs="宋体"/>
          <w:b/>
          <w:bCs/>
          <w:color w:val="auto"/>
          <w:spacing w:val="-40"/>
          <w:kern w:val="0"/>
          <w:sz w:val="52"/>
          <w:szCs w:val="52"/>
        </w:rPr>
      </w:pPr>
      <w:r>
        <w:rPr>
          <w:rFonts w:hint="eastAsia" w:ascii="宋体" w:hAnsi="宋体" w:cs="宋体"/>
          <w:b/>
          <w:bCs/>
          <w:color w:val="auto"/>
          <w:spacing w:val="-40"/>
          <w:kern w:val="0"/>
          <w:sz w:val="52"/>
          <w:szCs w:val="52"/>
        </w:rPr>
        <w:t>广  州  市  建  设  工  程  施  工  合  同</w:t>
      </w:r>
    </w:p>
    <w:p>
      <w:pPr>
        <w:spacing w:line="360" w:lineRule="auto"/>
        <w:jc w:val="center"/>
        <w:rPr>
          <w:rFonts w:ascii="宋体" w:hAnsi="宋体" w:cs="宋体"/>
          <w:color w:val="auto"/>
          <w:sz w:val="32"/>
          <w:szCs w:val="32"/>
        </w:rPr>
      </w:pPr>
    </w:p>
    <w:p>
      <w:pPr>
        <w:spacing w:line="360" w:lineRule="auto"/>
        <w:jc w:val="center"/>
        <w:rPr>
          <w:rFonts w:ascii="宋体" w:hAnsi="宋体" w:cs="宋体"/>
          <w:color w:val="auto"/>
          <w:sz w:val="32"/>
          <w:szCs w:val="32"/>
        </w:rPr>
      </w:pPr>
    </w:p>
    <w:p>
      <w:pPr>
        <w:spacing w:line="360" w:lineRule="auto"/>
        <w:rPr>
          <w:rFonts w:ascii="宋体" w:hAnsi="宋体" w:cs="宋体"/>
          <w:color w:val="auto"/>
          <w:sz w:val="32"/>
          <w:szCs w:val="32"/>
        </w:rPr>
      </w:pPr>
    </w:p>
    <w:p>
      <w:pPr>
        <w:spacing w:beforeLines="100" w:afterLines="50" w:line="360" w:lineRule="auto"/>
        <w:ind w:firstLine="360" w:firstLineChars="100"/>
        <w:rPr>
          <w:rFonts w:ascii="宋体" w:hAnsi="宋体" w:cs="宋体"/>
          <w:color w:val="auto"/>
          <w:sz w:val="36"/>
          <w:szCs w:val="36"/>
          <w:u w:val="single"/>
        </w:rPr>
      </w:pPr>
      <w:r>
        <w:rPr>
          <w:rFonts w:hint="eastAsia" w:ascii="宋体" w:hAnsi="宋体" w:cs="宋体"/>
          <w:color w:val="auto"/>
          <w:sz w:val="36"/>
          <w:szCs w:val="36"/>
        </w:rPr>
        <w:t>工程名称：</w:t>
      </w:r>
      <w:r>
        <w:rPr>
          <w:rFonts w:hint="eastAsia" w:ascii="宋体" w:hAnsi="宋体" w:cs="宋体"/>
          <w:color w:val="auto"/>
          <w:sz w:val="36"/>
          <w:szCs w:val="36"/>
          <w:u w:val="single"/>
        </w:rPr>
        <w:t>广东省农业科学院动物科学研究所系统微生物研究实验室内部改造工程</w:t>
      </w:r>
    </w:p>
    <w:p>
      <w:pPr>
        <w:spacing w:beforeLines="100" w:afterLines="50" w:line="360" w:lineRule="auto"/>
        <w:ind w:firstLine="360" w:firstLineChars="100"/>
        <w:rPr>
          <w:rFonts w:ascii="宋体" w:hAnsi="宋体" w:cs="宋体"/>
          <w:color w:val="auto"/>
          <w:sz w:val="36"/>
          <w:szCs w:val="36"/>
        </w:rPr>
      </w:pPr>
      <w:r>
        <w:rPr>
          <w:rFonts w:hint="eastAsia" w:ascii="宋体" w:hAnsi="宋体" w:cs="宋体"/>
          <w:color w:val="auto"/>
          <w:sz w:val="36"/>
          <w:szCs w:val="36"/>
        </w:rPr>
        <w:t>工程编号：</w:t>
      </w:r>
      <w:r>
        <w:rPr>
          <w:rFonts w:hint="eastAsia" w:ascii="宋体" w:hAnsi="宋体" w:cs="宋体"/>
          <w:color w:val="auto"/>
          <w:sz w:val="36"/>
          <w:szCs w:val="36"/>
          <w:u w:val="single"/>
        </w:rPr>
        <w:t xml:space="preserve">                                </w:t>
      </w:r>
    </w:p>
    <w:p>
      <w:pPr>
        <w:spacing w:beforeLines="100" w:afterLines="50" w:line="360" w:lineRule="auto"/>
        <w:ind w:firstLine="360" w:firstLineChars="100"/>
        <w:rPr>
          <w:rFonts w:ascii="宋体" w:hAnsi="宋体" w:cs="宋体"/>
          <w:color w:val="auto"/>
          <w:sz w:val="36"/>
          <w:szCs w:val="36"/>
        </w:rPr>
      </w:pPr>
      <w:r>
        <w:rPr>
          <w:rFonts w:hint="eastAsia" w:ascii="宋体" w:hAnsi="宋体" w:cs="宋体"/>
          <w:color w:val="auto"/>
          <w:sz w:val="36"/>
          <w:szCs w:val="36"/>
        </w:rPr>
        <w:t>工程地点：</w:t>
      </w:r>
      <w:r>
        <w:rPr>
          <w:rFonts w:hint="eastAsia" w:ascii="宋体" w:hAnsi="宋体" w:cs="宋体"/>
          <w:color w:val="auto"/>
          <w:sz w:val="36"/>
          <w:szCs w:val="36"/>
          <w:u w:val="single"/>
        </w:rPr>
        <w:t xml:space="preserve">                                </w:t>
      </w:r>
      <w:r>
        <w:rPr>
          <w:rFonts w:hint="eastAsia" w:ascii="宋体" w:hAnsi="宋体" w:cs="宋体"/>
          <w:color w:val="auto"/>
          <w:sz w:val="36"/>
          <w:szCs w:val="36"/>
        </w:rPr>
        <w:t xml:space="preserve"> </w:t>
      </w:r>
    </w:p>
    <w:p>
      <w:pPr>
        <w:spacing w:beforeLines="100" w:afterLines="50" w:line="360" w:lineRule="auto"/>
        <w:ind w:firstLine="360" w:firstLineChars="100"/>
        <w:rPr>
          <w:rFonts w:ascii="宋体" w:hAnsi="宋体" w:cs="宋体"/>
          <w:color w:val="auto"/>
          <w:sz w:val="36"/>
          <w:szCs w:val="36"/>
        </w:rPr>
      </w:pPr>
      <w:r>
        <w:rPr>
          <w:rFonts w:hint="eastAsia" w:ascii="宋体" w:hAnsi="宋体" w:cs="宋体"/>
          <w:color w:val="auto"/>
          <w:sz w:val="36"/>
          <w:szCs w:val="36"/>
        </w:rPr>
        <w:t>发 包 人：</w:t>
      </w:r>
      <w:r>
        <w:rPr>
          <w:rFonts w:hint="eastAsia" w:ascii="宋体" w:hAnsi="宋体" w:cs="宋体"/>
          <w:color w:val="auto"/>
          <w:sz w:val="36"/>
          <w:szCs w:val="36"/>
          <w:u w:val="single"/>
        </w:rPr>
        <w:t xml:space="preserve">  广东省农业科学院动物科学研究所 </w:t>
      </w:r>
    </w:p>
    <w:p>
      <w:pPr>
        <w:spacing w:beforeLines="100" w:afterLines="50" w:line="360" w:lineRule="auto"/>
        <w:ind w:firstLine="360" w:firstLineChars="100"/>
        <w:rPr>
          <w:rFonts w:ascii="宋体" w:hAnsi="宋体" w:cs="宋体"/>
          <w:color w:val="auto"/>
          <w:sz w:val="36"/>
          <w:szCs w:val="36"/>
          <w:u w:val="single"/>
        </w:rPr>
      </w:pPr>
      <w:r>
        <w:rPr>
          <w:rFonts w:hint="eastAsia" w:ascii="宋体" w:hAnsi="宋体" w:cs="宋体"/>
          <w:color w:val="auto"/>
          <w:sz w:val="36"/>
          <w:szCs w:val="36"/>
        </w:rPr>
        <w:t>承 包 人：</w:t>
      </w:r>
      <w:r>
        <w:rPr>
          <w:rFonts w:hint="eastAsia" w:ascii="宋体" w:hAnsi="宋体" w:cs="宋体"/>
          <w:color w:val="auto"/>
          <w:sz w:val="36"/>
          <w:szCs w:val="36"/>
          <w:u w:val="single"/>
        </w:rPr>
        <w:t xml:space="preserve">                                 </w:t>
      </w:r>
    </w:p>
    <w:p>
      <w:pPr>
        <w:spacing w:line="360" w:lineRule="auto"/>
        <w:rPr>
          <w:rFonts w:ascii="宋体" w:hAnsi="宋体" w:cs="宋体"/>
          <w:color w:val="auto"/>
          <w:sz w:val="32"/>
          <w:szCs w:val="32"/>
          <w:u w:val="single"/>
        </w:rPr>
      </w:pPr>
    </w:p>
    <w:p>
      <w:pPr>
        <w:spacing w:line="0" w:lineRule="atLeast"/>
        <w:jc w:val="center"/>
        <w:rPr>
          <w:rFonts w:ascii="宋体" w:hAnsi="宋体" w:cs="宋体"/>
          <w:b/>
          <w:color w:val="auto"/>
          <w:spacing w:val="20"/>
          <w:sz w:val="32"/>
          <w:szCs w:val="32"/>
        </w:rPr>
      </w:pPr>
      <w:r>
        <w:rPr>
          <w:rFonts w:hint="eastAsia" w:ascii="宋体" w:hAnsi="宋体" w:cs="宋体"/>
          <w:b/>
          <w:color w:val="auto"/>
          <w:spacing w:val="20"/>
          <w:sz w:val="32"/>
          <w:szCs w:val="32"/>
        </w:rPr>
        <w:t>广州市城乡建设委员会</w:t>
      </w:r>
    </w:p>
    <w:p>
      <w:pPr>
        <w:spacing w:line="0" w:lineRule="atLeast"/>
        <w:jc w:val="center"/>
        <w:rPr>
          <w:rFonts w:ascii="宋体" w:hAnsi="宋体" w:cs="宋体"/>
          <w:b/>
          <w:color w:val="auto"/>
          <w:spacing w:val="20"/>
          <w:sz w:val="32"/>
          <w:szCs w:val="32"/>
        </w:rPr>
      </w:pPr>
      <w:r>
        <w:rPr>
          <w:rFonts w:hint="eastAsia" w:ascii="宋体" w:hAnsi="宋体" w:cs="宋体"/>
          <w:b/>
          <w:color w:val="auto"/>
          <w:spacing w:val="20"/>
          <w:sz w:val="32"/>
          <w:szCs w:val="32"/>
        </w:rPr>
        <w:t xml:space="preserve">                        制定</w:t>
      </w:r>
    </w:p>
    <w:p>
      <w:pPr>
        <w:spacing w:line="0" w:lineRule="atLeast"/>
        <w:jc w:val="center"/>
        <w:rPr>
          <w:rFonts w:ascii="宋体" w:hAnsi="宋体" w:cs="宋体"/>
          <w:b/>
          <w:color w:val="auto"/>
          <w:spacing w:val="20"/>
          <w:sz w:val="32"/>
          <w:szCs w:val="32"/>
        </w:rPr>
      </w:pPr>
      <w:r>
        <w:rPr>
          <w:rFonts w:hint="eastAsia" w:ascii="宋体" w:hAnsi="宋体" w:cs="宋体"/>
          <w:b/>
          <w:color w:val="auto"/>
          <w:spacing w:val="20"/>
          <w:sz w:val="32"/>
          <w:szCs w:val="32"/>
        </w:rPr>
        <w:t>广州市工商行政管理局</w:t>
      </w:r>
    </w:p>
    <w:p>
      <w:pPr>
        <w:spacing w:line="0" w:lineRule="atLeast"/>
        <w:jc w:val="center"/>
        <w:rPr>
          <w:rFonts w:ascii="宋体" w:hAnsi="宋体" w:cs="宋体"/>
          <w:b/>
          <w:color w:val="auto"/>
          <w:spacing w:val="20"/>
          <w:sz w:val="32"/>
          <w:szCs w:val="32"/>
        </w:rPr>
      </w:pPr>
    </w:p>
    <w:p>
      <w:pPr>
        <w:spacing w:line="0" w:lineRule="atLeast"/>
        <w:jc w:val="center"/>
        <w:rPr>
          <w:rFonts w:ascii="宋体" w:hAnsi="宋体" w:cs="宋体"/>
          <w:color w:val="auto"/>
          <w:sz w:val="32"/>
          <w:szCs w:val="32"/>
          <w:u w:val="single"/>
        </w:rPr>
        <w:sectPr>
          <w:headerReference r:id="rId15" w:type="first"/>
          <w:footerReference r:id="rId18" w:type="first"/>
          <w:headerReference r:id="rId13" w:type="default"/>
          <w:footerReference r:id="rId16" w:type="default"/>
          <w:headerReference r:id="rId14" w:type="even"/>
          <w:footerReference r:id="rId17" w:type="even"/>
          <w:endnotePr>
            <w:numFmt w:val="decimal"/>
          </w:endnotePr>
          <w:pgSz w:w="11906" w:h="16838"/>
          <w:pgMar w:top="851" w:right="924" w:bottom="851" w:left="737" w:header="0" w:footer="0" w:gutter="0"/>
          <w:cols w:space="720" w:num="1"/>
          <w:titlePg/>
          <w:docGrid w:linePitch="312" w:charSpace="0"/>
        </w:sectPr>
      </w:pPr>
      <w:r>
        <w:rPr>
          <w:rFonts w:hint="eastAsia" w:ascii="宋体" w:hAnsi="宋体" w:cs="宋体"/>
          <w:b/>
          <w:color w:val="auto"/>
          <w:spacing w:val="20"/>
          <w:sz w:val="32"/>
          <w:szCs w:val="32"/>
        </w:rPr>
        <w:t>二〇一九年</w:t>
      </w:r>
      <w:bookmarkStart w:id="285" w:name="_Toc18985535"/>
      <w:bookmarkStart w:id="286" w:name="_Toc18985701"/>
      <w:bookmarkStart w:id="287" w:name="_Toc18984943"/>
      <w:bookmarkStart w:id="288" w:name="_Toc18985581"/>
      <w:r>
        <w:rPr>
          <w:rFonts w:hint="eastAsia" w:ascii="宋体" w:hAnsi="宋体" w:cs="宋体"/>
          <w:b/>
          <w:color w:val="auto"/>
          <w:spacing w:val="20"/>
          <w:sz w:val="32"/>
          <w:szCs w:val="32"/>
        </w:rPr>
        <w:t xml:space="preserve">  月</w:t>
      </w:r>
    </w:p>
    <w:p>
      <w:pPr>
        <w:spacing w:line="360" w:lineRule="auto"/>
        <w:rPr>
          <w:rFonts w:ascii="宋体" w:hAnsi="宋体" w:cs="宋体"/>
          <w:b/>
          <w:color w:val="auto"/>
          <w:spacing w:val="80"/>
          <w:sz w:val="36"/>
          <w:szCs w:val="36"/>
        </w:rPr>
      </w:pPr>
    </w:p>
    <w:p>
      <w:pPr>
        <w:spacing w:line="360" w:lineRule="auto"/>
        <w:jc w:val="center"/>
        <w:outlineLvl w:val="0"/>
        <w:rPr>
          <w:rFonts w:ascii="宋体" w:hAnsi="宋体" w:cs="宋体"/>
          <w:b/>
          <w:color w:val="auto"/>
          <w:sz w:val="36"/>
        </w:rPr>
      </w:pPr>
      <w:bookmarkStart w:id="289" w:name="_Toc266892751"/>
      <w:r>
        <w:rPr>
          <w:rFonts w:hint="eastAsia" w:ascii="宋体" w:hAnsi="宋体" w:cs="宋体"/>
          <w:b/>
          <w:color w:val="auto"/>
          <w:sz w:val="36"/>
        </w:rPr>
        <w:t>第一部分  协  议  书</w:t>
      </w:r>
      <w:bookmarkEnd w:id="289"/>
    </w:p>
    <w:p>
      <w:pPr>
        <w:spacing w:line="360" w:lineRule="auto"/>
        <w:rPr>
          <w:rFonts w:ascii="宋体" w:hAnsi="宋体" w:cs="宋体"/>
          <w:color w:val="auto"/>
          <w:sz w:val="36"/>
        </w:rPr>
      </w:pPr>
    </w:p>
    <w:p>
      <w:pPr>
        <w:spacing w:line="360" w:lineRule="auto"/>
        <w:rPr>
          <w:rFonts w:ascii="宋体" w:hAnsi="宋体" w:cs="宋体"/>
          <w:color w:val="auto"/>
          <w:szCs w:val="21"/>
        </w:rPr>
      </w:pPr>
      <w:r>
        <w:rPr>
          <w:rFonts w:hint="eastAsia" w:ascii="宋体" w:hAnsi="宋体" w:cs="宋体"/>
          <w:color w:val="auto"/>
          <w:szCs w:val="21"/>
        </w:rPr>
        <w:t>发包人:（全称）</w:t>
      </w:r>
      <w:r>
        <w:rPr>
          <w:rFonts w:hint="eastAsia" w:ascii="宋体" w:hAnsi="宋体" w:cs="宋体"/>
          <w:color w:val="auto"/>
          <w:szCs w:val="21"/>
          <w:u w:val="single"/>
        </w:rPr>
        <w:t xml:space="preserve">  广东省农业科学院动物科学研究所  </w:t>
      </w:r>
    </w:p>
    <w:p>
      <w:pPr>
        <w:spacing w:line="360" w:lineRule="auto"/>
        <w:rPr>
          <w:rFonts w:ascii="宋体" w:hAnsi="宋体" w:cs="宋体"/>
          <w:color w:val="auto"/>
          <w:szCs w:val="21"/>
        </w:rPr>
      </w:pPr>
      <w:r>
        <w:rPr>
          <w:rFonts w:hint="eastAsia" w:ascii="宋体" w:hAnsi="宋体" w:cs="宋体"/>
          <w:color w:val="auto"/>
          <w:szCs w:val="21"/>
        </w:rPr>
        <w:t>承包人:（全称）</w:t>
      </w:r>
      <w:r>
        <w:rPr>
          <w:rFonts w:hint="eastAsia" w:ascii="宋体" w:hAnsi="宋体" w:cs="宋体"/>
          <w:color w:val="auto"/>
          <w:szCs w:val="21"/>
          <w:u w:val="single"/>
        </w:rPr>
        <w:t xml:space="preserve">                    </w:t>
      </w:r>
    </w:p>
    <w:p>
      <w:pPr>
        <w:spacing w:line="360" w:lineRule="auto"/>
        <w:rPr>
          <w:rFonts w:ascii="宋体" w:hAnsi="宋体" w:cs="宋体"/>
          <w:color w:val="auto"/>
          <w:szCs w:val="21"/>
        </w:rPr>
      </w:pPr>
    </w:p>
    <w:p>
      <w:pPr>
        <w:spacing w:line="360" w:lineRule="auto"/>
        <w:ind w:firstLine="420" w:firstLineChars="200"/>
        <w:rPr>
          <w:rFonts w:ascii="宋体" w:hAnsi="宋体" w:cs="宋体"/>
          <w:color w:val="auto"/>
          <w:szCs w:val="21"/>
        </w:rPr>
      </w:pPr>
      <w:r>
        <w:rPr>
          <w:rFonts w:hint="eastAsia" w:ascii="宋体" w:hAnsi="宋体" w:cs="宋体"/>
          <w:color w:val="auto"/>
          <w:szCs w:val="21"/>
        </w:rPr>
        <w:t>依照《中华人民共和国合同法》、《中华人民共和国建筑法》及其他有关法律法规，遵循平等、自愿、公平和诚实信用的原则，双方就合同工程施工有关事项达成一致意见，订立本合同。</w:t>
      </w:r>
    </w:p>
    <w:p>
      <w:pPr>
        <w:spacing w:line="360" w:lineRule="auto"/>
        <w:rPr>
          <w:rFonts w:ascii="宋体" w:hAnsi="宋体" w:cs="宋体"/>
          <w:color w:val="auto"/>
          <w:szCs w:val="21"/>
        </w:rPr>
      </w:pPr>
    </w:p>
    <w:p>
      <w:pPr>
        <w:spacing w:line="360" w:lineRule="auto"/>
        <w:outlineLvl w:val="1"/>
        <w:rPr>
          <w:rFonts w:ascii="宋体" w:hAnsi="宋体" w:cs="宋体"/>
          <w:b/>
          <w:bCs/>
          <w:color w:val="auto"/>
          <w:szCs w:val="21"/>
        </w:rPr>
      </w:pPr>
      <w:bookmarkStart w:id="290" w:name="_Toc266892752"/>
      <w:r>
        <w:rPr>
          <w:rFonts w:hint="eastAsia" w:ascii="宋体" w:hAnsi="宋体" w:cs="宋体"/>
          <w:b/>
          <w:bCs/>
          <w:color w:val="auto"/>
          <w:szCs w:val="21"/>
        </w:rPr>
        <w:t>一、工程概况</w:t>
      </w:r>
      <w:bookmarkEnd w:id="290"/>
    </w:p>
    <w:p>
      <w:pPr>
        <w:spacing w:line="360" w:lineRule="auto"/>
        <w:rPr>
          <w:rFonts w:ascii="宋体" w:hAnsi="宋体" w:cs="宋体"/>
          <w:color w:val="auto"/>
          <w:szCs w:val="21"/>
        </w:rPr>
      </w:pPr>
      <w:r>
        <w:rPr>
          <w:rFonts w:hint="eastAsia" w:ascii="宋体" w:hAnsi="宋体" w:cs="宋体"/>
          <w:color w:val="auto"/>
          <w:szCs w:val="21"/>
        </w:rPr>
        <w:t xml:space="preserve">   </w:t>
      </w:r>
    </w:p>
    <w:p>
      <w:pPr>
        <w:spacing w:line="360" w:lineRule="auto"/>
        <w:rPr>
          <w:rFonts w:ascii="宋体" w:hAnsi="宋体" w:cs="宋体"/>
          <w:color w:val="auto"/>
          <w:szCs w:val="21"/>
          <w:u w:val="single"/>
        </w:rPr>
      </w:pPr>
      <w:r>
        <w:rPr>
          <w:rFonts w:hint="eastAsia" w:ascii="宋体" w:hAnsi="宋体" w:cs="宋体"/>
          <w:color w:val="auto"/>
          <w:szCs w:val="21"/>
        </w:rPr>
        <w:t xml:space="preserve">    工程名称：</w:t>
      </w:r>
      <w:r>
        <w:rPr>
          <w:rFonts w:hint="eastAsia" w:ascii="宋体" w:hAnsi="宋体" w:cs="宋体"/>
          <w:color w:val="auto"/>
          <w:szCs w:val="21"/>
          <w:u w:val="single"/>
        </w:rPr>
        <w:t>广东省农业科学院动物科学研究所系统微生物研究实验室内部改造工程</w:t>
      </w:r>
    </w:p>
    <w:p>
      <w:pPr>
        <w:spacing w:line="360" w:lineRule="auto"/>
        <w:rPr>
          <w:rFonts w:ascii="宋体" w:hAnsi="宋体" w:cs="宋体"/>
          <w:color w:val="auto"/>
          <w:szCs w:val="21"/>
          <w:u w:val="single"/>
        </w:rPr>
      </w:pPr>
      <w:r>
        <w:rPr>
          <w:rFonts w:hint="eastAsia" w:ascii="宋体" w:hAnsi="宋体" w:cs="宋体"/>
          <w:color w:val="auto"/>
          <w:szCs w:val="21"/>
        </w:rPr>
        <w:t xml:space="preserve">    工程地点：</w:t>
      </w:r>
      <w:r>
        <w:rPr>
          <w:rFonts w:hint="eastAsia" w:ascii="宋体" w:hAnsi="宋体" w:cs="宋体"/>
          <w:color w:val="auto"/>
          <w:szCs w:val="21"/>
          <w:u w:val="single"/>
        </w:rPr>
        <w:t xml:space="preserve">天河区大丰一街1号动科所内 </w:t>
      </w:r>
    </w:p>
    <w:p>
      <w:pPr>
        <w:spacing w:line="360" w:lineRule="auto"/>
        <w:ind w:firstLine="480"/>
        <w:rPr>
          <w:rFonts w:ascii="宋体" w:hAnsi="宋体" w:cs="宋体"/>
          <w:color w:val="auto"/>
          <w:szCs w:val="21"/>
          <w:u w:val="single"/>
        </w:rPr>
      </w:pPr>
      <w:r>
        <w:rPr>
          <w:rFonts w:hint="eastAsia" w:ascii="宋体" w:hAnsi="宋体" w:cs="宋体"/>
          <w:color w:val="auto"/>
          <w:szCs w:val="21"/>
        </w:rPr>
        <w:t>工程内容：</w:t>
      </w:r>
      <w:r>
        <w:rPr>
          <w:rFonts w:hint="eastAsia" w:ascii="宋体" w:hAnsi="宋体" w:cs="宋体"/>
          <w:color w:val="auto"/>
          <w:szCs w:val="21"/>
          <w:u w:val="single"/>
        </w:rPr>
        <w:t>本项目为广东省农业科学院动物科学研究所系统微生物研究实验室内部改造工程。（具体内容以招标图纸、工程量清单为准）。</w:t>
      </w:r>
    </w:p>
    <w:p>
      <w:pPr>
        <w:spacing w:line="360" w:lineRule="auto"/>
        <w:ind w:firstLine="480"/>
        <w:rPr>
          <w:rFonts w:ascii="宋体" w:hAnsi="宋体" w:cs="宋体"/>
          <w:color w:val="auto"/>
          <w:szCs w:val="21"/>
          <w:u w:val="single"/>
        </w:rPr>
      </w:pPr>
      <w:r>
        <w:rPr>
          <w:rFonts w:hint="eastAsia" w:ascii="宋体" w:hAnsi="宋体" w:cs="宋体"/>
          <w:color w:val="auto"/>
          <w:szCs w:val="21"/>
        </w:rPr>
        <w:t>工程规模：</w:t>
      </w:r>
      <w:r>
        <w:rPr>
          <w:rFonts w:hint="eastAsia" w:ascii="宋体" w:hAnsi="宋体" w:cs="宋体"/>
          <w:color w:val="auto"/>
          <w:szCs w:val="21"/>
          <w:u w:val="single"/>
        </w:rPr>
        <w:t xml:space="preserve">          </w:t>
      </w:r>
    </w:p>
    <w:p>
      <w:pPr>
        <w:spacing w:line="360" w:lineRule="auto"/>
        <w:ind w:firstLine="420" w:firstLineChars="200"/>
        <w:rPr>
          <w:rFonts w:ascii="宋体" w:hAnsi="宋体" w:cs="宋体"/>
          <w:color w:val="auto"/>
          <w:szCs w:val="21"/>
          <w:u w:val="single"/>
        </w:rPr>
      </w:pPr>
      <w:r>
        <w:rPr>
          <w:rFonts w:hint="eastAsia" w:ascii="宋体" w:hAnsi="宋体" w:cs="宋体"/>
          <w:color w:val="auto"/>
          <w:szCs w:val="21"/>
        </w:rPr>
        <w:t>结构形式：</w:t>
      </w:r>
      <w:r>
        <w:rPr>
          <w:rFonts w:hint="eastAsia" w:ascii="宋体" w:hAnsi="宋体" w:cs="宋体"/>
          <w:color w:val="auto"/>
          <w:szCs w:val="21"/>
          <w:u w:val="single"/>
        </w:rPr>
        <w:t xml:space="preserve">              </w:t>
      </w:r>
    </w:p>
    <w:p>
      <w:pPr>
        <w:spacing w:line="360" w:lineRule="auto"/>
        <w:rPr>
          <w:rFonts w:ascii="宋体" w:hAnsi="宋体" w:cs="宋体"/>
          <w:color w:val="auto"/>
          <w:szCs w:val="21"/>
          <w:u w:val="single"/>
        </w:rPr>
      </w:pPr>
      <w:r>
        <w:rPr>
          <w:rFonts w:hint="eastAsia" w:ascii="宋体" w:hAnsi="宋体" w:cs="宋体"/>
          <w:color w:val="auto"/>
          <w:szCs w:val="21"/>
        </w:rPr>
        <w:t xml:space="preserve">    工程立项、规划批准文件号：</w:t>
      </w:r>
      <w:r>
        <w:rPr>
          <w:rFonts w:hint="eastAsia" w:ascii="宋体" w:hAnsi="宋体" w:cs="宋体"/>
          <w:color w:val="auto"/>
          <w:szCs w:val="21"/>
          <w:u w:val="single"/>
        </w:rPr>
        <w:t xml:space="preserve">                                             </w:t>
      </w:r>
    </w:p>
    <w:p>
      <w:pPr>
        <w:spacing w:line="360" w:lineRule="auto"/>
        <w:ind w:firstLine="480"/>
        <w:rPr>
          <w:rFonts w:ascii="宋体" w:hAnsi="宋体" w:cs="宋体"/>
          <w:color w:val="auto"/>
          <w:szCs w:val="21"/>
          <w:u w:val="single"/>
        </w:rPr>
      </w:pPr>
      <w:r>
        <w:rPr>
          <w:rFonts w:hint="eastAsia" w:ascii="宋体" w:hAnsi="宋体" w:cs="宋体"/>
          <w:color w:val="auto"/>
          <w:szCs w:val="21"/>
        </w:rPr>
        <w:t>资金来源：</w:t>
      </w:r>
      <w:r>
        <w:rPr>
          <w:rFonts w:hint="eastAsia" w:ascii="宋体" w:hAnsi="宋体" w:cs="宋体"/>
          <w:color w:val="auto"/>
          <w:szCs w:val="21"/>
          <w:u w:val="single"/>
        </w:rPr>
        <w:t xml:space="preserve">   财政资金      </w:t>
      </w:r>
    </w:p>
    <w:p>
      <w:pPr>
        <w:spacing w:line="360" w:lineRule="auto"/>
        <w:rPr>
          <w:rFonts w:ascii="宋体" w:hAnsi="宋体" w:cs="宋体"/>
          <w:color w:val="auto"/>
          <w:szCs w:val="21"/>
          <w:u w:val="single"/>
        </w:rPr>
      </w:pPr>
    </w:p>
    <w:p>
      <w:pPr>
        <w:spacing w:line="360" w:lineRule="auto"/>
        <w:outlineLvl w:val="1"/>
        <w:rPr>
          <w:rFonts w:ascii="宋体" w:hAnsi="宋体" w:cs="宋体"/>
          <w:b/>
          <w:bCs/>
          <w:color w:val="auto"/>
          <w:szCs w:val="21"/>
        </w:rPr>
      </w:pPr>
      <w:bookmarkStart w:id="291" w:name="_Toc266892753"/>
      <w:r>
        <w:rPr>
          <w:rFonts w:hint="eastAsia" w:ascii="宋体" w:hAnsi="宋体" w:cs="宋体"/>
          <w:b/>
          <w:bCs/>
          <w:color w:val="auto"/>
          <w:szCs w:val="21"/>
        </w:rPr>
        <w:t>二、工程承包范围</w:t>
      </w:r>
      <w:bookmarkEnd w:id="291"/>
    </w:p>
    <w:p>
      <w:pPr>
        <w:spacing w:line="360" w:lineRule="auto"/>
        <w:rPr>
          <w:rFonts w:ascii="宋体" w:hAnsi="宋体" w:cs="宋体"/>
          <w:color w:val="auto"/>
          <w:szCs w:val="21"/>
        </w:rPr>
      </w:pPr>
      <w:r>
        <w:rPr>
          <w:rFonts w:hint="eastAsia" w:ascii="宋体" w:hAnsi="宋体" w:cs="宋体"/>
          <w:color w:val="auto"/>
          <w:szCs w:val="21"/>
        </w:rPr>
        <w:t xml:space="preserve">    </w:t>
      </w:r>
    </w:p>
    <w:p>
      <w:pPr>
        <w:spacing w:line="360" w:lineRule="auto"/>
        <w:ind w:firstLine="457" w:firstLineChars="218"/>
        <w:rPr>
          <w:rFonts w:ascii="宋体" w:hAnsi="宋体" w:cs="宋体"/>
          <w:color w:val="auto"/>
          <w:szCs w:val="21"/>
          <w:u w:val="single"/>
        </w:rPr>
      </w:pPr>
      <w:r>
        <w:rPr>
          <w:rFonts w:hint="eastAsia" w:ascii="宋体" w:hAnsi="宋体" w:cs="宋体"/>
          <w:color w:val="auto"/>
          <w:szCs w:val="21"/>
        </w:rPr>
        <w:t>承包范围:</w:t>
      </w:r>
      <w:r>
        <w:rPr>
          <w:rFonts w:hint="eastAsia" w:ascii="宋体" w:hAnsi="宋体" w:cs="宋体"/>
          <w:color w:val="auto"/>
          <w:szCs w:val="21"/>
          <w:u w:val="single"/>
        </w:rPr>
        <w:t xml:space="preserve">  包工、包料、包工期、包质量、包安全、包文明施工、包验收。综合单价包干、项目措施费包干。 </w:t>
      </w:r>
    </w:p>
    <w:p>
      <w:pPr>
        <w:spacing w:line="360" w:lineRule="auto"/>
        <w:ind w:firstLine="457" w:firstLineChars="218"/>
        <w:rPr>
          <w:rFonts w:ascii="宋体" w:hAnsi="宋体" w:cs="宋体"/>
          <w:color w:val="auto"/>
          <w:szCs w:val="21"/>
          <w:u w:val="single"/>
        </w:rPr>
      </w:pPr>
    </w:p>
    <w:p>
      <w:pPr>
        <w:spacing w:line="360" w:lineRule="auto"/>
        <w:outlineLvl w:val="1"/>
        <w:rPr>
          <w:rFonts w:ascii="宋体" w:hAnsi="宋体" w:cs="宋体"/>
          <w:b/>
          <w:bCs/>
          <w:color w:val="auto"/>
          <w:szCs w:val="21"/>
        </w:rPr>
      </w:pPr>
      <w:bookmarkStart w:id="292" w:name="_Toc266892754"/>
      <w:r>
        <w:rPr>
          <w:rFonts w:hint="eastAsia" w:ascii="宋体" w:hAnsi="宋体" w:cs="宋体"/>
          <w:b/>
          <w:bCs/>
          <w:color w:val="auto"/>
          <w:szCs w:val="21"/>
        </w:rPr>
        <w:t>三、合同工期</w:t>
      </w:r>
      <w:bookmarkEnd w:id="292"/>
    </w:p>
    <w:p>
      <w:pPr>
        <w:spacing w:line="360" w:lineRule="auto"/>
        <w:ind w:left="1115" w:leftChars="250" w:hanging="590" w:hangingChars="281"/>
        <w:rPr>
          <w:rFonts w:ascii="宋体" w:hAnsi="宋体" w:cs="宋体"/>
          <w:color w:val="auto"/>
          <w:szCs w:val="21"/>
        </w:rPr>
      </w:pPr>
      <w:r>
        <w:rPr>
          <w:rFonts w:hint="eastAsia" w:ascii="宋体" w:hAnsi="宋体" w:cs="宋体"/>
          <w:color w:val="auto"/>
          <w:szCs w:val="21"/>
        </w:rPr>
        <w:t>工程合同工期总日历天数：</w:t>
      </w:r>
      <w:r>
        <w:rPr>
          <w:rFonts w:hint="eastAsia" w:ascii="宋体" w:hAnsi="宋体" w:cs="宋体"/>
          <w:color w:val="auto"/>
          <w:szCs w:val="21"/>
          <w:u w:val="single"/>
        </w:rPr>
        <w:t xml:space="preserve">   </w:t>
      </w:r>
      <w:r>
        <w:rPr>
          <w:rFonts w:hint="eastAsia" w:ascii="宋体" w:hAnsi="宋体" w:cs="宋体"/>
          <w:color w:val="auto"/>
          <w:szCs w:val="21"/>
        </w:rPr>
        <w:t>日历天。</w:t>
      </w:r>
    </w:p>
    <w:p>
      <w:pPr>
        <w:spacing w:line="360" w:lineRule="auto"/>
        <w:ind w:left="229" w:leftChars="109" w:firstLine="315" w:firstLineChars="150"/>
        <w:rPr>
          <w:rFonts w:ascii="宋体" w:hAnsi="宋体" w:cs="宋体"/>
          <w:color w:val="auto"/>
          <w:szCs w:val="21"/>
        </w:rPr>
      </w:pPr>
      <w:r>
        <w:rPr>
          <w:rFonts w:hint="eastAsia" w:ascii="宋体" w:hAnsi="宋体" w:cs="宋体"/>
          <w:color w:val="auto"/>
          <w:szCs w:val="21"/>
        </w:rPr>
        <w:t xml:space="preserve">从 </w:t>
      </w:r>
      <w:r>
        <w:rPr>
          <w:rFonts w:hint="eastAsia" w:ascii="宋体" w:hAnsi="宋体" w:cs="宋体"/>
          <w:color w:val="auto"/>
          <w:szCs w:val="21"/>
          <w:u w:val="single"/>
        </w:rPr>
        <w:t xml:space="preserve">       </w:t>
      </w:r>
      <w:r>
        <w:rPr>
          <w:rFonts w:hint="eastAsia" w:ascii="宋体" w:hAnsi="宋体" w:cs="宋体"/>
          <w:color w:val="auto"/>
          <w:szCs w:val="21"/>
        </w:rPr>
        <w:t xml:space="preserve"> 年 </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日开始施工，至</w:t>
      </w:r>
      <w:r>
        <w:rPr>
          <w:rFonts w:hint="eastAsia" w:ascii="宋体" w:hAnsi="宋体" w:cs="宋体"/>
          <w:color w:val="auto"/>
          <w:szCs w:val="21"/>
          <w:u w:val="single"/>
        </w:rPr>
        <w:t xml:space="preserve">    </w:t>
      </w:r>
      <w:r>
        <w:rPr>
          <w:rFonts w:hint="eastAsia" w:ascii="宋体" w:hAnsi="宋体" w:cs="宋体"/>
          <w:color w:val="auto"/>
          <w:szCs w:val="21"/>
        </w:rPr>
        <w:t xml:space="preserve"> 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日竣工完成。</w:t>
      </w:r>
    </w:p>
    <w:p>
      <w:pPr>
        <w:spacing w:line="360" w:lineRule="auto"/>
        <w:rPr>
          <w:rFonts w:ascii="宋体" w:hAnsi="宋体" w:cs="宋体"/>
          <w:bCs/>
          <w:color w:val="auto"/>
          <w:szCs w:val="21"/>
        </w:rPr>
      </w:pPr>
    </w:p>
    <w:p>
      <w:pPr>
        <w:spacing w:line="360" w:lineRule="auto"/>
        <w:rPr>
          <w:rFonts w:ascii="宋体" w:hAnsi="宋体" w:cs="宋体"/>
          <w:bCs/>
          <w:color w:val="auto"/>
          <w:szCs w:val="21"/>
        </w:rPr>
      </w:pPr>
    </w:p>
    <w:p>
      <w:pPr>
        <w:spacing w:line="360" w:lineRule="auto"/>
        <w:outlineLvl w:val="1"/>
        <w:rPr>
          <w:rFonts w:ascii="宋体" w:hAnsi="宋体" w:cs="宋体"/>
          <w:b/>
          <w:bCs/>
          <w:color w:val="auto"/>
          <w:szCs w:val="21"/>
        </w:rPr>
      </w:pPr>
      <w:bookmarkStart w:id="293" w:name="_Toc266892755"/>
      <w:r>
        <w:rPr>
          <w:rFonts w:hint="eastAsia" w:ascii="宋体" w:hAnsi="宋体" w:cs="宋体"/>
          <w:b/>
          <w:bCs/>
          <w:color w:val="auto"/>
          <w:szCs w:val="21"/>
        </w:rPr>
        <w:t>四、质量标准</w:t>
      </w:r>
      <w:bookmarkEnd w:id="293"/>
    </w:p>
    <w:p>
      <w:pPr>
        <w:spacing w:line="360" w:lineRule="auto"/>
        <w:ind w:left="420" w:hanging="420" w:hangingChars="200"/>
        <w:rPr>
          <w:rFonts w:ascii="宋体" w:hAnsi="宋体" w:cs="宋体"/>
          <w:color w:val="auto"/>
          <w:szCs w:val="21"/>
        </w:rPr>
      </w:pPr>
      <w:r>
        <w:rPr>
          <w:rFonts w:hint="eastAsia" w:ascii="宋体" w:hAnsi="宋体" w:cs="宋体"/>
          <w:color w:val="auto"/>
          <w:szCs w:val="21"/>
        </w:rPr>
        <w:t xml:space="preserve">     </w:t>
      </w:r>
    </w:p>
    <w:p>
      <w:pPr>
        <w:spacing w:line="360" w:lineRule="auto"/>
        <w:ind w:left="479" w:leftChars="228" w:firstLine="37" w:firstLineChars="18"/>
        <w:rPr>
          <w:rFonts w:ascii="宋体" w:hAnsi="宋体" w:cs="宋体"/>
          <w:color w:val="auto"/>
          <w:szCs w:val="21"/>
          <w:u w:val="single"/>
        </w:rPr>
      </w:pPr>
      <w:r>
        <w:rPr>
          <w:rFonts w:hint="eastAsia" w:ascii="宋体" w:hAnsi="宋体" w:cs="宋体"/>
          <w:color w:val="auto"/>
          <w:szCs w:val="21"/>
        </w:rPr>
        <w:t>工程质量标准：</w:t>
      </w:r>
      <w:r>
        <w:rPr>
          <w:rFonts w:hint="eastAsia" w:ascii="宋体" w:hAnsi="宋体" w:cs="宋体"/>
          <w:color w:val="auto"/>
          <w:szCs w:val="21"/>
          <w:u w:val="single"/>
        </w:rPr>
        <w:t xml:space="preserve">按照国家或行业现行有关工程质量验收标准执行，且验收达到合格等级。 </w:t>
      </w:r>
    </w:p>
    <w:p>
      <w:pPr>
        <w:spacing w:line="360" w:lineRule="auto"/>
        <w:rPr>
          <w:rFonts w:ascii="宋体" w:hAnsi="宋体" w:cs="宋体"/>
          <w:color w:val="auto"/>
          <w:szCs w:val="21"/>
          <w:u w:val="single"/>
        </w:rPr>
      </w:pPr>
    </w:p>
    <w:p>
      <w:pPr>
        <w:spacing w:line="360" w:lineRule="auto"/>
        <w:outlineLvl w:val="1"/>
        <w:rPr>
          <w:rFonts w:ascii="宋体" w:hAnsi="宋体" w:cs="宋体"/>
          <w:b/>
          <w:bCs/>
          <w:color w:val="auto"/>
          <w:szCs w:val="21"/>
        </w:rPr>
      </w:pPr>
      <w:bookmarkStart w:id="294" w:name="_Toc266892756"/>
      <w:r>
        <w:rPr>
          <w:rFonts w:hint="eastAsia" w:ascii="宋体" w:hAnsi="宋体" w:cs="宋体"/>
          <w:b/>
          <w:bCs/>
          <w:color w:val="auto"/>
          <w:szCs w:val="21"/>
        </w:rPr>
        <w:t>五、合同价款</w:t>
      </w:r>
      <w:bookmarkEnd w:id="294"/>
    </w:p>
    <w:p>
      <w:pPr>
        <w:spacing w:line="360" w:lineRule="auto"/>
        <w:rPr>
          <w:rFonts w:ascii="宋体" w:hAnsi="宋体" w:cs="宋体"/>
          <w:color w:val="auto"/>
          <w:szCs w:val="21"/>
        </w:rPr>
      </w:pPr>
      <w:r>
        <w:rPr>
          <w:rFonts w:hint="eastAsia" w:ascii="宋体" w:hAnsi="宋体" w:cs="宋体"/>
          <w:color w:val="auto"/>
          <w:szCs w:val="21"/>
        </w:rPr>
        <w:t xml:space="preserve">    </w:t>
      </w:r>
    </w:p>
    <w:p>
      <w:pPr>
        <w:spacing w:line="360" w:lineRule="auto"/>
        <w:ind w:firstLine="457" w:firstLineChars="218"/>
        <w:rPr>
          <w:rFonts w:ascii="宋体" w:hAnsi="宋体" w:cs="宋体"/>
          <w:color w:val="auto"/>
          <w:szCs w:val="21"/>
        </w:rPr>
      </w:pPr>
      <w:r>
        <w:rPr>
          <w:rFonts w:hint="eastAsia" w:ascii="宋体" w:hAnsi="宋体" w:cs="宋体"/>
          <w:color w:val="auto"/>
          <w:szCs w:val="21"/>
        </w:rPr>
        <w:t>合同总价（大写）：</w:t>
      </w:r>
      <w:r>
        <w:rPr>
          <w:rFonts w:hint="eastAsia" w:ascii="宋体" w:hAnsi="宋体" w:cs="宋体"/>
          <w:color w:val="auto"/>
          <w:szCs w:val="21"/>
          <w:u w:val="single"/>
        </w:rPr>
        <w:t xml:space="preserve">                     </w:t>
      </w:r>
      <w:r>
        <w:rPr>
          <w:rFonts w:hint="eastAsia" w:ascii="宋体" w:hAnsi="宋体" w:cs="宋体"/>
          <w:color w:val="auto"/>
          <w:szCs w:val="21"/>
        </w:rPr>
        <w:t>；</w:t>
      </w:r>
    </w:p>
    <w:p>
      <w:pPr>
        <w:spacing w:line="360" w:lineRule="auto"/>
        <w:ind w:firstLine="1295" w:firstLineChars="617"/>
        <w:rPr>
          <w:rFonts w:ascii="宋体" w:hAnsi="宋体" w:cs="宋体"/>
          <w:color w:val="auto"/>
          <w:szCs w:val="21"/>
        </w:rPr>
      </w:pPr>
      <w:r>
        <w:rPr>
          <w:rFonts w:hint="eastAsia" w:ascii="宋体" w:hAnsi="宋体" w:cs="宋体"/>
          <w:color w:val="auto"/>
          <w:szCs w:val="21"/>
        </w:rPr>
        <w:t>（小写）：</w:t>
      </w:r>
      <w:r>
        <w:rPr>
          <w:rFonts w:hint="eastAsia" w:ascii="宋体" w:hAnsi="宋体" w:cs="宋体"/>
          <w:color w:val="auto"/>
          <w:szCs w:val="21"/>
          <w:u w:val="single"/>
        </w:rPr>
        <w:t xml:space="preserve">                     </w:t>
      </w:r>
      <w:r>
        <w:rPr>
          <w:rFonts w:hint="eastAsia" w:ascii="宋体" w:hAnsi="宋体" w:cs="宋体"/>
          <w:color w:val="auto"/>
          <w:szCs w:val="21"/>
        </w:rPr>
        <w:t>元。</w:t>
      </w:r>
    </w:p>
    <w:p>
      <w:pPr>
        <w:spacing w:line="360" w:lineRule="auto"/>
        <w:ind w:firstLine="457" w:firstLineChars="218"/>
        <w:rPr>
          <w:rFonts w:ascii="宋体" w:hAnsi="宋体" w:cs="宋体"/>
          <w:color w:val="auto"/>
          <w:szCs w:val="21"/>
        </w:rPr>
      </w:pPr>
      <w:r>
        <w:rPr>
          <w:rFonts w:hint="eastAsia" w:ascii="宋体" w:hAnsi="宋体" w:cs="宋体"/>
          <w:color w:val="auto"/>
          <w:szCs w:val="21"/>
        </w:rPr>
        <w:t>项目单价：■详见承包人的投标报价书（招标工程）；</w:t>
      </w:r>
    </w:p>
    <w:p>
      <w:pPr>
        <w:spacing w:line="360" w:lineRule="auto"/>
        <w:ind w:firstLine="1470" w:firstLineChars="700"/>
        <w:rPr>
          <w:rFonts w:ascii="宋体" w:hAnsi="宋体" w:cs="宋体"/>
          <w:color w:val="auto"/>
          <w:szCs w:val="21"/>
        </w:rPr>
      </w:pPr>
      <w:r>
        <w:rPr>
          <w:rFonts w:hint="eastAsia" w:ascii="宋体" w:hAnsi="宋体" w:cs="宋体"/>
          <w:color w:val="auto"/>
          <w:szCs w:val="21"/>
        </w:rPr>
        <w:t>□详见经确认的工程量清单报价单或施工图预算书（非招标工程）。</w:t>
      </w:r>
    </w:p>
    <w:p>
      <w:pPr>
        <w:spacing w:line="360" w:lineRule="auto"/>
        <w:ind w:firstLine="1470" w:firstLineChars="700"/>
        <w:rPr>
          <w:rFonts w:ascii="宋体" w:hAnsi="宋体" w:cs="宋体"/>
          <w:color w:val="auto"/>
          <w:szCs w:val="21"/>
        </w:rPr>
      </w:pPr>
    </w:p>
    <w:p>
      <w:pPr>
        <w:spacing w:line="360" w:lineRule="auto"/>
        <w:outlineLvl w:val="1"/>
        <w:rPr>
          <w:rFonts w:ascii="宋体" w:hAnsi="宋体" w:cs="宋体"/>
          <w:b/>
          <w:bCs/>
          <w:color w:val="auto"/>
          <w:szCs w:val="21"/>
        </w:rPr>
      </w:pPr>
      <w:bookmarkStart w:id="295" w:name="_Toc266892757"/>
      <w:r>
        <w:rPr>
          <w:rFonts w:hint="eastAsia" w:ascii="宋体" w:hAnsi="宋体" w:cs="宋体"/>
          <w:b/>
          <w:bCs/>
          <w:color w:val="auto"/>
          <w:szCs w:val="21"/>
        </w:rPr>
        <w:t>六、组成合同的文件</w:t>
      </w:r>
      <w:bookmarkEnd w:id="295"/>
    </w:p>
    <w:p>
      <w:pPr>
        <w:tabs>
          <w:tab w:val="left" w:pos="1260"/>
        </w:tabs>
        <w:spacing w:line="360" w:lineRule="auto"/>
        <w:ind w:left="420" w:leftChars="-100" w:hanging="630" w:hangingChars="300"/>
        <w:rPr>
          <w:rFonts w:ascii="宋体" w:hAnsi="宋体" w:cs="宋体"/>
          <w:color w:val="auto"/>
          <w:kern w:val="0"/>
          <w:szCs w:val="21"/>
        </w:rPr>
      </w:pPr>
      <w:r>
        <w:rPr>
          <w:rFonts w:hint="eastAsia" w:ascii="宋体" w:hAnsi="宋体" w:cs="宋体"/>
          <w:color w:val="auto"/>
          <w:kern w:val="0"/>
          <w:szCs w:val="21"/>
        </w:rPr>
        <w:t xml:space="preserve">         </w:t>
      </w:r>
    </w:p>
    <w:p>
      <w:pPr>
        <w:tabs>
          <w:tab w:val="left" w:pos="1260"/>
        </w:tabs>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组成本合同的文件及其优先解释顺序与本合同第三部分《通用条款》第2.2款赋予的规定一致。</w:t>
      </w:r>
    </w:p>
    <w:p>
      <w:pPr>
        <w:tabs>
          <w:tab w:val="left" w:pos="1260"/>
        </w:tabs>
        <w:spacing w:line="360" w:lineRule="auto"/>
        <w:ind w:firstLine="455" w:firstLineChars="217"/>
        <w:rPr>
          <w:rFonts w:ascii="宋体" w:hAnsi="宋体" w:cs="宋体"/>
          <w:color w:val="auto"/>
          <w:kern w:val="0"/>
          <w:szCs w:val="21"/>
        </w:rPr>
      </w:pPr>
    </w:p>
    <w:p>
      <w:pPr>
        <w:spacing w:line="360" w:lineRule="auto"/>
        <w:outlineLvl w:val="1"/>
        <w:rPr>
          <w:rFonts w:ascii="宋体" w:hAnsi="宋体" w:cs="宋体"/>
          <w:b/>
          <w:bCs/>
          <w:color w:val="auto"/>
          <w:szCs w:val="21"/>
        </w:rPr>
      </w:pPr>
      <w:bookmarkStart w:id="296" w:name="_Toc266892758"/>
      <w:r>
        <w:rPr>
          <w:rFonts w:hint="eastAsia" w:ascii="宋体" w:hAnsi="宋体" w:cs="宋体"/>
          <w:b/>
          <w:bCs/>
          <w:color w:val="auto"/>
          <w:szCs w:val="21"/>
        </w:rPr>
        <w:t>七、词语含义</w:t>
      </w:r>
      <w:bookmarkEnd w:id="296"/>
    </w:p>
    <w:p>
      <w:pPr>
        <w:spacing w:line="360" w:lineRule="auto"/>
        <w:ind w:firstLine="420" w:firstLineChars="200"/>
        <w:rPr>
          <w:rFonts w:ascii="宋体" w:hAnsi="宋体" w:cs="宋体"/>
          <w:color w:val="auto"/>
          <w:kern w:val="0"/>
          <w:szCs w:val="21"/>
        </w:rPr>
      </w:pPr>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本协议书中有关词语含义与本合同第二部分《通用条款》第1条赋予它们的定义相同。</w:t>
      </w:r>
    </w:p>
    <w:p>
      <w:pPr>
        <w:spacing w:line="360" w:lineRule="auto"/>
        <w:ind w:firstLine="420" w:firstLineChars="200"/>
        <w:rPr>
          <w:rFonts w:ascii="宋体" w:hAnsi="宋体" w:cs="宋体"/>
          <w:color w:val="auto"/>
          <w:kern w:val="0"/>
          <w:szCs w:val="21"/>
        </w:rPr>
      </w:pPr>
    </w:p>
    <w:p>
      <w:pPr>
        <w:spacing w:line="360" w:lineRule="auto"/>
        <w:outlineLvl w:val="1"/>
        <w:rPr>
          <w:rFonts w:ascii="宋体" w:hAnsi="宋体" w:cs="宋体"/>
          <w:b/>
          <w:bCs/>
          <w:color w:val="auto"/>
          <w:szCs w:val="21"/>
        </w:rPr>
      </w:pPr>
      <w:bookmarkStart w:id="297" w:name="_Toc266892759"/>
      <w:r>
        <w:rPr>
          <w:rFonts w:hint="eastAsia" w:ascii="宋体" w:hAnsi="宋体" w:cs="宋体"/>
          <w:b/>
          <w:bCs/>
          <w:color w:val="auto"/>
          <w:szCs w:val="21"/>
        </w:rPr>
        <w:t>八、承包人承诺</w:t>
      </w:r>
      <w:bookmarkEnd w:id="297"/>
    </w:p>
    <w:p>
      <w:pPr>
        <w:spacing w:line="360" w:lineRule="auto"/>
        <w:ind w:firstLine="420" w:firstLineChars="200"/>
        <w:rPr>
          <w:rFonts w:ascii="宋体" w:hAnsi="宋体" w:cs="宋体"/>
          <w:color w:val="auto"/>
          <w:kern w:val="0"/>
          <w:szCs w:val="21"/>
        </w:rPr>
      </w:pPr>
    </w:p>
    <w:p>
      <w:pPr>
        <w:spacing w:line="360" w:lineRule="auto"/>
        <w:ind w:firstLine="420" w:firstLineChars="200"/>
        <w:rPr>
          <w:rFonts w:ascii="宋体" w:hAnsi="宋体" w:cs="宋体"/>
          <w:color w:val="auto"/>
          <w:szCs w:val="21"/>
        </w:rPr>
      </w:pPr>
      <w:r>
        <w:rPr>
          <w:rFonts w:hint="eastAsia" w:ascii="宋体" w:hAnsi="宋体" w:cs="宋体"/>
          <w:color w:val="auto"/>
          <w:szCs w:val="21"/>
        </w:rPr>
        <w:t>承包人向发包人承诺已阅读、理解并接受本合同所有条款，按照本合同约定实施、完成并保修合同工程，履行本合同所约定的全部义务。</w:t>
      </w:r>
    </w:p>
    <w:p>
      <w:pPr>
        <w:spacing w:line="360" w:lineRule="auto"/>
        <w:ind w:firstLine="420" w:firstLineChars="200"/>
        <w:rPr>
          <w:rFonts w:ascii="宋体" w:hAnsi="宋体" w:cs="宋体"/>
          <w:color w:val="auto"/>
          <w:szCs w:val="21"/>
        </w:rPr>
      </w:pPr>
    </w:p>
    <w:p>
      <w:pPr>
        <w:spacing w:line="360" w:lineRule="auto"/>
        <w:outlineLvl w:val="1"/>
        <w:rPr>
          <w:rFonts w:ascii="宋体" w:hAnsi="宋体" w:cs="宋体"/>
          <w:b/>
          <w:bCs/>
          <w:color w:val="auto"/>
          <w:szCs w:val="21"/>
        </w:rPr>
      </w:pPr>
      <w:bookmarkStart w:id="298" w:name="_Toc266892760"/>
      <w:r>
        <w:rPr>
          <w:rFonts w:hint="eastAsia" w:ascii="宋体" w:hAnsi="宋体" w:cs="宋体"/>
          <w:b/>
          <w:bCs/>
          <w:color w:val="auto"/>
          <w:szCs w:val="21"/>
        </w:rPr>
        <w:t>九、发包人承诺</w:t>
      </w:r>
      <w:bookmarkEnd w:id="298"/>
    </w:p>
    <w:p>
      <w:pPr>
        <w:spacing w:line="360" w:lineRule="auto"/>
        <w:ind w:firstLine="420" w:firstLineChars="200"/>
        <w:rPr>
          <w:rFonts w:ascii="宋体" w:hAnsi="宋体" w:cs="宋体"/>
          <w:color w:val="auto"/>
          <w:szCs w:val="21"/>
        </w:rPr>
      </w:pPr>
    </w:p>
    <w:p>
      <w:pPr>
        <w:spacing w:line="360" w:lineRule="auto"/>
        <w:ind w:firstLine="420" w:firstLineChars="200"/>
        <w:rPr>
          <w:rFonts w:ascii="宋体" w:hAnsi="宋体" w:cs="宋体"/>
          <w:color w:val="auto"/>
          <w:szCs w:val="21"/>
        </w:rPr>
      </w:pPr>
      <w:r>
        <w:rPr>
          <w:rFonts w:hint="eastAsia" w:ascii="宋体" w:hAnsi="宋体" w:cs="宋体"/>
          <w:color w:val="auto"/>
          <w:szCs w:val="21"/>
        </w:rPr>
        <w:t>发包人向承包人承诺已阅读、理解并接受本合同所有条款，按照本合同约定的时限和方法支付工程款及其他应当支付的款项，履行本合同所约定的全部义务。</w:t>
      </w:r>
    </w:p>
    <w:p>
      <w:pPr>
        <w:spacing w:line="360" w:lineRule="auto"/>
        <w:ind w:firstLine="420" w:firstLineChars="200"/>
        <w:rPr>
          <w:rFonts w:ascii="宋体" w:hAnsi="宋体" w:cs="宋体"/>
          <w:color w:val="auto"/>
          <w:szCs w:val="21"/>
        </w:rPr>
      </w:pPr>
    </w:p>
    <w:p>
      <w:pPr>
        <w:spacing w:beforeLines="150" w:afterLines="200" w:line="360" w:lineRule="auto"/>
        <w:outlineLvl w:val="1"/>
        <w:rPr>
          <w:rFonts w:ascii="宋体" w:hAnsi="宋体" w:cs="宋体"/>
          <w:color w:val="auto"/>
          <w:szCs w:val="21"/>
        </w:rPr>
      </w:pPr>
      <w:bookmarkStart w:id="299" w:name="_Toc266892761"/>
      <w:r>
        <w:rPr>
          <w:rFonts w:hint="eastAsia" w:ascii="宋体" w:hAnsi="宋体" w:cs="宋体"/>
          <w:b/>
          <w:bCs/>
          <w:color w:val="auto"/>
          <w:szCs w:val="21"/>
        </w:rPr>
        <w:t>十、合同生效</w:t>
      </w:r>
      <w:bookmarkEnd w:id="299"/>
    </w:p>
    <w:p>
      <w:pPr>
        <w:spacing w:line="360" w:lineRule="auto"/>
        <w:ind w:left="525"/>
        <w:rPr>
          <w:rFonts w:ascii="宋体" w:hAnsi="宋体" w:cs="宋体"/>
          <w:color w:val="auto"/>
          <w:szCs w:val="21"/>
        </w:rPr>
      </w:pPr>
      <w:r>
        <w:rPr>
          <w:rFonts w:hint="eastAsia" w:ascii="宋体" w:hAnsi="宋体" w:cs="宋体"/>
          <w:color w:val="auto"/>
          <w:szCs w:val="21"/>
        </w:rPr>
        <w:t>本合同订立时间：</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日</w:t>
      </w:r>
    </w:p>
    <w:p>
      <w:pPr>
        <w:spacing w:line="360" w:lineRule="auto"/>
        <w:ind w:left="525"/>
        <w:rPr>
          <w:rFonts w:ascii="宋体" w:hAnsi="宋体" w:cs="宋体"/>
          <w:color w:val="auto"/>
          <w:szCs w:val="21"/>
        </w:rPr>
      </w:pPr>
      <w:r>
        <w:rPr>
          <w:rFonts w:hint="eastAsia" w:ascii="宋体" w:hAnsi="宋体" w:cs="宋体"/>
          <w:color w:val="auto"/>
          <w:szCs w:val="21"/>
        </w:rPr>
        <w:t>本合同订立地点：</w:t>
      </w:r>
      <w:r>
        <w:rPr>
          <w:rFonts w:hint="eastAsia" w:ascii="宋体" w:hAnsi="宋体" w:cs="宋体"/>
          <w:color w:val="auto"/>
          <w:szCs w:val="21"/>
          <w:u w:val="single"/>
        </w:rPr>
        <w:t xml:space="preserve">                                                       </w:t>
      </w:r>
    </w:p>
    <w:p>
      <w:pPr>
        <w:spacing w:line="360" w:lineRule="auto"/>
        <w:ind w:firstLine="457" w:firstLineChars="218"/>
        <w:jc w:val="left"/>
        <w:rPr>
          <w:rFonts w:ascii="宋体" w:hAnsi="宋体" w:cs="宋体"/>
          <w:color w:val="auto"/>
          <w:szCs w:val="21"/>
        </w:rPr>
      </w:pPr>
      <w:r>
        <w:rPr>
          <w:rFonts w:hint="eastAsia" w:ascii="宋体" w:hAnsi="宋体" w:cs="宋体"/>
          <w:color w:val="auto"/>
          <w:szCs w:val="21"/>
        </w:rPr>
        <w:t>合同双方当事人约定本合同自双方签字、盖章后生效。</w:t>
      </w:r>
    </w:p>
    <w:p>
      <w:pPr>
        <w:spacing w:line="360" w:lineRule="auto"/>
        <w:rPr>
          <w:rFonts w:ascii="宋体" w:hAnsi="宋体" w:cs="宋体"/>
          <w:color w:val="auto"/>
          <w:szCs w:val="21"/>
        </w:rPr>
      </w:pPr>
    </w:p>
    <w:p>
      <w:pPr>
        <w:spacing w:line="360" w:lineRule="auto"/>
        <w:jc w:val="center"/>
        <w:rPr>
          <w:rFonts w:ascii="宋体" w:hAnsi="宋体" w:cs="宋体"/>
          <w:color w:val="auto"/>
          <w:szCs w:val="21"/>
        </w:rPr>
      </w:pPr>
    </w:p>
    <w:p>
      <w:pPr>
        <w:spacing w:line="360" w:lineRule="auto"/>
        <w:ind w:firstLine="945" w:firstLineChars="450"/>
        <w:rPr>
          <w:rFonts w:ascii="宋体" w:hAnsi="宋体" w:cs="宋体"/>
          <w:color w:val="auto"/>
          <w:szCs w:val="21"/>
        </w:rPr>
      </w:pPr>
      <w:r>
        <w:rPr>
          <w:rFonts w:hint="eastAsia" w:ascii="宋体" w:hAnsi="宋体" w:cs="宋体"/>
          <w:color w:val="auto"/>
          <w:szCs w:val="21"/>
        </w:rPr>
        <w:t>发包人：（盖章）                        承包人：（盖章）</w:t>
      </w:r>
    </w:p>
    <w:p>
      <w:pPr>
        <w:spacing w:line="360" w:lineRule="auto"/>
        <w:ind w:left="4830" w:hanging="4830" w:hangingChars="2300"/>
        <w:rPr>
          <w:rFonts w:ascii="宋体" w:hAnsi="宋体" w:cs="宋体"/>
          <w:color w:val="auto"/>
          <w:szCs w:val="21"/>
        </w:rPr>
      </w:pPr>
      <w:r>
        <w:rPr>
          <w:rFonts w:hint="eastAsia" w:ascii="宋体" w:hAnsi="宋体" w:cs="宋体"/>
          <w:color w:val="auto"/>
          <w:szCs w:val="21"/>
        </w:rPr>
        <w:t xml:space="preserve">         地      址：广州市天河区大丰一街1号         地      址：  </w:t>
      </w:r>
    </w:p>
    <w:p>
      <w:pPr>
        <w:spacing w:line="360" w:lineRule="auto"/>
        <w:rPr>
          <w:rFonts w:ascii="宋体" w:hAnsi="宋体" w:cs="宋体"/>
          <w:color w:val="auto"/>
          <w:szCs w:val="21"/>
        </w:rPr>
      </w:pPr>
    </w:p>
    <w:p>
      <w:pPr>
        <w:tabs>
          <w:tab w:val="left" w:pos="525"/>
          <w:tab w:val="left" w:pos="1155"/>
        </w:tabs>
        <w:spacing w:line="360" w:lineRule="auto"/>
        <w:rPr>
          <w:rFonts w:ascii="宋体" w:hAnsi="宋体" w:cs="宋体"/>
          <w:color w:val="auto"/>
          <w:szCs w:val="21"/>
        </w:rPr>
      </w:pPr>
      <w:r>
        <w:rPr>
          <w:rFonts w:hint="eastAsia" w:ascii="宋体" w:hAnsi="宋体" w:cs="宋体"/>
          <w:color w:val="auto"/>
          <w:szCs w:val="21"/>
        </w:rPr>
        <w:t xml:space="preserve">         法定代表人：                            法定代表人：</w:t>
      </w:r>
    </w:p>
    <w:p>
      <w:pPr>
        <w:tabs>
          <w:tab w:val="left" w:pos="525"/>
          <w:tab w:val="left" w:pos="1155"/>
        </w:tabs>
        <w:spacing w:line="360" w:lineRule="auto"/>
        <w:ind w:left="525" w:leftChars="250"/>
        <w:rPr>
          <w:rFonts w:ascii="宋体" w:hAnsi="宋体" w:cs="宋体"/>
          <w:color w:val="auto"/>
          <w:szCs w:val="21"/>
        </w:rPr>
      </w:pPr>
      <w:r>
        <w:rPr>
          <w:rFonts w:hint="eastAsia" w:ascii="宋体" w:hAnsi="宋体" w:cs="宋体"/>
          <w:color w:val="auto"/>
          <w:szCs w:val="21"/>
        </w:rPr>
        <w:t xml:space="preserve">     委托代理人：                            委托代理人：</w:t>
      </w:r>
    </w:p>
    <w:p>
      <w:pPr>
        <w:tabs>
          <w:tab w:val="left" w:pos="525"/>
          <w:tab w:val="left" w:pos="1155"/>
        </w:tabs>
        <w:spacing w:line="360" w:lineRule="auto"/>
        <w:ind w:left="525" w:leftChars="250" w:firstLine="420" w:firstLineChars="200"/>
        <w:rPr>
          <w:rFonts w:ascii="宋体" w:hAnsi="宋体" w:cs="宋体"/>
          <w:color w:val="auto"/>
          <w:szCs w:val="21"/>
        </w:rPr>
      </w:pPr>
      <w:r>
        <w:rPr>
          <w:rFonts w:hint="eastAsia" w:ascii="宋体" w:hAnsi="宋体" w:cs="宋体"/>
          <w:color w:val="auto"/>
          <w:szCs w:val="21"/>
        </w:rPr>
        <w:t xml:space="preserve"> 电    话：                              电    话：  </w:t>
      </w:r>
    </w:p>
    <w:p>
      <w:pPr>
        <w:tabs>
          <w:tab w:val="left" w:pos="525"/>
          <w:tab w:val="left" w:pos="1155"/>
        </w:tabs>
        <w:spacing w:line="360" w:lineRule="auto"/>
        <w:ind w:left="525" w:leftChars="250"/>
        <w:rPr>
          <w:rFonts w:ascii="宋体" w:hAnsi="宋体" w:cs="宋体"/>
          <w:color w:val="auto"/>
          <w:szCs w:val="21"/>
        </w:rPr>
      </w:pPr>
      <w:r>
        <w:rPr>
          <w:rFonts w:hint="eastAsia" w:ascii="宋体" w:hAnsi="宋体" w:cs="宋体"/>
          <w:color w:val="auto"/>
          <w:szCs w:val="21"/>
        </w:rPr>
        <w:t xml:space="preserve">     传    真：                              传    真： </w:t>
      </w:r>
    </w:p>
    <w:p>
      <w:pPr>
        <w:tabs>
          <w:tab w:val="left" w:pos="525"/>
          <w:tab w:val="left" w:pos="1155"/>
        </w:tabs>
        <w:spacing w:line="360" w:lineRule="auto"/>
        <w:ind w:left="525" w:leftChars="250"/>
        <w:rPr>
          <w:rFonts w:ascii="宋体" w:hAnsi="宋体" w:cs="宋体"/>
          <w:color w:val="auto"/>
          <w:szCs w:val="21"/>
        </w:rPr>
      </w:pPr>
      <w:r>
        <w:rPr>
          <w:rFonts w:hint="eastAsia" w:ascii="宋体" w:hAnsi="宋体" w:cs="宋体"/>
          <w:color w:val="auto"/>
          <w:szCs w:val="21"/>
        </w:rPr>
        <w:t xml:space="preserve">     开户银行：                              开户银行： </w:t>
      </w:r>
    </w:p>
    <w:p>
      <w:pPr>
        <w:tabs>
          <w:tab w:val="left" w:pos="525"/>
          <w:tab w:val="left" w:pos="1155"/>
          <w:tab w:val="left" w:pos="6090"/>
        </w:tabs>
        <w:spacing w:line="360" w:lineRule="auto"/>
        <w:ind w:left="525" w:leftChars="250"/>
        <w:rPr>
          <w:rFonts w:ascii="宋体" w:hAnsi="宋体" w:cs="宋体"/>
          <w:color w:val="auto"/>
          <w:szCs w:val="21"/>
        </w:rPr>
      </w:pPr>
      <w:r>
        <w:rPr>
          <w:rFonts w:hint="eastAsia" w:ascii="宋体" w:hAnsi="宋体" w:cs="宋体"/>
          <w:color w:val="auto"/>
          <w:szCs w:val="21"/>
        </w:rPr>
        <w:t xml:space="preserve">     帐    号：                              帐    号： </w:t>
      </w:r>
    </w:p>
    <w:p>
      <w:pPr>
        <w:tabs>
          <w:tab w:val="left" w:pos="525"/>
          <w:tab w:val="left" w:pos="1155"/>
        </w:tabs>
        <w:spacing w:line="360" w:lineRule="auto"/>
        <w:ind w:left="525" w:leftChars="250" w:firstLine="420" w:firstLineChars="200"/>
        <w:rPr>
          <w:rFonts w:ascii="宋体" w:hAnsi="宋体" w:cs="宋体"/>
          <w:color w:val="auto"/>
          <w:szCs w:val="21"/>
        </w:rPr>
      </w:pPr>
      <w:r>
        <w:rPr>
          <w:rFonts w:hint="eastAsia" w:ascii="宋体" w:hAnsi="宋体" w:cs="宋体"/>
          <w:color w:val="auto"/>
          <w:szCs w:val="21"/>
        </w:rPr>
        <w:t xml:space="preserve"> 邮政编码：510640                        邮政编码： </w:t>
      </w:r>
    </w:p>
    <w:p>
      <w:pPr>
        <w:tabs>
          <w:tab w:val="left" w:pos="525"/>
          <w:tab w:val="left" w:pos="1155"/>
        </w:tabs>
        <w:spacing w:line="360" w:lineRule="auto"/>
        <w:ind w:left="525" w:leftChars="250"/>
        <w:rPr>
          <w:rFonts w:ascii="宋体" w:hAnsi="宋体" w:cs="宋体"/>
          <w:color w:val="auto"/>
          <w:szCs w:val="21"/>
        </w:rPr>
      </w:pPr>
      <w:r>
        <w:rPr>
          <w:rFonts w:hint="eastAsia" w:ascii="宋体" w:hAnsi="宋体" w:cs="宋体"/>
          <w:color w:val="auto"/>
          <w:szCs w:val="21"/>
        </w:rPr>
        <w:t xml:space="preserve">     电子邮箱:                               电子邮箱:</w:t>
      </w:r>
      <w:bookmarkEnd w:id="285"/>
      <w:bookmarkEnd w:id="286"/>
      <w:bookmarkEnd w:id="287"/>
      <w:bookmarkEnd w:id="288"/>
      <w:r>
        <w:rPr>
          <w:rFonts w:hint="eastAsia" w:ascii="宋体" w:hAnsi="宋体" w:cs="宋体"/>
          <w:color w:val="auto"/>
          <w:szCs w:val="21"/>
        </w:rPr>
        <w:t xml:space="preserve">  </w:t>
      </w:r>
    </w:p>
    <w:p>
      <w:pPr>
        <w:tabs>
          <w:tab w:val="left" w:pos="720"/>
          <w:tab w:val="left" w:pos="7560"/>
        </w:tabs>
        <w:adjustRightInd w:val="0"/>
        <w:snapToGrid w:val="0"/>
        <w:jc w:val="center"/>
        <w:outlineLvl w:val="0"/>
        <w:rPr>
          <w:rFonts w:ascii="宋体" w:hAnsi="宋体" w:cs="宋体"/>
          <w:b/>
          <w:color w:val="auto"/>
          <w:kern w:val="0"/>
          <w:sz w:val="36"/>
          <w:szCs w:val="32"/>
        </w:rPr>
      </w:pPr>
    </w:p>
    <w:p>
      <w:pPr>
        <w:tabs>
          <w:tab w:val="left" w:pos="720"/>
          <w:tab w:val="left" w:pos="7560"/>
        </w:tabs>
        <w:adjustRightInd w:val="0"/>
        <w:snapToGrid w:val="0"/>
        <w:jc w:val="center"/>
        <w:outlineLvl w:val="0"/>
        <w:rPr>
          <w:rFonts w:ascii="宋体" w:hAnsi="宋体" w:cs="宋体"/>
          <w:b/>
          <w:color w:val="auto"/>
          <w:kern w:val="0"/>
          <w:sz w:val="36"/>
          <w:szCs w:val="32"/>
        </w:rPr>
      </w:pPr>
    </w:p>
    <w:p>
      <w:pPr>
        <w:tabs>
          <w:tab w:val="left" w:pos="720"/>
          <w:tab w:val="left" w:pos="7560"/>
        </w:tabs>
        <w:adjustRightInd w:val="0"/>
        <w:snapToGrid w:val="0"/>
        <w:jc w:val="center"/>
        <w:outlineLvl w:val="0"/>
        <w:rPr>
          <w:rFonts w:ascii="宋体" w:hAnsi="宋体" w:cs="宋体"/>
          <w:b/>
          <w:color w:val="auto"/>
          <w:kern w:val="0"/>
          <w:sz w:val="36"/>
          <w:szCs w:val="32"/>
        </w:rPr>
      </w:pPr>
    </w:p>
    <w:p>
      <w:pPr>
        <w:tabs>
          <w:tab w:val="left" w:pos="720"/>
          <w:tab w:val="left" w:pos="7560"/>
        </w:tabs>
        <w:adjustRightInd w:val="0"/>
        <w:snapToGrid w:val="0"/>
        <w:jc w:val="center"/>
        <w:outlineLvl w:val="0"/>
        <w:rPr>
          <w:rFonts w:ascii="宋体" w:hAnsi="宋体" w:cs="宋体"/>
          <w:b/>
          <w:color w:val="auto"/>
          <w:kern w:val="0"/>
          <w:sz w:val="36"/>
          <w:szCs w:val="32"/>
        </w:rPr>
      </w:pPr>
    </w:p>
    <w:p>
      <w:pPr>
        <w:tabs>
          <w:tab w:val="left" w:pos="720"/>
          <w:tab w:val="left" w:pos="7560"/>
        </w:tabs>
        <w:adjustRightInd w:val="0"/>
        <w:snapToGrid w:val="0"/>
        <w:jc w:val="center"/>
        <w:outlineLvl w:val="0"/>
        <w:rPr>
          <w:rFonts w:ascii="宋体" w:hAnsi="宋体" w:cs="宋体"/>
          <w:b/>
          <w:color w:val="auto"/>
          <w:kern w:val="0"/>
          <w:sz w:val="36"/>
          <w:szCs w:val="32"/>
        </w:rPr>
      </w:pPr>
    </w:p>
    <w:p>
      <w:pPr>
        <w:tabs>
          <w:tab w:val="left" w:pos="720"/>
          <w:tab w:val="left" w:pos="7560"/>
        </w:tabs>
        <w:adjustRightInd w:val="0"/>
        <w:snapToGrid w:val="0"/>
        <w:jc w:val="center"/>
        <w:outlineLvl w:val="0"/>
        <w:rPr>
          <w:rFonts w:ascii="宋体" w:hAnsi="宋体" w:cs="宋体"/>
          <w:b/>
          <w:color w:val="auto"/>
          <w:kern w:val="0"/>
          <w:sz w:val="36"/>
          <w:szCs w:val="32"/>
        </w:rPr>
      </w:pPr>
      <w:r>
        <w:rPr>
          <w:rFonts w:hint="eastAsia" w:ascii="宋体" w:hAnsi="宋体" w:cs="宋体"/>
          <w:b/>
          <w:color w:val="auto"/>
          <w:kern w:val="0"/>
          <w:sz w:val="36"/>
          <w:szCs w:val="32"/>
        </w:rPr>
        <w:br w:type="page"/>
      </w:r>
    </w:p>
    <w:p>
      <w:pPr>
        <w:tabs>
          <w:tab w:val="left" w:pos="720"/>
          <w:tab w:val="left" w:pos="7560"/>
        </w:tabs>
        <w:adjustRightInd w:val="0"/>
        <w:snapToGrid w:val="0"/>
        <w:jc w:val="center"/>
        <w:outlineLvl w:val="0"/>
        <w:rPr>
          <w:rFonts w:ascii="宋体" w:hAnsi="宋体" w:cs="宋体"/>
          <w:b/>
          <w:color w:val="auto"/>
          <w:kern w:val="0"/>
          <w:sz w:val="36"/>
          <w:szCs w:val="32"/>
        </w:rPr>
      </w:pPr>
      <w:r>
        <w:rPr>
          <w:rFonts w:hint="eastAsia" w:ascii="宋体" w:hAnsi="宋体" w:cs="宋体"/>
          <w:b/>
          <w:color w:val="auto"/>
          <w:kern w:val="0"/>
          <w:sz w:val="36"/>
          <w:szCs w:val="32"/>
        </w:rPr>
        <w:t>第二部分  通用条款</w:t>
      </w:r>
    </w:p>
    <w:p>
      <w:pPr>
        <w:adjustRightInd w:val="0"/>
        <w:snapToGrid w:val="0"/>
        <w:jc w:val="center"/>
        <w:rPr>
          <w:rFonts w:ascii="宋体" w:hAnsi="宋体" w:cs="宋体"/>
          <w:color w:val="auto"/>
          <w:kern w:val="0"/>
          <w:sz w:val="32"/>
        </w:rPr>
      </w:pPr>
    </w:p>
    <w:p>
      <w:pPr>
        <w:adjustRightInd w:val="0"/>
        <w:snapToGrid w:val="0"/>
        <w:jc w:val="center"/>
        <w:rPr>
          <w:rFonts w:ascii="宋体" w:hAnsi="宋体" w:cs="宋体"/>
          <w:color w:val="auto"/>
          <w:kern w:val="0"/>
          <w:sz w:val="32"/>
        </w:rPr>
      </w:pPr>
    </w:p>
    <w:p>
      <w:pPr>
        <w:adjustRightInd w:val="0"/>
        <w:snapToGrid w:val="0"/>
        <w:jc w:val="center"/>
        <w:outlineLvl w:val="1"/>
        <w:rPr>
          <w:rFonts w:ascii="宋体" w:hAnsi="宋体" w:cs="宋体"/>
          <w:b/>
          <w:color w:val="auto"/>
          <w:kern w:val="0"/>
          <w:sz w:val="32"/>
        </w:rPr>
      </w:pPr>
      <w:r>
        <w:rPr>
          <w:rFonts w:hint="eastAsia" w:ascii="宋体" w:hAnsi="宋体" w:cs="宋体"/>
          <w:b/>
          <w:color w:val="auto"/>
          <w:kern w:val="0"/>
          <w:sz w:val="32"/>
          <w:szCs w:val="28"/>
        </w:rPr>
        <w:t>一、总  则</w:t>
      </w:r>
    </w:p>
    <w:p>
      <w:pPr>
        <w:tabs>
          <w:tab w:val="left" w:pos="900"/>
          <w:tab w:val="left" w:pos="1080"/>
        </w:tabs>
        <w:spacing w:beforeLines="50" w:afterLines="50" w:line="360" w:lineRule="auto"/>
        <w:rPr>
          <w:rFonts w:ascii="宋体" w:hAnsi="宋体" w:cs="宋体"/>
          <w:b/>
          <w:color w:val="auto"/>
          <w:kern w:val="0"/>
          <w:szCs w:val="21"/>
        </w:rPr>
      </w:pPr>
      <w:r>
        <w:rPr>
          <w:rFonts w:hint="eastAsia" w:ascii="宋体" w:hAnsi="宋体" w:cs="宋体"/>
          <w:b/>
          <w:color w:val="auto"/>
          <w:kern w:val="0"/>
          <w:szCs w:val="21"/>
        </w:rPr>
        <w:t>1  定义</w:t>
      </w:r>
    </w:p>
    <w:p>
      <w:pPr>
        <w:tabs>
          <w:tab w:val="left" w:pos="900"/>
          <w:tab w:val="left" w:pos="1980"/>
        </w:tabs>
        <w:adjustRightInd w:val="0"/>
        <w:spacing w:line="360" w:lineRule="auto"/>
        <w:rPr>
          <w:rFonts w:ascii="宋体" w:hAnsi="宋体" w:cs="宋体"/>
          <w:color w:val="auto"/>
          <w:kern w:val="0"/>
          <w:szCs w:val="21"/>
        </w:rPr>
      </w:pPr>
      <w:r>
        <w:rPr>
          <w:rFonts w:hint="eastAsia" w:ascii="宋体" w:hAnsi="宋体" w:cs="宋体"/>
          <w:b/>
          <w:color w:val="auto"/>
          <w:kern w:val="0"/>
          <w:szCs w:val="21"/>
        </w:rPr>
        <w:t xml:space="preserve">           </w:t>
      </w:r>
      <w:r>
        <w:rPr>
          <w:rFonts w:hint="eastAsia" w:ascii="宋体" w:hAnsi="宋体" w:cs="宋体"/>
          <w:color w:val="auto"/>
          <w:kern w:val="0"/>
          <w:szCs w:val="21"/>
        </w:rPr>
        <w:t>下列词语或措辞，除非特别说明，在本合同中均具有以下赋予的含义：</w:t>
      </w:r>
    </w:p>
    <w:p>
      <w:pPr>
        <w:tabs>
          <w:tab w:val="left" w:pos="1260"/>
          <w:tab w:val="left" w:pos="2160"/>
        </w:tabs>
        <w:adjustRightInd w:val="0"/>
        <w:spacing w:beforeLines="50" w:line="360" w:lineRule="auto"/>
        <w:ind w:left="1466" w:leftChars="686" w:hanging="25" w:hangingChars="12"/>
        <w:rPr>
          <w:rFonts w:ascii="宋体" w:hAnsi="宋体" w:cs="宋体"/>
          <w:color w:val="auto"/>
          <w:kern w:val="0"/>
          <w:szCs w:val="21"/>
          <w:u w:val="dotted"/>
        </w:rPr>
      </w:pPr>
      <w:r>
        <w:rPr>
          <w:rFonts w:hint="eastAsia" w:ascii="宋体" w:hAnsi="宋体" w:cs="宋体"/>
          <w:b/>
          <w:color w:val="auto"/>
          <w:kern w:val="0"/>
          <w:szCs w:val="21"/>
        </w:rPr>
        <w:t>1.1  合同：</w:t>
      </w:r>
      <w:r>
        <w:rPr>
          <w:rFonts w:hint="eastAsia" w:ascii="宋体" w:hAnsi="宋体" w:cs="宋体"/>
          <w:color w:val="auto"/>
          <w:kern w:val="0"/>
          <w:szCs w:val="21"/>
        </w:rPr>
        <w:t>指合同双方当事人为实施、完成并保修合同工程所订立的合同文件。合同文件由第2.2款所列的文件组成。</w:t>
      </w:r>
    </w:p>
    <w:p>
      <w:pPr>
        <w:tabs>
          <w:tab w:val="left" w:pos="2160"/>
          <w:tab w:val="left" w:pos="2520"/>
        </w:tabs>
        <w:adjustRightInd w:val="0"/>
        <w:spacing w:beforeLines="80" w:line="360" w:lineRule="auto"/>
        <w:ind w:left="1465" w:leftChars="685" w:hanging="27" w:hangingChars="13"/>
        <w:rPr>
          <w:rFonts w:ascii="宋体" w:hAnsi="宋体" w:cs="宋体"/>
          <w:color w:val="auto"/>
          <w:kern w:val="0"/>
          <w:szCs w:val="21"/>
          <w:u w:val="dotted"/>
        </w:rPr>
      </w:pPr>
      <w:r>
        <w:rPr>
          <w:rFonts w:hint="eastAsia" w:ascii="宋体" w:hAnsi="宋体" w:cs="宋体"/>
          <w:b/>
          <w:color w:val="auto"/>
          <w:kern w:val="0"/>
          <w:szCs w:val="21"/>
        </w:rPr>
        <w:t>1.2  协议书</w:t>
      </w:r>
      <w:r>
        <w:rPr>
          <w:rFonts w:hint="eastAsia" w:ascii="宋体" w:hAnsi="宋体" w:cs="宋体"/>
          <w:b/>
          <w:bCs/>
          <w:color w:val="auto"/>
          <w:kern w:val="0"/>
          <w:szCs w:val="21"/>
        </w:rPr>
        <w:t>：</w:t>
      </w:r>
      <w:r>
        <w:rPr>
          <w:rFonts w:hint="eastAsia" w:ascii="宋体" w:hAnsi="宋体" w:cs="宋体"/>
          <w:color w:val="auto"/>
          <w:kern w:val="0"/>
          <w:szCs w:val="21"/>
        </w:rPr>
        <w:t>指合同双方当事人为合同工程所签订的协议书。除法律另有规定或合同另有约定外，合同双方当事人的法定代表人或其委托代理人在协议书签字、盖单位公章后，合同即告生效。招标工程应当自中标通知书发出之日起30天内签订。</w:t>
      </w:r>
    </w:p>
    <w:p>
      <w:pPr>
        <w:tabs>
          <w:tab w:val="left" w:pos="2160"/>
        </w:tabs>
        <w:adjustRightInd w:val="0"/>
        <w:spacing w:beforeLines="80" w:line="360" w:lineRule="auto"/>
        <w:ind w:left="1468" w:leftChars="699"/>
        <w:rPr>
          <w:rFonts w:ascii="宋体" w:hAnsi="宋体" w:cs="宋体"/>
          <w:color w:val="auto"/>
          <w:kern w:val="0"/>
          <w:szCs w:val="21"/>
        </w:rPr>
      </w:pPr>
      <w:r>
        <w:rPr>
          <w:rFonts w:hint="eastAsia" w:ascii="宋体" w:hAnsi="宋体" w:cs="宋体"/>
          <w:b/>
          <w:bCs/>
          <w:color w:val="auto"/>
          <w:kern w:val="0"/>
          <w:szCs w:val="21"/>
        </w:rPr>
        <w:t>1.3  通用条款：</w:t>
      </w:r>
      <w:r>
        <w:rPr>
          <w:rFonts w:hint="eastAsia" w:ascii="宋体" w:hAnsi="宋体" w:cs="宋体"/>
          <w:color w:val="auto"/>
          <w:kern w:val="0"/>
          <w:szCs w:val="21"/>
        </w:rPr>
        <w:t>指根据法律、法规和规章的规定以及建设工程施工的需要所订立的，通用于建设工程施工的条款。</w:t>
      </w:r>
    </w:p>
    <w:p>
      <w:pPr>
        <w:tabs>
          <w:tab w:val="left" w:pos="2160"/>
          <w:tab w:val="left" w:pos="2520"/>
        </w:tabs>
        <w:adjustRightInd w:val="0"/>
        <w:spacing w:beforeLines="80" w:line="360" w:lineRule="auto"/>
        <w:ind w:left="1573" w:leftChars="743" w:hanging="13" w:hangingChars="6"/>
        <w:jc w:val="left"/>
        <w:rPr>
          <w:rFonts w:ascii="宋体" w:hAnsi="宋体" w:cs="宋体"/>
          <w:color w:val="auto"/>
          <w:kern w:val="0"/>
          <w:szCs w:val="21"/>
          <w:u w:val="dotted"/>
        </w:rPr>
      </w:pPr>
      <w:r>
        <w:rPr>
          <w:rFonts w:hint="eastAsia" w:ascii="宋体" w:hAnsi="宋体" w:cs="宋体"/>
          <w:b/>
          <w:bCs/>
          <w:color w:val="auto"/>
          <w:kern w:val="0"/>
          <w:szCs w:val="21"/>
        </w:rPr>
        <w:t>1.4  专用条款：</w:t>
      </w:r>
      <w:r>
        <w:rPr>
          <w:rFonts w:hint="eastAsia" w:ascii="宋体" w:hAnsi="宋体" w:cs="宋体"/>
          <w:color w:val="auto"/>
          <w:kern w:val="0"/>
          <w:szCs w:val="21"/>
        </w:rPr>
        <w:t>指合同双方当事人根据法律、法规和规章的规定，结合本合同工程实际，经协商达成一致意见的，专用于本合同工程施工的条款。它是对通用条款的具体化，也是对通用条款的补充和完善。招标工程的专用条款，应当符合招标文件的实质性要求。</w:t>
      </w:r>
    </w:p>
    <w:p>
      <w:pPr>
        <w:tabs>
          <w:tab w:val="left" w:pos="2160"/>
        </w:tabs>
        <w:adjustRightInd w:val="0"/>
        <w:spacing w:beforeLines="80" w:line="360" w:lineRule="auto"/>
        <w:ind w:firstLine="1383" w:firstLineChars="656"/>
        <w:rPr>
          <w:rFonts w:ascii="宋体" w:hAnsi="宋体" w:cs="宋体"/>
          <w:color w:val="auto"/>
          <w:kern w:val="0"/>
          <w:szCs w:val="21"/>
          <w:u w:val="dotted"/>
        </w:rPr>
      </w:pPr>
      <w:r>
        <w:rPr>
          <w:rFonts w:hint="eastAsia" w:ascii="宋体" w:hAnsi="宋体" w:cs="宋体"/>
          <w:b/>
          <w:color w:val="auto"/>
          <w:kern w:val="0"/>
          <w:szCs w:val="21"/>
        </w:rPr>
        <w:t>1.5  中标通知书：</w:t>
      </w:r>
      <w:r>
        <w:rPr>
          <w:rFonts w:hint="eastAsia" w:ascii="宋体" w:hAnsi="宋体" w:cs="宋体"/>
          <w:color w:val="auto"/>
          <w:kern w:val="0"/>
          <w:szCs w:val="21"/>
        </w:rPr>
        <w:t>指发包人正式接受中标人响应文件的函件。</w:t>
      </w:r>
    </w:p>
    <w:p>
      <w:pPr>
        <w:tabs>
          <w:tab w:val="left" w:pos="2160"/>
        </w:tabs>
        <w:adjustRightInd w:val="0"/>
        <w:spacing w:beforeLines="80" w:line="360" w:lineRule="auto"/>
        <w:ind w:left="1575" w:leftChars="750"/>
        <w:jc w:val="left"/>
        <w:rPr>
          <w:rFonts w:ascii="宋体" w:hAnsi="宋体" w:cs="宋体"/>
          <w:color w:val="auto"/>
          <w:kern w:val="0"/>
          <w:szCs w:val="21"/>
        </w:rPr>
      </w:pPr>
      <w:r>
        <w:rPr>
          <w:rFonts w:hint="eastAsia" w:ascii="宋体" w:hAnsi="宋体" w:cs="宋体"/>
          <w:b/>
          <w:color w:val="auto"/>
          <w:kern w:val="0"/>
          <w:szCs w:val="21"/>
        </w:rPr>
        <w:t>1.6  承包人响应文件：</w:t>
      </w:r>
      <w:r>
        <w:rPr>
          <w:rFonts w:hint="eastAsia" w:ascii="宋体" w:hAnsi="宋体" w:cs="宋体"/>
          <w:color w:val="auto"/>
          <w:kern w:val="0"/>
          <w:szCs w:val="21"/>
        </w:rPr>
        <w:t>指构成合同文件组成部分的，由承包人根据招标文件编制完成、签字并被中标通知书所接受的，承包人为实施、完成并保修合同工程向发包人提交的技术、经济文件。</w:t>
      </w:r>
    </w:p>
    <w:p>
      <w:pPr>
        <w:tabs>
          <w:tab w:val="left" w:pos="2160"/>
          <w:tab w:val="left" w:pos="2520"/>
        </w:tabs>
        <w:adjustRightInd w:val="0"/>
        <w:spacing w:beforeLines="80" w:line="360" w:lineRule="auto"/>
        <w:ind w:left="1618" w:leftChars="770" w:hanging="1"/>
        <w:jc w:val="left"/>
        <w:rPr>
          <w:rFonts w:ascii="宋体" w:hAnsi="宋体" w:cs="宋体"/>
          <w:color w:val="auto"/>
          <w:kern w:val="0"/>
          <w:szCs w:val="21"/>
        </w:rPr>
      </w:pPr>
      <w:r>
        <w:rPr>
          <w:rFonts w:hint="eastAsia" w:ascii="宋体" w:hAnsi="宋体" w:cs="宋体"/>
          <w:b/>
          <w:color w:val="auto"/>
          <w:kern w:val="0"/>
          <w:szCs w:val="21"/>
        </w:rPr>
        <w:t>1.7  标准、规范及有关技术文件：</w:t>
      </w:r>
      <w:r>
        <w:rPr>
          <w:rFonts w:hint="eastAsia" w:ascii="宋体" w:hAnsi="宋体" w:cs="宋体"/>
          <w:color w:val="auto"/>
          <w:kern w:val="0"/>
          <w:szCs w:val="21"/>
        </w:rPr>
        <w:t>指构成合同文件组成部分的，本合同所指明的和合同工程依法应适用的标准与规范，以及监理工程师、造价工程师对有关技术方面问题做出的补充、修改和批准文件。</w:t>
      </w:r>
    </w:p>
    <w:p>
      <w:pPr>
        <w:tabs>
          <w:tab w:val="left" w:pos="2160"/>
          <w:tab w:val="left" w:pos="2520"/>
        </w:tabs>
        <w:adjustRightInd w:val="0"/>
        <w:spacing w:beforeLines="80" w:line="360" w:lineRule="auto"/>
        <w:ind w:left="1618" w:leftChars="770" w:hanging="1"/>
        <w:jc w:val="left"/>
        <w:rPr>
          <w:rFonts w:ascii="宋体" w:hAnsi="宋体" w:cs="宋体"/>
          <w:color w:val="auto"/>
          <w:kern w:val="0"/>
          <w:szCs w:val="21"/>
        </w:rPr>
      </w:pPr>
      <w:r>
        <w:rPr>
          <w:rFonts w:hint="eastAsia" w:ascii="宋体" w:hAnsi="宋体" w:cs="宋体"/>
          <w:b/>
          <w:color w:val="auto"/>
          <w:kern w:val="0"/>
          <w:szCs w:val="21"/>
        </w:rPr>
        <w:t>1.8  施工设计图纸：</w:t>
      </w:r>
      <w:r>
        <w:rPr>
          <w:rFonts w:hint="eastAsia" w:ascii="宋体" w:hAnsi="宋体" w:cs="宋体"/>
          <w:color w:val="auto"/>
          <w:kern w:val="0"/>
          <w:szCs w:val="21"/>
        </w:rPr>
        <w:t>指构成合同文件组成部分的，按规定审批的由发包人提供或经发包人批准由承包人提供，满足承包人施工需要的所有施工图纸（包括任何补充和修改的施工图纸、配套说明和有关资料）。</w:t>
      </w:r>
    </w:p>
    <w:p>
      <w:pPr>
        <w:tabs>
          <w:tab w:val="left" w:pos="2160"/>
        </w:tabs>
        <w:adjustRightInd w:val="0"/>
        <w:spacing w:beforeLines="80" w:line="360" w:lineRule="auto"/>
        <w:ind w:left="1575" w:leftChars="750"/>
        <w:jc w:val="left"/>
        <w:rPr>
          <w:rFonts w:ascii="宋体" w:hAnsi="宋体" w:cs="宋体"/>
          <w:color w:val="auto"/>
          <w:kern w:val="0"/>
          <w:szCs w:val="21"/>
        </w:rPr>
      </w:pPr>
      <w:r>
        <w:rPr>
          <w:rFonts w:hint="eastAsia" w:ascii="宋体" w:hAnsi="宋体" w:cs="宋体"/>
          <w:b/>
          <w:color w:val="auto"/>
          <w:kern w:val="0"/>
          <w:szCs w:val="21"/>
        </w:rPr>
        <w:t>1.9  工程量清单：</w:t>
      </w:r>
      <w:r>
        <w:rPr>
          <w:rFonts w:hint="eastAsia" w:ascii="宋体" w:hAnsi="宋体" w:cs="宋体"/>
          <w:color w:val="auto"/>
          <w:kern w:val="0"/>
          <w:szCs w:val="21"/>
        </w:rPr>
        <w:t>指构成合同文件组成部分的,由发包人在招标文件中提供的,合同工程分部分项工程项目、措施项目、其他项目、规费项目和税金项目的名称和相应数量等的明细清单。</w:t>
      </w:r>
    </w:p>
    <w:p>
      <w:pPr>
        <w:tabs>
          <w:tab w:val="left" w:pos="2160"/>
        </w:tabs>
        <w:adjustRightInd w:val="0"/>
        <w:spacing w:beforeLines="80" w:line="360" w:lineRule="auto"/>
        <w:ind w:left="1618" w:leftChars="770" w:hanging="1"/>
        <w:jc w:val="left"/>
        <w:rPr>
          <w:rFonts w:ascii="宋体" w:hAnsi="宋体" w:cs="宋体"/>
          <w:color w:val="auto"/>
          <w:kern w:val="0"/>
          <w:szCs w:val="21"/>
        </w:rPr>
      </w:pPr>
      <w:r>
        <w:rPr>
          <w:rFonts w:hint="eastAsia" w:ascii="宋体" w:hAnsi="宋体" w:cs="宋体"/>
          <w:b/>
          <w:color w:val="auto"/>
          <w:kern w:val="0"/>
          <w:szCs w:val="21"/>
        </w:rPr>
        <w:t>1.10  发包人：</w:t>
      </w:r>
      <w:r>
        <w:rPr>
          <w:rFonts w:hint="eastAsia" w:ascii="宋体" w:hAnsi="宋体" w:cs="宋体"/>
          <w:color w:val="auto"/>
          <w:kern w:val="0"/>
          <w:szCs w:val="21"/>
        </w:rPr>
        <w:t>指在协议书中约定，具有工程发包主体资格和支付工程款能力的当事人，以及取得该当事人资格的合法继承人。</w:t>
      </w:r>
    </w:p>
    <w:p>
      <w:pPr>
        <w:tabs>
          <w:tab w:val="left" w:pos="1980"/>
        </w:tabs>
        <w:adjustRightInd w:val="0"/>
        <w:spacing w:beforeLines="80" w:line="360" w:lineRule="auto"/>
        <w:ind w:left="1573" w:leftChars="749"/>
        <w:rPr>
          <w:rFonts w:ascii="宋体" w:hAnsi="宋体" w:cs="宋体"/>
          <w:color w:val="auto"/>
          <w:kern w:val="0"/>
          <w:szCs w:val="21"/>
        </w:rPr>
      </w:pPr>
      <w:r>
        <w:rPr>
          <w:rFonts w:hint="eastAsia" w:ascii="宋体" w:hAnsi="宋体" w:cs="宋体"/>
          <w:b/>
          <w:color w:val="auto"/>
          <w:kern w:val="0"/>
          <w:szCs w:val="21"/>
        </w:rPr>
        <w:t>1.11  承包人：</w:t>
      </w:r>
      <w:r>
        <w:rPr>
          <w:rFonts w:hint="eastAsia" w:ascii="宋体" w:hAnsi="宋体" w:cs="宋体"/>
          <w:color w:val="auto"/>
          <w:kern w:val="0"/>
          <w:szCs w:val="21"/>
        </w:rPr>
        <w:t>指在协议书中约定，被发包人接受且具有工程施工承包主体资格的当事人，以及取得该当事人资格的合法继承人。</w:t>
      </w:r>
    </w:p>
    <w:p>
      <w:pPr>
        <w:tabs>
          <w:tab w:val="left" w:pos="1980"/>
        </w:tabs>
        <w:spacing w:beforeLines="80" w:line="360" w:lineRule="auto"/>
        <w:ind w:left="1575" w:leftChars="750"/>
        <w:rPr>
          <w:rFonts w:ascii="宋体" w:hAnsi="宋体" w:cs="宋体"/>
          <w:color w:val="auto"/>
          <w:kern w:val="0"/>
          <w:szCs w:val="21"/>
        </w:rPr>
      </w:pPr>
      <w:r>
        <w:rPr>
          <w:rFonts w:hint="eastAsia" w:ascii="宋体" w:hAnsi="宋体" w:cs="宋体"/>
          <w:b/>
          <w:color w:val="auto"/>
          <w:kern w:val="0"/>
          <w:szCs w:val="21"/>
        </w:rPr>
        <w:t>1.12  分包人：</w:t>
      </w:r>
      <w:r>
        <w:rPr>
          <w:rFonts w:hint="eastAsia" w:ascii="宋体" w:hAnsi="宋体" w:cs="宋体"/>
          <w:color w:val="auto"/>
          <w:kern w:val="0"/>
          <w:szCs w:val="21"/>
        </w:rPr>
        <w:t>指被发包人接受且具有相应资格，并与承包人签订了分包合同，分包合同工程某一部分的当事人，以及取得该当事人资格的合法继承人。</w:t>
      </w:r>
    </w:p>
    <w:p>
      <w:pPr>
        <w:tabs>
          <w:tab w:val="left" w:pos="1980"/>
          <w:tab w:val="left" w:pos="2160"/>
        </w:tabs>
        <w:spacing w:beforeLines="80" w:line="360" w:lineRule="auto"/>
        <w:ind w:left="1620" w:leftChars="771" w:hanging="1"/>
        <w:rPr>
          <w:rFonts w:ascii="宋体" w:hAnsi="宋体" w:cs="宋体"/>
          <w:color w:val="auto"/>
          <w:kern w:val="0"/>
          <w:szCs w:val="21"/>
        </w:rPr>
      </w:pPr>
      <w:r>
        <w:rPr>
          <w:rFonts w:hint="eastAsia" w:ascii="宋体" w:hAnsi="宋体" w:cs="宋体"/>
          <w:b/>
          <w:color w:val="auto"/>
          <w:kern w:val="0"/>
          <w:szCs w:val="21"/>
        </w:rPr>
        <w:t>1.13  第三方：</w:t>
      </w:r>
      <w:r>
        <w:rPr>
          <w:rFonts w:hint="eastAsia" w:ascii="宋体" w:hAnsi="宋体" w:cs="宋体"/>
          <w:color w:val="auto"/>
          <w:kern w:val="0"/>
          <w:szCs w:val="21"/>
        </w:rPr>
        <w:t>除合同双方当事人(含双方雇员及代表其工作的人员)以外的任何他人或组织。</w:t>
      </w:r>
    </w:p>
    <w:p>
      <w:pPr>
        <w:tabs>
          <w:tab w:val="left" w:pos="1980"/>
          <w:tab w:val="left" w:pos="2160"/>
        </w:tabs>
        <w:spacing w:beforeLines="80" w:line="360" w:lineRule="auto"/>
        <w:ind w:left="1618" w:leftChars="770" w:hanging="1"/>
        <w:rPr>
          <w:rFonts w:ascii="宋体" w:hAnsi="宋体" w:cs="宋体"/>
          <w:color w:val="auto"/>
          <w:kern w:val="0"/>
          <w:szCs w:val="21"/>
        </w:rPr>
      </w:pPr>
      <w:r>
        <w:rPr>
          <w:rFonts w:hint="eastAsia" w:ascii="宋体" w:hAnsi="宋体" w:cs="宋体"/>
          <w:b/>
          <w:color w:val="auto"/>
          <w:kern w:val="0"/>
          <w:szCs w:val="21"/>
        </w:rPr>
        <w:t>1.14  设计人：</w:t>
      </w:r>
      <w:r>
        <w:rPr>
          <w:rFonts w:hint="eastAsia" w:ascii="宋体" w:hAnsi="宋体" w:cs="宋体"/>
          <w:color w:val="auto"/>
          <w:kern w:val="0"/>
          <w:szCs w:val="21"/>
        </w:rPr>
        <w:t>指受发包人委托的，负责合同工程的工程设计专业技术且具有相应工程设计资质的当事人，以及取得该当事人资格的合法继承人。</w:t>
      </w:r>
    </w:p>
    <w:p>
      <w:pPr>
        <w:tabs>
          <w:tab w:val="left" w:pos="1980"/>
          <w:tab w:val="left" w:pos="2160"/>
        </w:tabs>
        <w:spacing w:beforeLines="80" w:line="360" w:lineRule="auto"/>
        <w:ind w:left="1618" w:leftChars="770" w:hanging="1"/>
        <w:rPr>
          <w:rFonts w:ascii="宋体" w:hAnsi="宋体" w:cs="宋体"/>
          <w:color w:val="auto"/>
          <w:kern w:val="0"/>
          <w:szCs w:val="21"/>
        </w:rPr>
      </w:pPr>
      <w:r>
        <w:rPr>
          <w:rFonts w:hint="eastAsia" w:ascii="宋体" w:hAnsi="宋体" w:cs="宋体"/>
          <w:b/>
          <w:color w:val="auto"/>
          <w:kern w:val="0"/>
          <w:szCs w:val="21"/>
        </w:rPr>
        <w:t>1.15  监理人：</w:t>
      </w:r>
      <w:r>
        <w:rPr>
          <w:rFonts w:hint="eastAsia" w:ascii="宋体" w:hAnsi="宋体" w:cs="宋体"/>
          <w:color w:val="auto"/>
          <w:kern w:val="0"/>
          <w:szCs w:val="21"/>
        </w:rPr>
        <w:t>指受发包人委托的，负责合同工程的工程监理专业技术且具有相应工程监理资质的当事人，以及取得该当事人资格的合法继承人。</w:t>
      </w:r>
    </w:p>
    <w:p>
      <w:pPr>
        <w:tabs>
          <w:tab w:val="left" w:pos="1980"/>
          <w:tab w:val="left" w:pos="2160"/>
        </w:tabs>
        <w:spacing w:beforeLines="80" w:line="360" w:lineRule="auto"/>
        <w:ind w:left="1618" w:leftChars="770" w:hanging="1"/>
        <w:rPr>
          <w:rFonts w:ascii="宋体" w:hAnsi="宋体" w:cs="宋体"/>
          <w:color w:val="auto"/>
          <w:kern w:val="0"/>
          <w:szCs w:val="21"/>
        </w:rPr>
      </w:pPr>
      <w:r>
        <w:rPr>
          <w:rFonts w:hint="eastAsia" w:ascii="宋体" w:hAnsi="宋体" w:cs="宋体"/>
          <w:b/>
          <w:color w:val="auto"/>
          <w:kern w:val="0"/>
          <w:szCs w:val="21"/>
        </w:rPr>
        <w:t>1.16  工程造价咨询人：</w:t>
      </w:r>
      <w:r>
        <w:rPr>
          <w:rFonts w:hint="eastAsia" w:ascii="宋体" w:hAnsi="宋体" w:cs="宋体"/>
          <w:color w:val="auto"/>
          <w:kern w:val="0"/>
          <w:szCs w:val="21"/>
        </w:rPr>
        <w:t>指受发包人委托的，负责合同工程的工程造价专业技术且具有相应工程造价咨询资质的当事人，以及取得该当事人资格的合法继承人。</w:t>
      </w:r>
    </w:p>
    <w:p>
      <w:pPr>
        <w:tabs>
          <w:tab w:val="left" w:pos="1980"/>
          <w:tab w:val="left" w:pos="2160"/>
          <w:tab w:val="left" w:pos="2520"/>
        </w:tabs>
        <w:spacing w:beforeLines="80" w:line="360" w:lineRule="auto"/>
        <w:ind w:left="1620" w:leftChars="771" w:hanging="1"/>
        <w:rPr>
          <w:rFonts w:ascii="宋体" w:hAnsi="宋体" w:cs="宋体"/>
          <w:color w:val="auto"/>
          <w:kern w:val="0"/>
          <w:szCs w:val="21"/>
        </w:rPr>
      </w:pPr>
      <w:r>
        <w:rPr>
          <w:rFonts w:hint="eastAsia" w:ascii="宋体" w:hAnsi="宋体" w:cs="宋体"/>
          <w:b/>
          <w:color w:val="auto"/>
          <w:kern w:val="0"/>
          <w:szCs w:val="21"/>
        </w:rPr>
        <w:t>1.17  工程造价管理机构：</w:t>
      </w:r>
      <w:r>
        <w:rPr>
          <w:rFonts w:hint="eastAsia" w:ascii="宋体" w:hAnsi="宋体" w:cs="宋体"/>
          <w:color w:val="auto"/>
          <w:kern w:val="0"/>
          <w:szCs w:val="21"/>
        </w:rPr>
        <w:t>指国务院有关部门、县级以上人民政府建设行政主管部门或受其委托的工程造价管理机构。</w:t>
      </w:r>
    </w:p>
    <w:p>
      <w:pPr>
        <w:tabs>
          <w:tab w:val="left" w:pos="1980"/>
          <w:tab w:val="left" w:pos="2160"/>
          <w:tab w:val="left" w:pos="2520"/>
        </w:tabs>
        <w:spacing w:beforeLines="80" w:line="360" w:lineRule="auto"/>
        <w:ind w:left="1618" w:leftChars="770" w:hanging="1"/>
        <w:rPr>
          <w:rFonts w:ascii="宋体" w:hAnsi="宋体" w:cs="宋体"/>
          <w:color w:val="auto"/>
          <w:kern w:val="0"/>
          <w:szCs w:val="21"/>
        </w:rPr>
      </w:pPr>
      <w:r>
        <w:rPr>
          <w:rFonts w:hint="eastAsia" w:ascii="宋体" w:hAnsi="宋体" w:cs="宋体"/>
          <w:b/>
          <w:color w:val="auto"/>
          <w:kern w:val="0"/>
          <w:szCs w:val="21"/>
        </w:rPr>
        <w:t>1.18  发包人代表：</w:t>
      </w:r>
      <w:r>
        <w:rPr>
          <w:rFonts w:hint="eastAsia" w:ascii="宋体" w:hAnsi="宋体" w:cs="宋体"/>
          <w:color w:val="auto"/>
          <w:kern w:val="0"/>
          <w:szCs w:val="21"/>
        </w:rPr>
        <w:t>指发包人指定的，履行本合同的全权代表。发包人代表由发包人依据第22.1款规定任命并书面通知承包人。</w:t>
      </w:r>
    </w:p>
    <w:p>
      <w:pPr>
        <w:tabs>
          <w:tab w:val="left" w:pos="1260"/>
          <w:tab w:val="left" w:pos="1980"/>
          <w:tab w:val="left" w:pos="2160"/>
        </w:tabs>
        <w:spacing w:beforeLines="80" w:line="360" w:lineRule="auto"/>
        <w:ind w:left="1618" w:leftChars="770" w:hanging="1"/>
        <w:rPr>
          <w:rFonts w:ascii="宋体" w:hAnsi="宋体" w:cs="宋体"/>
          <w:color w:val="auto"/>
          <w:kern w:val="0"/>
          <w:szCs w:val="21"/>
        </w:rPr>
      </w:pPr>
      <w:r>
        <w:rPr>
          <w:rFonts w:hint="eastAsia" w:ascii="宋体" w:hAnsi="宋体" w:cs="宋体"/>
          <w:b/>
          <w:color w:val="auto"/>
          <w:kern w:val="0"/>
          <w:szCs w:val="21"/>
        </w:rPr>
        <w:t>1.19  监理工程师：</w:t>
      </w:r>
      <w:r>
        <w:rPr>
          <w:rFonts w:hint="eastAsia" w:ascii="宋体" w:hAnsi="宋体" w:cs="宋体"/>
          <w:color w:val="auto"/>
          <w:kern w:val="0"/>
          <w:szCs w:val="21"/>
        </w:rPr>
        <w:t>指监理人委派常驻施工现场负责合同工程的工程监理专业技术的专业人员。监理工程师由监理人提名，经发包人依据第23.1款规定任命并书面通知承包人。</w:t>
      </w:r>
    </w:p>
    <w:p>
      <w:pPr>
        <w:tabs>
          <w:tab w:val="left" w:pos="1980"/>
          <w:tab w:val="left" w:pos="2160"/>
        </w:tabs>
        <w:spacing w:beforeLines="80" w:line="360" w:lineRule="auto"/>
        <w:ind w:left="1618" w:leftChars="770" w:hanging="1"/>
        <w:rPr>
          <w:rFonts w:ascii="宋体" w:hAnsi="宋体" w:cs="宋体"/>
          <w:color w:val="auto"/>
          <w:kern w:val="0"/>
          <w:szCs w:val="21"/>
        </w:rPr>
      </w:pPr>
      <w:r>
        <w:rPr>
          <w:rFonts w:hint="eastAsia" w:ascii="宋体" w:hAnsi="宋体" w:cs="宋体"/>
          <w:b/>
          <w:color w:val="auto"/>
          <w:kern w:val="0"/>
          <w:szCs w:val="21"/>
        </w:rPr>
        <w:t>1.20  造价工程师：</w:t>
      </w:r>
      <w:r>
        <w:rPr>
          <w:rFonts w:hint="eastAsia" w:ascii="宋体" w:hAnsi="宋体" w:cs="宋体"/>
          <w:color w:val="auto"/>
          <w:kern w:val="0"/>
          <w:szCs w:val="21"/>
        </w:rPr>
        <w:t>指工程造价咨询人委派常驻施工现场负责合同工程的工程造价专业技术的专业人员。造价工程师由工程造价咨询人提名，经发包人依据第24.1款规定任命并书面通知承包人。</w:t>
      </w:r>
    </w:p>
    <w:p>
      <w:pPr>
        <w:tabs>
          <w:tab w:val="left" w:pos="1620"/>
          <w:tab w:val="left" w:pos="1980"/>
        </w:tabs>
        <w:spacing w:beforeLines="80" w:line="360" w:lineRule="auto"/>
        <w:ind w:left="1620" w:leftChars="771" w:hanging="1"/>
        <w:jc w:val="left"/>
        <w:rPr>
          <w:rFonts w:ascii="宋体" w:hAnsi="宋体" w:cs="宋体"/>
          <w:color w:val="auto"/>
          <w:kern w:val="0"/>
          <w:szCs w:val="21"/>
        </w:rPr>
      </w:pPr>
      <w:r>
        <w:rPr>
          <w:rFonts w:hint="eastAsia" w:ascii="宋体" w:hAnsi="宋体" w:cs="宋体"/>
          <w:b/>
          <w:color w:val="auto"/>
          <w:kern w:val="0"/>
          <w:szCs w:val="21"/>
        </w:rPr>
        <w:t>1.21  承包人代表：</w:t>
      </w:r>
      <w:r>
        <w:rPr>
          <w:rFonts w:hint="eastAsia" w:ascii="宋体" w:hAnsi="宋体" w:cs="宋体"/>
          <w:color w:val="auto"/>
          <w:kern w:val="0"/>
          <w:szCs w:val="21"/>
        </w:rPr>
        <w:t>指承包人指定的，履行本合同和负责合同工程施工现场管理的全权代表。承包人代表由承包人依据第25.1款规定任命并书面通知发包人。</w:t>
      </w:r>
    </w:p>
    <w:p>
      <w:pPr>
        <w:tabs>
          <w:tab w:val="left" w:pos="2160"/>
        </w:tabs>
        <w:spacing w:beforeLines="80" w:line="360" w:lineRule="auto"/>
        <w:ind w:left="1620" w:leftChars="771" w:hanging="1"/>
        <w:rPr>
          <w:rFonts w:ascii="宋体" w:hAnsi="宋体" w:cs="宋体"/>
          <w:color w:val="auto"/>
          <w:kern w:val="0"/>
          <w:szCs w:val="21"/>
        </w:rPr>
      </w:pPr>
      <w:r>
        <w:rPr>
          <w:rFonts w:hint="eastAsia" w:ascii="宋体" w:hAnsi="宋体" w:cs="宋体"/>
          <w:b/>
          <w:color w:val="auto"/>
          <w:kern w:val="0"/>
          <w:szCs w:val="21"/>
        </w:rPr>
        <w:t>1.22  合同工期：</w:t>
      </w:r>
      <w:r>
        <w:rPr>
          <w:rFonts w:hint="eastAsia" w:ascii="宋体" w:hAnsi="宋体" w:cs="宋体"/>
          <w:color w:val="auto"/>
          <w:kern w:val="0"/>
          <w:szCs w:val="21"/>
        </w:rPr>
        <w:t>指合同双方当事人在协议书中约定，按照总日历天数（包括法定节假日）计算的从开始实施到完成合同工程的天数。</w:t>
      </w:r>
    </w:p>
    <w:p>
      <w:pPr>
        <w:tabs>
          <w:tab w:val="left" w:pos="2160"/>
        </w:tabs>
        <w:spacing w:beforeLines="80" w:line="360" w:lineRule="auto"/>
        <w:ind w:left="1620" w:leftChars="771" w:hanging="1"/>
        <w:jc w:val="left"/>
        <w:rPr>
          <w:rFonts w:ascii="宋体" w:hAnsi="宋体" w:cs="宋体"/>
          <w:color w:val="auto"/>
          <w:kern w:val="0"/>
          <w:szCs w:val="21"/>
        </w:rPr>
      </w:pPr>
      <w:r>
        <w:rPr>
          <w:rFonts w:hint="eastAsia" w:ascii="宋体" w:hAnsi="宋体" w:cs="宋体"/>
          <w:b/>
          <w:color w:val="auto"/>
          <w:kern w:val="0"/>
          <w:szCs w:val="21"/>
        </w:rPr>
        <w:t>1.23  开工日期：</w:t>
      </w:r>
      <w:r>
        <w:rPr>
          <w:rFonts w:hint="eastAsia" w:ascii="宋体" w:hAnsi="宋体" w:cs="宋体"/>
          <w:color w:val="auto"/>
          <w:kern w:val="0"/>
          <w:szCs w:val="21"/>
        </w:rPr>
        <w:t>指根据第34条规定，监理工程师在开工令中写明的、承包人按照合同约定最迟在该日期开工的日期。</w:t>
      </w:r>
    </w:p>
    <w:p>
      <w:pPr>
        <w:tabs>
          <w:tab w:val="left" w:pos="1980"/>
        </w:tabs>
        <w:spacing w:beforeLines="80" w:line="360" w:lineRule="auto"/>
        <w:ind w:left="1620" w:leftChars="771" w:hanging="1"/>
        <w:rPr>
          <w:rFonts w:ascii="宋体" w:hAnsi="宋体" w:cs="宋体"/>
          <w:color w:val="auto"/>
          <w:kern w:val="0"/>
          <w:szCs w:val="21"/>
        </w:rPr>
      </w:pPr>
      <w:r>
        <w:rPr>
          <w:rFonts w:hint="eastAsia" w:ascii="宋体" w:hAnsi="宋体" w:cs="宋体"/>
          <w:b/>
          <w:color w:val="auto"/>
          <w:kern w:val="0"/>
          <w:szCs w:val="21"/>
        </w:rPr>
        <w:t>1.24  计划竣工日期：</w:t>
      </w:r>
      <w:r>
        <w:rPr>
          <w:rFonts w:hint="eastAsia" w:ascii="宋体" w:hAnsi="宋体" w:cs="宋体"/>
          <w:color w:val="auto"/>
          <w:kern w:val="0"/>
          <w:szCs w:val="21"/>
        </w:rPr>
        <w:t>指自开工日期起根据合同约定要求承包人完成合同工程并竣工的全部时间（包括根据第36条和第37.2款规定所做的调整）。</w:t>
      </w:r>
    </w:p>
    <w:p>
      <w:pPr>
        <w:tabs>
          <w:tab w:val="left" w:pos="1980"/>
          <w:tab w:val="left" w:pos="2160"/>
        </w:tabs>
        <w:spacing w:beforeLines="80" w:line="360" w:lineRule="auto"/>
        <w:ind w:left="1620" w:leftChars="771" w:hanging="1"/>
        <w:rPr>
          <w:rFonts w:ascii="宋体" w:hAnsi="宋体" w:cs="宋体"/>
          <w:color w:val="auto"/>
          <w:kern w:val="0"/>
          <w:szCs w:val="21"/>
        </w:rPr>
      </w:pPr>
      <w:r>
        <w:rPr>
          <w:rFonts w:hint="eastAsia" w:ascii="宋体" w:hAnsi="宋体" w:cs="宋体"/>
          <w:b/>
          <w:color w:val="auto"/>
          <w:kern w:val="0"/>
          <w:szCs w:val="21"/>
        </w:rPr>
        <w:t>1.25  实际竣工日期：</w:t>
      </w:r>
      <w:r>
        <w:rPr>
          <w:rFonts w:hint="eastAsia" w:ascii="宋体" w:hAnsi="宋体" w:cs="宋体"/>
          <w:color w:val="auto"/>
          <w:kern w:val="0"/>
          <w:szCs w:val="21"/>
        </w:rPr>
        <w:t>指承包人实际完成合同工程或某单位工程后，由发包人按照第58条规定组织竣工验收、接收工程并颁发工程接收证书的日期。实际竣工日期，按照第38.2款规定确定。</w:t>
      </w:r>
    </w:p>
    <w:p>
      <w:pPr>
        <w:tabs>
          <w:tab w:val="left" w:pos="1980"/>
          <w:tab w:val="left" w:pos="2160"/>
        </w:tabs>
        <w:spacing w:beforeLines="80" w:line="360" w:lineRule="auto"/>
        <w:ind w:left="1620" w:leftChars="771" w:hanging="1"/>
        <w:rPr>
          <w:rFonts w:ascii="宋体" w:hAnsi="宋体" w:cs="宋体"/>
          <w:color w:val="auto"/>
          <w:kern w:val="0"/>
          <w:szCs w:val="21"/>
        </w:rPr>
      </w:pPr>
      <w:r>
        <w:rPr>
          <w:rFonts w:hint="eastAsia" w:ascii="宋体" w:hAnsi="宋体" w:cs="宋体"/>
          <w:b/>
          <w:color w:val="auto"/>
          <w:kern w:val="0"/>
          <w:szCs w:val="21"/>
        </w:rPr>
        <w:t>1.26  缺陷责任期：</w:t>
      </w:r>
      <w:r>
        <w:rPr>
          <w:rFonts w:hint="eastAsia" w:ascii="宋体" w:hAnsi="宋体" w:cs="宋体"/>
          <w:color w:val="auto"/>
          <w:kern w:val="0"/>
          <w:szCs w:val="21"/>
        </w:rPr>
        <w:t>指履行第59.3款规定的缺陷责任的期限。具体期限在专用条款中约定，包括第59.2款规定的延长期限。</w:t>
      </w:r>
    </w:p>
    <w:p>
      <w:pPr>
        <w:tabs>
          <w:tab w:val="left" w:pos="1980"/>
          <w:tab w:val="left" w:pos="2160"/>
        </w:tabs>
        <w:spacing w:beforeLines="80" w:line="360" w:lineRule="auto"/>
        <w:ind w:left="1620" w:leftChars="771" w:hanging="1"/>
        <w:rPr>
          <w:rFonts w:ascii="宋体" w:hAnsi="宋体" w:cs="宋体"/>
          <w:color w:val="auto"/>
          <w:kern w:val="0"/>
          <w:szCs w:val="21"/>
        </w:rPr>
      </w:pPr>
      <w:r>
        <w:rPr>
          <w:rFonts w:hint="eastAsia" w:ascii="宋体" w:hAnsi="宋体" w:cs="宋体"/>
          <w:b/>
          <w:color w:val="auto"/>
          <w:kern w:val="0"/>
          <w:szCs w:val="21"/>
        </w:rPr>
        <w:t>1.27  基准日期：</w:t>
      </w:r>
      <w:r>
        <w:rPr>
          <w:rFonts w:hint="eastAsia" w:ascii="宋体" w:hAnsi="宋体" w:cs="宋体"/>
          <w:color w:val="auto"/>
          <w:kern w:val="0"/>
          <w:szCs w:val="21"/>
        </w:rPr>
        <w:t>指招标工程递交响应文件截止日期前28天的日期；非招标工程订立合同前28天的日期。</w:t>
      </w:r>
    </w:p>
    <w:p>
      <w:pPr>
        <w:tabs>
          <w:tab w:val="left" w:pos="2160"/>
        </w:tabs>
        <w:spacing w:beforeLines="80" w:line="360" w:lineRule="auto"/>
        <w:ind w:left="1573" w:leftChars="749"/>
        <w:rPr>
          <w:rFonts w:ascii="宋体" w:hAnsi="宋体" w:cs="宋体"/>
          <w:color w:val="auto"/>
          <w:kern w:val="0"/>
          <w:szCs w:val="21"/>
        </w:rPr>
      </w:pPr>
      <w:r>
        <w:rPr>
          <w:rFonts w:hint="eastAsia" w:ascii="宋体" w:hAnsi="宋体" w:cs="宋体"/>
          <w:b/>
          <w:color w:val="auto"/>
          <w:kern w:val="0"/>
          <w:szCs w:val="21"/>
        </w:rPr>
        <w:t>1.28  小时或天：</w:t>
      </w:r>
      <w:r>
        <w:rPr>
          <w:rFonts w:hint="eastAsia" w:ascii="宋体" w:hAnsi="宋体" w:cs="宋体"/>
          <w:color w:val="auto"/>
          <w:kern w:val="0"/>
          <w:szCs w:val="21"/>
        </w:rPr>
        <w:t>除特别指明外，指时钟小时或日历天。合同中约定按照小时计算时间的，从发生事件有效时开始计算，不扣除休息时间；约定按照天计算时间的，开始当天不计入，从次日开始计算。时限的最后一天是休息日或其他法定节假日的，以节假日次日为时限，但竣工日期除外。时限最后一天的截止时间为当天24:00（即次日零点）。</w:t>
      </w:r>
    </w:p>
    <w:p>
      <w:pPr>
        <w:tabs>
          <w:tab w:val="left" w:pos="900"/>
          <w:tab w:val="left" w:pos="2160"/>
        </w:tabs>
        <w:spacing w:beforeLines="80" w:line="360" w:lineRule="auto"/>
        <w:ind w:left="1576" w:leftChars="750" w:hanging="1"/>
        <w:rPr>
          <w:rFonts w:ascii="宋体" w:hAnsi="宋体" w:cs="宋体"/>
          <w:color w:val="auto"/>
          <w:kern w:val="0"/>
          <w:szCs w:val="21"/>
        </w:rPr>
      </w:pPr>
      <w:r>
        <w:rPr>
          <w:rFonts w:hint="eastAsia" w:ascii="宋体" w:hAnsi="宋体" w:cs="宋体"/>
          <w:b/>
          <w:color w:val="auto"/>
          <w:kern w:val="0"/>
          <w:szCs w:val="21"/>
        </w:rPr>
        <w:t>1.29  中标价格：</w:t>
      </w:r>
      <w:r>
        <w:rPr>
          <w:rFonts w:hint="eastAsia" w:ascii="宋体" w:hAnsi="宋体" w:cs="宋体"/>
          <w:color w:val="auto"/>
          <w:kern w:val="0"/>
          <w:szCs w:val="21"/>
        </w:rPr>
        <w:t>指中标通知书中列明的，发包人接受中标人（承包人）实施、完成并保修合同工程的价格。</w:t>
      </w:r>
    </w:p>
    <w:p>
      <w:pPr>
        <w:tabs>
          <w:tab w:val="left" w:pos="2160"/>
        </w:tabs>
        <w:spacing w:beforeLines="80" w:line="360" w:lineRule="auto"/>
        <w:ind w:left="1620" w:leftChars="771" w:hanging="1"/>
        <w:rPr>
          <w:rFonts w:ascii="宋体" w:hAnsi="宋体" w:cs="宋体"/>
          <w:color w:val="auto"/>
          <w:kern w:val="0"/>
          <w:szCs w:val="21"/>
        </w:rPr>
      </w:pPr>
      <w:r>
        <w:rPr>
          <w:rFonts w:hint="eastAsia" w:ascii="宋体" w:hAnsi="宋体" w:cs="宋体"/>
          <w:b/>
          <w:color w:val="auto"/>
          <w:kern w:val="0"/>
          <w:szCs w:val="21"/>
        </w:rPr>
        <w:t>1.30  合同价款：</w:t>
      </w:r>
      <w:r>
        <w:rPr>
          <w:rFonts w:hint="eastAsia" w:ascii="宋体" w:hAnsi="宋体" w:cs="宋体"/>
          <w:color w:val="auto"/>
          <w:kern w:val="0"/>
          <w:szCs w:val="21"/>
        </w:rPr>
        <w:t>指承包人按照合同约定完成了包括缺陷责任期内的全部承包工作后，发包人按照合同约定及时足额（包括调整的合同价款）支付给承包人的全部金额。其具体款项依据协议书中标明的包括暂列金额、暂估价在内的金额和第68.2款规定合同价款调整事件确定。</w:t>
      </w:r>
    </w:p>
    <w:p>
      <w:pPr>
        <w:tabs>
          <w:tab w:val="left" w:pos="2160"/>
        </w:tabs>
        <w:spacing w:beforeLines="80" w:line="360" w:lineRule="auto"/>
        <w:ind w:left="1620" w:leftChars="771" w:hanging="1"/>
        <w:rPr>
          <w:rFonts w:ascii="宋体" w:hAnsi="宋体" w:cs="宋体"/>
          <w:color w:val="auto"/>
          <w:kern w:val="0"/>
          <w:szCs w:val="21"/>
        </w:rPr>
      </w:pPr>
      <w:r>
        <w:rPr>
          <w:rFonts w:hint="eastAsia" w:ascii="宋体" w:hAnsi="宋体" w:cs="宋体"/>
          <w:b/>
          <w:color w:val="auto"/>
          <w:kern w:val="0"/>
          <w:szCs w:val="21"/>
        </w:rPr>
        <w:t>1.31  费用：</w:t>
      </w:r>
      <w:r>
        <w:rPr>
          <w:rFonts w:hint="eastAsia" w:ascii="宋体" w:hAnsi="宋体" w:cs="宋体"/>
          <w:color w:val="auto"/>
          <w:kern w:val="0"/>
          <w:szCs w:val="21"/>
        </w:rPr>
        <w:t>指为履行合同所发生或将发生的所有合理开支，包括管理费和其他合理分摊的开支，但不包括利润。</w:t>
      </w:r>
    </w:p>
    <w:p>
      <w:pPr>
        <w:tabs>
          <w:tab w:val="left" w:pos="1980"/>
          <w:tab w:val="left" w:pos="2160"/>
        </w:tabs>
        <w:spacing w:beforeLines="100" w:line="360" w:lineRule="auto"/>
        <w:ind w:left="1620" w:leftChars="771" w:hanging="1"/>
        <w:jc w:val="left"/>
        <w:rPr>
          <w:rFonts w:ascii="宋体" w:hAnsi="宋体" w:cs="宋体"/>
          <w:bCs/>
          <w:color w:val="auto"/>
          <w:kern w:val="0"/>
          <w:szCs w:val="21"/>
        </w:rPr>
      </w:pPr>
      <w:r>
        <w:rPr>
          <w:rFonts w:hint="eastAsia" w:ascii="宋体" w:hAnsi="宋体" w:cs="宋体"/>
          <w:b/>
          <w:bCs/>
          <w:color w:val="auto"/>
          <w:kern w:val="0"/>
          <w:szCs w:val="21"/>
        </w:rPr>
        <w:t>1.32  分部分项工程费：</w:t>
      </w:r>
      <w:r>
        <w:rPr>
          <w:rFonts w:hint="eastAsia" w:ascii="宋体" w:hAnsi="宋体" w:cs="宋体"/>
          <w:color w:val="auto"/>
          <w:kern w:val="0"/>
          <w:szCs w:val="21"/>
        </w:rPr>
        <w:t>指为实施、完成并保修永久工程，发生于工程实体项目所需的人工费、材料费、机械使用费、管理费、利润和风险费用。</w:t>
      </w:r>
    </w:p>
    <w:p>
      <w:pPr>
        <w:tabs>
          <w:tab w:val="left" w:pos="2160"/>
        </w:tabs>
        <w:spacing w:beforeLines="100" w:line="360" w:lineRule="auto"/>
        <w:ind w:left="1618" w:leftChars="770" w:hanging="1"/>
        <w:jc w:val="left"/>
        <w:rPr>
          <w:rFonts w:ascii="宋体" w:hAnsi="宋体" w:cs="宋体"/>
          <w:bCs/>
          <w:color w:val="auto"/>
          <w:kern w:val="0"/>
          <w:szCs w:val="21"/>
        </w:rPr>
      </w:pPr>
      <w:r>
        <w:rPr>
          <w:rFonts w:hint="eastAsia" w:ascii="宋体" w:hAnsi="宋体" w:cs="宋体"/>
          <w:b/>
          <w:bCs/>
          <w:color w:val="auto"/>
          <w:kern w:val="0"/>
          <w:szCs w:val="21"/>
        </w:rPr>
        <w:t>1.33  措施项目费：</w:t>
      </w:r>
      <w:r>
        <w:rPr>
          <w:rFonts w:hint="eastAsia" w:ascii="宋体" w:hAnsi="宋体" w:cs="宋体"/>
          <w:color w:val="auto"/>
          <w:kern w:val="0"/>
          <w:szCs w:val="21"/>
        </w:rPr>
        <w:t>指为实施、完成并保修合同工程，发生于合同工程施工准备和施工过程中的技术、生活、安全、环境保护等方面的非工程实体项目费用。</w:t>
      </w:r>
    </w:p>
    <w:p>
      <w:pPr>
        <w:tabs>
          <w:tab w:val="left" w:pos="2160"/>
        </w:tabs>
        <w:spacing w:beforeLines="100" w:line="360" w:lineRule="auto"/>
        <w:ind w:left="1620" w:leftChars="771" w:hanging="1"/>
        <w:jc w:val="left"/>
        <w:rPr>
          <w:rFonts w:ascii="宋体" w:hAnsi="宋体" w:cs="宋体"/>
          <w:color w:val="auto"/>
          <w:kern w:val="0"/>
          <w:szCs w:val="21"/>
        </w:rPr>
      </w:pPr>
      <w:r>
        <w:rPr>
          <w:rFonts w:hint="eastAsia" w:ascii="宋体" w:hAnsi="宋体" w:cs="宋体"/>
          <w:b/>
          <w:bCs/>
          <w:color w:val="auto"/>
          <w:kern w:val="0"/>
          <w:szCs w:val="21"/>
        </w:rPr>
        <w:t>1.34  工程款：</w:t>
      </w:r>
      <w:r>
        <w:rPr>
          <w:rFonts w:hint="eastAsia" w:ascii="宋体" w:hAnsi="宋体" w:cs="宋体"/>
          <w:color w:val="auto"/>
          <w:kern w:val="0"/>
          <w:szCs w:val="21"/>
        </w:rPr>
        <w:t>指为实施、完成并保修合同工程，发包人支付或应当支付给承包人的各种价款，包括进度款、结算款等。</w:t>
      </w:r>
    </w:p>
    <w:p>
      <w:pPr>
        <w:tabs>
          <w:tab w:val="left" w:pos="2160"/>
        </w:tabs>
        <w:spacing w:beforeLines="100" w:line="360" w:lineRule="auto"/>
        <w:ind w:left="1576" w:leftChars="750" w:hanging="1"/>
        <w:jc w:val="left"/>
        <w:rPr>
          <w:rFonts w:ascii="宋体" w:hAnsi="宋体" w:cs="宋体"/>
          <w:color w:val="auto"/>
          <w:kern w:val="0"/>
          <w:szCs w:val="21"/>
        </w:rPr>
      </w:pPr>
      <w:r>
        <w:rPr>
          <w:rFonts w:hint="eastAsia" w:ascii="宋体" w:hAnsi="宋体" w:cs="宋体"/>
          <w:b/>
          <w:bCs/>
          <w:color w:val="auto"/>
          <w:kern w:val="0"/>
          <w:szCs w:val="21"/>
        </w:rPr>
        <w:t>1.35  暂列金额：</w:t>
      </w:r>
      <w:r>
        <w:rPr>
          <w:rFonts w:hint="eastAsia" w:ascii="宋体" w:hAnsi="宋体" w:cs="宋体"/>
          <w:color w:val="auto"/>
          <w:kern w:val="0"/>
          <w:szCs w:val="21"/>
        </w:rPr>
        <w:t>指发包人在工程量清单中暂定并包括在合同价款中的一笔款项。用于在签订协议书时尚未确定或者不可预见的所需材料、设备、服务等的采购，施工过程中可能发生的工程变更、合同约定的工程款调整以及经确认的索赔、现场签证等的金额（包括以计日工方式支付的金额）。</w:t>
      </w:r>
    </w:p>
    <w:p>
      <w:pPr>
        <w:tabs>
          <w:tab w:val="left" w:pos="2160"/>
        </w:tabs>
        <w:spacing w:beforeLines="100" w:line="360" w:lineRule="auto"/>
        <w:ind w:left="1576" w:leftChars="750" w:hanging="1"/>
        <w:jc w:val="left"/>
        <w:rPr>
          <w:rFonts w:ascii="宋体" w:hAnsi="宋体" w:cs="宋体"/>
          <w:color w:val="auto"/>
          <w:kern w:val="0"/>
          <w:szCs w:val="21"/>
        </w:rPr>
      </w:pPr>
      <w:r>
        <w:rPr>
          <w:rFonts w:hint="eastAsia" w:ascii="宋体" w:hAnsi="宋体" w:cs="宋体"/>
          <w:b/>
          <w:bCs/>
          <w:color w:val="auto"/>
          <w:kern w:val="0"/>
          <w:szCs w:val="21"/>
        </w:rPr>
        <w:t>1.36  暂估价：</w:t>
      </w:r>
      <w:r>
        <w:rPr>
          <w:rFonts w:hint="eastAsia" w:ascii="宋体" w:hAnsi="宋体" w:cs="宋体"/>
          <w:color w:val="auto"/>
          <w:kern w:val="0"/>
          <w:szCs w:val="21"/>
        </w:rPr>
        <w:t>指发包人在工程量清单中提供的用于支付必然发生但暂时不能确定价格的材料、工程设备以及专业工程的金额。</w:t>
      </w:r>
    </w:p>
    <w:p>
      <w:pPr>
        <w:tabs>
          <w:tab w:val="left" w:pos="2160"/>
        </w:tabs>
        <w:spacing w:beforeLines="100" w:line="360" w:lineRule="auto"/>
        <w:ind w:left="1620" w:leftChars="771" w:hanging="1"/>
        <w:jc w:val="left"/>
        <w:rPr>
          <w:rFonts w:ascii="宋体" w:hAnsi="宋体" w:cs="宋体"/>
          <w:color w:val="auto"/>
          <w:kern w:val="0"/>
          <w:szCs w:val="21"/>
        </w:rPr>
      </w:pPr>
      <w:r>
        <w:rPr>
          <w:rFonts w:hint="eastAsia" w:ascii="宋体" w:hAnsi="宋体" w:cs="宋体"/>
          <w:b/>
          <w:bCs/>
          <w:color w:val="auto"/>
          <w:kern w:val="0"/>
          <w:szCs w:val="21"/>
        </w:rPr>
        <w:t>1.37  计日工：</w:t>
      </w:r>
      <w:r>
        <w:rPr>
          <w:rFonts w:hint="eastAsia" w:ascii="宋体" w:hAnsi="宋体" w:cs="宋体"/>
          <w:color w:val="auto"/>
          <w:kern w:val="0"/>
          <w:szCs w:val="21"/>
        </w:rPr>
        <w:t>指在施工过程中，承包人完成发包人提出的施工设计图纸以外的零星项目或工作，按照合同中约定计价付款的一种计价方式。</w:t>
      </w:r>
    </w:p>
    <w:p>
      <w:pPr>
        <w:tabs>
          <w:tab w:val="left" w:pos="2160"/>
        </w:tabs>
        <w:spacing w:beforeLines="100" w:line="360" w:lineRule="auto"/>
        <w:ind w:left="1576" w:leftChars="750" w:hanging="1"/>
        <w:jc w:val="left"/>
        <w:rPr>
          <w:rFonts w:ascii="宋体" w:hAnsi="宋体" w:cs="宋体"/>
          <w:color w:val="auto"/>
          <w:kern w:val="0"/>
          <w:szCs w:val="21"/>
        </w:rPr>
      </w:pPr>
      <w:r>
        <w:rPr>
          <w:rFonts w:hint="eastAsia" w:ascii="宋体" w:hAnsi="宋体" w:cs="宋体"/>
          <w:b/>
          <w:bCs/>
          <w:color w:val="auto"/>
          <w:kern w:val="0"/>
          <w:szCs w:val="21"/>
        </w:rPr>
        <w:t>1.38  质量保证金：</w:t>
      </w:r>
      <w:r>
        <w:rPr>
          <w:rFonts w:hint="eastAsia" w:ascii="宋体" w:hAnsi="宋体" w:cs="宋体"/>
          <w:color w:val="auto"/>
          <w:kern w:val="0"/>
          <w:szCs w:val="21"/>
        </w:rPr>
        <w:t>指按照第84条约定用于保证在缺陷责任期内履行缺陷修复义务的金额。</w:t>
      </w:r>
    </w:p>
    <w:p>
      <w:pPr>
        <w:tabs>
          <w:tab w:val="left" w:pos="2160"/>
        </w:tabs>
        <w:spacing w:beforeLines="100" w:line="360" w:lineRule="auto"/>
        <w:ind w:left="1576" w:hanging="1"/>
        <w:rPr>
          <w:rFonts w:ascii="宋体" w:hAnsi="宋体" w:cs="宋体"/>
          <w:color w:val="auto"/>
          <w:kern w:val="0"/>
          <w:szCs w:val="21"/>
        </w:rPr>
      </w:pPr>
      <w:r>
        <w:rPr>
          <w:rFonts w:hint="eastAsia" w:ascii="宋体" w:hAnsi="宋体" w:cs="宋体"/>
          <w:b/>
          <w:color w:val="auto"/>
          <w:kern w:val="0"/>
          <w:szCs w:val="21"/>
        </w:rPr>
        <w:t>1.39  合同工程：</w:t>
      </w:r>
      <w:r>
        <w:rPr>
          <w:rFonts w:hint="eastAsia" w:ascii="宋体" w:hAnsi="宋体" w:cs="宋体"/>
          <w:color w:val="auto"/>
          <w:kern w:val="0"/>
          <w:szCs w:val="21"/>
        </w:rPr>
        <w:t>指合同双方当事人在协议书中约定的承包范围内的工程，包括永久工程和（或）临时工程。</w:t>
      </w:r>
    </w:p>
    <w:p>
      <w:pPr>
        <w:tabs>
          <w:tab w:val="left" w:pos="2160"/>
        </w:tabs>
        <w:spacing w:beforeLines="80" w:line="360" w:lineRule="auto"/>
        <w:ind w:left="1576" w:hanging="1"/>
        <w:rPr>
          <w:rFonts w:ascii="宋体" w:hAnsi="宋体" w:cs="宋体"/>
          <w:color w:val="auto"/>
          <w:kern w:val="0"/>
          <w:szCs w:val="21"/>
        </w:rPr>
      </w:pPr>
      <w:r>
        <w:rPr>
          <w:rFonts w:hint="eastAsia" w:ascii="宋体" w:hAnsi="宋体" w:cs="宋体"/>
          <w:b/>
          <w:color w:val="auto"/>
          <w:kern w:val="0"/>
          <w:szCs w:val="21"/>
        </w:rPr>
        <w:t>1.40  永久工程：</w:t>
      </w:r>
      <w:r>
        <w:rPr>
          <w:rFonts w:hint="eastAsia" w:ascii="宋体" w:hAnsi="宋体" w:cs="宋体"/>
          <w:color w:val="auto"/>
          <w:kern w:val="0"/>
          <w:szCs w:val="21"/>
        </w:rPr>
        <w:t>指按照合同约定承包人应当实施、完成并移交给发包人的永久性工程，包括工程设备。</w:t>
      </w:r>
    </w:p>
    <w:p>
      <w:pPr>
        <w:tabs>
          <w:tab w:val="left" w:pos="2160"/>
        </w:tabs>
        <w:spacing w:beforeLines="80" w:line="360" w:lineRule="auto"/>
        <w:ind w:left="1576" w:hanging="1"/>
        <w:rPr>
          <w:rFonts w:ascii="宋体" w:hAnsi="宋体" w:cs="宋体"/>
          <w:color w:val="auto"/>
          <w:kern w:val="0"/>
          <w:szCs w:val="21"/>
        </w:rPr>
      </w:pPr>
      <w:r>
        <w:rPr>
          <w:rFonts w:hint="eastAsia" w:ascii="宋体" w:hAnsi="宋体" w:cs="宋体"/>
          <w:b/>
          <w:color w:val="auto"/>
          <w:kern w:val="0"/>
          <w:szCs w:val="21"/>
        </w:rPr>
        <w:t>1.41  临时工程：</w:t>
      </w:r>
      <w:r>
        <w:rPr>
          <w:rFonts w:hint="eastAsia" w:ascii="宋体" w:hAnsi="宋体" w:cs="宋体"/>
          <w:color w:val="auto"/>
          <w:kern w:val="0"/>
          <w:szCs w:val="21"/>
        </w:rPr>
        <w:t>指实施、完成并保修永久工程过程中所需要的各类临时性工程，不包括施工设备。</w:t>
      </w:r>
    </w:p>
    <w:p>
      <w:pPr>
        <w:tabs>
          <w:tab w:val="left" w:pos="2160"/>
        </w:tabs>
        <w:spacing w:beforeLines="80" w:line="360" w:lineRule="auto"/>
        <w:ind w:left="1576" w:hanging="1"/>
        <w:rPr>
          <w:rFonts w:ascii="宋体" w:hAnsi="宋体" w:cs="宋体"/>
          <w:color w:val="auto"/>
          <w:kern w:val="0"/>
          <w:szCs w:val="21"/>
        </w:rPr>
      </w:pPr>
      <w:r>
        <w:rPr>
          <w:rFonts w:hint="eastAsia" w:ascii="宋体" w:hAnsi="宋体" w:cs="宋体"/>
          <w:b/>
          <w:color w:val="auto"/>
          <w:kern w:val="0"/>
          <w:szCs w:val="21"/>
        </w:rPr>
        <w:t>1.42  分包工程：</w:t>
      </w:r>
      <w:r>
        <w:rPr>
          <w:rFonts w:hint="eastAsia" w:ascii="宋体" w:hAnsi="宋体" w:cs="宋体"/>
          <w:color w:val="auto"/>
          <w:kern w:val="0"/>
          <w:szCs w:val="21"/>
        </w:rPr>
        <w:t>指合同工程中，由具有相应分包资质的分包人实施、完成的非主体结构（除钢结构外）的专业性工程。</w:t>
      </w:r>
    </w:p>
    <w:p>
      <w:pPr>
        <w:tabs>
          <w:tab w:val="left" w:pos="2160"/>
        </w:tabs>
        <w:spacing w:beforeLines="80" w:line="360" w:lineRule="auto"/>
        <w:ind w:left="1620" w:leftChars="771" w:hanging="1"/>
        <w:rPr>
          <w:rFonts w:ascii="宋体" w:hAnsi="宋体" w:cs="宋体"/>
          <w:color w:val="auto"/>
          <w:kern w:val="0"/>
          <w:szCs w:val="21"/>
        </w:rPr>
      </w:pPr>
      <w:r>
        <w:rPr>
          <w:rFonts w:hint="eastAsia" w:ascii="宋体" w:hAnsi="宋体" w:cs="宋体"/>
          <w:b/>
          <w:color w:val="auto"/>
          <w:kern w:val="0"/>
          <w:szCs w:val="21"/>
        </w:rPr>
        <w:t>1.43  单位工程：</w:t>
      </w:r>
      <w:r>
        <w:rPr>
          <w:rFonts w:hint="eastAsia" w:ascii="宋体" w:hAnsi="宋体" w:cs="宋体"/>
          <w:color w:val="auto"/>
          <w:kern w:val="0"/>
          <w:szCs w:val="21"/>
        </w:rPr>
        <w:t>指具有独立的设计文件，竣工后可以独立发挥生产能力和效益的永久工程。组成合同工程的单位工程名称、内容和范围等应在专用条款中明确。</w:t>
      </w:r>
    </w:p>
    <w:p>
      <w:pPr>
        <w:tabs>
          <w:tab w:val="left" w:pos="2160"/>
        </w:tabs>
        <w:spacing w:beforeLines="80" w:line="360" w:lineRule="auto"/>
        <w:ind w:left="1620" w:leftChars="771" w:hanging="1"/>
        <w:rPr>
          <w:rFonts w:ascii="宋体" w:hAnsi="宋体" w:cs="宋体"/>
          <w:color w:val="auto"/>
          <w:kern w:val="0"/>
          <w:szCs w:val="21"/>
        </w:rPr>
      </w:pPr>
      <w:r>
        <w:rPr>
          <w:rFonts w:hint="eastAsia" w:ascii="宋体" w:hAnsi="宋体" w:cs="宋体"/>
          <w:b/>
          <w:color w:val="auto"/>
          <w:kern w:val="0"/>
          <w:szCs w:val="21"/>
        </w:rPr>
        <w:t>1.44  施工场地（或工地 、现场）：</w:t>
      </w:r>
      <w:r>
        <w:rPr>
          <w:rFonts w:hint="eastAsia" w:ascii="宋体" w:hAnsi="宋体" w:cs="宋体"/>
          <w:color w:val="auto"/>
          <w:kern w:val="0"/>
          <w:szCs w:val="21"/>
        </w:rPr>
        <w:t>指由发包人提供的用于合同工程施工的场所，以及发包人在合同中具体指定的供施工使用的其他任何场所。</w:t>
      </w:r>
    </w:p>
    <w:p>
      <w:pPr>
        <w:tabs>
          <w:tab w:val="left" w:pos="2160"/>
        </w:tabs>
        <w:spacing w:beforeLines="80" w:line="360" w:lineRule="auto"/>
        <w:ind w:left="1620" w:leftChars="771" w:hanging="1"/>
        <w:rPr>
          <w:rFonts w:ascii="宋体" w:hAnsi="宋体" w:cs="宋体"/>
          <w:color w:val="auto"/>
          <w:kern w:val="0"/>
          <w:szCs w:val="21"/>
        </w:rPr>
      </w:pPr>
      <w:r>
        <w:rPr>
          <w:rFonts w:hint="eastAsia" w:ascii="宋体" w:hAnsi="宋体" w:cs="宋体"/>
          <w:b/>
          <w:color w:val="auto"/>
          <w:kern w:val="0"/>
          <w:szCs w:val="21"/>
        </w:rPr>
        <w:t>1.45  工程设备：</w:t>
      </w:r>
      <w:r>
        <w:rPr>
          <w:rFonts w:hint="eastAsia" w:ascii="宋体" w:hAnsi="宋体" w:cs="宋体"/>
          <w:color w:val="auto"/>
          <w:kern w:val="0"/>
          <w:szCs w:val="21"/>
        </w:rPr>
        <w:t>指构成或计划构成永久工程一部分的机电设备、金属结构设备、仪器装置及其他类似的设备和装置。</w:t>
      </w:r>
    </w:p>
    <w:p>
      <w:pPr>
        <w:tabs>
          <w:tab w:val="left" w:pos="2160"/>
        </w:tabs>
        <w:spacing w:beforeLines="80" w:line="360" w:lineRule="auto"/>
        <w:ind w:left="1620" w:leftChars="771" w:hanging="1"/>
        <w:rPr>
          <w:rFonts w:ascii="宋体" w:hAnsi="宋体" w:cs="宋体"/>
          <w:color w:val="auto"/>
          <w:kern w:val="0"/>
          <w:szCs w:val="21"/>
        </w:rPr>
      </w:pPr>
      <w:r>
        <w:rPr>
          <w:rFonts w:hint="eastAsia" w:ascii="宋体" w:hAnsi="宋体" w:cs="宋体"/>
          <w:b/>
          <w:color w:val="auto"/>
          <w:kern w:val="0"/>
          <w:szCs w:val="21"/>
        </w:rPr>
        <w:t>1.46  施工设备：</w:t>
      </w:r>
      <w:r>
        <w:rPr>
          <w:rFonts w:hint="eastAsia" w:ascii="宋体" w:hAnsi="宋体" w:cs="宋体"/>
          <w:color w:val="auto"/>
          <w:kern w:val="0"/>
          <w:szCs w:val="21"/>
        </w:rPr>
        <w:t>指承包人临时带入现场用于合同工程施工的仪器、机械、运输工具或其他物品，但不包括用于或安装在合同工程中的工程设备。</w:t>
      </w:r>
    </w:p>
    <w:p>
      <w:pPr>
        <w:tabs>
          <w:tab w:val="left" w:pos="2160"/>
        </w:tabs>
        <w:spacing w:beforeLines="80" w:line="360" w:lineRule="auto"/>
        <w:ind w:left="1576" w:leftChars="750" w:hanging="1"/>
        <w:jc w:val="left"/>
        <w:rPr>
          <w:rFonts w:ascii="宋体" w:hAnsi="宋体" w:cs="宋体"/>
          <w:color w:val="auto"/>
          <w:kern w:val="0"/>
          <w:szCs w:val="21"/>
        </w:rPr>
      </w:pPr>
      <w:r>
        <w:rPr>
          <w:rFonts w:hint="eastAsia" w:ascii="宋体" w:hAnsi="宋体" w:cs="宋体"/>
          <w:b/>
          <w:color w:val="auto"/>
          <w:kern w:val="0"/>
          <w:szCs w:val="21"/>
        </w:rPr>
        <w:t>1.47  工程变更：</w:t>
      </w:r>
      <w:r>
        <w:rPr>
          <w:rFonts w:hint="eastAsia" w:ascii="宋体" w:hAnsi="宋体" w:cs="宋体"/>
          <w:color w:val="auto"/>
          <w:kern w:val="0"/>
          <w:szCs w:val="21"/>
        </w:rPr>
        <w:t>指经发包人批准的，由监理工程师根据第56条规定发出指令的工程任何变更。</w:t>
      </w:r>
    </w:p>
    <w:p>
      <w:pPr>
        <w:tabs>
          <w:tab w:val="left" w:pos="2160"/>
        </w:tabs>
        <w:spacing w:beforeLines="80" w:line="360" w:lineRule="auto"/>
        <w:ind w:left="1620" w:leftChars="771" w:hanging="1"/>
        <w:rPr>
          <w:rFonts w:ascii="宋体" w:hAnsi="宋体" w:cs="宋体"/>
          <w:color w:val="auto"/>
          <w:kern w:val="0"/>
          <w:szCs w:val="21"/>
        </w:rPr>
      </w:pPr>
      <w:r>
        <w:rPr>
          <w:rFonts w:hint="eastAsia" w:ascii="宋体" w:hAnsi="宋体" w:cs="宋体"/>
          <w:b/>
          <w:color w:val="auto"/>
          <w:kern w:val="0"/>
          <w:szCs w:val="21"/>
        </w:rPr>
        <w:t>1.48  索赔：</w:t>
      </w:r>
      <w:r>
        <w:rPr>
          <w:rFonts w:hint="eastAsia" w:ascii="宋体" w:hAnsi="宋体" w:cs="宋体"/>
          <w:color w:val="auto"/>
          <w:kern w:val="0"/>
          <w:szCs w:val="21"/>
        </w:rPr>
        <w:t>指合同履行期间，对于非自己的过错而应由对方当事人承担责任的情况所造成的损失，并根据第36条和第74条规定向对方当事人提出费用补偿和（或）工期顺延的要求。</w:t>
      </w:r>
    </w:p>
    <w:p>
      <w:pPr>
        <w:tabs>
          <w:tab w:val="left" w:pos="2160"/>
        </w:tabs>
        <w:spacing w:beforeLines="80" w:line="360" w:lineRule="auto"/>
        <w:ind w:left="1575" w:leftChars="750" w:firstLine="91" w:firstLineChars="43"/>
        <w:rPr>
          <w:rFonts w:ascii="宋体" w:hAnsi="宋体" w:cs="宋体"/>
          <w:color w:val="auto"/>
          <w:kern w:val="0"/>
          <w:szCs w:val="21"/>
        </w:rPr>
      </w:pPr>
      <w:r>
        <w:rPr>
          <w:rFonts w:hint="eastAsia" w:ascii="宋体" w:hAnsi="宋体" w:cs="宋体"/>
          <w:b/>
          <w:color w:val="auto"/>
          <w:kern w:val="0"/>
          <w:szCs w:val="21"/>
        </w:rPr>
        <w:t>1.49  现场签证：</w:t>
      </w:r>
      <w:r>
        <w:rPr>
          <w:rFonts w:hint="eastAsia" w:ascii="宋体" w:hAnsi="宋体" w:cs="宋体"/>
          <w:color w:val="auto"/>
          <w:kern w:val="0"/>
          <w:szCs w:val="21"/>
        </w:rPr>
        <w:t>指合同双方当事人按照第14.2款约定的指定人选根据第75条规定就施工过程中涉及的责任事件所作的签认证明。</w:t>
      </w:r>
    </w:p>
    <w:p>
      <w:pPr>
        <w:tabs>
          <w:tab w:val="left" w:pos="2160"/>
        </w:tabs>
        <w:spacing w:beforeLines="80" w:line="360" w:lineRule="auto"/>
        <w:ind w:firstLine="1383" w:firstLineChars="656"/>
        <w:rPr>
          <w:rFonts w:ascii="宋体" w:hAnsi="宋体" w:cs="宋体"/>
          <w:color w:val="auto"/>
          <w:kern w:val="0"/>
          <w:szCs w:val="21"/>
        </w:rPr>
      </w:pPr>
      <w:r>
        <w:rPr>
          <w:rFonts w:hint="eastAsia" w:ascii="宋体" w:hAnsi="宋体" w:cs="宋体"/>
          <w:b/>
          <w:color w:val="auto"/>
          <w:kern w:val="0"/>
          <w:szCs w:val="21"/>
        </w:rPr>
        <w:t>1.50  不可抗力：</w:t>
      </w:r>
      <w:r>
        <w:rPr>
          <w:rFonts w:hint="eastAsia" w:ascii="宋体" w:hAnsi="宋体" w:cs="宋体"/>
          <w:color w:val="auto"/>
          <w:kern w:val="0"/>
          <w:szCs w:val="21"/>
        </w:rPr>
        <w:t>指不能预见、不能避免并不能克服的客观情况。</w:t>
      </w:r>
    </w:p>
    <w:p>
      <w:pPr>
        <w:tabs>
          <w:tab w:val="left" w:pos="2160"/>
        </w:tabs>
        <w:spacing w:beforeLines="80" w:line="360" w:lineRule="auto"/>
        <w:ind w:left="1576" w:hanging="1"/>
        <w:rPr>
          <w:rFonts w:ascii="宋体" w:hAnsi="宋体" w:cs="宋体"/>
          <w:color w:val="auto"/>
          <w:kern w:val="0"/>
          <w:szCs w:val="21"/>
        </w:rPr>
      </w:pPr>
      <w:r>
        <w:rPr>
          <w:rFonts w:hint="eastAsia" w:ascii="宋体" w:hAnsi="宋体" w:cs="宋体"/>
          <w:b/>
          <w:color w:val="auto"/>
          <w:kern w:val="0"/>
          <w:szCs w:val="21"/>
        </w:rPr>
        <w:t>1.51  竣工验收：</w:t>
      </w:r>
      <w:r>
        <w:rPr>
          <w:rFonts w:hint="eastAsia" w:ascii="宋体" w:hAnsi="宋体" w:cs="宋体"/>
          <w:color w:val="auto"/>
          <w:kern w:val="0"/>
          <w:szCs w:val="21"/>
        </w:rPr>
        <w:t>指承包人完成了全部合同工作后，发包人按照合同要求进行的验收。</w:t>
      </w:r>
    </w:p>
    <w:p>
      <w:pPr>
        <w:tabs>
          <w:tab w:val="left" w:pos="2160"/>
        </w:tabs>
        <w:spacing w:beforeLines="80" w:line="360" w:lineRule="auto"/>
        <w:ind w:left="1576" w:hanging="1"/>
        <w:rPr>
          <w:rFonts w:ascii="宋体" w:hAnsi="宋体" w:cs="宋体"/>
          <w:color w:val="auto"/>
          <w:kern w:val="0"/>
          <w:szCs w:val="21"/>
        </w:rPr>
      </w:pPr>
      <w:r>
        <w:rPr>
          <w:rFonts w:hint="eastAsia" w:ascii="宋体" w:hAnsi="宋体" w:cs="宋体"/>
          <w:b/>
          <w:color w:val="auto"/>
          <w:kern w:val="0"/>
          <w:szCs w:val="21"/>
        </w:rPr>
        <w:t>1.52  国家验收：</w:t>
      </w:r>
      <w:r>
        <w:rPr>
          <w:rFonts w:hint="eastAsia" w:ascii="宋体" w:hAnsi="宋体" w:cs="宋体"/>
          <w:color w:val="auto"/>
          <w:kern w:val="0"/>
          <w:szCs w:val="21"/>
        </w:rPr>
        <w:t>指政府部门根据法律和政策等有关规定，针对发包人全面组织实施的整个工程正式交付投运前的验收。</w:t>
      </w:r>
    </w:p>
    <w:p>
      <w:pPr>
        <w:tabs>
          <w:tab w:val="left" w:pos="2160"/>
        </w:tabs>
        <w:spacing w:beforeLines="80" w:line="360" w:lineRule="auto"/>
        <w:ind w:left="1620" w:leftChars="771" w:hanging="1"/>
        <w:rPr>
          <w:rFonts w:ascii="宋体" w:hAnsi="宋体" w:cs="宋体"/>
          <w:color w:val="auto"/>
          <w:kern w:val="0"/>
          <w:szCs w:val="21"/>
        </w:rPr>
      </w:pPr>
      <w:r>
        <w:rPr>
          <w:rFonts w:hint="eastAsia" w:ascii="宋体" w:hAnsi="宋体" w:cs="宋体"/>
          <w:b/>
          <w:color w:val="auto"/>
          <w:kern w:val="0"/>
          <w:szCs w:val="21"/>
        </w:rPr>
        <w:t>1.53  书面形式：</w:t>
      </w:r>
      <w:r>
        <w:rPr>
          <w:rFonts w:hint="eastAsia" w:ascii="宋体" w:hAnsi="宋体" w:cs="宋体"/>
          <w:color w:val="auto"/>
          <w:kern w:val="0"/>
          <w:szCs w:val="21"/>
        </w:rPr>
        <w:t>指合同文件、信函、电报、电传、传真、电子数据交换文件、电子邮件等可以有形地表现所载内容的形式。合同双方当事人可在专用条款中注明所采用的书面形式。</w:t>
      </w:r>
    </w:p>
    <w:p>
      <w:pPr>
        <w:tabs>
          <w:tab w:val="left" w:pos="2160"/>
        </w:tabs>
        <w:spacing w:beforeLines="80" w:line="360" w:lineRule="auto"/>
        <w:ind w:firstLine="1383" w:firstLineChars="656"/>
        <w:rPr>
          <w:rFonts w:ascii="宋体" w:hAnsi="宋体" w:cs="宋体"/>
          <w:color w:val="auto"/>
          <w:kern w:val="0"/>
          <w:szCs w:val="21"/>
        </w:rPr>
      </w:pPr>
      <w:r>
        <w:rPr>
          <w:rFonts w:hint="eastAsia" w:ascii="宋体" w:hAnsi="宋体" w:cs="宋体"/>
          <w:b/>
          <w:color w:val="auto"/>
          <w:kern w:val="0"/>
          <w:szCs w:val="21"/>
        </w:rPr>
        <w:t>1.54  国家：</w:t>
      </w:r>
      <w:r>
        <w:rPr>
          <w:rFonts w:hint="eastAsia" w:ascii="宋体" w:hAnsi="宋体" w:cs="宋体"/>
          <w:color w:val="auto"/>
          <w:kern w:val="0"/>
          <w:szCs w:val="21"/>
        </w:rPr>
        <w:t>指中华人民共和国。</w:t>
      </w:r>
    </w:p>
    <w:p>
      <w:pPr>
        <w:tabs>
          <w:tab w:val="left" w:pos="1620"/>
        </w:tabs>
        <w:spacing w:line="360" w:lineRule="auto"/>
        <w:rPr>
          <w:rFonts w:ascii="宋体" w:hAnsi="宋体" w:cs="宋体"/>
          <w:b/>
          <w:color w:val="auto"/>
          <w:szCs w:val="21"/>
        </w:rPr>
      </w:pPr>
      <w:r>
        <w:rPr>
          <w:rFonts w:hint="eastAsia" w:ascii="宋体" w:hAnsi="宋体" w:cs="宋体"/>
          <w:b/>
          <w:color w:val="auto"/>
          <w:szCs w:val="21"/>
          <w:u w:val="single"/>
        </w:rPr>
        <w:t xml:space="preserve">                                                                                      </w:t>
      </w:r>
      <w:r>
        <w:rPr>
          <w:rFonts w:hint="eastAsia" w:ascii="宋体" w:hAnsi="宋体" w:cs="宋体"/>
          <w:color w:val="auto"/>
          <w:szCs w:val="21"/>
          <w:u w:val="single"/>
        </w:rPr>
        <w:t xml:space="preserve">                       </w:t>
      </w:r>
    </w:p>
    <w:p>
      <w:pPr>
        <w:tabs>
          <w:tab w:val="left" w:pos="1620"/>
        </w:tabs>
        <w:spacing w:line="360" w:lineRule="auto"/>
        <w:ind w:firstLine="590"/>
        <w:rPr>
          <w:rFonts w:ascii="宋体" w:hAnsi="宋体" w:cs="宋体"/>
          <w:b/>
          <w:color w:val="auto"/>
          <w:szCs w:val="21"/>
        </w:rPr>
      </w:pPr>
    </w:p>
    <w:p>
      <w:pPr>
        <w:tabs>
          <w:tab w:val="left" w:pos="1620"/>
        </w:tabs>
        <w:spacing w:line="360" w:lineRule="auto"/>
        <w:rPr>
          <w:rFonts w:ascii="宋体" w:hAnsi="宋体" w:cs="宋体"/>
          <w:b/>
          <w:color w:val="auto"/>
          <w:szCs w:val="21"/>
        </w:rPr>
      </w:pPr>
      <w:r>
        <w:rPr>
          <w:rFonts w:hint="eastAsia" w:ascii="宋体" w:hAnsi="宋体" w:cs="宋体"/>
          <w:b/>
          <w:color w:val="auto"/>
          <w:szCs w:val="21"/>
        </w:rPr>
        <w:t>2  合同文件及解释</w:t>
      </w:r>
    </w:p>
    <w:p>
      <w:pPr>
        <w:tabs>
          <w:tab w:val="left" w:pos="1202"/>
        </w:tabs>
        <w:spacing w:line="360" w:lineRule="auto"/>
        <w:rPr>
          <w:rFonts w:ascii="宋体" w:hAnsi="宋体" w:cs="宋体"/>
          <w:b/>
          <w:color w:val="auto"/>
          <w:kern w:val="0"/>
          <w:szCs w:val="21"/>
        </w:rPr>
      </w:pPr>
      <w:r>
        <w:rPr>
          <w:rFonts w:hint="eastAsia" w:ascii="宋体" w:hAnsi="宋体" w:cs="宋体"/>
          <w:b/>
          <w:color w:val="auto"/>
          <w:kern w:val="0"/>
          <w:szCs w:val="21"/>
        </w:rPr>
        <w:t xml:space="preserve">2.1                                                                                 </w:t>
      </w:r>
    </w:p>
    <w:p>
      <w:pPr>
        <w:tabs>
          <w:tab w:val="left" w:pos="1202"/>
          <w:tab w:val="left" w:pos="1620"/>
          <w:tab w:val="left" w:pos="1800"/>
          <w:tab w:val="left" w:pos="2160"/>
        </w:tabs>
        <w:spacing w:line="360" w:lineRule="auto"/>
        <w:ind w:firstLine="1459" w:firstLineChars="695"/>
        <w:rPr>
          <w:rFonts w:ascii="宋体" w:hAnsi="宋体" w:cs="宋体"/>
          <w:color w:val="auto"/>
          <w:kern w:val="0"/>
          <w:szCs w:val="21"/>
        </w:rPr>
      </w:pPr>
      <w:r>
        <w:rPr>
          <w:rFonts w:ascii="宋体" w:hAnsi="宋体" w:cs="宋体"/>
          <w:color w:val="auto"/>
          <w:kern w:val="0"/>
          <w:szCs w:val="21"/>
        </w:rPr>
        <mc:AlternateContent>
          <mc:Choice Requires="wps">
            <w:drawing>
              <wp:anchor distT="0" distB="0" distL="114300" distR="114300" simplePos="0" relativeHeight="251890688" behindDoc="0" locked="0" layoutInCell="1" allowOverlap="1">
                <wp:simplePos x="0" y="0"/>
                <wp:positionH relativeFrom="column">
                  <wp:posOffset>-114300</wp:posOffset>
                </wp:positionH>
                <wp:positionV relativeFrom="paragraph">
                  <wp:posOffset>20955</wp:posOffset>
                </wp:positionV>
                <wp:extent cx="800100" cy="297180"/>
                <wp:effectExtent l="0" t="0" r="0" b="7620"/>
                <wp:wrapNone/>
                <wp:docPr id="403" name="文本框 403"/>
                <wp:cNvGraphicFramePr/>
                <a:graphic xmlns:a="http://schemas.openxmlformats.org/drawingml/2006/main">
                  <a:graphicData uri="http://schemas.microsoft.com/office/word/2010/wordprocessingShape">
                    <wps:wsp>
                      <wps:cNvSpPr txBox="1">
                        <a:spLocks noChangeArrowheads="1"/>
                      </wps:cNvSpPr>
                      <wps:spPr bwMode="auto">
                        <a:xfrm>
                          <a:off x="0" y="0"/>
                          <a:ext cx="800100" cy="297180"/>
                        </a:xfrm>
                        <a:prstGeom prst="rect">
                          <a:avLst/>
                        </a:prstGeom>
                        <a:solidFill>
                          <a:srgbClr val="FFFFFF"/>
                        </a:solidFill>
                        <a:ln>
                          <a:noFill/>
                        </a:ln>
                        <a:effectLst/>
                      </wps:spPr>
                      <wps:txbx>
                        <w:txbxContent>
                          <w:p>
                            <w:pPr>
                              <w:rPr>
                                <w:rFonts w:ascii="楷体_GB2312" w:hAnsi="宋体"/>
                              </w:rPr>
                            </w:pPr>
                            <w:r>
                              <w:rPr>
                                <w:rFonts w:hint="eastAsia" w:ascii="楷体_GB2312" w:hAnsi="宋体"/>
                                <w:b/>
                                <w:color w:val="000000"/>
                                <w:sz w:val="18"/>
                                <w:szCs w:val="18"/>
                              </w:rPr>
                              <w:t>标题和旁注</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65pt;height:23.4pt;width:63pt;z-index:251890688;mso-width-relative:page;mso-height-relative:page;" fillcolor="#FFFFFF" filled="t" stroked="f" coordsize="21600,21600" o:gfxdata="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mWItr1QAAAAgBAAAPAAAAAAAA&#10;AAEAIAAAACIAAABkcnMvZG93bnJldi54bWxQSwECFAAUAAAACACHTuJAOjSkOBUCAAABBAAADgAA&#10;AAAAAAABACAAAAAkAQAAZHJzL2Uyb0RvYy54bWxQSwUGAAAAAAYABgBZAQAAqwUAAAAA&#10;">
                <v:fill on="t" focussize="0,0"/>
                <v:stroke on="f"/>
                <v:imagedata o:title=""/>
                <o:lock v:ext="edit" aspectratio="f"/>
                <v:textbox>
                  <w:txbxContent>
                    <w:p>
                      <w:pPr>
                        <w:rPr>
                          <w:rFonts w:ascii="楷体_GB2312" w:hAnsi="宋体"/>
                        </w:rPr>
                      </w:pPr>
                      <w:r>
                        <w:rPr>
                          <w:rFonts w:hint="eastAsia" w:ascii="楷体_GB2312" w:hAnsi="宋体"/>
                          <w:b/>
                          <w:color w:val="000000"/>
                          <w:sz w:val="18"/>
                          <w:szCs w:val="18"/>
                        </w:rPr>
                        <w:t>标题和旁注</w:t>
                      </w:r>
                    </w:p>
                  </w:txbxContent>
                </v:textbox>
              </v:shape>
            </w:pict>
          </mc:Fallback>
        </mc:AlternateContent>
      </w:r>
      <w:r>
        <w:rPr>
          <w:rFonts w:hint="eastAsia" w:ascii="宋体" w:hAnsi="宋体" w:cs="宋体"/>
          <w:b/>
          <w:color w:val="auto"/>
          <w:kern w:val="0"/>
          <w:szCs w:val="21"/>
        </w:rPr>
        <w:t xml:space="preserve">   </w:t>
      </w:r>
      <w:r>
        <w:rPr>
          <w:rFonts w:hint="eastAsia" w:ascii="宋体" w:hAnsi="宋体" w:cs="宋体"/>
          <w:color w:val="auto"/>
          <w:kern w:val="0"/>
          <w:szCs w:val="21"/>
        </w:rPr>
        <w:t>本合同条款的标题和旁注不构成合同的组成部分。</w:t>
      </w:r>
    </w:p>
    <w:p>
      <w:pPr>
        <w:tabs>
          <w:tab w:val="left" w:pos="1202"/>
        </w:tabs>
        <w:spacing w:line="360" w:lineRule="auto"/>
        <w:rPr>
          <w:rFonts w:ascii="宋体" w:hAnsi="宋体" w:cs="宋体"/>
          <w:b/>
          <w:color w:val="auto"/>
          <w:kern w:val="0"/>
          <w:szCs w:val="21"/>
        </w:rPr>
      </w:pPr>
      <w:r>
        <w:rPr>
          <w:rFonts w:hint="eastAsia" w:ascii="宋体" w:hAnsi="宋体" w:cs="宋体"/>
          <w:b/>
          <w:color w:val="auto"/>
          <w:kern w:val="0"/>
          <w:szCs w:val="21"/>
        </w:rPr>
        <w:t xml:space="preserve">2.2  </w:t>
      </w:r>
      <w:r>
        <w:rPr>
          <w:rFonts w:hint="eastAsia" w:ascii="宋体" w:hAnsi="宋体" w:cs="宋体"/>
          <w:b/>
          <w:color w:val="auto"/>
          <w:kern w:val="0"/>
          <w:szCs w:val="21"/>
          <w:u w:val="dotted"/>
        </w:rPr>
        <w:t xml:space="preserve">                                                                             </w:t>
      </w:r>
    </w:p>
    <w:p>
      <w:pPr>
        <w:tabs>
          <w:tab w:val="left" w:pos="1320"/>
        </w:tabs>
        <w:spacing w:line="360" w:lineRule="auto"/>
        <w:ind w:left="1619" w:leftChars="771"/>
        <w:rPr>
          <w:rFonts w:ascii="宋体" w:hAnsi="宋体" w:cs="宋体"/>
          <w:color w:val="auto"/>
          <w:kern w:val="0"/>
          <w:szCs w:val="21"/>
        </w:rPr>
      </w:pPr>
      <w:r>
        <w:rPr>
          <w:rFonts w:ascii="宋体" w:hAnsi="宋体" w:cs="宋体"/>
          <w:color w:val="auto"/>
          <w:kern w:val="0"/>
          <w:szCs w:val="21"/>
        </w:rPr>
        <mc:AlternateContent>
          <mc:Choice Requires="wps">
            <w:drawing>
              <wp:anchor distT="0" distB="0" distL="114300" distR="114300" simplePos="0" relativeHeight="251742208" behindDoc="0" locked="0" layoutInCell="1" allowOverlap="1">
                <wp:simplePos x="0" y="0"/>
                <wp:positionH relativeFrom="column">
                  <wp:posOffset>-114300</wp:posOffset>
                </wp:positionH>
                <wp:positionV relativeFrom="paragraph">
                  <wp:posOffset>67310</wp:posOffset>
                </wp:positionV>
                <wp:extent cx="914400" cy="527050"/>
                <wp:effectExtent l="0" t="0" r="0" b="0"/>
                <wp:wrapNone/>
                <wp:docPr id="402" name="文本框 402"/>
                <wp:cNvGraphicFramePr/>
                <a:graphic xmlns:a="http://schemas.openxmlformats.org/drawingml/2006/main">
                  <a:graphicData uri="http://schemas.microsoft.com/office/word/2010/wordprocessingShape">
                    <wps:wsp>
                      <wps:cNvSpPr txBox="1">
                        <a:spLocks noChangeArrowheads="1"/>
                      </wps:cNvSpPr>
                      <wps:spPr bwMode="auto">
                        <a:xfrm>
                          <a:off x="0" y="0"/>
                          <a:ext cx="914400" cy="527050"/>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合同文件组成及优先顺序</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5.3pt;height:41.5pt;width:72pt;z-index:251742208;mso-width-relative:page;mso-height-relative:page;" filled="f" stroked="f" coordsize="21600,21600" o:gfxdata="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YhAVO9YAAAAJAQAADwAAAAAAAAABACAAAAAiAAAAZHJzL2Rvd25y&#10;ZXYueG1sUEsBAhQAFAAAAAgAh07iQH72GJUAAgAA2AMAAA4AAAAAAAAAAQAgAAAAJQEAAGRycy9l&#10;Mm9Eb2MueG1sUEsFBgAAAAAGAAYAWQEAAJcFA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合同文件组成及优先顺序</w:t>
                      </w:r>
                    </w:p>
                  </w:txbxContent>
                </v:textbox>
              </v:shape>
            </w:pict>
          </mc:Fallback>
        </mc:AlternateContent>
      </w:r>
      <w:r>
        <w:rPr>
          <w:rFonts w:hint="eastAsia" w:ascii="宋体" w:hAnsi="宋体" w:cs="宋体"/>
          <w:color w:val="auto"/>
          <w:kern w:val="0"/>
          <w:szCs w:val="21"/>
        </w:rPr>
        <w:t>下列组成本合同的文件是一个合同整体，彼此应当能相互解释，互为说明。当出现相互矛盾时，组成本合同文件的优先解释顺序如下：</w:t>
      </w:r>
    </w:p>
    <w:p>
      <w:pPr>
        <w:numPr>
          <w:ilvl w:val="0"/>
          <w:numId w:val="8"/>
        </w:numPr>
        <w:spacing w:line="360" w:lineRule="auto"/>
        <w:ind w:firstLine="540"/>
        <w:rPr>
          <w:rFonts w:ascii="宋体" w:hAnsi="宋体" w:cs="宋体"/>
          <w:color w:val="auto"/>
          <w:kern w:val="0"/>
          <w:szCs w:val="21"/>
        </w:rPr>
      </w:pPr>
      <w:r>
        <w:rPr>
          <w:rFonts w:hint="eastAsia" w:ascii="宋体" w:hAnsi="宋体" w:cs="宋体"/>
          <w:color w:val="auto"/>
          <w:kern w:val="0"/>
          <w:szCs w:val="21"/>
        </w:rPr>
        <w:t>协议书；</w:t>
      </w:r>
    </w:p>
    <w:p>
      <w:pPr>
        <w:numPr>
          <w:ilvl w:val="0"/>
          <w:numId w:val="8"/>
        </w:numPr>
        <w:tabs>
          <w:tab w:val="left" w:pos="1620"/>
        </w:tabs>
        <w:spacing w:line="360" w:lineRule="auto"/>
        <w:ind w:left="1620"/>
        <w:rPr>
          <w:rFonts w:ascii="宋体" w:hAnsi="宋体" w:cs="宋体"/>
          <w:color w:val="auto"/>
          <w:kern w:val="0"/>
          <w:szCs w:val="21"/>
        </w:rPr>
      </w:pPr>
      <w:r>
        <w:rPr>
          <w:rFonts w:hint="eastAsia" w:ascii="宋体" w:hAnsi="宋体" w:cs="宋体"/>
          <w:color w:val="auto"/>
          <w:kern w:val="0"/>
          <w:szCs w:val="21"/>
        </w:rPr>
        <w:t>履行本合同的相关补充协议（含工程洽商记录、会议纪要、工程变更、现场签证、索赔和合同价款调整报告等修正文件）；</w:t>
      </w:r>
    </w:p>
    <w:p>
      <w:pPr>
        <w:numPr>
          <w:ilvl w:val="0"/>
          <w:numId w:val="8"/>
        </w:numPr>
        <w:spacing w:line="360" w:lineRule="auto"/>
        <w:ind w:firstLine="540"/>
        <w:rPr>
          <w:rFonts w:ascii="宋体" w:hAnsi="宋体" w:cs="宋体"/>
          <w:color w:val="auto"/>
          <w:kern w:val="0"/>
          <w:szCs w:val="21"/>
        </w:rPr>
      </w:pPr>
      <w:r>
        <w:rPr>
          <w:rFonts w:hint="eastAsia" w:ascii="宋体" w:hAnsi="宋体" w:cs="宋体"/>
          <w:color w:val="auto"/>
          <w:kern w:val="0"/>
          <w:szCs w:val="21"/>
        </w:rPr>
        <w:t>中标通知书（适用于招标工程）；</w:t>
      </w:r>
    </w:p>
    <w:p>
      <w:pPr>
        <w:numPr>
          <w:ilvl w:val="0"/>
          <w:numId w:val="8"/>
        </w:numPr>
        <w:tabs>
          <w:tab w:val="left" w:pos="1620"/>
        </w:tabs>
        <w:spacing w:line="360" w:lineRule="auto"/>
        <w:ind w:left="1620" w:leftChars="771" w:hanging="1"/>
        <w:rPr>
          <w:rFonts w:ascii="宋体" w:hAnsi="宋体" w:cs="宋体"/>
          <w:color w:val="auto"/>
          <w:kern w:val="0"/>
          <w:szCs w:val="21"/>
        </w:rPr>
      </w:pPr>
      <w:r>
        <w:rPr>
          <w:rFonts w:hint="eastAsia" w:ascii="宋体" w:hAnsi="宋体" w:cs="宋体"/>
          <w:color w:val="auto"/>
          <w:kern w:val="0"/>
          <w:szCs w:val="21"/>
        </w:rPr>
        <w:t>承包人响应文件及其附件（含评标期间的澄清文件和补充资料）（适用于招标工程）；</w:t>
      </w:r>
    </w:p>
    <w:p>
      <w:pPr>
        <w:tabs>
          <w:tab w:val="left" w:pos="1620"/>
        </w:tabs>
        <w:spacing w:line="360" w:lineRule="auto"/>
        <w:ind w:left="1619"/>
        <w:rPr>
          <w:rFonts w:ascii="宋体" w:hAnsi="宋体" w:cs="宋体"/>
          <w:color w:val="auto"/>
          <w:kern w:val="0"/>
          <w:szCs w:val="21"/>
        </w:rPr>
      </w:pPr>
      <w:r>
        <w:rPr>
          <w:rFonts w:hint="eastAsia" w:ascii="宋体" w:hAnsi="宋体" w:cs="宋体"/>
          <w:color w:val="auto"/>
          <w:kern w:val="0"/>
          <w:szCs w:val="21"/>
        </w:rPr>
        <w:t>确认的工程量清单报价单或施工图预算书（适用于非招标工程）；</w:t>
      </w:r>
    </w:p>
    <w:p>
      <w:pPr>
        <w:numPr>
          <w:ilvl w:val="0"/>
          <w:numId w:val="8"/>
        </w:numPr>
        <w:spacing w:line="360" w:lineRule="auto"/>
        <w:ind w:firstLine="540"/>
        <w:rPr>
          <w:rFonts w:ascii="宋体" w:hAnsi="宋体" w:cs="宋体"/>
          <w:color w:val="auto"/>
          <w:kern w:val="0"/>
          <w:szCs w:val="21"/>
        </w:rPr>
      </w:pPr>
      <w:r>
        <w:rPr>
          <w:rFonts w:hint="eastAsia" w:ascii="宋体" w:hAnsi="宋体" w:cs="宋体"/>
          <w:color w:val="auto"/>
          <w:kern w:val="0"/>
          <w:szCs w:val="21"/>
        </w:rPr>
        <w:t>专用条款；</w:t>
      </w:r>
    </w:p>
    <w:p>
      <w:pPr>
        <w:numPr>
          <w:ilvl w:val="0"/>
          <w:numId w:val="8"/>
        </w:numPr>
        <w:spacing w:line="360" w:lineRule="auto"/>
        <w:ind w:firstLine="540"/>
        <w:rPr>
          <w:rFonts w:ascii="宋体" w:hAnsi="宋体" w:cs="宋体"/>
          <w:color w:val="auto"/>
          <w:kern w:val="0"/>
          <w:szCs w:val="21"/>
        </w:rPr>
      </w:pPr>
      <w:r>
        <w:rPr>
          <w:rFonts w:hint="eastAsia" w:ascii="宋体" w:hAnsi="宋体" w:cs="宋体"/>
          <w:color w:val="auto"/>
          <w:kern w:val="0"/>
          <w:szCs w:val="21"/>
        </w:rPr>
        <w:t>通用条款；</w:t>
      </w:r>
    </w:p>
    <w:p>
      <w:pPr>
        <w:numPr>
          <w:ilvl w:val="0"/>
          <w:numId w:val="8"/>
        </w:numPr>
        <w:spacing w:line="360" w:lineRule="auto"/>
        <w:ind w:firstLine="540"/>
        <w:rPr>
          <w:rFonts w:ascii="宋体" w:hAnsi="宋体" w:cs="宋体"/>
          <w:color w:val="auto"/>
          <w:kern w:val="0"/>
          <w:szCs w:val="21"/>
        </w:rPr>
      </w:pPr>
      <w:r>
        <w:rPr>
          <w:rFonts w:hint="eastAsia" w:ascii="宋体" w:hAnsi="宋体" w:cs="宋体"/>
          <w:color w:val="auto"/>
          <w:kern w:val="0"/>
          <w:szCs w:val="21"/>
        </w:rPr>
        <w:t>标准、规范及有关技术文件；</w:t>
      </w:r>
    </w:p>
    <w:p>
      <w:pPr>
        <w:numPr>
          <w:ilvl w:val="0"/>
          <w:numId w:val="8"/>
        </w:numPr>
        <w:spacing w:line="360" w:lineRule="auto"/>
        <w:ind w:left="1077" w:firstLine="540"/>
        <w:rPr>
          <w:rFonts w:ascii="宋体" w:hAnsi="宋体" w:cs="宋体"/>
          <w:color w:val="auto"/>
          <w:kern w:val="0"/>
          <w:szCs w:val="21"/>
        </w:rPr>
      </w:pPr>
      <w:r>
        <w:rPr>
          <w:rFonts w:hint="eastAsia" w:ascii="宋体" w:hAnsi="宋体" w:cs="宋体"/>
          <w:color w:val="auto"/>
          <w:kern w:val="0"/>
          <w:szCs w:val="21"/>
        </w:rPr>
        <w:t>施工设计图纸；</w:t>
      </w:r>
    </w:p>
    <w:p>
      <w:pPr>
        <w:numPr>
          <w:ilvl w:val="0"/>
          <w:numId w:val="8"/>
        </w:numPr>
        <w:spacing w:line="360" w:lineRule="auto"/>
        <w:ind w:left="1077" w:firstLine="540"/>
        <w:rPr>
          <w:rFonts w:ascii="宋体" w:hAnsi="宋体" w:cs="宋体"/>
          <w:color w:val="auto"/>
          <w:kern w:val="0"/>
          <w:szCs w:val="21"/>
        </w:rPr>
      </w:pPr>
      <w:r>
        <w:rPr>
          <w:rFonts w:hint="eastAsia" w:ascii="宋体" w:hAnsi="宋体" w:cs="宋体"/>
          <w:color w:val="auto"/>
          <w:kern w:val="0"/>
          <w:szCs w:val="21"/>
        </w:rPr>
        <w:t>工程量清单；</w:t>
      </w:r>
    </w:p>
    <w:p>
      <w:pPr>
        <w:numPr>
          <w:ilvl w:val="0"/>
          <w:numId w:val="8"/>
        </w:numPr>
        <w:spacing w:line="360" w:lineRule="auto"/>
        <w:ind w:left="1077" w:firstLine="540"/>
        <w:rPr>
          <w:rFonts w:ascii="宋体" w:hAnsi="宋体" w:cs="宋体"/>
          <w:color w:val="auto"/>
          <w:kern w:val="0"/>
          <w:szCs w:val="21"/>
        </w:rPr>
      </w:pPr>
      <w:r>
        <w:rPr>
          <w:rFonts w:hint="eastAsia" w:ascii="宋体" w:hAnsi="宋体" w:cs="宋体"/>
          <w:color w:val="auto"/>
          <w:kern w:val="0"/>
          <w:szCs w:val="21"/>
        </w:rPr>
        <w:t>专用条款约定的其他文件。</w:t>
      </w:r>
    </w:p>
    <w:p>
      <w:pPr>
        <w:tabs>
          <w:tab w:val="left" w:pos="540"/>
          <w:tab w:val="left" w:pos="1202"/>
        </w:tabs>
        <w:spacing w:line="360" w:lineRule="auto"/>
        <w:rPr>
          <w:rFonts w:ascii="宋体" w:hAnsi="宋体" w:cs="宋体"/>
          <w:b/>
          <w:color w:val="auto"/>
          <w:kern w:val="0"/>
          <w:szCs w:val="21"/>
        </w:rPr>
      </w:pPr>
      <w:r>
        <w:rPr>
          <w:rFonts w:hint="eastAsia" w:ascii="宋体" w:hAnsi="宋体" w:cs="宋体"/>
          <w:b/>
          <w:color w:val="auto"/>
          <w:kern w:val="0"/>
          <w:szCs w:val="21"/>
        </w:rPr>
        <w:t xml:space="preserve">2.3  </w:t>
      </w:r>
      <w:r>
        <w:rPr>
          <w:rFonts w:hint="eastAsia" w:ascii="宋体" w:hAnsi="宋体" w:cs="宋体"/>
          <w:b/>
          <w:color w:val="auto"/>
          <w:kern w:val="0"/>
          <w:szCs w:val="21"/>
          <w:u w:val="dotted"/>
        </w:rPr>
        <w:t xml:space="preserve">                                                                                                        </w:t>
      </w:r>
    </w:p>
    <w:p>
      <w:pPr>
        <w:spacing w:line="360" w:lineRule="auto"/>
        <w:ind w:left="1619" w:leftChars="771"/>
        <w:rPr>
          <w:rFonts w:ascii="宋体" w:hAnsi="宋体" w:cs="宋体"/>
          <w:color w:val="auto"/>
          <w:kern w:val="0"/>
          <w:szCs w:val="21"/>
        </w:rPr>
      </w:pPr>
      <w:r>
        <w:rPr>
          <w:rFonts w:ascii="宋体" w:hAnsi="宋体" w:cs="宋体"/>
          <w:color w:val="auto"/>
          <w:kern w:val="0"/>
          <w:szCs w:val="21"/>
        </w:rPr>
        <mc:AlternateContent>
          <mc:Choice Requires="wps">
            <w:drawing>
              <wp:anchor distT="0" distB="0" distL="114300" distR="114300" simplePos="0" relativeHeight="251743232" behindDoc="0" locked="0" layoutInCell="1" allowOverlap="1">
                <wp:simplePos x="0" y="0"/>
                <wp:positionH relativeFrom="column">
                  <wp:posOffset>-114300</wp:posOffset>
                </wp:positionH>
                <wp:positionV relativeFrom="paragraph">
                  <wp:posOffset>0</wp:posOffset>
                </wp:positionV>
                <wp:extent cx="914400" cy="792480"/>
                <wp:effectExtent l="0" t="0" r="0" b="0"/>
                <wp:wrapNone/>
                <wp:docPr id="401" name="文本框 401"/>
                <wp:cNvGraphicFramePr/>
                <a:graphic xmlns:a="http://schemas.openxmlformats.org/drawingml/2006/main">
                  <a:graphicData uri="http://schemas.microsoft.com/office/word/2010/wordprocessingShape">
                    <wps:wsp>
                      <wps:cNvSpPr txBox="1">
                        <a:spLocks noChangeArrowheads="1"/>
                      </wps:cNvSpPr>
                      <wps:spPr bwMode="auto">
                        <a:xfrm>
                          <a:off x="0" y="0"/>
                          <a:ext cx="914400" cy="792480"/>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监理或造价工程师作出解释</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62.4pt;width:72pt;z-index:251743232;mso-width-relative:page;mso-height-relative:page;" filled="f" stroked="f" coordsize="21600,21600" o:gfxdata="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qTZUc1QAAAAgBAAAPAAAAAAAAAAEAIAAAACIAAABkcnMvZG93bnJl&#10;di54bWxQSwECFAAUAAAACACHTuJAwG2FgQACAADYAwAADgAAAAAAAAABACAAAAAkAQAAZHJzL2Uy&#10;b0RvYy54bWxQSwUGAAAAAAYABgBZAQAAlgU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监理或造价工程师作出解释</w:t>
                      </w:r>
                    </w:p>
                  </w:txbxContent>
                </v:textbox>
              </v:shape>
            </w:pict>
          </mc:Fallback>
        </mc:AlternateContent>
      </w:r>
      <w:r>
        <w:rPr>
          <w:rFonts w:hint="eastAsia" w:ascii="宋体" w:hAnsi="宋体" w:cs="宋体"/>
          <w:color w:val="auto"/>
          <w:kern w:val="0"/>
          <w:szCs w:val="21"/>
        </w:rPr>
        <w:t>当合同文件内容出现含糊不清或不一致时，由合同双方当事人在不影响合同工程正常实施的情况下协商解决。协商不成的，由监理工程师、造价工程师分别按照第23.2款、第24.2款规定职权作出解释。如合同任何一方当事人不同意监理工程师或造价工程师作出的解释，按照第86条规定处理。</w:t>
      </w:r>
    </w:p>
    <w:p>
      <w:pPr>
        <w:spacing w:line="360" w:lineRule="auto"/>
        <w:jc w:val="left"/>
        <w:rPr>
          <w:rFonts w:ascii="宋体" w:hAnsi="宋体" w:cs="宋体"/>
          <w:b/>
          <w:color w:val="auto"/>
          <w:szCs w:val="21"/>
          <w:u w:val="single"/>
        </w:rPr>
      </w:pPr>
      <w:r>
        <w:rPr>
          <w:rFonts w:hint="eastAsia" w:ascii="宋体" w:hAnsi="宋体" w:cs="宋体"/>
          <w:b/>
          <w:color w:val="auto"/>
          <w:szCs w:val="21"/>
          <w:u w:val="single"/>
        </w:rPr>
        <w:t xml:space="preserve">                                                                                                               </w:t>
      </w:r>
    </w:p>
    <w:p>
      <w:pPr>
        <w:spacing w:line="360" w:lineRule="auto"/>
        <w:ind w:firstLine="904"/>
        <w:jc w:val="left"/>
        <w:rPr>
          <w:rFonts w:ascii="宋体" w:hAnsi="宋体" w:cs="宋体"/>
          <w:b/>
          <w:color w:val="auto"/>
          <w:szCs w:val="21"/>
        </w:rPr>
      </w:pPr>
    </w:p>
    <w:p>
      <w:pPr>
        <w:spacing w:line="360" w:lineRule="auto"/>
        <w:jc w:val="left"/>
        <w:rPr>
          <w:rFonts w:ascii="宋体" w:hAnsi="宋体" w:cs="宋体"/>
          <w:b/>
          <w:color w:val="auto"/>
          <w:szCs w:val="21"/>
        </w:rPr>
      </w:pPr>
      <w:r>
        <w:rPr>
          <w:rFonts w:hint="eastAsia" w:ascii="宋体" w:hAnsi="宋体" w:cs="宋体"/>
          <w:b/>
          <w:color w:val="auto"/>
          <w:szCs w:val="21"/>
        </w:rPr>
        <w:t>3  阅读、理解与接受</w:t>
      </w:r>
    </w:p>
    <w:p>
      <w:pPr>
        <w:tabs>
          <w:tab w:val="left" w:pos="1260"/>
        </w:tabs>
        <w:spacing w:beforeLines="100" w:line="360" w:lineRule="auto"/>
        <w:rPr>
          <w:rFonts w:ascii="宋体" w:hAnsi="宋体" w:cs="宋体"/>
          <w:b/>
          <w:color w:val="auto"/>
          <w:szCs w:val="21"/>
        </w:rPr>
      </w:pPr>
      <w:r>
        <w:rPr>
          <w:rFonts w:hint="eastAsia" w:ascii="宋体" w:hAnsi="宋体" w:cs="宋体"/>
          <w:b/>
          <w:color w:val="auto"/>
          <w:szCs w:val="21"/>
        </w:rPr>
        <w:t xml:space="preserve">3.1 </w:t>
      </w:r>
    </w:p>
    <w:p>
      <w:pPr>
        <w:tabs>
          <w:tab w:val="left" w:pos="540"/>
          <w:tab w:val="left" w:pos="1202"/>
        </w:tabs>
        <w:spacing w:line="360" w:lineRule="auto"/>
        <w:ind w:left="1440" w:leftChars="685" w:hanging="2"/>
        <w:rPr>
          <w:rFonts w:ascii="宋体" w:hAnsi="宋体" w:cs="宋体"/>
          <w:color w:val="auto"/>
          <w:kern w:val="0"/>
          <w:szCs w:val="21"/>
        </w:rPr>
      </w:pPr>
      <w:r>
        <w:rPr>
          <w:rFonts w:ascii="宋体" w:hAnsi="宋体" w:cs="宋体"/>
          <w:color w:val="auto"/>
          <w:kern w:val="0"/>
          <w:szCs w:val="21"/>
        </w:rPr>
        <mc:AlternateContent>
          <mc:Choice Requires="wps">
            <w:drawing>
              <wp:anchor distT="0" distB="0" distL="114300" distR="114300" simplePos="0" relativeHeight="251914240" behindDoc="0" locked="0" layoutInCell="1" allowOverlap="1">
                <wp:simplePos x="0" y="0"/>
                <wp:positionH relativeFrom="column">
                  <wp:posOffset>-114300</wp:posOffset>
                </wp:positionH>
                <wp:positionV relativeFrom="paragraph">
                  <wp:posOffset>0</wp:posOffset>
                </wp:positionV>
                <wp:extent cx="914400" cy="792480"/>
                <wp:effectExtent l="0" t="0" r="0" b="0"/>
                <wp:wrapNone/>
                <wp:docPr id="400" name="文本框 400"/>
                <wp:cNvGraphicFramePr/>
                <a:graphic xmlns:a="http://schemas.openxmlformats.org/drawingml/2006/main">
                  <a:graphicData uri="http://schemas.microsoft.com/office/word/2010/wordprocessingShape">
                    <wps:wsp>
                      <wps:cNvSpPr txBox="1">
                        <a:spLocks noChangeArrowheads="1"/>
                      </wps:cNvSpPr>
                      <wps:spPr bwMode="auto">
                        <a:xfrm>
                          <a:off x="0" y="0"/>
                          <a:ext cx="914400" cy="792480"/>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阅读、理解与接受</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62.4pt;width:72pt;z-index:251914240;mso-width-relative:page;mso-height-relative:page;" filled="f" stroked="f" coordsize="21600,21600" o:gfxdata="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Kk2VHNUAAAAIAQAADwAAAAAAAAABACAAAAAiAAAAZHJzL2Rvd25yZXYu&#10;eG1sUEsBAhQAFAAAAAgAh07iQESyMoX+AQAA2AMAAA4AAAAAAAAAAQAgAAAAJAEAAGRycy9lMm9E&#10;b2MueG1sUEsFBgAAAAAGAAYAWQEAAJQFA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阅读、理解与接受</w:t>
                      </w:r>
                    </w:p>
                  </w:txbxContent>
                </v:textbox>
              </v:shape>
            </w:pict>
          </mc:Fallback>
        </mc:AlternateContent>
      </w:r>
      <w:r>
        <w:rPr>
          <w:rFonts w:hint="eastAsia" w:ascii="宋体" w:hAnsi="宋体" w:cs="宋体"/>
          <w:color w:val="auto"/>
          <w:kern w:val="0"/>
          <w:szCs w:val="21"/>
        </w:rPr>
        <w:t>合同双方当事人应认真阅读和理解本合同的全部内容。除合同双方当事人同意修改外，本合同一旦订立，视为合同双方当事人已全面接受本合同的所有条款。</w:t>
      </w:r>
    </w:p>
    <w:p>
      <w:pPr>
        <w:tabs>
          <w:tab w:val="left" w:pos="2160"/>
        </w:tabs>
        <w:spacing w:beforeLines="80" w:line="360" w:lineRule="auto"/>
        <w:ind w:left="1418" w:hanging="1417" w:hangingChars="675"/>
        <w:rPr>
          <w:rFonts w:ascii="宋体" w:hAnsi="宋体" w:cs="宋体"/>
          <w:b/>
          <w:color w:val="auto"/>
          <w:kern w:val="0"/>
          <w:szCs w:val="21"/>
          <w:u w:val="dotted"/>
        </w:rPr>
      </w:pPr>
      <w:r>
        <w:rPr>
          <w:rFonts w:ascii="宋体" w:hAnsi="宋体" w:cs="宋体"/>
          <w:color w:val="auto"/>
          <w:kern w:val="0"/>
          <w:szCs w:val="21"/>
        </w:rPr>
        <mc:AlternateContent>
          <mc:Choice Requires="wps">
            <w:drawing>
              <wp:anchor distT="0" distB="0" distL="114300" distR="114300" simplePos="0" relativeHeight="251915264" behindDoc="0" locked="0" layoutInCell="1" allowOverlap="1">
                <wp:simplePos x="0" y="0"/>
                <wp:positionH relativeFrom="column">
                  <wp:posOffset>-114300</wp:posOffset>
                </wp:positionH>
                <wp:positionV relativeFrom="paragraph">
                  <wp:posOffset>396240</wp:posOffset>
                </wp:positionV>
                <wp:extent cx="952500" cy="792480"/>
                <wp:effectExtent l="0" t="0" r="0" b="0"/>
                <wp:wrapNone/>
                <wp:docPr id="399" name="文本框 399"/>
                <wp:cNvGraphicFramePr/>
                <a:graphic xmlns:a="http://schemas.openxmlformats.org/drawingml/2006/main">
                  <a:graphicData uri="http://schemas.microsoft.com/office/word/2010/wordprocessingShape">
                    <wps:wsp>
                      <wps:cNvSpPr txBox="1">
                        <a:spLocks noChangeArrowheads="1"/>
                      </wps:cNvSpPr>
                      <wps:spPr bwMode="auto">
                        <a:xfrm>
                          <a:off x="0" y="0"/>
                          <a:ext cx="952500" cy="792480"/>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修改合同条款的限制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1.2pt;height:62.4pt;width:75pt;z-index:251915264;mso-width-relative:page;mso-height-relative:page;" filled="f" stroked="f" coordsize="21600,21600" o:gfxdata="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PkXlQ7YAAAACgEAAA8AAAAAAAAAAQAgAAAAIgAAAGRycy9k&#10;b3ducmV2LnhtbFBLAQIUABQAAAAIAIdO4kCTJORHAgIAANgDAAAOAAAAAAAAAAEAIAAAACcBAABk&#10;cnMvZTJvRG9jLnhtbFBLBQYAAAAABgAGAFkBAACbBQ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修改合同条款的限制</w:t>
                      </w:r>
                    </w:p>
                  </w:txbxContent>
                </v:textbox>
              </v:shape>
            </w:pict>
          </mc:Fallback>
        </mc:AlternateContent>
      </w:r>
      <w:r>
        <w:rPr>
          <w:rFonts w:hint="eastAsia" w:ascii="宋体" w:hAnsi="宋体" w:cs="宋体"/>
          <w:b/>
          <w:color w:val="auto"/>
          <w:kern w:val="0"/>
          <w:szCs w:val="21"/>
        </w:rPr>
        <w:t xml:space="preserve">3.2  </w:t>
      </w:r>
      <w:r>
        <w:rPr>
          <w:rFonts w:hint="eastAsia" w:ascii="宋体" w:hAnsi="宋体" w:cs="宋体"/>
          <w:b/>
          <w:color w:val="auto"/>
          <w:kern w:val="0"/>
          <w:szCs w:val="21"/>
          <w:u w:val="dotted"/>
        </w:rPr>
        <w:t xml:space="preserve">                                                                               </w:t>
      </w:r>
    </w:p>
    <w:p>
      <w:pPr>
        <w:tabs>
          <w:tab w:val="left" w:pos="2160"/>
        </w:tabs>
        <w:spacing w:beforeLines="80" w:line="360" w:lineRule="auto"/>
        <w:ind w:left="1610" w:leftChars="741" w:hanging="54" w:hangingChars="26"/>
        <w:rPr>
          <w:rFonts w:ascii="宋体" w:hAnsi="宋体" w:cs="宋体"/>
          <w:color w:val="auto"/>
          <w:kern w:val="0"/>
          <w:szCs w:val="21"/>
        </w:rPr>
      </w:pPr>
      <w:r>
        <w:rPr>
          <w:rFonts w:hint="eastAsia" w:ascii="宋体" w:hAnsi="宋体" w:cs="宋体"/>
          <w:color w:val="auto"/>
          <w:kern w:val="0"/>
          <w:szCs w:val="21"/>
        </w:rPr>
        <w:t>合同一方当事人违背本合同的承诺，要求另一方当事人接受其对拟订立或正在履行的本合同条款修改后存在不公平的条款，另一方当事人不接受的，应及时提出修正意见。经再次催告修正无效的情况下，不利一方当事人有权拒绝订立或单方解除本合同；给对方当事人造成损失的，责任方应予赔偿。</w:t>
      </w:r>
    </w:p>
    <w:p>
      <w:pPr>
        <w:adjustRightInd w:val="0"/>
        <w:snapToGrid w:val="0"/>
        <w:ind w:right="-238"/>
        <w:rPr>
          <w:rFonts w:ascii="宋体" w:hAnsi="宋体" w:cs="宋体"/>
          <w:b/>
          <w:color w:val="auto"/>
          <w:kern w:val="0"/>
          <w:szCs w:val="21"/>
          <w:u w:val="single"/>
        </w:rPr>
      </w:pPr>
      <w:r>
        <w:rPr>
          <w:rFonts w:hint="eastAsia" w:ascii="宋体" w:hAnsi="宋体" w:cs="宋体"/>
          <w:b/>
          <w:color w:val="auto"/>
          <w:kern w:val="0"/>
          <w:szCs w:val="21"/>
          <w:u w:val="single"/>
        </w:rPr>
        <w:t xml:space="preserve">                                                                                 </w:t>
      </w:r>
    </w:p>
    <w:p>
      <w:pPr>
        <w:tabs>
          <w:tab w:val="left" w:pos="1620"/>
        </w:tabs>
        <w:spacing w:line="240" w:lineRule="exact"/>
        <w:rPr>
          <w:rFonts w:ascii="宋体" w:hAnsi="宋体" w:cs="宋体"/>
          <w:b/>
          <w:color w:val="auto"/>
          <w:szCs w:val="21"/>
        </w:rPr>
      </w:pPr>
    </w:p>
    <w:p>
      <w:pPr>
        <w:tabs>
          <w:tab w:val="left" w:pos="1260"/>
        </w:tabs>
        <w:spacing w:beforeLines="100" w:line="360" w:lineRule="auto"/>
        <w:rPr>
          <w:rFonts w:ascii="宋体" w:hAnsi="宋体" w:cs="宋体"/>
          <w:b/>
          <w:color w:val="auto"/>
          <w:szCs w:val="21"/>
        </w:rPr>
      </w:pPr>
      <w:r>
        <w:rPr>
          <w:rFonts w:hint="eastAsia" w:ascii="宋体" w:hAnsi="宋体" w:cs="宋体"/>
          <w:b/>
          <w:color w:val="auto"/>
          <w:szCs w:val="21"/>
        </w:rPr>
        <w:t>4  语言及适用的法律、标准与规范</w:t>
      </w:r>
    </w:p>
    <w:p>
      <w:pPr>
        <w:tabs>
          <w:tab w:val="left" w:pos="1320"/>
        </w:tabs>
        <w:spacing w:line="360" w:lineRule="auto"/>
        <w:ind w:right="-15" w:rightChars="-7"/>
        <w:rPr>
          <w:rFonts w:ascii="宋体" w:hAnsi="宋体" w:cs="宋体"/>
          <w:b/>
          <w:color w:val="auto"/>
          <w:szCs w:val="21"/>
        </w:rPr>
      </w:pPr>
      <w:r>
        <w:rPr>
          <w:rFonts w:hint="eastAsia" w:ascii="宋体" w:hAnsi="宋体" w:cs="宋体"/>
          <w:b/>
          <w:color w:val="auto"/>
          <w:szCs w:val="21"/>
        </w:rPr>
        <w:t xml:space="preserve">4.1                         </w:t>
      </w:r>
    </w:p>
    <w:p>
      <w:pPr>
        <w:tabs>
          <w:tab w:val="left" w:pos="1620"/>
        </w:tabs>
        <w:spacing w:line="360" w:lineRule="auto"/>
        <w:ind w:left="1887" w:right="-7" w:hanging="1887" w:hangingChars="895"/>
        <w:rPr>
          <w:rFonts w:ascii="宋体" w:hAnsi="宋体" w:cs="宋体"/>
          <w:color w:val="auto"/>
          <w:szCs w:val="21"/>
        </w:rPr>
      </w:pPr>
      <w:r>
        <w:rPr>
          <w:rFonts w:hint="eastAsia" w:ascii="宋体" w:hAnsi="宋体" w:cs="宋体"/>
          <w:b/>
          <w:color w:val="auto"/>
          <w:szCs w:val="21"/>
        </w:rPr>
        <w:t xml:space="preserve">语言文字  </w:t>
      </w:r>
      <w:r>
        <w:rPr>
          <w:rFonts w:hint="eastAsia" w:ascii="宋体" w:hAnsi="宋体" w:cs="宋体"/>
          <w:color w:val="auto"/>
          <w:szCs w:val="21"/>
        </w:rPr>
        <w:t xml:space="preserve">      本合同所使用的语言文字为中文（汉语）。</w:t>
      </w:r>
    </w:p>
    <w:p>
      <w:pPr>
        <w:tabs>
          <w:tab w:val="left" w:pos="1620"/>
        </w:tabs>
        <w:spacing w:line="360" w:lineRule="auto"/>
        <w:ind w:left="1579" w:leftChars="752" w:right="-7" w:firstLine="102" w:firstLineChars="49"/>
        <w:rPr>
          <w:rFonts w:ascii="宋体" w:hAnsi="宋体" w:cs="宋体"/>
          <w:color w:val="auto"/>
          <w:szCs w:val="21"/>
        </w:rPr>
      </w:pPr>
      <w:r>
        <w:rPr>
          <w:rFonts w:hint="eastAsia" w:ascii="宋体" w:hAnsi="宋体" w:cs="宋体"/>
          <w:color w:val="auto"/>
          <w:szCs w:val="21"/>
        </w:rPr>
        <w:t>对于必须使用外文表达的专用术语等，应附有中文注释。</w:t>
      </w:r>
    </w:p>
    <w:p>
      <w:pPr>
        <w:tabs>
          <w:tab w:val="left" w:pos="1320"/>
        </w:tabs>
        <w:spacing w:line="360" w:lineRule="auto"/>
        <w:ind w:right="-7"/>
        <w:rPr>
          <w:rFonts w:ascii="宋体" w:hAnsi="宋体" w:cs="宋体"/>
          <w:b/>
          <w:color w:val="auto"/>
          <w:szCs w:val="21"/>
        </w:rPr>
      </w:pPr>
      <w:r>
        <w:rPr>
          <w:rFonts w:hint="eastAsia" w:ascii="宋体" w:hAnsi="宋体" w:cs="宋体"/>
          <w:b/>
          <w:color w:val="auto"/>
          <w:szCs w:val="21"/>
        </w:rPr>
        <w:t xml:space="preserve">4.2  </w:t>
      </w:r>
      <w:r>
        <w:rPr>
          <w:rFonts w:hint="eastAsia" w:ascii="宋体" w:hAnsi="宋体" w:cs="宋体"/>
          <w:b/>
          <w:color w:val="auto"/>
          <w:szCs w:val="21"/>
          <w:u w:val="dotted"/>
        </w:rPr>
        <w:t xml:space="preserve">                                                                                                        </w:t>
      </w:r>
      <w:r>
        <w:rPr>
          <w:rFonts w:hint="eastAsia" w:ascii="宋体" w:hAnsi="宋体" w:cs="宋体"/>
          <w:b/>
          <w:color w:val="auto"/>
          <w:szCs w:val="21"/>
        </w:rPr>
        <w:t xml:space="preserve">                                                                                                </w:t>
      </w:r>
    </w:p>
    <w:p>
      <w:pPr>
        <w:spacing w:line="360" w:lineRule="auto"/>
        <w:ind w:left="1617" w:leftChars="770" w:right="-7" w:firstLine="1"/>
        <w:rPr>
          <w:rFonts w:ascii="宋体" w:hAnsi="宋体" w:cs="宋体"/>
          <w:color w:val="auto"/>
          <w:kern w:val="0"/>
          <w:szCs w:val="21"/>
        </w:rPr>
      </w:pPr>
      <w:r>
        <w:rPr>
          <w:rFonts w:ascii="宋体" w:hAnsi="宋体" w:cs="宋体"/>
          <w:color w:val="auto"/>
          <w:kern w:val="0"/>
          <w:szCs w:val="21"/>
        </w:rPr>
        <mc:AlternateContent>
          <mc:Choice Requires="wps">
            <w:drawing>
              <wp:anchor distT="0" distB="0" distL="114300" distR="114300" simplePos="0" relativeHeight="251744256" behindDoc="0" locked="0" layoutInCell="1" allowOverlap="1">
                <wp:simplePos x="0" y="0"/>
                <wp:positionH relativeFrom="column">
                  <wp:posOffset>-114300</wp:posOffset>
                </wp:positionH>
                <wp:positionV relativeFrom="paragraph">
                  <wp:posOffset>38100</wp:posOffset>
                </wp:positionV>
                <wp:extent cx="1028700" cy="457200"/>
                <wp:effectExtent l="0" t="0" r="0" b="0"/>
                <wp:wrapNone/>
                <wp:docPr id="398" name="文本框 398"/>
                <wp:cNvGraphicFramePr/>
                <a:graphic xmlns:a="http://schemas.openxmlformats.org/drawingml/2006/main">
                  <a:graphicData uri="http://schemas.microsoft.com/office/word/2010/wordprocessingShape">
                    <wps:wsp>
                      <wps:cNvSpPr txBox="1">
                        <a:spLocks noChangeArrowheads="1"/>
                      </wps:cNvSpPr>
                      <wps:spPr bwMode="auto">
                        <a:xfrm>
                          <a:off x="0" y="0"/>
                          <a:ext cx="1028700" cy="457200"/>
                        </a:xfrm>
                        <a:prstGeom prst="rect">
                          <a:avLst/>
                        </a:prstGeom>
                        <a:noFill/>
                        <a:ln>
                          <a:noFill/>
                        </a:ln>
                        <a:effectLst/>
                      </wps:spPr>
                      <wps:txbx>
                        <w:txbxContent>
                          <w:p>
                            <w:pPr>
                              <w:rPr>
                                <w:rFonts w:ascii="楷体_GB2312"/>
                                <w:sz w:val="18"/>
                                <w:szCs w:val="18"/>
                              </w:rPr>
                            </w:pPr>
                            <w:r>
                              <w:rPr>
                                <w:rFonts w:hint="eastAsia" w:ascii="楷体_GB2312" w:hAnsi="宋体"/>
                                <w:b/>
                                <w:color w:val="000000"/>
                                <w:sz w:val="18"/>
                                <w:szCs w:val="18"/>
                              </w:rPr>
                              <w:t>适用法律</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pt;height:36pt;width:81pt;z-index:251744256;mso-width-relative:page;mso-height-relative:page;" filled="f" stroked="f" coordsize="21600,21600" o:gfxdata="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kcJrPUAAAACAEAAA8AAAAAAAAAAQAgAAAAIgAAAGRycy9kb3ducmV2&#10;LnhtbFBLAQIUABQAAAAIAIdO4kDx56f1AAIAANkDAAAOAAAAAAAAAAEAIAAAACMBAABkcnMvZTJv&#10;RG9jLnhtbFBLBQYAAAAABgAGAFkBAACVBQAAAAA=&#10;">
                <v:fill on="f" focussize="0,0"/>
                <v:stroke on="f"/>
                <v:imagedata o:title=""/>
                <o:lock v:ext="edit" aspectratio="f"/>
                <v:textbox>
                  <w:txbxContent>
                    <w:p>
                      <w:pPr>
                        <w:rPr>
                          <w:rFonts w:ascii="楷体_GB2312"/>
                          <w:sz w:val="18"/>
                          <w:szCs w:val="18"/>
                        </w:rPr>
                      </w:pPr>
                      <w:r>
                        <w:rPr>
                          <w:rFonts w:hint="eastAsia" w:ascii="楷体_GB2312" w:hAnsi="宋体"/>
                          <w:b/>
                          <w:color w:val="000000"/>
                          <w:sz w:val="18"/>
                          <w:szCs w:val="18"/>
                        </w:rPr>
                        <w:t>适用法律</w:t>
                      </w:r>
                    </w:p>
                  </w:txbxContent>
                </v:textbox>
              </v:shape>
            </w:pict>
          </mc:Fallback>
        </mc:AlternateContent>
      </w:r>
      <w:r>
        <w:rPr>
          <w:rFonts w:hint="eastAsia" w:ascii="宋体" w:hAnsi="宋体" w:cs="宋体"/>
          <w:color w:val="auto"/>
          <w:kern w:val="0"/>
          <w:szCs w:val="21"/>
        </w:rPr>
        <w:t>本合同适用的法律为中华人民共和国的现行法律、行政法规、部门规章和合同工程所在地的地方性法规、地方政府规章。</w:t>
      </w:r>
    </w:p>
    <w:p>
      <w:pPr>
        <w:tabs>
          <w:tab w:val="left" w:pos="1320"/>
        </w:tabs>
        <w:spacing w:line="360" w:lineRule="auto"/>
        <w:ind w:right="-7"/>
        <w:rPr>
          <w:rFonts w:ascii="宋体" w:hAnsi="宋体" w:cs="宋体"/>
          <w:b/>
          <w:color w:val="auto"/>
          <w:szCs w:val="21"/>
        </w:rPr>
      </w:pPr>
      <w:r>
        <w:rPr>
          <w:rFonts w:hint="eastAsia" w:ascii="宋体" w:hAnsi="宋体" w:cs="宋体"/>
          <w:b/>
          <w:color w:val="auto"/>
          <w:szCs w:val="21"/>
        </w:rPr>
        <w:t xml:space="preserve">4.3  </w:t>
      </w:r>
      <w:r>
        <w:rPr>
          <w:rFonts w:hint="eastAsia" w:ascii="宋体" w:hAnsi="宋体" w:cs="宋体"/>
          <w:b/>
          <w:color w:val="auto"/>
          <w:szCs w:val="21"/>
          <w:u w:val="dotted"/>
        </w:rPr>
        <w:t xml:space="preserve">                                                                                                        </w:t>
      </w:r>
      <w:r>
        <w:rPr>
          <w:rFonts w:hint="eastAsia" w:ascii="宋体" w:hAnsi="宋体" w:cs="宋体"/>
          <w:b/>
          <w:color w:val="auto"/>
          <w:szCs w:val="21"/>
        </w:rPr>
        <w:t xml:space="preserve">                                                                                    </w:t>
      </w:r>
    </w:p>
    <w:p>
      <w:pPr>
        <w:spacing w:line="360" w:lineRule="auto"/>
        <w:ind w:left="1619" w:leftChars="771" w:right="-7"/>
        <w:rPr>
          <w:rFonts w:ascii="宋体" w:hAnsi="宋体" w:cs="宋体"/>
          <w:color w:val="auto"/>
          <w:szCs w:val="21"/>
        </w:rPr>
      </w:pPr>
      <w:r>
        <w:rPr>
          <w:rFonts w:ascii="宋体" w:hAnsi="宋体" w:cs="宋体"/>
          <w:color w:val="auto"/>
          <w:szCs w:val="21"/>
        </w:rPr>
        <mc:AlternateContent>
          <mc:Choice Requires="wps">
            <w:drawing>
              <wp:anchor distT="0" distB="0" distL="114300" distR="114300" simplePos="0" relativeHeight="251745280" behindDoc="0" locked="0" layoutInCell="1" allowOverlap="1">
                <wp:simplePos x="0" y="0"/>
                <wp:positionH relativeFrom="column">
                  <wp:posOffset>-114300</wp:posOffset>
                </wp:positionH>
                <wp:positionV relativeFrom="paragraph">
                  <wp:posOffset>0</wp:posOffset>
                </wp:positionV>
                <wp:extent cx="1028700" cy="441960"/>
                <wp:effectExtent l="0" t="0" r="0" b="0"/>
                <wp:wrapNone/>
                <wp:docPr id="397" name="文本框 397"/>
                <wp:cNvGraphicFramePr/>
                <a:graphic xmlns:a="http://schemas.openxmlformats.org/drawingml/2006/main">
                  <a:graphicData uri="http://schemas.microsoft.com/office/word/2010/wordprocessingShape">
                    <wps:wsp>
                      <wps:cNvSpPr txBox="1">
                        <a:spLocks noChangeArrowheads="1"/>
                      </wps:cNvSpPr>
                      <wps:spPr bwMode="auto">
                        <a:xfrm>
                          <a:off x="0" y="0"/>
                          <a:ext cx="1028700" cy="441960"/>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适用标准与规</w:t>
                            </w:r>
                          </w:p>
                          <w:p>
                            <w:pPr>
                              <w:rPr>
                                <w:rFonts w:ascii="楷体_GB2312" w:hAnsi="宋体"/>
                                <w:b/>
                                <w:color w:val="000000"/>
                                <w:sz w:val="18"/>
                                <w:szCs w:val="18"/>
                              </w:rPr>
                            </w:pPr>
                            <w:r>
                              <w:rPr>
                                <w:rFonts w:hint="eastAsia" w:ascii="楷体_GB2312" w:hAnsi="宋体"/>
                                <w:b/>
                                <w:color w:val="000000"/>
                                <w:sz w:val="18"/>
                                <w:szCs w:val="18"/>
                              </w:rPr>
                              <w:t>范</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34.8pt;width:81pt;z-index:251745280;mso-width-relative:page;mso-height-relative:page;" filled="f" stroked="f" coordsize="21600,21600" o:gfxdata="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4IuO71QAAAAcBAAAPAAAAAAAAAAEAIAAAACIAAABkcnMvZG93&#10;bnJldi54bWxQSwECFAAUAAAACACHTuJA7YiVdwMCAADZAwAADgAAAAAAAAABACAAAAAkAQAAZHJz&#10;L2Uyb0RvYy54bWxQSwUGAAAAAAYABgBZAQAAmQU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适用标准与规</w:t>
                      </w:r>
                    </w:p>
                    <w:p>
                      <w:pPr>
                        <w:rPr>
                          <w:rFonts w:ascii="楷体_GB2312" w:hAnsi="宋体"/>
                          <w:b/>
                          <w:color w:val="000000"/>
                          <w:sz w:val="18"/>
                          <w:szCs w:val="18"/>
                        </w:rPr>
                      </w:pPr>
                      <w:r>
                        <w:rPr>
                          <w:rFonts w:hint="eastAsia" w:ascii="楷体_GB2312" w:hAnsi="宋体"/>
                          <w:b/>
                          <w:color w:val="000000"/>
                          <w:sz w:val="18"/>
                          <w:szCs w:val="18"/>
                        </w:rPr>
                        <w:t>范</w:t>
                      </w:r>
                    </w:p>
                  </w:txbxContent>
                </v:textbox>
              </v:shape>
            </w:pict>
          </mc:Fallback>
        </mc:AlternateContent>
      </w:r>
      <w:r>
        <w:rPr>
          <w:rFonts w:hint="eastAsia" w:ascii="宋体" w:hAnsi="宋体" w:cs="宋体"/>
          <w:color w:val="auto"/>
          <w:szCs w:val="21"/>
        </w:rPr>
        <w:t>本合同适用的标准与规范为国家、行业和广东省的标准与规范或规程，以及发包人在合同中要求使用的标准与规范。</w:t>
      </w:r>
    </w:p>
    <w:p>
      <w:pPr>
        <w:spacing w:line="360" w:lineRule="auto"/>
        <w:ind w:left="1619" w:leftChars="771" w:right="-7"/>
        <w:rPr>
          <w:rFonts w:ascii="宋体" w:hAnsi="宋体" w:cs="宋体"/>
          <w:color w:val="auto"/>
          <w:szCs w:val="21"/>
        </w:rPr>
      </w:pPr>
      <w:r>
        <w:rPr>
          <w:rFonts w:hint="eastAsia" w:ascii="宋体" w:hAnsi="宋体" w:cs="宋体"/>
          <w:color w:val="auto"/>
          <w:szCs w:val="21"/>
        </w:rPr>
        <w:t xml:space="preserve">合同双方当事人在专用条款中约定适用的国家标准、规范名称；国家没有但行业有的，约定适用的行业标准、规范名称；国家和行业没有但广东省有的，约定适用的广东省地方标准、规范名称。   </w:t>
      </w:r>
    </w:p>
    <w:p>
      <w:pPr>
        <w:spacing w:line="360" w:lineRule="auto"/>
        <w:ind w:left="1619" w:leftChars="771" w:right="-7" w:firstLine="1"/>
        <w:rPr>
          <w:rFonts w:ascii="宋体" w:hAnsi="宋体" w:cs="宋体"/>
          <w:color w:val="auto"/>
          <w:szCs w:val="21"/>
        </w:rPr>
      </w:pPr>
      <w:r>
        <w:rPr>
          <w:rFonts w:hint="eastAsia" w:ascii="宋体" w:hAnsi="宋体" w:cs="宋体"/>
          <w:color w:val="auto"/>
          <w:szCs w:val="21"/>
        </w:rPr>
        <w:t>国内没有适用的标准、规范的，由发包人在招标文件中或在承包人投标报价前提出施工技术要求，承包人在自主报价时按照要求提出施工工艺，经发包人确认后执行。发包人要求使用国外标准、规范的，应负责提供中文译本；有异议时，以中文译本为准。</w:t>
      </w:r>
    </w:p>
    <w:p>
      <w:pPr>
        <w:spacing w:line="360" w:lineRule="auto"/>
        <w:rPr>
          <w:rFonts w:ascii="宋体" w:hAnsi="宋体" w:cs="宋体"/>
          <w:b/>
          <w:color w:val="auto"/>
          <w:szCs w:val="21"/>
          <w:u w:val="single"/>
        </w:rPr>
      </w:pPr>
      <w:r>
        <w:rPr>
          <w:rFonts w:hint="eastAsia" w:ascii="宋体" w:hAnsi="宋体" w:cs="宋体"/>
          <w:b/>
          <w:color w:val="auto"/>
          <w:szCs w:val="21"/>
          <w:u w:val="single"/>
        </w:rPr>
        <w:t xml:space="preserve">                                                                              </w:t>
      </w:r>
    </w:p>
    <w:p>
      <w:pPr>
        <w:spacing w:line="360" w:lineRule="auto"/>
        <w:ind w:right="-6" w:firstLine="420" w:firstLineChars="200"/>
        <w:rPr>
          <w:rFonts w:ascii="宋体" w:hAnsi="宋体" w:cs="宋体"/>
          <w:color w:val="auto"/>
          <w:szCs w:val="21"/>
          <w:u w:val="single"/>
        </w:rPr>
      </w:pPr>
    </w:p>
    <w:p>
      <w:pPr>
        <w:tabs>
          <w:tab w:val="left" w:pos="1620"/>
        </w:tabs>
        <w:spacing w:line="360" w:lineRule="auto"/>
        <w:rPr>
          <w:rFonts w:ascii="宋体" w:hAnsi="宋体" w:cs="宋体"/>
          <w:b/>
          <w:color w:val="auto"/>
          <w:szCs w:val="21"/>
        </w:rPr>
      </w:pPr>
      <w:r>
        <w:rPr>
          <w:rFonts w:hint="eastAsia" w:ascii="宋体" w:hAnsi="宋体" w:cs="宋体"/>
          <w:b/>
          <w:color w:val="auto"/>
          <w:szCs w:val="21"/>
        </w:rPr>
        <w:t>5  施工设计图纸</w:t>
      </w:r>
    </w:p>
    <w:p>
      <w:pPr>
        <w:spacing w:line="360" w:lineRule="auto"/>
        <w:ind w:right="-238"/>
        <w:rPr>
          <w:rFonts w:ascii="宋体" w:hAnsi="宋体" w:cs="宋体"/>
          <w:b/>
          <w:color w:val="auto"/>
          <w:kern w:val="0"/>
          <w:szCs w:val="21"/>
        </w:rPr>
      </w:pPr>
      <w:r>
        <w:rPr>
          <w:rFonts w:hint="eastAsia" w:ascii="宋体" w:hAnsi="宋体" w:cs="宋体"/>
          <w:b/>
          <w:color w:val="auto"/>
          <w:kern w:val="0"/>
          <w:szCs w:val="21"/>
        </w:rPr>
        <w:t xml:space="preserve">5.1 </w:t>
      </w:r>
    </w:p>
    <w:p>
      <w:pPr>
        <w:spacing w:line="360" w:lineRule="auto"/>
        <w:ind w:left="1619" w:leftChars="771"/>
        <w:rPr>
          <w:rFonts w:ascii="宋体" w:hAnsi="宋体" w:cs="宋体"/>
          <w:color w:val="auto"/>
          <w:szCs w:val="21"/>
        </w:rPr>
      </w:pPr>
      <w:r>
        <w:rPr>
          <w:rFonts w:ascii="宋体" w:hAnsi="宋体" w:cs="宋体"/>
          <w:color w:val="auto"/>
          <w:szCs w:val="21"/>
        </w:rPr>
        <mc:AlternateContent>
          <mc:Choice Requires="wps">
            <w:drawing>
              <wp:anchor distT="0" distB="0" distL="114300" distR="114300" simplePos="0" relativeHeight="252045312" behindDoc="0" locked="0" layoutInCell="1" allowOverlap="1">
                <wp:simplePos x="0" y="0"/>
                <wp:positionH relativeFrom="column">
                  <wp:posOffset>-114300</wp:posOffset>
                </wp:positionH>
                <wp:positionV relativeFrom="paragraph">
                  <wp:posOffset>20320</wp:posOffset>
                </wp:positionV>
                <wp:extent cx="800100" cy="911860"/>
                <wp:effectExtent l="0" t="0" r="0" b="0"/>
                <wp:wrapNone/>
                <wp:docPr id="396" name="文本框 396"/>
                <wp:cNvGraphicFramePr/>
                <a:graphic xmlns:a="http://schemas.openxmlformats.org/drawingml/2006/main">
                  <a:graphicData uri="http://schemas.microsoft.com/office/word/2010/wordprocessingShape">
                    <wps:wsp>
                      <wps:cNvSpPr txBox="1">
                        <a:spLocks noChangeArrowheads="1"/>
                      </wps:cNvSpPr>
                      <wps:spPr bwMode="auto">
                        <a:xfrm>
                          <a:off x="0" y="0"/>
                          <a:ext cx="800100" cy="911860"/>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图纸的提供</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6pt;height:71.8pt;width:63pt;z-index:252045312;mso-width-relative:page;mso-height-relative:page;" filled="f" stroked="f" coordsize="21600,21600" o:gfxdata="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C4LsWbWAAAACQEAAA8AAAAAAAAAAQAgAAAAIgAAAGRycy9kb3du&#10;cmV2LnhtbFBLAQIUABQAAAAIAIdO4kChwo6GAQIAANgDAAAOAAAAAAAAAAEAIAAAACUBAABkcnMv&#10;ZTJvRG9jLnhtbFBLBQYAAAAABgAGAFkBAACYBQ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图纸的提供</w:t>
                      </w:r>
                    </w:p>
                  </w:txbxContent>
                </v:textbox>
              </v:shape>
            </w:pict>
          </mc:Fallback>
        </mc:AlternateContent>
      </w:r>
      <w:r>
        <w:rPr>
          <w:rFonts w:hint="eastAsia" w:ascii="宋体" w:hAnsi="宋体" w:cs="宋体"/>
          <w:color w:val="auto"/>
          <w:szCs w:val="21"/>
        </w:rPr>
        <w:t xml:space="preserve">发包人应按照专用条款约定的时间和数量，向承包人提供经已审批的施工设计图纸及其技术资料。如承包人需要增加数量的，发包人可代为办理，发生的费用由承包人承担。如发包人未能按时提供施工设计图纸造成工期延误的，按第36.3款规定处理。 </w:t>
      </w:r>
    </w:p>
    <w:p>
      <w:pPr>
        <w:spacing w:line="360" w:lineRule="auto"/>
        <w:ind w:right="-238"/>
        <w:rPr>
          <w:rFonts w:ascii="宋体" w:hAnsi="宋体" w:cs="宋体"/>
          <w:b/>
          <w:color w:val="auto"/>
          <w:kern w:val="0"/>
          <w:szCs w:val="21"/>
        </w:rPr>
      </w:pPr>
      <w:r>
        <w:rPr>
          <w:rFonts w:hint="eastAsia" w:ascii="宋体" w:hAnsi="宋体" w:cs="宋体"/>
          <w:b/>
          <w:color w:val="auto"/>
          <w:kern w:val="0"/>
          <w:szCs w:val="21"/>
        </w:rPr>
        <w:t xml:space="preserve">5.2  </w:t>
      </w:r>
      <w:r>
        <w:rPr>
          <w:rFonts w:hint="eastAsia" w:ascii="宋体" w:hAnsi="宋体" w:cs="宋体"/>
          <w:b/>
          <w:color w:val="auto"/>
          <w:kern w:val="0"/>
          <w:szCs w:val="21"/>
          <w:u w:val="dotted"/>
        </w:rPr>
        <w:t xml:space="preserve">                                                                              </w:t>
      </w:r>
    </w:p>
    <w:p>
      <w:pPr>
        <w:tabs>
          <w:tab w:val="left" w:pos="4970"/>
        </w:tabs>
        <w:spacing w:line="360" w:lineRule="auto"/>
        <w:ind w:left="1619" w:leftChars="771"/>
        <w:rPr>
          <w:rFonts w:ascii="宋体" w:hAnsi="宋体" w:cs="宋体"/>
          <w:color w:val="auto"/>
          <w:kern w:val="0"/>
          <w:szCs w:val="21"/>
        </w:rPr>
      </w:pPr>
      <w:r>
        <w:rPr>
          <w:rFonts w:ascii="宋体" w:hAnsi="宋体" w:cs="宋体"/>
          <w:color w:val="auto"/>
          <w:kern w:val="0"/>
          <w:szCs w:val="21"/>
        </w:rPr>
        <mc:AlternateContent>
          <mc:Choice Requires="wps">
            <w:drawing>
              <wp:anchor distT="0" distB="0" distL="114300" distR="114300" simplePos="0" relativeHeight="252041216" behindDoc="0" locked="0" layoutInCell="1" allowOverlap="1">
                <wp:simplePos x="0" y="0"/>
                <wp:positionH relativeFrom="column">
                  <wp:posOffset>-114300</wp:posOffset>
                </wp:positionH>
                <wp:positionV relativeFrom="paragraph">
                  <wp:posOffset>0</wp:posOffset>
                </wp:positionV>
                <wp:extent cx="800100" cy="911860"/>
                <wp:effectExtent l="0" t="0" r="0" b="0"/>
                <wp:wrapNone/>
                <wp:docPr id="395" name="文本框 395"/>
                <wp:cNvGraphicFramePr/>
                <a:graphic xmlns:a="http://schemas.openxmlformats.org/drawingml/2006/main">
                  <a:graphicData uri="http://schemas.microsoft.com/office/word/2010/wordprocessingShape">
                    <wps:wsp>
                      <wps:cNvSpPr txBox="1">
                        <a:spLocks noChangeArrowheads="1"/>
                      </wps:cNvSpPr>
                      <wps:spPr bwMode="auto">
                        <a:xfrm>
                          <a:off x="0" y="0"/>
                          <a:ext cx="800100" cy="911860"/>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承包人提供配合施工的图纸</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71.8pt;width:63pt;z-index:252041216;mso-width-relative:page;mso-height-relative:page;" filled="f" stroked="f" coordsize="21600,21600" o:gfxdata="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CK+3Y1AAAAAgBAAAPAAAAAAAAAAEAIAAAACIAAABkcnMvZG93bnJl&#10;di54bWxQSwECFAAUAAAACACHTuJALaJWiwECAADYAwAADgAAAAAAAAABACAAAAAjAQAAZHJzL2Uy&#10;b0RvYy54bWxQSwUGAAAAAAYABgBZAQAAlgU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承包人提供配合施工的图纸</w:t>
                      </w:r>
                    </w:p>
                  </w:txbxContent>
                </v:textbox>
              </v:shape>
            </w:pict>
          </mc:Fallback>
        </mc:AlternateContent>
      </w:r>
      <w:r>
        <w:rPr>
          <w:rFonts w:hint="eastAsia" w:ascii="宋体" w:hAnsi="宋体" w:cs="宋体"/>
          <w:color w:val="auto"/>
          <w:kern w:val="0"/>
          <w:szCs w:val="21"/>
        </w:rPr>
        <w:t>如果合同约定由承包人负责提供大样图、加工图等配合施工设计图纸的，承包人应在其设计资质等级许可的范围内，按照监理工程师的工作指令完成有关施工设计图纸。承包人应按照专用条款约定的时间和数量向监理工程师提交此类施工设计图纸，监理工程师应在专用条款约定的时间内报发包人批准后予以答复。即使经监理工程师同意，承包人仍应对其施工设计图纸负责。</w:t>
      </w:r>
    </w:p>
    <w:p>
      <w:pPr>
        <w:tabs>
          <w:tab w:val="left" w:pos="4970"/>
        </w:tabs>
        <w:spacing w:line="360" w:lineRule="auto"/>
        <w:rPr>
          <w:rFonts w:ascii="宋体" w:hAnsi="宋体" w:cs="宋体"/>
          <w:b/>
          <w:color w:val="auto"/>
          <w:szCs w:val="21"/>
        </w:rPr>
      </w:pPr>
    </w:p>
    <w:p>
      <w:pPr>
        <w:tabs>
          <w:tab w:val="left" w:pos="4970"/>
        </w:tabs>
        <w:spacing w:line="360" w:lineRule="auto"/>
        <w:rPr>
          <w:rFonts w:ascii="宋体" w:hAnsi="宋体" w:cs="宋体"/>
          <w:b/>
          <w:color w:val="auto"/>
          <w:szCs w:val="21"/>
        </w:rPr>
      </w:pPr>
      <w:r>
        <w:rPr>
          <w:rFonts w:hint="eastAsia" w:ascii="宋体" w:hAnsi="宋体" w:cs="宋体"/>
          <w:b/>
          <w:color w:val="auto"/>
          <w:szCs w:val="21"/>
        </w:rPr>
        <w:t xml:space="preserve">5.3  </w:t>
      </w:r>
      <w:r>
        <w:rPr>
          <w:rFonts w:hint="eastAsia" w:ascii="宋体" w:hAnsi="宋体" w:cs="宋体"/>
          <w:b/>
          <w:color w:val="auto"/>
          <w:szCs w:val="21"/>
          <w:u w:val="dotted"/>
        </w:rPr>
        <w:t xml:space="preserve">                                                                                                       </w:t>
      </w:r>
    </w:p>
    <w:p>
      <w:pPr>
        <w:tabs>
          <w:tab w:val="left" w:pos="4970"/>
        </w:tabs>
        <w:spacing w:line="360" w:lineRule="auto"/>
        <w:ind w:left="1619" w:leftChars="771"/>
        <w:rPr>
          <w:rFonts w:ascii="宋体" w:hAnsi="宋体" w:cs="宋体"/>
          <w:color w:val="auto"/>
          <w:szCs w:val="21"/>
        </w:rPr>
      </w:pPr>
      <w:r>
        <w:rPr>
          <w:rFonts w:ascii="宋体" w:hAnsi="宋体" w:cs="宋体"/>
          <w:color w:val="auto"/>
          <w:szCs w:val="21"/>
        </w:rPr>
        <mc:AlternateContent>
          <mc:Choice Requires="wps">
            <w:drawing>
              <wp:anchor distT="0" distB="0" distL="114300" distR="114300" simplePos="0" relativeHeight="252043264" behindDoc="0" locked="0" layoutInCell="1" allowOverlap="1">
                <wp:simplePos x="0" y="0"/>
                <wp:positionH relativeFrom="column">
                  <wp:posOffset>-114300</wp:posOffset>
                </wp:positionH>
                <wp:positionV relativeFrom="paragraph">
                  <wp:posOffset>0</wp:posOffset>
                </wp:positionV>
                <wp:extent cx="914400" cy="648970"/>
                <wp:effectExtent l="0" t="0" r="0" b="0"/>
                <wp:wrapNone/>
                <wp:docPr id="394" name="文本框 394"/>
                <wp:cNvGraphicFramePr/>
                <a:graphic xmlns:a="http://schemas.openxmlformats.org/drawingml/2006/main">
                  <a:graphicData uri="http://schemas.microsoft.com/office/word/2010/wordprocessingShape">
                    <wps:wsp>
                      <wps:cNvSpPr txBox="1">
                        <a:spLocks noChangeArrowheads="1"/>
                      </wps:cNvSpPr>
                      <wps:spPr bwMode="auto">
                        <a:xfrm>
                          <a:off x="0" y="0"/>
                          <a:ext cx="914400" cy="648970"/>
                        </a:xfrm>
                        <a:prstGeom prst="rect">
                          <a:avLst/>
                        </a:prstGeom>
                        <a:noFill/>
                        <a:ln>
                          <a:noFill/>
                        </a:ln>
                        <a:effectLst/>
                      </wps:spPr>
                      <wps:txbx>
                        <w:txbxContent>
                          <w:p>
                            <w:pPr>
                              <w:rPr>
                                <w:rFonts w:ascii="宋体" w:hAnsi="宋体"/>
                                <w:sz w:val="18"/>
                                <w:szCs w:val="18"/>
                              </w:rPr>
                            </w:pPr>
                            <w:r>
                              <w:rPr>
                                <w:rFonts w:hint="eastAsia" w:ascii="楷体_GB2312" w:hAnsi="宋体"/>
                                <w:b/>
                                <w:color w:val="000000"/>
                                <w:sz w:val="18"/>
                                <w:szCs w:val="18"/>
                              </w:rPr>
                              <w:t>图纸的修改</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51.1pt;width:72pt;z-index:252043264;mso-width-relative:page;mso-height-relative:page;" filled="f" stroked="f" coordsize="21600,21600" o:gfxdata="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9spnAdUAAAAIAQAADwAAAAAAAAABACAAAAAiAAAAZHJzL2Rvd25y&#10;ZXYueG1sUEsBAhQAFAAAAAgAh07iQMzIpEkBAgAA2AMAAA4AAAAAAAAAAQAgAAAAJAEAAGRycy9l&#10;Mm9Eb2MueG1sUEsFBgAAAAAGAAYAWQEAAJcFAAAAAA==&#10;">
                <v:fill on="f" focussize="0,0"/>
                <v:stroke on="f"/>
                <v:imagedata o:title=""/>
                <o:lock v:ext="edit" aspectratio="f"/>
                <v:textbox>
                  <w:txbxContent>
                    <w:p>
                      <w:pPr>
                        <w:rPr>
                          <w:rFonts w:ascii="宋体" w:hAnsi="宋体"/>
                          <w:sz w:val="18"/>
                          <w:szCs w:val="18"/>
                        </w:rPr>
                      </w:pPr>
                      <w:r>
                        <w:rPr>
                          <w:rFonts w:hint="eastAsia" w:ascii="楷体_GB2312" w:hAnsi="宋体"/>
                          <w:b/>
                          <w:color w:val="000000"/>
                          <w:sz w:val="18"/>
                          <w:szCs w:val="18"/>
                        </w:rPr>
                        <w:t>图纸的修改</w:t>
                      </w:r>
                    </w:p>
                  </w:txbxContent>
                </v:textbox>
              </v:shape>
            </w:pict>
          </mc:Fallback>
        </mc:AlternateContent>
      </w:r>
      <w:r>
        <w:rPr>
          <w:rFonts w:hint="eastAsia" w:ascii="宋体" w:hAnsi="宋体" w:cs="宋体"/>
          <w:color w:val="auto"/>
          <w:szCs w:val="21"/>
        </w:rPr>
        <w:t>施工设计图纸需要修改和补充的，监理工程师应及时书面报告发包人。发包人收到书面报告后应及时通知设计人予以修改，并在合同工程或其相应部位施工前按照专用条款约定的时间和数量提供给承包人。承包人应按照发包人新提供的经设计人修改后的施工设计图纸施工。</w:t>
      </w:r>
    </w:p>
    <w:p>
      <w:pPr>
        <w:tabs>
          <w:tab w:val="left" w:pos="4970"/>
        </w:tabs>
        <w:spacing w:line="360" w:lineRule="auto"/>
        <w:rPr>
          <w:rFonts w:ascii="宋体" w:hAnsi="宋体" w:cs="宋体"/>
          <w:b/>
          <w:color w:val="auto"/>
          <w:szCs w:val="21"/>
        </w:rPr>
      </w:pPr>
      <w:r>
        <w:rPr>
          <w:rFonts w:hint="eastAsia" w:ascii="宋体" w:hAnsi="宋体" w:cs="宋体"/>
          <w:b/>
          <w:color w:val="auto"/>
          <w:szCs w:val="21"/>
        </w:rPr>
        <w:t xml:space="preserve">5.4  </w:t>
      </w:r>
      <w:r>
        <w:rPr>
          <w:rFonts w:hint="eastAsia" w:ascii="宋体" w:hAnsi="宋体" w:cs="宋体"/>
          <w:b/>
          <w:color w:val="auto"/>
          <w:szCs w:val="21"/>
          <w:u w:val="dotted"/>
        </w:rPr>
        <w:t xml:space="preserve">                                                                                                       </w:t>
      </w:r>
    </w:p>
    <w:p>
      <w:pPr>
        <w:tabs>
          <w:tab w:val="left" w:pos="4970"/>
        </w:tabs>
        <w:spacing w:line="360" w:lineRule="auto"/>
        <w:ind w:left="1619" w:leftChars="771"/>
        <w:rPr>
          <w:rFonts w:ascii="宋体" w:hAnsi="宋体" w:cs="宋体"/>
          <w:color w:val="auto"/>
          <w:szCs w:val="21"/>
        </w:rPr>
      </w:pPr>
      <w:r>
        <w:rPr>
          <w:rFonts w:ascii="宋体" w:hAnsi="宋体" w:cs="宋体"/>
          <w:color w:val="auto"/>
          <w:szCs w:val="21"/>
        </w:rPr>
        <mc:AlternateContent>
          <mc:Choice Requires="wps">
            <w:drawing>
              <wp:anchor distT="0" distB="0" distL="114300" distR="114300" simplePos="0" relativeHeight="252044288" behindDoc="0" locked="0" layoutInCell="1" allowOverlap="1">
                <wp:simplePos x="0" y="0"/>
                <wp:positionH relativeFrom="column">
                  <wp:posOffset>-114300</wp:posOffset>
                </wp:positionH>
                <wp:positionV relativeFrom="paragraph">
                  <wp:posOffset>0</wp:posOffset>
                </wp:positionV>
                <wp:extent cx="914400" cy="648970"/>
                <wp:effectExtent l="0" t="0" r="0" b="0"/>
                <wp:wrapNone/>
                <wp:docPr id="393" name="文本框 393"/>
                <wp:cNvGraphicFramePr/>
                <a:graphic xmlns:a="http://schemas.openxmlformats.org/drawingml/2006/main">
                  <a:graphicData uri="http://schemas.microsoft.com/office/word/2010/wordprocessingShape">
                    <wps:wsp>
                      <wps:cNvSpPr txBox="1">
                        <a:spLocks noChangeArrowheads="1"/>
                      </wps:cNvSpPr>
                      <wps:spPr bwMode="auto">
                        <a:xfrm>
                          <a:off x="0" y="0"/>
                          <a:ext cx="914400" cy="648970"/>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图纸错漏的改正</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51.1pt;width:72pt;z-index:252044288;mso-width-relative:page;mso-height-relative:page;" filled="f" stroked="f" coordsize="21600,21600" o:gfxdata="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9spnAdUAAAAIAQAADwAAAAAAAAABACAAAAAiAAAAZHJzL2Rvd25y&#10;ZXYueG1sUEsBAhQAFAAAAAgAh07iQFDWo1YBAgAA2AMAAA4AAAAAAAAAAQAgAAAAJAEAAGRycy9l&#10;Mm9Eb2MueG1sUEsFBgAAAAAGAAYAWQEAAJcFA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图纸错漏的改正</w:t>
                      </w:r>
                    </w:p>
                  </w:txbxContent>
                </v:textbox>
              </v:shape>
            </w:pict>
          </mc:Fallback>
        </mc:AlternateContent>
      </w:r>
      <w:r>
        <w:rPr>
          <w:rFonts w:hint="eastAsia" w:ascii="宋体" w:hAnsi="宋体" w:cs="宋体"/>
          <w:color w:val="auto"/>
          <w:szCs w:val="21"/>
        </w:rPr>
        <w:t>承包人发现发包人提供的施工设计图纸存在明显错漏或疏忽，应及时书面通知发包人和监理工程师。发包人收到书面通知后应及时予以答复，并通知设计人予以改正。因发包人未及时答复等原因造成承包人损失的，发包人应予赔偿。</w:t>
      </w:r>
    </w:p>
    <w:p>
      <w:pPr>
        <w:adjustRightInd w:val="0"/>
        <w:snapToGrid w:val="0"/>
        <w:spacing w:line="360" w:lineRule="auto"/>
        <w:rPr>
          <w:rFonts w:ascii="宋体" w:hAnsi="宋体" w:cs="宋体"/>
          <w:b/>
          <w:color w:val="auto"/>
          <w:szCs w:val="21"/>
        </w:rPr>
      </w:pPr>
      <w:r>
        <w:rPr>
          <w:rFonts w:hint="eastAsia" w:ascii="宋体" w:hAnsi="宋体" w:cs="宋体"/>
          <w:b/>
          <w:color w:val="auto"/>
          <w:szCs w:val="21"/>
        </w:rPr>
        <w:t xml:space="preserve">5.5  </w:t>
      </w:r>
      <w:r>
        <w:rPr>
          <w:rFonts w:hint="eastAsia" w:ascii="宋体" w:hAnsi="宋体" w:cs="宋体"/>
          <w:b/>
          <w:color w:val="auto"/>
          <w:szCs w:val="21"/>
          <w:u w:val="dotted"/>
        </w:rPr>
        <w:t xml:space="preserve">                                                                                                       </w:t>
      </w:r>
    </w:p>
    <w:p>
      <w:pPr>
        <w:tabs>
          <w:tab w:val="left" w:pos="4970"/>
        </w:tabs>
        <w:spacing w:line="360" w:lineRule="auto"/>
        <w:ind w:left="1619" w:leftChars="771"/>
        <w:rPr>
          <w:rFonts w:ascii="宋体" w:hAnsi="宋体" w:cs="宋体"/>
          <w:color w:val="auto"/>
          <w:szCs w:val="21"/>
        </w:rPr>
      </w:pPr>
      <w:r>
        <w:rPr>
          <w:rFonts w:ascii="宋体" w:hAnsi="宋体" w:cs="宋体"/>
          <w:color w:val="auto"/>
          <w:szCs w:val="21"/>
        </w:rPr>
        <mc:AlternateContent>
          <mc:Choice Requires="wps">
            <w:drawing>
              <wp:anchor distT="0" distB="0" distL="114300" distR="114300" simplePos="0" relativeHeight="252042240" behindDoc="0" locked="0" layoutInCell="1" allowOverlap="1">
                <wp:simplePos x="0" y="0"/>
                <wp:positionH relativeFrom="column">
                  <wp:posOffset>-114300</wp:posOffset>
                </wp:positionH>
                <wp:positionV relativeFrom="paragraph">
                  <wp:posOffset>0</wp:posOffset>
                </wp:positionV>
                <wp:extent cx="914400" cy="648970"/>
                <wp:effectExtent l="0" t="0" r="0" b="0"/>
                <wp:wrapNone/>
                <wp:docPr id="392" name="文本框 392"/>
                <wp:cNvGraphicFramePr/>
                <a:graphic xmlns:a="http://schemas.openxmlformats.org/drawingml/2006/main">
                  <a:graphicData uri="http://schemas.microsoft.com/office/word/2010/wordprocessingShape">
                    <wps:wsp>
                      <wps:cNvSpPr txBox="1">
                        <a:spLocks noChangeArrowheads="1"/>
                      </wps:cNvSpPr>
                      <wps:spPr bwMode="auto">
                        <a:xfrm>
                          <a:off x="0" y="0"/>
                          <a:ext cx="914400" cy="648970"/>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图纸的使用与退还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51.1pt;width:72pt;z-index:252042240;mso-width-relative:page;mso-height-relative:page;" filled="f" stroked="f" coordsize="21600,21600" o:gfxdata="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9spnAdUAAAAIAQAADwAAAAAAAAABACAAAAAiAAAAZHJzL2Rvd25y&#10;ZXYueG1sUEsBAhQAFAAAAAgAh07iQNQJFFIBAgAA2AMAAA4AAAAAAAAAAQAgAAAAJAEAAGRycy9l&#10;Mm9Eb2MueG1sUEsFBgAAAAAGAAYAWQEAAJcFA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图纸的使用与退还</w:t>
                      </w:r>
                    </w:p>
                  </w:txbxContent>
                </v:textbox>
              </v:shape>
            </w:pict>
          </mc:Fallback>
        </mc:AlternateContent>
      </w:r>
      <w:r>
        <w:rPr>
          <w:rFonts w:hint="eastAsia" w:ascii="宋体" w:hAnsi="宋体" w:cs="宋体"/>
          <w:color w:val="auto"/>
          <w:szCs w:val="21"/>
        </w:rPr>
        <w:t>施工期间，承包人和监理工程师均应在施工现场保留一套完整的包括第5.1款、第5.2款、第5.3款规定内容的施工设计图纸供实施合同工程过程需要时使用。本合同终止后，除承包人存档需要的施工设计图纸外，承包人应将全部施工设计图纸退还给发包人。</w:t>
      </w:r>
    </w:p>
    <w:p>
      <w:pPr>
        <w:tabs>
          <w:tab w:val="left" w:pos="1620"/>
        </w:tabs>
        <w:spacing w:line="360" w:lineRule="auto"/>
        <w:rPr>
          <w:rFonts w:ascii="宋体" w:hAnsi="宋体" w:cs="宋体"/>
          <w:b/>
          <w:color w:val="auto"/>
          <w:szCs w:val="21"/>
          <w:u w:val="single"/>
        </w:rPr>
      </w:pPr>
      <w:r>
        <w:rPr>
          <w:rFonts w:hint="eastAsia" w:ascii="宋体" w:hAnsi="宋体" w:cs="宋体"/>
          <w:b/>
          <w:bCs/>
          <w:color w:val="auto"/>
          <w:szCs w:val="21"/>
          <w:u w:val="single"/>
        </w:rPr>
        <w:t xml:space="preserve">                  </w:t>
      </w:r>
      <w:r>
        <w:rPr>
          <w:rFonts w:hint="eastAsia" w:ascii="宋体" w:hAnsi="宋体" w:cs="宋体"/>
          <w:b/>
          <w:color w:val="auto"/>
          <w:szCs w:val="21"/>
          <w:u w:val="single"/>
        </w:rPr>
        <w:t xml:space="preserve">                                                                   </w:t>
      </w:r>
    </w:p>
    <w:p>
      <w:pPr>
        <w:tabs>
          <w:tab w:val="left" w:pos="1620"/>
        </w:tabs>
        <w:spacing w:line="360" w:lineRule="auto"/>
        <w:rPr>
          <w:rFonts w:ascii="宋体" w:hAnsi="宋体" w:cs="宋体"/>
          <w:b/>
          <w:color w:val="auto"/>
          <w:szCs w:val="21"/>
        </w:rPr>
      </w:pPr>
    </w:p>
    <w:p>
      <w:pPr>
        <w:tabs>
          <w:tab w:val="left" w:pos="1620"/>
        </w:tabs>
        <w:spacing w:line="360" w:lineRule="auto"/>
        <w:rPr>
          <w:rFonts w:ascii="宋体" w:hAnsi="宋体" w:cs="宋体"/>
          <w:b/>
          <w:color w:val="auto"/>
          <w:szCs w:val="21"/>
        </w:rPr>
      </w:pPr>
      <w:r>
        <w:rPr>
          <w:rFonts w:hint="eastAsia" w:ascii="宋体" w:hAnsi="宋体" w:cs="宋体"/>
          <w:b/>
          <w:color w:val="auto"/>
          <w:szCs w:val="21"/>
        </w:rPr>
        <w:t>6  通讯联络</w:t>
      </w:r>
    </w:p>
    <w:p>
      <w:pPr>
        <w:spacing w:line="360" w:lineRule="auto"/>
        <w:ind w:right="-238"/>
        <w:rPr>
          <w:rFonts w:ascii="宋体" w:hAnsi="宋体" w:cs="宋体"/>
          <w:b/>
          <w:color w:val="auto"/>
          <w:kern w:val="0"/>
          <w:szCs w:val="21"/>
        </w:rPr>
      </w:pPr>
      <w:r>
        <w:rPr>
          <w:rFonts w:hint="eastAsia" w:ascii="宋体" w:hAnsi="宋体" w:cs="宋体"/>
          <w:b/>
          <w:color w:val="auto"/>
          <w:kern w:val="0"/>
          <w:szCs w:val="21"/>
        </w:rPr>
        <w:t xml:space="preserve">6.1   </w:t>
      </w:r>
    </w:p>
    <w:p>
      <w:pPr>
        <w:tabs>
          <w:tab w:val="left" w:pos="1620"/>
        </w:tabs>
        <w:spacing w:line="360" w:lineRule="auto"/>
        <w:ind w:left="1887" w:hanging="1887" w:hangingChars="895"/>
        <w:rPr>
          <w:rFonts w:ascii="宋体" w:hAnsi="宋体" w:cs="宋体"/>
          <w:color w:val="auto"/>
          <w:szCs w:val="21"/>
        </w:rPr>
      </w:pPr>
      <w:r>
        <w:rPr>
          <w:rFonts w:hint="eastAsia" w:ascii="宋体" w:hAnsi="宋体" w:cs="宋体"/>
          <w:b/>
          <w:color w:val="auto"/>
          <w:szCs w:val="21"/>
        </w:rPr>
        <w:t xml:space="preserve">通讯形式          </w:t>
      </w:r>
      <w:r>
        <w:rPr>
          <w:rFonts w:hint="eastAsia" w:ascii="宋体" w:hAnsi="宋体" w:cs="宋体"/>
          <w:color w:val="auto"/>
          <w:szCs w:val="21"/>
        </w:rPr>
        <w:t>本合同中无论何处涉及到各方之间的申请、批准、确认、同意、决定、核实、通知、任命、指令、要求、意见、证明、证件或表示同意、否定等的通讯（含派人面交、邮寄、电子传输等），均应采用书面形式，且只有在对方当事人收到后方能生效。</w:t>
      </w:r>
    </w:p>
    <w:p>
      <w:pPr>
        <w:spacing w:line="360" w:lineRule="auto"/>
        <w:ind w:right="-238"/>
        <w:rPr>
          <w:rFonts w:ascii="宋体" w:hAnsi="宋体" w:cs="宋体"/>
          <w:b/>
          <w:color w:val="auto"/>
          <w:kern w:val="0"/>
          <w:szCs w:val="21"/>
        </w:rPr>
      </w:pPr>
      <w:r>
        <w:rPr>
          <w:rFonts w:hint="eastAsia" w:ascii="宋体" w:hAnsi="宋体" w:cs="宋体"/>
          <w:b/>
          <w:color w:val="auto"/>
          <w:kern w:val="0"/>
          <w:szCs w:val="21"/>
        </w:rPr>
        <w:t xml:space="preserve">6.2  </w:t>
      </w:r>
      <w:r>
        <w:rPr>
          <w:rFonts w:hint="eastAsia" w:ascii="宋体" w:hAnsi="宋体" w:cs="宋体"/>
          <w:b/>
          <w:color w:val="auto"/>
          <w:kern w:val="0"/>
          <w:szCs w:val="21"/>
          <w:u w:val="dotted"/>
        </w:rPr>
        <w:t xml:space="preserve">                                                                              </w:t>
      </w:r>
    </w:p>
    <w:p>
      <w:pPr>
        <w:spacing w:line="360" w:lineRule="auto"/>
        <w:ind w:left="1619" w:leftChars="771" w:right="-238"/>
        <w:rPr>
          <w:rFonts w:ascii="宋体" w:hAnsi="宋体" w:cs="宋体"/>
          <w:color w:val="auto"/>
          <w:kern w:val="0"/>
          <w:szCs w:val="21"/>
        </w:rPr>
      </w:pPr>
      <w:r>
        <w:rPr>
          <w:rFonts w:ascii="宋体" w:hAnsi="宋体" w:cs="宋体"/>
          <w:color w:val="auto"/>
          <w:kern w:val="0"/>
          <w:szCs w:val="21"/>
        </w:rPr>
        <mc:AlternateContent>
          <mc:Choice Requires="wps">
            <w:drawing>
              <wp:anchor distT="0" distB="0" distL="114300" distR="114300" simplePos="0" relativeHeight="251746304" behindDoc="0" locked="0" layoutInCell="1" allowOverlap="1">
                <wp:simplePos x="0" y="0"/>
                <wp:positionH relativeFrom="column">
                  <wp:posOffset>-114300</wp:posOffset>
                </wp:positionH>
                <wp:positionV relativeFrom="paragraph">
                  <wp:posOffset>0</wp:posOffset>
                </wp:positionV>
                <wp:extent cx="800100" cy="297180"/>
                <wp:effectExtent l="0" t="0" r="0" b="0"/>
                <wp:wrapNone/>
                <wp:docPr id="391" name="文本框 391"/>
                <wp:cNvGraphicFramePr/>
                <a:graphic xmlns:a="http://schemas.openxmlformats.org/drawingml/2006/main">
                  <a:graphicData uri="http://schemas.microsoft.com/office/word/2010/wordprocessingShape">
                    <wps:wsp>
                      <wps:cNvSpPr txBox="1">
                        <a:spLocks noChangeArrowheads="1"/>
                      </wps:cNvSpPr>
                      <wps:spPr bwMode="auto">
                        <a:xfrm>
                          <a:off x="0" y="0"/>
                          <a:ext cx="800100" cy="297180"/>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发送通讯</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23.4pt;width:63pt;z-index:251746304;mso-width-relative:page;mso-height-relative:page;" filled="f" stroked="f" coordsize="21600,21600" o:gfxdata="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O9Pr1AAAAAcBAAAPAAAAAAAAAAEAIAAAACIAAABkcnMvZG93bnJl&#10;di54bWxQSwECFAAUAAAACACHTuJArkIzygECAADYAwAADgAAAAAAAAABACAAAAAjAQAAZHJzL2Uy&#10;b0RvYy54bWxQSwUGAAAAAAYABgBZAQAAlgU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发送通讯</w:t>
                      </w:r>
                    </w:p>
                  </w:txbxContent>
                </v:textbox>
              </v:shape>
            </w:pict>
          </mc:Fallback>
        </mc:AlternateContent>
      </w:r>
      <w:r>
        <w:rPr>
          <w:rFonts w:hint="eastAsia" w:ascii="宋体" w:hAnsi="宋体" w:cs="宋体"/>
          <w:color w:val="auto"/>
          <w:kern w:val="0"/>
          <w:szCs w:val="21"/>
        </w:rPr>
        <w:t>合同中无论何处涉及到各方之间的通讯都不应无理扣压或拖延。合同双方当事人</w:t>
      </w:r>
    </w:p>
    <w:p>
      <w:pPr>
        <w:spacing w:line="360" w:lineRule="auto"/>
        <w:ind w:left="1619" w:leftChars="771" w:right="-238"/>
        <w:rPr>
          <w:rFonts w:ascii="宋体" w:hAnsi="宋体" w:cs="宋体"/>
          <w:color w:val="auto"/>
          <w:kern w:val="0"/>
          <w:szCs w:val="21"/>
        </w:rPr>
      </w:pPr>
      <w:r>
        <w:rPr>
          <w:rFonts w:hint="eastAsia" w:ascii="宋体" w:hAnsi="宋体" w:cs="宋体"/>
          <w:color w:val="auto"/>
          <w:kern w:val="0"/>
          <w:szCs w:val="21"/>
        </w:rPr>
        <w:t>应在专用条款中约定各方通讯地址和收件人，并按照约定期限内送达指定地点和接收人。</w:t>
      </w:r>
    </w:p>
    <w:p>
      <w:pPr>
        <w:spacing w:line="360" w:lineRule="auto"/>
        <w:ind w:left="1619" w:leftChars="771" w:right="-240"/>
        <w:rPr>
          <w:rFonts w:ascii="宋体" w:hAnsi="宋体" w:cs="宋体"/>
          <w:color w:val="auto"/>
          <w:kern w:val="0"/>
          <w:szCs w:val="21"/>
        </w:rPr>
      </w:pPr>
      <w:r>
        <w:rPr>
          <w:rFonts w:hint="eastAsia" w:ascii="宋体" w:hAnsi="宋体" w:cs="宋体"/>
          <w:color w:val="auto"/>
          <w:kern w:val="0"/>
          <w:szCs w:val="21"/>
        </w:rPr>
        <w:t>收件人应在通讯回执上签署姓名和时间。一方当事人拒绝签收另一方当事人通讯，另一方当事人以特快专递、挂号信等专用条款约定的方式将通讯送至通讯地址的，视为送达。</w:t>
      </w:r>
    </w:p>
    <w:p>
      <w:pPr>
        <w:adjustRightInd w:val="0"/>
        <w:snapToGrid w:val="0"/>
        <w:spacing w:line="360" w:lineRule="auto"/>
        <w:rPr>
          <w:rFonts w:ascii="宋体" w:hAnsi="宋体" w:cs="宋体"/>
          <w:b/>
          <w:color w:val="auto"/>
          <w:szCs w:val="21"/>
          <w:u w:val="single"/>
        </w:rPr>
      </w:pPr>
      <w:r>
        <w:rPr>
          <w:rFonts w:hint="eastAsia" w:ascii="宋体" w:hAnsi="宋体" w:cs="宋体"/>
          <w:b/>
          <w:bCs/>
          <w:color w:val="auto"/>
          <w:szCs w:val="21"/>
          <w:u w:val="single"/>
        </w:rPr>
        <w:t xml:space="preserve">                  </w:t>
      </w:r>
      <w:r>
        <w:rPr>
          <w:rFonts w:hint="eastAsia" w:ascii="宋体" w:hAnsi="宋体" w:cs="宋体"/>
          <w:b/>
          <w:color w:val="auto"/>
          <w:szCs w:val="21"/>
          <w:u w:val="single"/>
        </w:rPr>
        <w:t xml:space="preserve">                                                                                            </w:t>
      </w:r>
    </w:p>
    <w:p>
      <w:pPr>
        <w:tabs>
          <w:tab w:val="left" w:pos="1620"/>
        </w:tabs>
        <w:spacing w:line="360" w:lineRule="auto"/>
        <w:rPr>
          <w:rFonts w:ascii="宋体" w:hAnsi="宋体" w:cs="宋体"/>
          <w:color w:val="auto"/>
          <w:szCs w:val="21"/>
        </w:rPr>
      </w:pPr>
    </w:p>
    <w:p>
      <w:pPr>
        <w:tabs>
          <w:tab w:val="left" w:pos="1260"/>
        </w:tabs>
        <w:adjustRightInd w:val="0"/>
        <w:snapToGrid w:val="0"/>
        <w:spacing w:beforeLines="90" w:line="360" w:lineRule="auto"/>
        <w:rPr>
          <w:rFonts w:ascii="宋体" w:hAnsi="宋体" w:cs="宋体"/>
          <w:b/>
          <w:color w:val="auto"/>
          <w:szCs w:val="21"/>
        </w:rPr>
      </w:pPr>
      <w:r>
        <w:rPr>
          <w:rFonts w:hint="eastAsia" w:ascii="宋体" w:hAnsi="宋体" w:cs="宋体"/>
          <w:b/>
          <w:bCs/>
          <w:color w:val="auto"/>
          <w:szCs w:val="21"/>
        </w:rPr>
        <w:t>7  工程</w:t>
      </w:r>
      <w:r>
        <w:rPr>
          <w:rFonts w:hint="eastAsia" w:ascii="宋体" w:hAnsi="宋体" w:cs="宋体"/>
          <w:b/>
          <w:color w:val="auto"/>
          <w:szCs w:val="21"/>
        </w:rPr>
        <w:t>分包</w:t>
      </w:r>
    </w:p>
    <w:p>
      <w:pPr>
        <w:adjustRightInd w:val="0"/>
        <w:snapToGrid w:val="0"/>
        <w:spacing w:line="360" w:lineRule="auto"/>
        <w:rPr>
          <w:rFonts w:ascii="宋体" w:hAnsi="宋体" w:cs="宋体"/>
          <w:b/>
          <w:color w:val="auto"/>
          <w:kern w:val="0"/>
          <w:szCs w:val="21"/>
        </w:rPr>
      </w:pPr>
      <w:r>
        <w:rPr>
          <w:rFonts w:ascii="宋体" w:hAnsi="宋体" w:cs="宋体"/>
          <w:color w:val="auto"/>
          <w:kern w:val="0"/>
          <w:szCs w:val="21"/>
        </w:rPr>
        <mc:AlternateContent>
          <mc:Choice Requires="wps">
            <w:drawing>
              <wp:anchor distT="0" distB="0" distL="114300" distR="114300" simplePos="0" relativeHeight="251928576" behindDoc="0" locked="0" layoutInCell="1" allowOverlap="1">
                <wp:simplePos x="0" y="0"/>
                <wp:positionH relativeFrom="column">
                  <wp:posOffset>-114300</wp:posOffset>
                </wp:positionH>
                <wp:positionV relativeFrom="paragraph">
                  <wp:posOffset>212090</wp:posOffset>
                </wp:positionV>
                <wp:extent cx="1028700" cy="450215"/>
                <wp:effectExtent l="0" t="0" r="0" b="0"/>
                <wp:wrapNone/>
                <wp:docPr id="390" name="文本框 390"/>
                <wp:cNvGraphicFramePr/>
                <a:graphic xmlns:a="http://schemas.openxmlformats.org/drawingml/2006/main">
                  <a:graphicData uri="http://schemas.microsoft.com/office/word/2010/wordprocessingShape">
                    <wps:wsp>
                      <wps:cNvSpPr txBox="1">
                        <a:spLocks noChangeArrowheads="1"/>
                      </wps:cNvSpPr>
                      <wps:spPr bwMode="auto">
                        <a:xfrm>
                          <a:off x="0" y="0"/>
                          <a:ext cx="1028700" cy="450215"/>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分包工程的要</w:t>
                            </w:r>
                          </w:p>
                          <w:p>
                            <w:pPr>
                              <w:rPr>
                                <w:rFonts w:ascii="楷体_GB2312" w:hAnsi="宋体"/>
                                <w:b/>
                                <w:color w:val="000000"/>
                                <w:sz w:val="18"/>
                                <w:szCs w:val="18"/>
                              </w:rPr>
                            </w:pPr>
                            <w:r>
                              <w:rPr>
                                <w:rFonts w:hint="eastAsia" w:ascii="楷体_GB2312" w:hAnsi="宋体"/>
                                <w:b/>
                                <w:color w:val="000000"/>
                                <w:sz w:val="18"/>
                                <w:szCs w:val="18"/>
                              </w:rPr>
                              <w:t>求</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6.7pt;height:35.45pt;width:81pt;z-index:251928576;mso-width-relative:page;mso-height-relative:page;" filled="f" stroked="f" coordsize="21600,21600" o:gfxdata="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EnQ7VdcAAAAKAQAADwAAAAAAAAABACAAAAAiAAAAZHJzL2Rv&#10;d25yZXYueG1sUEsBAhQAFAAAAAgAh07iQGhukyACAgAA2QMAAA4AAAAAAAAAAQAgAAAAJgEAAGRy&#10;cy9lMm9Eb2MueG1sUEsFBgAAAAAGAAYAWQEAAJoFA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分包工程的要</w:t>
                      </w:r>
                    </w:p>
                    <w:p>
                      <w:pPr>
                        <w:rPr>
                          <w:rFonts w:ascii="楷体_GB2312" w:hAnsi="宋体"/>
                          <w:b/>
                          <w:color w:val="000000"/>
                          <w:sz w:val="18"/>
                          <w:szCs w:val="18"/>
                        </w:rPr>
                      </w:pPr>
                      <w:r>
                        <w:rPr>
                          <w:rFonts w:hint="eastAsia" w:ascii="楷体_GB2312" w:hAnsi="宋体"/>
                          <w:b/>
                          <w:color w:val="000000"/>
                          <w:sz w:val="18"/>
                          <w:szCs w:val="18"/>
                        </w:rPr>
                        <w:t>求</w:t>
                      </w:r>
                    </w:p>
                  </w:txbxContent>
                </v:textbox>
              </v:shape>
            </w:pict>
          </mc:Fallback>
        </mc:AlternateContent>
      </w:r>
      <w:r>
        <w:rPr>
          <w:rFonts w:hint="eastAsia" w:ascii="宋体" w:hAnsi="宋体" w:cs="宋体"/>
          <w:b/>
          <w:color w:val="auto"/>
          <w:kern w:val="0"/>
          <w:szCs w:val="21"/>
        </w:rPr>
        <w:t xml:space="preserve">7.1   </w:t>
      </w:r>
    </w:p>
    <w:p>
      <w:pPr>
        <w:adjustRightInd w:val="0"/>
        <w:snapToGrid w:val="0"/>
        <w:spacing w:line="360" w:lineRule="auto"/>
        <w:ind w:left="1619" w:leftChars="771"/>
        <w:rPr>
          <w:rFonts w:ascii="宋体" w:hAnsi="宋体" w:cs="宋体"/>
          <w:color w:val="auto"/>
          <w:kern w:val="0"/>
          <w:szCs w:val="21"/>
        </w:rPr>
      </w:pPr>
      <w:r>
        <w:rPr>
          <w:rFonts w:hint="eastAsia" w:ascii="宋体" w:hAnsi="宋体" w:cs="宋体"/>
          <w:color w:val="auto"/>
          <w:kern w:val="0"/>
          <w:szCs w:val="21"/>
        </w:rPr>
        <w:t>承包人应自己实施、完成合同工程的主体结构。承包人不得将其承包的全部工程或将其肢解后以分包的名义转包给第三方，也不得将合同工程主体结构、关键性工作分包给第三方。</w:t>
      </w:r>
    </w:p>
    <w:p>
      <w:pPr>
        <w:adjustRightInd w:val="0"/>
        <w:snapToGrid w:val="0"/>
        <w:spacing w:line="360" w:lineRule="auto"/>
        <w:rPr>
          <w:rFonts w:ascii="宋体" w:hAnsi="宋体" w:cs="宋体"/>
          <w:b/>
          <w:color w:val="auto"/>
          <w:kern w:val="0"/>
          <w:szCs w:val="21"/>
        </w:rPr>
      </w:pPr>
      <w:r>
        <w:rPr>
          <w:rFonts w:ascii="宋体" w:hAnsi="宋体" w:cs="宋体"/>
          <w:color w:val="auto"/>
          <w:kern w:val="0"/>
          <w:szCs w:val="21"/>
        </w:rPr>
        <mc:AlternateContent>
          <mc:Choice Requires="wps">
            <w:drawing>
              <wp:anchor distT="0" distB="0" distL="114300" distR="114300" simplePos="0" relativeHeight="251747328" behindDoc="0" locked="0" layoutInCell="1" allowOverlap="1">
                <wp:simplePos x="0" y="0"/>
                <wp:positionH relativeFrom="column">
                  <wp:posOffset>-114300</wp:posOffset>
                </wp:positionH>
                <wp:positionV relativeFrom="paragraph">
                  <wp:posOffset>121920</wp:posOffset>
                </wp:positionV>
                <wp:extent cx="1028700" cy="787400"/>
                <wp:effectExtent l="0" t="0" r="0" b="0"/>
                <wp:wrapNone/>
                <wp:docPr id="389" name="文本框 389"/>
                <wp:cNvGraphicFramePr/>
                <a:graphic xmlns:a="http://schemas.openxmlformats.org/drawingml/2006/main">
                  <a:graphicData uri="http://schemas.microsoft.com/office/word/2010/wordprocessingShape">
                    <wps:wsp>
                      <wps:cNvSpPr txBox="1">
                        <a:spLocks noChangeArrowheads="1"/>
                      </wps:cNvSpPr>
                      <wps:spPr bwMode="auto">
                        <a:xfrm>
                          <a:off x="0" y="0"/>
                          <a:ext cx="1028700" cy="787400"/>
                        </a:xfrm>
                        <a:prstGeom prst="rect">
                          <a:avLst/>
                        </a:prstGeom>
                        <a:noFill/>
                        <a:ln>
                          <a:noFill/>
                        </a:ln>
                        <a:effectLst/>
                      </wps:spPr>
                      <wps:txbx>
                        <w:txbxContent>
                          <w:p>
                            <w:pPr>
                              <w:spacing w:line="240" w:lineRule="exact"/>
                              <w:rPr>
                                <w:rFonts w:ascii="楷体_GB2312" w:hAnsi="宋体"/>
                                <w:b/>
                                <w:color w:val="000000"/>
                                <w:sz w:val="18"/>
                                <w:szCs w:val="18"/>
                              </w:rPr>
                            </w:pPr>
                          </w:p>
                          <w:p>
                            <w:pPr>
                              <w:rPr>
                                <w:rFonts w:ascii="楷体_GB2312" w:hAnsi="宋体"/>
                                <w:b/>
                                <w:color w:val="000000"/>
                                <w:sz w:val="18"/>
                                <w:szCs w:val="18"/>
                              </w:rPr>
                            </w:pPr>
                            <w:r>
                              <w:rPr>
                                <w:rFonts w:hint="eastAsia" w:ascii="楷体_GB2312" w:hAnsi="宋体"/>
                                <w:b/>
                                <w:color w:val="000000"/>
                                <w:sz w:val="18"/>
                                <w:szCs w:val="18"/>
                              </w:rPr>
                              <w:t>分包工程的批</w:t>
                            </w:r>
                          </w:p>
                          <w:p>
                            <w:pPr>
                              <w:rPr>
                                <w:rFonts w:ascii="楷体_GB2312" w:hAnsi="宋体"/>
                                <w:b/>
                                <w:color w:val="000000"/>
                                <w:sz w:val="18"/>
                                <w:szCs w:val="18"/>
                              </w:rPr>
                            </w:pPr>
                            <w:r>
                              <w:rPr>
                                <w:rFonts w:hint="eastAsia" w:ascii="楷体_GB2312" w:hAnsi="宋体"/>
                                <w:b/>
                                <w:color w:val="000000"/>
                                <w:sz w:val="18"/>
                                <w:szCs w:val="18"/>
                              </w:rPr>
                              <w:t>准</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9.6pt;height:62pt;width:81pt;z-index:251747328;mso-width-relative:page;mso-height-relative:page;" filled="f" stroked="f" coordsize="21600,21600" o:gfxdata="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OM4tS/XAAAACgEAAA8AAAAAAAAAAQAgAAAAIgAAAGRycy9kb3du&#10;cmV2LnhtbFBLAQIUABQAAAAIAIdO4kDYX5aLAAIAANkDAAAOAAAAAAAAAAEAIAAAACYBAABkcnMv&#10;ZTJvRG9jLnhtbFBLBQYAAAAABgAGAFkBAACYBQAAAAA=&#10;">
                <v:fill on="f" focussize="0,0"/>
                <v:stroke on="f"/>
                <v:imagedata o:title=""/>
                <o:lock v:ext="edit" aspectratio="f"/>
                <v:textbox>
                  <w:txbxContent>
                    <w:p>
                      <w:pPr>
                        <w:spacing w:line="240" w:lineRule="exact"/>
                        <w:rPr>
                          <w:rFonts w:ascii="楷体_GB2312" w:hAnsi="宋体"/>
                          <w:b/>
                          <w:color w:val="000000"/>
                          <w:sz w:val="18"/>
                          <w:szCs w:val="18"/>
                        </w:rPr>
                      </w:pPr>
                    </w:p>
                    <w:p>
                      <w:pPr>
                        <w:rPr>
                          <w:rFonts w:ascii="楷体_GB2312" w:hAnsi="宋体"/>
                          <w:b/>
                          <w:color w:val="000000"/>
                          <w:sz w:val="18"/>
                          <w:szCs w:val="18"/>
                        </w:rPr>
                      </w:pPr>
                      <w:r>
                        <w:rPr>
                          <w:rFonts w:hint="eastAsia" w:ascii="楷体_GB2312" w:hAnsi="宋体"/>
                          <w:b/>
                          <w:color w:val="000000"/>
                          <w:sz w:val="18"/>
                          <w:szCs w:val="18"/>
                        </w:rPr>
                        <w:t>分包工程的批</w:t>
                      </w:r>
                    </w:p>
                    <w:p>
                      <w:pPr>
                        <w:rPr>
                          <w:rFonts w:ascii="楷体_GB2312" w:hAnsi="宋体"/>
                          <w:b/>
                          <w:color w:val="000000"/>
                          <w:sz w:val="18"/>
                          <w:szCs w:val="18"/>
                        </w:rPr>
                      </w:pPr>
                      <w:r>
                        <w:rPr>
                          <w:rFonts w:hint="eastAsia" w:ascii="楷体_GB2312" w:hAnsi="宋体"/>
                          <w:b/>
                          <w:color w:val="000000"/>
                          <w:sz w:val="18"/>
                          <w:szCs w:val="18"/>
                        </w:rPr>
                        <w:t>准</w:t>
                      </w:r>
                    </w:p>
                  </w:txbxContent>
                </v:textbox>
              </v:shape>
            </w:pict>
          </mc:Fallback>
        </mc:AlternateContent>
      </w:r>
      <w:r>
        <w:rPr>
          <w:rFonts w:hint="eastAsia" w:ascii="宋体" w:hAnsi="宋体" w:cs="宋体"/>
          <w:b/>
          <w:color w:val="auto"/>
          <w:kern w:val="0"/>
          <w:szCs w:val="21"/>
        </w:rPr>
        <w:t xml:space="preserve">7.2  </w:t>
      </w:r>
      <w:r>
        <w:rPr>
          <w:rFonts w:hint="eastAsia" w:ascii="宋体" w:hAnsi="宋体" w:cs="宋体"/>
          <w:b/>
          <w:color w:val="auto"/>
          <w:kern w:val="0"/>
          <w:szCs w:val="21"/>
          <w:u w:val="dotted"/>
        </w:rPr>
        <w:t xml:space="preserve">                                                                              </w:t>
      </w:r>
      <w:r>
        <w:rPr>
          <w:rFonts w:hint="eastAsia" w:ascii="宋体" w:hAnsi="宋体" w:cs="宋体"/>
          <w:b/>
          <w:color w:val="auto"/>
          <w:kern w:val="0"/>
          <w:szCs w:val="21"/>
        </w:rPr>
        <w:t xml:space="preserve">             </w:t>
      </w:r>
    </w:p>
    <w:p>
      <w:pPr>
        <w:adjustRightInd w:val="0"/>
        <w:snapToGrid w:val="0"/>
        <w:spacing w:line="360" w:lineRule="auto"/>
        <w:ind w:left="1619" w:leftChars="771"/>
        <w:rPr>
          <w:rFonts w:ascii="宋体" w:hAnsi="宋体" w:cs="宋体"/>
          <w:color w:val="auto"/>
          <w:kern w:val="0"/>
          <w:szCs w:val="21"/>
        </w:rPr>
      </w:pPr>
      <w:r>
        <w:rPr>
          <w:rFonts w:hint="eastAsia" w:ascii="宋体" w:hAnsi="宋体" w:cs="宋体"/>
          <w:color w:val="auto"/>
          <w:kern w:val="0"/>
          <w:szCs w:val="21"/>
        </w:rPr>
        <w:t>承包人可依法将部分工程分包给具有相应分包资质的分包人，但未经发包人同意，承包人不得将工程的任何部分或任何工作分包给第三方。下列情况则属例外：</w:t>
      </w:r>
    </w:p>
    <w:p>
      <w:pPr>
        <w:numPr>
          <w:ilvl w:val="0"/>
          <w:numId w:val="9"/>
        </w:numPr>
        <w:adjustRightInd w:val="0"/>
        <w:snapToGrid w:val="0"/>
        <w:spacing w:line="360" w:lineRule="auto"/>
        <w:ind w:firstLine="540"/>
        <w:rPr>
          <w:rFonts w:ascii="宋体" w:hAnsi="宋体" w:cs="宋体"/>
          <w:color w:val="auto"/>
          <w:kern w:val="0"/>
          <w:szCs w:val="21"/>
        </w:rPr>
      </w:pPr>
      <w:r>
        <w:rPr>
          <w:rFonts w:hint="eastAsia" w:ascii="宋体" w:hAnsi="宋体" w:cs="宋体"/>
          <w:color w:val="auto"/>
          <w:kern w:val="0"/>
          <w:szCs w:val="21"/>
        </w:rPr>
        <w:t>施工劳务作业分包；</w:t>
      </w:r>
    </w:p>
    <w:p>
      <w:pPr>
        <w:numPr>
          <w:ilvl w:val="0"/>
          <w:numId w:val="9"/>
        </w:numPr>
        <w:adjustRightInd w:val="0"/>
        <w:snapToGrid w:val="0"/>
        <w:spacing w:line="360" w:lineRule="auto"/>
        <w:ind w:firstLine="540"/>
        <w:rPr>
          <w:rFonts w:ascii="宋体" w:hAnsi="宋体" w:cs="宋体"/>
          <w:color w:val="auto"/>
          <w:kern w:val="0"/>
          <w:szCs w:val="21"/>
        </w:rPr>
      </w:pPr>
      <w:r>
        <w:rPr>
          <w:rFonts w:hint="eastAsia" w:ascii="宋体" w:hAnsi="宋体" w:cs="宋体"/>
          <w:color w:val="auto"/>
          <w:kern w:val="0"/>
          <w:szCs w:val="21"/>
        </w:rPr>
        <w:t>按照合同约定的标准购买材料和工程设备；</w:t>
      </w:r>
    </w:p>
    <w:p>
      <w:pPr>
        <w:numPr>
          <w:ilvl w:val="0"/>
          <w:numId w:val="9"/>
        </w:numPr>
        <w:adjustRightInd w:val="0"/>
        <w:snapToGrid w:val="0"/>
        <w:spacing w:line="360" w:lineRule="auto"/>
        <w:ind w:left="1077" w:firstLine="539"/>
        <w:rPr>
          <w:rFonts w:ascii="宋体" w:hAnsi="宋体" w:cs="宋体"/>
          <w:color w:val="auto"/>
          <w:kern w:val="0"/>
          <w:szCs w:val="21"/>
        </w:rPr>
      </w:pPr>
      <w:r>
        <w:rPr>
          <w:rFonts w:hint="eastAsia" w:ascii="宋体" w:hAnsi="宋体" w:cs="宋体"/>
          <w:color w:val="auto"/>
          <w:kern w:val="0"/>
          <w:szCs w:val="21"/>
        </w:rPr>
        <w:t>合同中已指定的分包工程。</w:t>
      </w:r>
    </w:p>
    <w:p>
      <w:pPr>
        <w:adjustRightInd w:val="0"/>
        <w:snapToGrid w:val="0"/>
        <w:spacing w:line="360" w:lineRule="auto"/>
        <w:rPr>
          <w:rFonts w:ascii="宋体" w:hAnsi="宋体" w:cs="宋体"/>
          <w:b/>
          <w:color w:val="auto"/>
          <w:kern w:val="0"/>
          <w:szCs w:val="21"/>
        </w:rPr>
      </w:pPr>
      <w:r>
        <w:rPr>
          <w:rFonts w:hint="eastAsia" w:ascii="宋体" w:hAnsi="宋体" w:cs="宋体"/>
          <w:b/>
          <w:color w:val="auto"/>
          <w:kern w:val="0"/>
          <w:szCs w:val="21"/>
        </w:rPr>
        <w:t xml:space="preserve">7.3  </w:t>
      </w:r>
      <w:r>
        <w:rPr>
          <w:rFonts w:hint="eastAsia" w:ascii="宋体" w:hAnsi="宋体" w:cs="宋体"/>
          <w:b/>
          <w:color w:val="auto"/>
          <w:kern w:val="0"/>
          <w:szCs w:val="21"/>
          <w:u w:val="dotted"/>
        </w:rPr>
        <w:t xml:space="preserve">                                                                                                        </w:t>
      </w:r>
    </w:p>
    <w:p>
      <w:pPr>
        <w:adjustRightInd w:val="0"/>
        <w:snapToGrid w:val="0"/>
        <w:spacing w:line="360" w:lineRule="auto"/>
        <w:ind w:left="1619" w:leftChars="771"/>
        <w:rPr>
          <w:rFonts w:ascii="宋体" w:hAnsi="宋体" w:cs="宋体"/>
          <w:color w:val="auto"/>
          <w:kern w:val="0"/>
          <w:szCs w:val="21"/>
        </w:rPr>
      </w:pPr>
      <w:r>
        <w:rPr>
          <w:rFonts w:ascii="宋体" w:hAnsi="宋体" w:cs="宋体"/>
          <w:color w:val="auto"/>
          <w:kern w:val="0"/>
          <w:szCs w:val="21"/>
        </w:rPr>
        <mc:AlternateContent>
          <mc:Choice Requires="wps">
            <w:drawing>
              <wp:anchor distT="0" distB="0" distL="114300" distR="114300" simplePos="0" relativeHeight="251748352" behindDoc="0" locked="0" layoutInCell="1" allowOverlap="1">
                <wp:simplePos x="0" y="0"/>
                <wp:positionH relativeFrom="column">
                  <wp:posOffset>-114300</wp:posOffset>
                </wp:positionH>
                <wp:positionV relativeFrom="paragraph">
                  <wp:posOffset>0</wp:posOffset>
                </wp:positionV>
                <wp:extent cx="1028700" cy="305435"/>
                <wp:effectExtent l="0" t="0" r="0" b="0"/>
                <wp:wrapNone/>
                <wp:docPr id="388" name="文本框 388"/>
                <wp:cNvGraphicFramePr/>
                <a:graphic xmlns:a="http://schemas.openxmlformats.org/drawingml/2006/main">
                  <a:graphicData uri="http://schemas.microsoft.com/office/word/2010/wordprocessingShape">
                    <wps:wsp>
                      <wps:cNvSpPr txBox="1">
                        <a:spLocks noChangeArrowheads="1"/>
                      </wps:cNvSpPr>
                      <wps:spPr bwMode="auto">
                        <a:xfrm>
                          <a:off x="0" y="0"/>
                          <a:ext cx="1028700" cy="305435"/>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签订分包合同</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24.05pt;width:81pt;z-index:251748352;mso-width-relative:page;mso-height-relative:page;" filled="f" stroked="f" coordsize="21600,21600" o:gfxdata="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Ik35w1AAAAAcBAAAPAAAAAAAAAAEAIAAAACIAAABkcnMvZG93bnJl&#10;di54bWxQSwECFAAUAAAACACHTuJAsFSaXAECAADZAwAADgAAAAAAAAABACAAAAAjAQAAZHJzL2Uy&#10;b0RvYy54bWxQSwUGAAAAAAYABgBZAQAAlgU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签订分包合同</w:t>
                      </w:r>
                    </w:p>
                  </w:txbxContent>
                </v:textbox>
              </v:shape>
            </w:pict>
          </mc:Fallback>
        </mc:AlternateContent>
      </w:r>
      <w:r>
        <w:rPr>
          <w:rFonts w:hint="eastAsia" w:ascii="宋体" w:hAnsi="宋体" w:cs="宋体"/>
          <w:color w:val="auto"/>
          <w:kern w:val="0"/>
          <w:szCs w:val="21"/>
        </w:rPr>
        <w:t>承包人分包工程的，应与分包人签订分包合同，并在分包合同签订后的7天内向发包人和监理工程师、造价工程师各提交一份分包合同。承包人有义务禁止分包人将分包工程再次分包。</w:t>
      </w:r>
    </w:p>
    <w:p>
      <w:pPr>
        <w:adjustRightInd w:val="0"/>
        <w:snapToGrid w:val="0"/>
        <w:spacing w:line="360" w:lineRule="auto"/>
        <w:rPr>
          <w:rFonts w:ascii="宋体" w:hAnsi="宋体" w:cs="宋体"/>
          <w:b/>
          <w:color w:val="auto"/>
          <w:kern w:val="0"/>
          <w:szCs w:val="21"/>
        </w:rPr>
      </w:pPr>
      <w:r>
        <w:rPr>
          <w:rFonts w:ascii="宋体" w:hAnsi="宋体" w:cs="宋体"/>
          <w:color w:val="auto"/>
          <w:kern w:val="0"/>
          <w:szCs w:val="21"/>
        </w:rPr>
        <mc:AlternateContent>
          <mc:Choice Requires="wps">
            <w:drawing>
              <wp:anchor distT="0" distB="0" distL="114300" distR="114300" simplePos="0" relativeHeight="252058624" behindDoc="0" locked="0" layoutInCell="1" allowOverlap="1">
                <wp:simplePos x="0" y="0"/>
                <wp:positionH relativeFrom="column">
                  <wp:posOffset>-114300</wp:posOffset>
                </wp:positionH>
                <wp:positionV relativeFrom="paragraph">
                  <wp:posOffset>202565</wp:posOffset>
                </wp:positionV>
                <wp:extent cx="914400" cy="495300"/>
                <wp:effectExtent l="0" t="0" r="0" b="0"/>
                <wp:wrapNone/>
                <wp:docPr id="387" name="文本框 387"/>
                <wp:cNvGraphicFramePr/>
                <a:graphic xmlns:a="http://schemas.openxmlformats.org/drawingml/2006/main">
                  <a:graphicData uri="http://schemas.microsoft.com/office/word/2010/wordprocessingShape">
                    <wps:wsp>
                      <wps:cNvSpPr txBox="1">
                        <a:spLocks noChangeArrowheads="1"/>
                      </wps:cNvSpPr>
                      <wps:spPr bwMode="auto">
                        <a:xfrm>
                          <a:off x="0" y="0"/>
                          <a:ext cx="914400" cy="495300"/>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分包工程款结算与支付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5.95pt;height:39pt;width:72pt;z-index:252058624;mso-width-relative:page;mso-height-relative:page;" filled="f" stroked="f" coordsize="21600,21600" o:gfxdata="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6IBXI9cAAAAKAQAADwAAAAAAAAABACAAAAAiAAAAZHJzL2Rvd25y&#10;ZXYueG1sUEsBAhQAFAAAAAgAh07iQPhIar7/AQAA2AMAAA4AAAAAAAAAAQAgAAAAJgEAAGRycy9l&#10;Mm9Eb2MueG1sUEsFBgAAAAAGAAYAWQEAAJcFA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分包工程款结算与支付</w:t>
                      </w:r>
                    </w:p>
                  </w:txbxContent>
                </v:textbox>
              </v:shape>
            </w:pict>
          </mc:Fallback>
        </mc:AlternateContent>
      </w:r>
      <w:r>
        <w:rPr>
          <w:rFonts w:hint="eastAsia" w:ascii="宋体" w:hAnsi="宋体" w:cs="宋体"/>
          <w:b/>
          <w:color w:val="auto"/>
          <w:kern w:val="0"/>
          <w:szCs w:val="21"/>
        </w:rPr>
        <w:t xml:space="preserve">7.4  </w:t>
      </w:r>
      <w:r>
        <w:rPr>
          <w:rFonts w:hint="eastAsia" w:ascii="宋体" w:hAnsi="宋体" w:cs="宋体"/>
          <w:b/>
          <w:color w:val="auto"/>
          <w:kern w:val="0"/>
          <w:szCs w:val="21"/>
          <w:u w:val="dotted"/>
        </w:rPr>
        <w:t xml:space="preserve">                                                                                                        </w:t>
      </w:r>
    </w:p>
    <w:p>
      <w:pPr>
        <w:adjustRightInd w:val="0"/>
        <w:snapToGrid w:val="0"/>
        <w:spacing w:line="360" w:lineRule="auto"/>
        <w:ind w:left="1619" w:leftChars="771"/>
        <w:rPr>
          <w:rFonts w:ascii="宋体" w:hAnsi="宋体" w:cs="宋体"/>
          <w:color w:val="auto"/>
          <w:kern w:val="0"/>
          <w:szCs w:val="21"/>
        </w:rPr>
      </w:pPr>
      <w:r>
        <w:rPr>
          <w:rFonts w:hint="eastAsia" w:ascii="宋体" w:hAnsi="宋体" w:cs="宋体"/>
          <w:color w:val="auto"/>
          <w:kern w:val="0"/>
          <w:szCs w:val="21"/>
        </w:rPr>
        <w:t>分包工程款由承包人与分包人结算。除合同另有约定或取得承包人的同意外，发包人应将分包工程款按专用条款约定的支付方式全部支付给承包人，禁止发包人直接向分包人支付任何工程款。</w:t>
      </w:r>
    </w:p>
    <w:p>
      <w:pPr>
        <w:adjustRightInd w:val="0"/>
        <w:snapToGrid w:val="0"/>
        <w:spacing w:line="360" w:lineRule="auto"/>
        <w:ind w:left="1619" w:leftChars="771"/>
        <w:rPr>
          <w:rFonts w:ascii="宋体" w:hAnsi="宋体" w:cs="宋体"/>
          <w:color w:val="auto"/>
          <w:kern w:val="0"/>
          <w:szCs w:val="21"/>
        </w:rPr>
      </w:pPr>
      <w:r>
        <w:rPr>
          <w:rFonts w:hint="eastAsia" w:ascii="宋体" w:hAnsi="宋体" w:cs="宋体"/>
          <w:color w:val="auto"/>
          <w:kern w:val="0"/>
          <w:szCs w:val="21"/>
        </w:rPr>
        <w:t>如发包人有要求时，承包人应提供能证明自己已向分包人支付其分包工程款等证明资料。否则，发包人有权直接向分包人支付承包人应支付而未支付的分包工程款，并在承包人得到的工程款中扣除。</w:t>
      </w:r>
    </w:p>
    <w:p>
      <w:pPr>
        <w:adjustRightInd w:val="0"/>
        <w:snapToGrid w:val="0"/>
        <w:spacing w:line="360" w:lineRule="auto"/>
        <w:rPr>
          <w:rFonts w:ascii="宋体" w:hAnsi="宋体" w:cs="宋体"/>
          <w:b/>
          <w:color w:val="auto"/>
          <w:kern w:val="0"/>
          <w:szCs w:val="21"/>
        </w:rPr>
      </w:pPr>
      <w:r>
        <w:rPr>
          <w:rFonts w:ascii="宋体" w:hAnsi="宋体" w:cs="宋体"/>
          <w:color w:val="auto"/>
          <w:kern w:val="0"/>
          <w:szCs w:val="21"/>
        </w:rPr>
        <mc:AlternateContent>
          <mc:Choice Requires="wps">
            <w:drawing>
              <wp:anchor distT="0" distB="0" distL="114300" distR="114300" simplePos="0" relativeHeight="251749376" behindDoc="0" locked="0" layoutInCell="1" allowOverlap="1">
                <wp:simplePos x="0" y="0"/>
                <wp:positionH relativeFrom="column">
                  <wp:posOffset>-114300</wp:posOffset>
                </wp:positionH>
                <wp:positionV relativeFrom="paragraph">
                  <wp:posOffset>205105</wp:posOffset>
                </wp:positionV>
                <wp:extent cx="914400" cy="495300"/>
                <wp:effectExtent l="0" t="0" r="0" b="0"/>
                <wp:wrapNone/>
                <wp:docPr id="386" name="文本框 386"/>
                <wp:cNvGraphicFramePr/>
                <a:graphic xmlns:a="http://schemas.openxmlformats.org/drawingml/2006/main">
                  <a:graphicData uri="http://schemas.microsoft.com/office/word/2010/wordprocessingShape">
                    <wps:wsp>
                      <wps:cNvSpPr txBox="1">
                        <a:spLocks noChangeArrowheads="1"/>
                      </wps:cNvSpPr>
                      <wps:spPr bwMode="auto">
                        <a:xfrm>
                          <a:off x="0" y="0"/>
                          <a:ext cx="914400" cy="495300"/>
                        </a:xfrm>
                        <a:prstGeom prst="rect">
                          <a:avLst/>
                        </a:prstGeom>
                        <a:noFill/>
                        <a:ln>
                          <a:noFill/>
                        </a:ln>
                        <a:effectLst/>
                      </wps:spPr>
                      <wps:txbx>
                        <w:txbxContent>
                          <w:p>
                            <w:pPr>
                              <w:rPr>
                                <w:rFonts w:ascii="楷体_GB2312" w:hAnsi="宋体"/>
                                <w:sz w:val="18"/>
                                <w:szCs w:val="18"/>
                              </w:rPr>
                            </w:pPr>
                            <w:r>
                              <w:rPr>
                                <w:rFonts w:hint="eastAsia" w:ascii="楷体_GB2312" w:hAnsi="宋体"/>
                                <w:b/>
                                <w:color w:val="000000"/>
                                <w:sz w:val="18"/>
                                <w:szCs w:val="18"/>
                              </w:rPr>
                              <w:t>分包工程责任和义务</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6.15pt;height:39pt;width:72pt;z-index:251749376;mso-width-relative:page;mso-height-relative:page;" filled="f" stroked="f" coordsize="21600,21600" o:gfxdata="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kHD7ctcAAAAKAQAADwAAAAAAAAABACAAAAAiAAAAZHJzL2Rvd25y&#10;ZXYueG1sUEsBAhQAFAAAAAgAh07iQHyX3br/AQAA2AMAAA4AAAAAAAAAAQAgAAAAJgEAAGRycy9l&#10;Mm9Eb2MueG1sUEsFBgAAAAAGAAYAWQEAAJcFAAAAAA==&#10;">
                <v:fill on="f" focussize="0,0"/>
                <v:stroke on="f"/>
                <v:imagedata o:title=""/>
                <o:lock v:ext="edit" aspectratio="f"/>
                <v:textbox>
                  <w:txbxContent>
                    <w:p>
                      <w:pPr>
                        <w:rPr>
                          <w:rFonts w:ascii="楷体_GB2312" w:hAnsi="宋体"/>
                          <w:sz w:val="18"/>
                          <w:szCs w:val="18"/>
                        </w:rPr>
                      </w:pPr>
                      <w:r>
                        <w:rPr>
                          <w:rFonts w:hint="eastAsia" w:ascii="楷体_GB2312" w:hAnsi="宋体"/>
                          <w:b/>
                          <w:color w:val="000000"/>
                          <w:sz w:val="18"/>
                          <w:szCs w:val="18"/>
                        </w:rPr>
                        <w:t>分包工程责任和义务</w:t>
                      </w:r>
                    </w:p>
                  </w:txbxContent>
                </v:textbox>
              </v:shape>
            </w:pict>
          </mc:Fallback>
        </mc:AlternateContent>
      </w:r>
      <w:r>
        <w:rPr>
          <w:rFonts w:hint="eastAsia" w:ascii="宋体" w:hAnsi="宋体" w:cs="宋体"/>
          <w:b/>
          <w:color w:val="auto"/>
          <w:kern w:val="0"/>
          <w:szCs w:val="21"/>
        </w:rPr>
        <w:t xml:space="preserve">7.5  </w:t>
      </w:r>
      <w:r>
        <w:rPr>
          <w:rFonts w:hint="eastAsia" w:ascii="宋体" w:hAnsi="宋体" w:cs="宋体"/>
          <w:b/>
          <w:color w:val="auto"/>
          <w:kern w:val="0"/>
          <w:szCs w:val="21"/>
          <w:u w:val="dotted"/>
        </w:rPr>
        <w:t xml:space="preserve">                                                                                                         </w:t>
      </w:r>
    </w:p>
    <w:p>
      <w:pPr>
        <w:adjustRightInd w:val="0"/>
        <w:snapToGrid w:val="0"/>
        <w:spacing w:line="360" w:lineRule="auto"/>
        <w:ind w:left="1619" w:leftChars="771"/>
        <w:rPr>
          <w:rFonts w:ascii="宋体" w:hAnsi="宋体" w:cs="宋体"/>
          <w:color w:val="auto"/>
          <w:kern w:val="0"/>
          <w:szCs w:val="21"/>
        </w:rPr>
      </w:pPr>
      <w:r>
        <w:rPr>
          <w:rFonts w:hint="eastAsia" w:ascii="宋体" w:hAnsi="宋体" w:cs="宋体"/>
          <w:color w:val="auto"/>
          <w:kern w:val="0"/>
          <w:szCs w:val="21"/>
        </w:rPr>
        <w:t>工程分包不能免除承包人应承担的任何责任和应履行的任何义务。承包人应在分包场地派驻相应管理人员保证本合同的履行。</w:t>
      </w:r>
    </w:p>
    <w:p>
      <w:pPr>
        <w:adjustRightInd w:val="0"/>
        <w:snapToGrid w:val="0"/>
        <w:spacing w:line="360" w:lineRule="auto"/>
        <w:ind w:left="1619" w:leftChars="771"/>
        <w:rPr>
          <w:rFonts w:ascii="宋体" w:hAnsi="宋体" w:cs="宋体"/>
          <w:color w:val="auto"/>
          <w:kern w:val="0"/>
          <w:szCs w:val="21"/>
        </w:rPr>
      </w:pPr>
      <w:r>
        <w:rPr>
          <w:rFonts w:hint="eastAsia" w:ascii="宋体" w:hAnsi="宋体" w:cs="宋体"/>
          <w:color w:val="auto"/>
          <w:kern w:val="0"/>
          <w:szCs w:val="21"/>
        </w:rPr>
        <w:t>分包人应对分包工程负责。分包人的任何违约行为或疏忽导致工程损坏、损害或给发包人造成损失的，承包人应承担连带责任。</w:t>
      </w:r>
    </w:p>
    <w:p>
      <w:pPr>
        <w:adjustRightInd w:val="0"/>
        <w:snapToGrid w:val="0"/>
        <w:spacing w:line="360" w:lineRule="auto"/>
        <w:rPr>
          <w:rFonts w:ascii="宋体" w:hAnsi="宋体" w:cs="宋体"/>
          <w:color w:val="auto"/>
          <w:kern w:val="0"/>
          <w:szCs w:val="21"/>
        </w:rPr>
      </w:pPr>
      <w:r>
        <w:rPr>
          <w:rFonts w:ascii="宋体" w:hAnsi="宋体" w:cs="宋体"/>
          <w:color w:val="auto"/>
          <w:kern w:val="0"/>
          <w:szCs w:val="21"/>
        </w:rPr>
        <mc:AlternateContent>
          <mc:Choice Requires="wps">
            <w:drawing>
              <wp:anchor distT="0" distB="0" distL="114300" distR="114300" simplePos="0" relativeHeight="251750400" behindDoc="0" locked="0" layoutInCell="1" allowOverlap="1">
                <wp:simplePos x="0" y="0"/>
                <wp:positionH relativeFrom="column">
                  <wp:posOffset>-114300</wp:posOffset>
                </wp:positionH>
                <wp:positionV relativeFrom="paragraph">
                  <wp:posOffset>229235</wp:posOffset>
                </wp:positionV>
                <wp:extent cx="914400" cy="280035"/>
                <wp:effectExtent l="0" t="0" r="0" b="0"/>
                <wp:wrapNone/>
                <wp:docPr id="385" name="文本框 385"/>
                <wp:cNvGraphicFramePr/>
                <a:graphic xmlns:a="http://schemas.openxmlformats.org/drawingml/2006/main">
                  <a:graphicData uri="http://schemas.microsoft.com/office/word/2010/wordprocessingShape">
                    <wps:wsp>
                      <wps:cNvSpPr txBox="1">
                        <a:spLocks noChangeArrowheads="1"/>
                      </wps:cNvSpPr>
                      <wps:spPr bwMode="auto">
                        <a:xfrm>
                          <a:off x="0" y="0"/>
                          <a:ext cx="914400" cy="280035"/>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分包合同终止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8.05pt;height:22.05pt;width:72pt;z-index:251750400;mso-width-relative:page;mso-height-relative:page;" filled="f" stroked="f" coordsize="21600,21600" o:gfxdata="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HMcytYAAAAJAQAADwAAAAAAAAABACAAAAAiAAAAZHJzL2Rvd25y&#10;ZXYueG1sUEsBAhQAFAAAAAgAh07iQPG4nO0AAgAA2AMAAA4AAAAAAAAAAQAgAAAAJQEAAGRycy9l&#10;Mm9Eb2MueG1sUEsFBgAAAAAGAAYAWQEAAJcFA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分包合同终止</w:t>
                      </w:r>
                    </w:p>
                  </w:txbxContent>
                </v:textbox>
              </v:shape>
            </w:pict>
          </mc:Fallback>
        </mc:AlternateContent>
      </w:r>
      <w:r>
        <w:rPr>
          <w:rFonts w:hint="eastAsia" w:ascii="宋体" w:hAnsi="宋体" w:cs="宋体"/>
          <w:b/>
          <w:color w:val="auto"/>
          <w:kern w:val="0"/>
          <w:szCs w:val="21"/>
        </w:rPr>
        <w:t xml:space="preserve">7.6 </w:t>
      </w:r>
      <w:r>
        <w:rPr>
          <w:rFonts w:hint="eastAsia" w:ascii="宋体" w:hAnsi="宋体" w:cs="宋体"/>
          <w:color w:val="auto"/>
          <w:kern w:val="0"/>
          <w:szCs w:val="21"/>
        </w:rPr>
        <w:t xml:space="preserve"> </w:t>
      </w:r>
      <w:r>
        <w:rPr>
          <w:rFonts w:hint="eastAsia" w:ascii="宋体" w:hAnsi="宋体" w:cs="宋体"/>
          <w:color w:val="auto"/>
          <w:kern w:val="0"/>
          <w:szCs w:val="21"/>
          <w:u w:val="dotted"/>
        </w:rPr>
        <w:t xml:space="preserve">                                                                                                        </w:t>
      </w:r>
    </w:p>
    <w:p>
      <w:pPr>
        <w:adjustRightInd w:val="0"/>
        <w:snapToGrid w:val="0"/>
        <w:spacing w:line="360" w:lineRule="auto"/>
        <w:ind w:left="1619" w:leftChars="771"/>
        <w:rPr>
          <w:rFonts w:ascii="宋体" w:hAnsi="宋体" w:cs="宋体"/>
          <w:color w:val="auto"/>
          <w:kern w:val="0"/>
          <w:szCs w:val="21"/>
        </w:rPr>
      </w:pPr>
      <w:r>
        <w:rPr>
          <w:rFonts w:hint="eastAsia" w:ascii="宋体" w:hAnsi="宋体" w:cs="宋体"/>
          <w:color w:val="auto"/>
          <w:kern w:val="0"/>
          <w:szCs w:val="21"/>
        </w:rPr>
        <w:t>无论何种原因，当本合同终止时，分包人与承包人签订的分包合同也随即终止。承包人应在本合同终止前向分包人支付分包人应得所有款项。</w:t>
      </w:r>
    </w:p>
    <w:p>
      <w:pPr>
        <w:tabs>
          <w:tab w:val="left" w:pos="1260"/>
        </w:tabs>
        <w:adjustRightInd w:val="0"/>
        <w:snapToGrid w:val="0"/>
        <w:spacing w:beforeLines="50"/>
        <w:ind w:right="-238"/>
        <w:rPr>
          <w:rFonts w:ascii="宋体" w:hAnsi="宋体" w:cs="宋体"/>
          <w:b/>
          <w:color w:val="auto"/>
          <w:kern w:val="0"/>
          <w:szCs w:val="21"/>
        </w:rPr>
      </w:pPr>
      <w:r>
        <w:rPr>
          <w:rFonts w:hint="eastAsia" w:ascii="宋体" w:hAnsi="宋体" w:cs="宋体"/>
          <w:b/>
          <w:color w:val="auto"/>
          <w:kern w:val="0"/>
          <w:szCs w:val="21"/>
          <w:u w:val="single"/>
        </w:rPr>
        <w:t xml:space="preserve">                                                                                                             </w:t>
      </w:r>
    </w:p>
    <w:p>
      <w:pPr>
        <w:tabs>
          <w:tab w:val="left" w:pos="1260"/>
        </w:tabs>
        <w:adjustRightInd w:val="0"/>
        <w:snapToGrid w:val="0"/>
        <w:spacing w:beforeLines="50"/>
        <w:ind w:right="-238" w:firstLine="602"/>
        <w:rPr>
          <w:rFonts w:ascii="宋体" w:hAnsi="宋体" w:cs="宋体"/>
          <w:b/>
          <w:color w:val="auto"/>
          <w:kern w:val="0"/>
          <w:szCs w:val="21"/>
        </w:rPr>
      </w:pPr>
    </w:p>
    <w:p>
      <w:pPr>
        <w:tabs>
          <w:tab w:val="left" w:pos="1260"/>
        </w:tabs>
        <w:adjustRightInd w:val="0"/>
        <w:snapToGrid w:val="0"/>
        <w:spacing w:beforeLines="50" w:line="360" w:lineRule="auto"/>
        <w:ind w:right="-238"/>
        <w:rPr>
          <w:rFonts w:ascii="宋体" w:hAnsi="宋体" w:cs="宋体"/>
          <w:b/>
          <w:color w:val="auto"/>
          <w:kern w:val="0"/>
          <w:szCs w:val="21"/>
        </w:rPr>
      </w:pPr>
      <w:r>
        <w:rPr>
          <w:rFonts w:hint="eastAsia" w:ascii="宋体" w:hAnsi="宋体" w:cs="宋体"/>
          <w:b/>
          <w:color w:val="auto"/>
          <w:kern w:val="0"/>
          <w:szCs w:val="21"/>
        </w:rPr>
        <w:t>8  现场查勘</w:t>
      </w:r>
    </w:p>
    <w:p>
      <w:pPr>
        <w:adjustRightInd w:val="0"/>
        <w:snapToGrid w:val="0"/>
        <w:spacing w:line="360" w:lineRule="auto"/>
        <w:rPr>
          <w:rFonts w:ascii="宋体" w:hAnsi="宋体" w:cs="宋体"/>
          <w:b/>
          <w:color w:val="auto"/>
          <w:kern w:val="0"/>
          <w:szCs w:val="21"/>
        </w:rPr>
      </w:pPr>
      <w:r>
        <w:rPr>
          <w:rFonts w:ascii="宋体" w:hAnsi="宋体" w:cs="宋体"/>
          <w:color w:val="auto"/>
          <w:kern w:val="0"/>
          <w:szCs w:val="21"/>
        </w:rPr>
        <mc:AlternateContent>
          <mc:Choice Requires="wps">
            <w:drawing>
              <wp:anchor distT="0" distB="0" distL="114300" distR="114300" simplePos="0" relativeHeight="251751424" behindDoc="0" locked="0" layoutInCell="1" allowOverlap="1">
                <wp:simplePos x="0" y="0"/>
                <wp:positionH relativeFrom="column">
                  <wp:posOffset>-114300</wp:posOffset>
                </wp:positionH>
                <wp:positionV relativeFrom="paragraph">
                  <wp:posOffset>236855</wp:posOffset>
                </wp:positionV>
                <wp:extent cx="914400" cy="495300"/>
                <wp:effectExtent l="0" t="0" r="0" b="0"/>
                <wp:wrapNone/>
                <wp:docPr id="384" name="文本框 384"/>
                <wp:cNvGraphicFramePr/>
                <a:graphic xmlns:a="http://schemas.openxmlformats.org/drawingml/2006/main">
                  <a:graphicData uri="http://schemas.microsoft.com/office/word/2010/wordprocessingShape">
                    <wps:wsp>
                      <wps:cNvSpPr txBox="1">
                        <a:spLocks noChangeArrowheads="1"/>
                      </wps:cNvSpPr>
                      <wps:spPr bwMode="auto">
                        <a:xfrm>
                          <a:off x="0" y="0"/>
                          <a:ext cx="914400" cy="495300"/>
                        </a:xfrm>
                        <a:prstGeom prst="rect">
                          <a:avLst/>
                        </a:prstGeom>
                        <a:noFill/>
                        <a:ln>
                          <a:noFill/>
                        </a:ln>
                        <a:effectLst/>
                      </wps:spPr>
                      <wps:txbx>
                        <w:txbxContent>
                          <w:p>
                            <w:pPr>
                              <w:spacing w:line="200" w:lineRule="exact"/>
                              <w:rPr>
                                <w:rFonts w:ascii="楷体_GB2312" w:hAnsi="宋体"/>
                                <w:sz w:val="18"/>
                                <w:szCs w:val="18"/>
                              </w:rPr>
                            </w:pPr>
                            <w:r>
                              <w:rPr>
                                <w:rFonts w:hint="eastAsia" w:ascii="楷体_GB2312" w:hAnsi="宋体"/>
                                <w:b/>
                                <w:color w:val="000000"/>
                                <w:sz w:val="18"/>
                                <w:szCs w:val="18"/>
                              </w:rPr>
                              <w:t>发包人提供资料的责任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8.65pt;height:39pt;width:72pt;z-index:251751424;mso-width-relative:page;mso-height-relative:page;" filled="f" stroked="f" coordsize="21600,21600" o:gfxdata="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CagSY/YAAAACgEAAA8AAAAAAAAAAQAgAAAAIgAAAGRycy9kb3du&#10;cmV2LnhtbFBLAQIUABQAAAAIAIdO4kB0KLKz/wEAANgDAAAOAAAAAAAAAAEAIAAAACcBAABkcnMv&#10;ZTJvRG9jLnhtbFBLBQYAAAAABgAGAFkBAACYBQAAAAA=&#10;">
                <v:fill on="f" focussize="0,0"/>
                <v:stroke on="f"/>
                <v:imagedata o:title=""/>
                <o:lock v:ext="edit" aspectratio="f"/>
                <v:textbox>
                  <w:txbxContent>
                    <w:p>
                      <w:pPr>
                        <w:spacing w:line="200" w:lineRule="exact"/>
                        <w:rPr>
                          <w:rFonts w:ascii="楷体_GB2312" w:hAnsi="宋体"/>
                          <w:sz w:val="18"/>
                          <w:szCs w:val="18"/>
                        </w:rPr>
                      </w:pPr>
                      <w:r>
                        <w:rPr>
                          <w:rFonts w:hint="eastAsia" w:ascii="楷体_GB2312" w:hAnsi="宋体"/>
                          <w:b/>
                          <w:color w:val="000000"/>
                          <w:sz w:val="18"/>
                          <w:szCs w:val="18"/>
                        </w:rPr>
                        <w:t>发包人提供资料的责任</w:t>
                      </w:r>
                    </w:p>
                  </w:txbxContent>
                </v:textbox>
              </v:shape>
            </w:pict>
          </mc:Fallback>
        </mc:AlternateContent>
      </w:r>
      <w:r>
        <w:rPr>
          <w:rFonts w:hint="eastAsia" w:ascii="宋体" w:hAnsi="宋体" w:cs="宋体"/>
          <w:b/>
          <w:color w:val="auto"/>
          <w:kern w:val="0"/>
          <w:szCs w:val="21"/>
        </w:rPr>
        <w:t xml:space="preserve">8.1                                                                                </w:t>
      </w:r>
    </w:p>
    <w:p>
      <w:pPr>
        <w:adjustRightInd w:val="0"/>
        <w:snapToGrid w:val="0"/>
        <w:spacing w:line="360" w:lineRule="auto"/>
        <w:ind w:left="1619" w:leftChars="771"/>
        <w:rPr>
          <w:rFonts w:ascii="宋体" w:hAnsi="宋体" w:cs="宋体"/>
          <w:color w:val="auto"/>
          <w:kern w:val="0"/>
          <w:szCs w:val="21"/>
        </w:rPr>
      </w:pPr>
      <w:r>
        <w:rPr>
          <w:rFonts w:hint="eastAsia" w:ascii="宋体" w:hAnsi="宋体" w:cs="宋体"/>
          <w:color w:val="auto"/>
          <w:kern w:val="0"/>
          <w:szCs w:val="21"/>
        </w:rPr>
        <w:t>发包人应按照第19.2款第（4）点规定向承包人提供有关资料。此资料作为招标文件的组成部分，与招标文件一并发布。发包人对其提供的上述资料的真实性、准确性和完整性负责。因发包人提供上述资料错误导致承包人发生损失的，发包人应承担由此增加的费用和（或）延误的工期，并向承包人支付合理利润。</w:t>
      </w:r>
    </w:p>
    <w:p>
      <w:pPr>
        <w:adjustRightInd w:val="0"/>
        <w:snapToGrid w:val="0"/>
        <w:spacing w:line="360" w:lineRule="auto"/>
        <w:rPr>
          <w:rFonts w:ascii="宋体" w:hAnsi="宋体" w:cs="宋体"/>
          <w:b/>
          <w:color w:val="auto"/>
          <w:kern w:val="0"/>
          <w:szCs w:val="21"/>
        </w:rPr>
      </w:pPr>
      <w:r>
        <w:rPr>
          <w:rFonts w:hint="eastAsia" w:ascii="宋体" w:hAnsi="宋体" w:cs="宋体"/>
          <w:b/>
          <w:color w:val="auto"/>
          <w:kern w:val="0"/>
          <w:szCs w:val="21"/>
        </w:rPr>
        <w:t xml:space="preserve">8.2  </w:t>
      </w:r>
      <w:r>
        <w:rPr>
          <w:rFonts w:hint="eastAsia" w:ascii="宋体" w:hAnsi="宋体" w:cs="宋体"/>
          <w:b/>
          <w:color w:val="auto"/>
          <w:kern w:val="0"/>
          <w:szCs w:val="21"/>
          <w:u w:val="dotted"/>
        </w:rPr>
        <w:t xml:space="preserve">                                                                                                        </w:t>
      </w:r>
    </w:p>
    <w:p>
      <w:pPr>
        <w:adjustRightInd w:val="0"/>
        <w:snapToGrid w:val="0"/>
        <w:spacing w:line="360" w:lineRule="auto"/>
        <w:ind w:left="1619" w:leftChars="771"/>
        <w:rPr>
          <w:rFonts w:ascii="宋体" w:hAnsi="宋体" w:cs="宋体"/>
          <w:color w:val="auto"/>
          <w:kern w:val="0"/>
          <w:szCs w:val="21"/>
        </w:rPr>
      </w:pPr>
      <w:r>
        <w:rPr>
          <w:rFonts w:ascii="宋体" w:hAnsi="宋体" w:cs="宋体"/>
          <w:color w:val="auto"/>
          <w:kern w:val="0"/>
          <w:szCs w:val="21"/>
        </w:rPr>
        <mc:AlternateContent>
          <mc:Choice Requires="wps">
            <w:drawing>
              <wp:anchor distT="0" distB="0" distL="114300" distR="114300" simplePos="0" relativeHeight="251752448" behindDoc="0" locked="0" layoutInCell="1" allowOverlap="1">
                <wp:simplePos x="0" y="0"/>
                <wp:positionH relativeFrom="column">
                  <wp:posOffset>-114300</wp:posOffset>
                </wp:positionH>
                <wp:positionV relativeFrom="paragraph">
                  <wp:posOffset>0</wp:posOffset>
                </wp:positionV>
                <wp:extent cx="914400" cy="500380"/>
                <wp:effectExtent l="0" t="0" r="0" b="0"/>
                <wp:wrapNone/>
                <wp:docPr id="383" name="文本框 383"/>
                <wp:cNvGraphicFramePr/>
                <a:graphic xmlns:a="http://schemas.openxmlformats.org/drawingml/2006/main">
                  <a:graphicData uri="http://schemas.microsoft.com/office/word/2010/wordprocessingShape">
                    <wps:wsp>
                      <wps:cNvSpPr txBox="1">
                        <a:spLocks noChangeArrowheads="1"/>
                      </wps:cNvSpPr>
                      <wps:spPr bwMode="auto">
                        <a:xfrm>
                          <a:off x="0" y="0"/>
                          <a:ext cx="914400" cy="500380"/>
                        </a:xfrm>
                        <a:prstGeom prst="rect">
                          <a:avLst/>
                        </a:prstGeom>
                        <a:noFill/>
                        <a:ln>
                          <a:noFill/>
                        </a:ln>
                        <a:effectLst/>
                      </wps:spPr>
                      <wps:txbx>
                        <w:txbxContent>
                          <w:p>
                            <w:pPr>
                              <w:rPr>
                                <w:rFonts w:ascii="楷体_GB2312" w:hAnsi="宋体"/>
                                <w:sz w:val="18"/>
                                <w:szCs w:val="18"/>
                              </w:rPr>
                            </w:pPr>
                            <w:r>
                              <w:rPr>
                                <w:rFonts w:hint="eastAsia" w:ascii="楷体_GB2312" w:hAnsi="宋体"/>
                                <w:b/>
                                <w:color w:val="000000"/>
                                <w:sz w:val="18"/>
                                <w:szCs w:val="18"/>
                              </w:rPr>
                              <w:t>承包人现场查勘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39.4pt;width:72pt;z-index:251752448;mso-width-relative:page;mso-height-relative:page;" filled="f" stroked="f" coordsize="21600,21600" o:gfxdata="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BWmKUfUAAAABwEAAA8AAAAAAAAAAQAgAAAAIgAAAGRycy9kb3ducmV2&#10;LnhtbFBLAQIUABQAAAAIAIdO4kDKZ8s5AAIAANgDAAAOAAAAAAAAAAEAIAAAACMBAABkcnMvZTJv&#10;RG9jLnhtbFBLBQYAAAAABgAGAFkBAACVBQAAAAA=&#10;">
                <v:fill on="f" focussize="0,0"/>
                <v:stroke on="f"/>
                <v:imagedata o:title=""/>
                <o:lock v:ext="edit" aspectratio="f"/>
                <v:textbox>
                  <w:txbxContent>
                    <w:p>
                      <w:pPr>
                        <w:rPr>
                          <w:rFonts w:ascii="楷体_GB2312" w:hAnsi="宋体"/>
                          <w:sz w:val="18"/>
                          <w:szCs w:val="18"/>
                        </w:rPr>
                      </w:pPr>
                      <w:r>
                        <w:rPr>
                          <w:rFonts w:hint="eastAsia" w:ascii="楷体_GB2312" w:hAnsi="宋体"/>
                          <w:b/>
                          <w:color w:val="000000"/>
                          <w:sz w:val="18"/>
                          <w:szCs w:val="18"/>
                        </w:rPr>
                        <w:t>承包人现场查勘</w:t>
                      </w:r>
                    </w:p>
                  </w:txbxContent>
                </v:textbox>
              </v:shape>
            </w:pict>
          </mc:Fallback>
        </mc:AlternateContent>
      </w:r>
      <w:r>
        <w:rPr>
          <w:rFonts w:hint="eastAsia" w:ascii="宋体" w:hAnsi="宋体" w:cs="宋体"/>
          <w:color w:val="auto"/>
          <w:kern w:val="0"/>
          <w:szCs w:val="21"/>
        </w:rPr>
        <w:t>承包人应依据发包人按照第19.2款第（4）点规定提供的资料和自己对现场查勘来编制响应文件，并对发包人提供上述资料的理解、推断和应用负责。承包人的响应文件应被认为已经考虑了现场及其周围环境的影响，包括但不限于以下内容：</w:t>
      </w:r>
    </w:p>
    <w:p>
      <w:pPr>
        <w:numPr>
          <w:ilvl w:val="0"/>
          <w:numId w:val="10"/>
        </w:numPr>
        <w:tabs>
          <w:tab w:val="left" w:pos="1080"/>
        </w:tabs>
        <w:adjustRightInd w:val="0"/>
        <w:snapToGrid w:val="0"/>
        <w:spacing w:line="360" w:lineRule="auto"/>
        <w:ind w:left="1619" w:leftChars="771"/>
        <w:rPr>
          <w:rFonts w:ascii="宋体" w:hAnsi="宋体" w:cs="宋体"/>
          <w:color w:val="auto"/>
          <w:kern w:val="0"/>
          <w:szCs w:val="21"/>
        </w:rPr>
      </w:pPr>
      <w:r>
        <w:rPr>
          <w:rFonts w:hint="eastAsia" w:ascii="宋体" w:hAnsi="宋体" w:cs="宋体"/>
          <w:color w:val="auto"/>
          <w:kern w:val="0"/>
          <w:szCs w:val="21"/>
        </w:rPr>
        <w:t>现场地质情况及地形地貌特征；</w:t>
      </w:r>
    </w:p>
    <w:p>
      <w:pPr>
        <w:numPr>
          <w:ilvl w:val="0"/>
          <w:numId w:val="10"/>
        </w:numPr>
        <w:tabs>
          <w:tab w:val="left" w:pos="1080"/>
        </w:tabs>
        <w:adjustRightInd w:val="0"/>
        <w:snapToGrid w:val="0"/>
        <w:spacing w:line="360" w:lineRule="auto"/>
        <w:ind w:left="1619" w:leftChars="771"/>
        <w:rPr>
          <w:rFonts w:ascii="宋体" w:hAnsi="宋体" w:cs="宋体"/>
          <w:color w:val="auto"/>
          <w:kern w:val="0"/>
          <w:szCs w:val="21"/>
        </w:rPr>
      </w:pPr>
      <w:r>
        <w:rPr>
          <w:rFonts w:hint="eastAsia" w:ascii="宋体" w:hAnsi="宋体" w:cs="宋体"/>
          <w:color w:val="auto"/>
          <w:kern w:val="0"/>
          <w:szCs w:val="21"/>
        </w:rPr>
        <w:t>水文和气候条件；</w:t>
      </w:r>
    </w:p>
    <w:p>
      <w:pPr>
        <w:numPr>
          <w:ilvl w:val="0"/>
          <w:numId w:val="10"/>
        </w:numPr>
        <w:tabs>
          <w:tab w:val="left" w:pos="1080"/>
        </w:tabs>
        <w:adjustRightInd w:val="0"/>
        <w:snapToGrid w:val="0"/>
        <w:spacing w:line="360" w:lineRule="auto"/>
        <w:ind w:left="1619" w:leftChars="771"/>
        <w:rPr>
          <w:rFonts w:ascii="宋体" w:hAnsi="宋体" w:cs="宋体"/>
          <w:color w:val="auto"/>
          <w:kern w:val="0"/>
          <w:szCs w:val="21"/>
        </w:rPr>
      </w:pPr>
      <w:r>
        <w:rPr>
          <w:rFonts w:hint="eastAsia" w:ascii="宋体" w:hAnsi="宋体" w:cs="宋体"/>
          <w:color w:val="auto"/>
          <w:kern w:val="0"/>
          <w:szCs w:val="21"/>
        </w:rPr>
        <w:t>为实施、完成并保修合同工程所需的临时工程和措施项目；</w:t>
      </w:r>
    </w:p>
    <w:p>
      <w:pPr>
        <w:numPr>
          <w:ilvl w:val="0"/>
          <w:numId w:val="10"/>
        </w:numPr>
        <w:tabs>
          <w:tab w:val="left" w:pos="1080"/>
          <w:tab w:val="left" w:pos="1260"/>
        </w:tabs>
        <w:adjustRightInd w:val="0"/>
        <w:snapToGrid w:val="0"/>
        <w:spacing w:line="360" w:lineRule="auto"/>
        <w:ind w:left="1619" w:leftChars="771"/>
        <w:rPr>
          <w:rFonts w:ascii="宋体" w:hAnsi="宋体" w:cs="宋体"/>
          <w:color w:val="auto"/>
          <w:kern w:val="0"/>
          <w:szCs w:val="21"/>
        </w:rPr>
      </w:pPr>
      <w:r>
        <w:rPr>
          <w:rFonts w:hint="eastAsia" w:ascii="宋体" w:hAnsi="宋体" w:cs="宋体"/>
          <w:color w:val="auto"/>
          <w:kern w:val="0"/>
          <w:szCs w:val="21"/>
        </w:rPr>
        <w:t>为实施、完成并保修合同工程所需的材料采购和加工、设备的采购，及所需的施工设备、周转性材料、人员和管理等；</w:t>
      </w:r>
    </w:p>
    <w:p>
      <w:pPr>
        <w:numPr>
          <w:ilvl w:val="0"/>
          <w:numId w:val="10"/>
        </w:numPr>
        <w:tabs>
          <w:tab w:val="left" w:pos="1080"/>
        </w:tabs>
        <w:adjustRightInd w:val="0"/>
        <w:snapToGrid w:val="0"/>
        <w:spacing w:line="360" w:lineRule="auto"/>
        <w:ind w:left="1619" w:leftChars="771"/>
        <w:rPr>
          <w:rFonts w:ascii="宋体" w:hAnsi="宋体" w:cs="宋体"/>
          <w:color w:val="auto"/>
          <w:kern w:val="0"/>
          <w:szCs w:val="21"/>
        </w:rPr>
      </w:pPr>
      <w:r>
        <w:rPr>
          <w:rFonts w:hint="eastAsia" w:ascii="宋体" w:hAnsi="宋体" w:cs="宋体"/>
          <w:color w:val="auto"/>
          <w:kern w:val="0"/>
          <w:szCs w:val="21"/>
        </w:rPr>
        <w:t>场地内外的交通情况及水、电、食宿供应条件；</w:t>
      </w:r>
    </w:p>
    <w:p>
      <w:pPr>
        <w:numPr>
          <w:ilvl w:val="0"/>
          <w:numId w:val="10"/>
        </w:numPr>
        <w:tabs>
          <w:tab w:val="left" w:pos="1080"/>
        </w:tabs>
        <w:adjustRightInd w:val="0"/>
        <w:snapToGrid w:val="0"/>
        <w:spacing w:line="360" w:lineRule="auto"/>
        <w:ind w:left="1619" w:leftChars="771"/>
        <w:rPr>
          <w:rFonts w:ascii="宋体" w:hAnsi="宋体" w:cs="宋体"/>
          <w:color w:val="auto"/>
          <w:kern w:val="0"/>
          <w:szCs w:val="21"/>
        </w:rPr>
      </w:pPr>
      <w:r>
        <w:rPr>
          <w:rFonts w:hint="eastAsia" w:ascii="宋体" w:hAnsi="宋体" w:cs="宋体"/>
          <w:color w:val="auto"/>
          <w:kern w:val="0"/>
          <w:szCs w:val="21"/>
        </w:rPr>
        <w:t>可能对投标报价有影响或起作用的其他情况。</w:t>
      </w:r>
    </w:p>
    <w:p>
      <w:pPr>
        <w:adjustRightInd w:val="0"/>
        <w:snapToGrid w:val="0"/>
        <w:ind w:right="-238"/>
        <w:rPr>
          <w:rFonts w:ascii="宋体" w:hAnsi="宋体" w:cs="宋体"/>
          <w:color w:val="auto"/>
          <w:kern w:val="0"/>
          <w:szCs w:val="21"/>
          <w:u w:val="single"/>
        </w:rPr>
      </w:pPr>
      <w:r>
        <w:rPr>
          <w:rFonts w:hint="eastAsia" w:ascii="宋体" w:hAnsi="宋体" w:cs="宋体"/>
          <w:b/>
          <w:color w:val="auto"/>
          <w:kern w:val="0"/>
          <w:szCs w:val="21"/>
          <w:u w:val="single"/>
        </w:rPr>
        <w:t xml:space="preserve">                                                                                  </w:t>
      </w:r>
    </w:p>
    <w:p>
      <w:pPr>
        <w:tabs>
          <w:tab w:val="left" w:pos="1620"/>
        </w:tabs>
        <w:spacing w:line="360" w:lineRule="auto"/>
        <w:rPr>
          <w:rFonts w:ascii="宋体" w:hAnsi="宋体" w:cs="宋体"/>
          <w:color w:val="auto"/>
          <w:szCs w:val="21"/>
        </w:rPr>
      </w:pPr>
    </w:p>
    <w:p>
      <w:pPr>
        <w:adjustRightInd w:val="0"/>
        <w:snapToGrid w:val="0"/>
        <w:ind w:right="-238"/>
        <w:rPr>
          <w:rFonts w:ascii="宋体" w:hAnsi="宋体" w:cs="宋体"/>
          <w:b/>
          <w:color w:val="auto"/>
          <w:kern w:val="0"/>
          <w:szCs w:val="21"/>
        </w:rPr>
      </w:pPr>
      <w:r>
        <w:rPr>
          <w:rFonts w:hint="eastAsia" w:ascii="宋体" w:hAnsi="宋体" w:cs="宋体"/>
          <w:b/>
          <w:color w:val="auto"/>
          <w:kern w:val="0"/>
          <w:szCs w:val="21"/>
        </w:rPr>
        <w:t>9  招标错失的修正</w:t>
      </w:r>
    </w:p>
    <w:p>
      <w:pPr>
        <w:adjustRightInd w:val="0"/>
        <w:snapToGrid w:val="0"/>
        <w:spacing w:beforeLines="100"/>
        <w:ind w:right="-238"/>
        <w:rPr>
          <w:rFonts w:ascii="宋体" w:hAnsi="宋体" w:cs="宋体"/>
          <w:b/>
          <w:color w:val="auto"/>
          <w:kern w:val="0"/>
          <w:szCs w:val="21"/>
        </w:rPr>
      </w:pPr>
      <w:r>
        <w:rPr>
          <w:rFonts w:ascii="宋体" w:hAnsi="宋体" w:cs="宋体"/>
          <w:color w:val="auto"/>
          <w:kern w:val="0"/>
          <w:szCs w:val="21"/>
        </w:rPr>
        <mc:AlternateContent>
          <mc:Choice Requires="wps">
            <w:drawing>
              <wp:anchor distT="0" distB="0" distL="114300" distR="114300" simplePos="0" relativeHeight="251916288" behindDoc="0" locked="0" layoutInCell="1" allowOverlap="1">
                <wp:simplePos x="0" y="0"/>
                <wp:positionH relativeFrom="column">
                  <wp:posOffset>-60960</wp:posOffset>
                </wp:positionH>
                <wp:positionV relativeFrom="paragraph">
                  <wp:posOffset>398145</wp:posOffset>
                </wp:positionV>
                <wp:extent cx="914400" cy="792480"/>
                <wp:effectExtent l="0" t="0" r="0" b="0"/>
                <wp:wrapNone/>
                <wp:docPr id="382" name="文本框 382"/>
                <wp:cNvGraphicFramePr/>
                <a:graphic xmlns:a="http://schemas.openxmlformats.org/drawingml/2006/main">
                  <a:graphicData uri="http://schemas.microsoft.com/office/word/2010/wordprocessingShape">
                    <wps:wsp>
                      <wps:cNvSpPr txBox="1">
                        <a:spLocks noChangeArrowheads="1"/>
                      </wps:cNvSpPr>
                      <wps:spPr bwMode="auto">
                        <a:xfrm>
                          <a:off x="0" y="0"/>
                          <a:ext cx="914400" cy="792480"/>
                        </a:xfrm>
                        <a:prstGeom prst="rect">
                          <a:avLst/>
                        </a:prstGeom>
                        <a:noFill/>
                        <a:ln>
                          <a:noFill/>
                        </a:ln>
                        <a:effectLst/>
                      </wps:spPr>
                      <wps:txbx>
                        <w:txbxContent>
                          <w:p>
                            <w:pPr>
                              <w:pStyle w:val="46"/>
                              <w:tabs>
                                <w:tab w:val="left" w:pos="2160"/>
                              </w:tabs>
                              <w:spacing w:beforeLines="80"/>
                              <w:rPr>
                                <w:rFonts w:ascii="楷体_GB2312" w:hAnsi="宋体"/>
                                <w:color w:val="FF00FF"/>
                                <w:sz w:val="24"/>
                                <w:szCs w:val="18"/>
                              </w:rPr>
                            </w:pPr>
                            <w:r>
                              <w:rPr>
                                <w:rFonts w:hint="eastAsia" w:ascii="楷体_GB2312" w:hAnsi="宋体"/>
                                <w:b/>
                                <w:color w:val="000000"/>
                                <w:sz w:val="18"/>
                                <w:szCs w:val="18"/>
                              </w:rPr>
                              <w:t>合同条款及格式完备性和义务</w:t>
                            </w:r>
                          </w:p>
                          <w:p>
                            <w:pPr>
                              <w:rPr>
                                <w:sz w:val="18"/>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8pt;margin-top:31.35pt;height:62.4pt;width:72pt;z-index:251916288;mso-width-relative:page;mso-height-relative:page;" filled="f" stroked="f" coordsize="21600,21600" o:gfxdata="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AXDqoDXAAAACQEAAA8AAAAAAAAAAQAgAAAAIgAAAGRycy9kb3du&#10;cmV2LnhtbFBLAQIUABQAAAAIAIdO4kAKdO2QAAIAANgDAAAOAAAAAAAAAAEAIAAAACYBAABkcnMv&#10;ZTJvRG9jLnhtbFBLBQYAAAAABgAGAFkBAACYBQAAAAA=&#10;">
                <v:fill on="f" focussize="0,0"/>
                <v:stroke on="f"/>
                <v:imagedata o:title=""/>
                <o:lock v:ext="edit" aspectratio="f"/>
                <v:textbox>
                  <w:txbxContent>
                    <w:p>
                      <w:pPr>
                        <w:pStyle w:val="46"/>
                        <w:tabs>
                          <w:tab w:val="left" w:pos="2160"/>
                        </w:tabs>
                        <w:spacing w:beforeLines="80"/>
                        <w:rPr>
                          <w:rFonts w:ascii="楷体_GB2312" w:hAnsi="宋体"/>
                          <w:color w:val="FF00FF"/>
                          <w:sz w:val="24"/>
                          <w:szCs w:val="18"/>
                        </w:rPr>
                      </w:pPr>
                      <w:r>
                        <w:rPr>
                          <w:rFonts w:hint="eastAsia" w:ascii="楷体_GB2312" w:hAnsi="宋体"/>
                          <w:b/>
                          <w:color w:val="000000"/>
                          <w:sz w:val="18"/>
                          <w:szCs w:val="18"/>
                        </w:rPr>
                        <w:t>合同条款及格式完备性和义务</w:t>
                      </w:r>
                    </w:p>
                    <w:p>
                      <w:pPr>
                        <w:rPr>
                          <w:sz w:val="18"/>
                          <w:szCs w:val="18"/>
                        </w:rPr>
                      </w:pPr>
                    </w:p>
                  </w:txbxContent>
                </v:textbox>
              </v:shape>
            </w:pict>
          </mc:Fallback>
        </mc:AlternateContent>
      </w:r>
      <w:r>
        <w:rPr>
          <w:rFonts w:hint="eastAsia" w:ascii="宋体" w:hAnsi="宋体" w:cs="宋体"/>
          <w:b/>
          <w:color w:val="auto"/>
          <w:kern w:val="0"/>
          <w:szCs w:val="21"/>
        </w:rPr>
        <w:t xml:space="preserve">9.1  </w:t>
      </w:r>
    </w:p>
    <w:p>
      <w:pPr>
        <w:tabs>
          <w:tab w:val="left" w:pos="1980"/>
        </w:tabs>
        <w:spacing w:beforeLines="80" w:line="360" w:lineRule="auto"/>
        <w:ind w:left="1622"/>
        <w:rPr>
          <w:rFonts w:ascii="宋体" w:hAnsi="宋体" w:cs="宋体"/>
          <w:color w:val="auto"/>
          <w:kern w:val="0"/>
          <w:szCs w:val="21"/>
        </w:rPr>
      </w:pPr>
      <w:r>
        <w:rPr>
          <w:rFonts w:hint="eastAsia" w:ascii="宋体" w:hAnsi="宋体" w:cs="宋体"/>
          <w:color w:val="auto"/>
          <w:kern w:val="0"/>
          <w:szCs w:val="21"/>
        </w:rPr>
        <w:t>发包人招标文件中的合同条款及格式，应被认为是正确的和公平的，并已包括了发包人履行本合同的全部义务，包括但不限于以下内容：</w:t>
      </w:r>
    </w:p>
    <w:p>
      <w:pPr>
        <w:tabs>
          <w:tab w:val="left" w:pos="2160"/>
        </w:tabs>
        <w:spacing w:line="360" w:lineRule="auto"/>
        <w:ind w:firstLine="1417" w:firstLineChars="675"/>
        <w:rPr>
          <w:rFonts w:ascii="宋体" w:hAnsi="宋体" w:cs="宋体"/>
          <w:color w:val="auto"/>
          <w:kern w:val="0"/>
          <w:szCs w:val="21"/>
        </w:rPr>
      </w:pPr>
      <w:r>
        <w:rPr>
          <w:rFonts w:hint="eastAsia" w:ascii="宋体" w:hAnsi="宋体" w:cs="宋体"/>
          <w:color w:val="auto"/>
          <w:kern w:val="0"/>
          <w:szCs w:val="21"/>
        </w:rPr>
        <w:t>（1）支付工程款及其他应付款项的义务；</w:t>
      </w:r>
    </w:p>
    <w:p>
      <w:pPr>
        <w:tabs>
          <w:tab w:val="left" w:pos="2160"/>
        </w:tabs>
        <w:spacing w:line="360" w:lineRule="auto"/>
        <w:ind w:left="-61" w:leftChars="-29" w:firstLine="1470" w:firstLineChars="700"/>
        <w:rPr>
          <w:rFonts w:ascii="宋体" w:hAnsi="宋体" w:cs="宋体"/>
          <w:color w:val="auto"/>
          <w:kern w:val="0"/>
          <w:szCs w:val="21"/>
        </w:rPr>
      </w:pPr>
      <w:r>
        <w:rPr>
          <w:rFonts w:hint="eastAsia" w:ascii="宋体" w:hAnsi="宋体" w:cs="宋体"/>
          <w:color w:val="auto"/>
          <w:kern w:val="0"/>
          <w:szCs w:val="21"/>
        </w:rPr>
        <w:t>（2）完成本合同第19.2款约定工作的义务；</w:t>
      </w:r>
    </w:p>
    <w:p>
      <w:pPr>
        <w:tabs>
          <w:tab w:val="left" w:pos="2160"/>
        </w:tabs>
        <w:spacing w:line="360" w:lineRule="auto"/>
        <w:ind w:left="-61" w:leftChars="-29" w:firstLine="1470" w:firstLineChars="700"/>
        <w:rPr>
          <w:rFonts w:ascii="宋体" w:hAnsi="宋体" w:cs="宋体"/>
          <w:color w:val="auto"/>
          <w:kern w:val="0"/>
          <w:szCs w:val="21"/>
        </w:rPr>
      </w:pPr>
      <w:r>
        <w:rPr>
          <w:rFonts w:hint="eastAsia" w:ascii="宋体" w:hAnsi="宋体" w:cs="宋体"/>
          <w:color w:val="auto"/>
          <w:kern w:val="0"/>
          <w:szCs w:val="21"/>
        </w:rPr>
        <w:t>（3）修正不正确合同条款及格式的义务；</w:t>
      </w:r>
    </w:p>
    <w:p>
      <w:pPr>
        <w:tabs>
          <w:tab w:val="left" w:pos="2160"/>
        </w:tabs>
        <w:spacing w:line="360" w:lineRule="auto"/>
        <w:ind w:left="-61" w:leftChars="-29" w:firstLine="1470" w:firstLineChars="700"/>
        <w:rPr>
          <w:rFonts w:ascii="宋体" w:hAnsi="宋体" w:cs="宋体"/>
          <w:color w:val="auto"/>
          <w:kern w:val="0"/>
          <w:szCs w:val="21"/>
        </w:rPr>
      </w:pPr>
      <w:r>
        <w:rPr>
          <w:rFonts w:hint="eastAsia" w:ascii="宋体" w:hAnsi="宋体" w:cs="宋体"/>
          <w:color w:val="auto"/>
          <w:kern w:val="0"/>
          <w:szCs w:val="21"/>
        </w:rPr>
        <w:t>（4）澄清并改正被认定有失公平的合同条款的义务；</w:t>
      </w:r>
    </w:p>
    <w:p>
      <w:pPr>
        <w:tabs>
          <w:tab w:val="left" w:pos="2160"/>
        </w:tabs>
        <w:spacing w:line="360" w:lineRule="auto"/>
        <w:ind w:left="-61" w:leftChars="-29" w:firstLine="1470" w:firstLineChars="700"/>
        <w:rPr>
          <w:rFonts w:ascii="宋体" w:hAnsi="宋体" w:cs="宋体"/>
          <w:b/>
          <w:color w:val="auto"/>
          <w:kern w:val="0"/>
          <w:szCs w:val="21"/>
        </w:rPr>
      </w:pPr>
      <w:r>
        <w:rPr>
          <w:rFonts w:hint="eastAsia" w:ascii="宋体" w:hAnsi="宋体" w:cs="宋体"/>
          <w:color w:val="auto"/>
          <w:kern w:val="0"/>
          <w:szCs w:val="21"/>
        </w:rPr>
        <w:t>（5）协助承包人实施、完成并保修合同工程的义务。</w:t>
      </w:r>
    </w:p>
    <w:p>
      <w:pPr>
        <w:tabs>
          <w:tab w:val="left" w:pos="2160"/>
        </w:tabs>
        <w:spacing w:line="360" w:lineRule="auto"/>
        <w:rPr>
          <w:rFonts w:ascii="宋体" w:hAnsi="宋体" w:cs="宋体"/>
          <w:b/>
          <w:color w:val="auto"/>
          <w:kern w:val="0"/>
          <w:szCs w:val="21"/>
        </w:rPr>
      </w:pPr>
      <w:r>
        <w:rPr>
          <w:rFonts w:ascii="宋体" w:hAnsi="宋体" w:cs="宋体"/>
          <w:color w:val="auto"/>
          <w:kern w:val="0"/>
          <w:szCs w:val="21"/>
        </w:rPr>
        <mc:AlternateContent>
          <mc:Choice Requires="wps">
            <w:drawing>
              <wp:anchor distT="0" distB="0" distL="114300" distR="114300" simplePos="0" relativeHeight="251917312" behindDoc="0" locked="0" layoutInCell="1" allowOverlap="1">
                <wp:simplePos x="0" y="0"/>
                <wp:positionH relativeFrom="column">
                  <wp:posOffset>45085</wp:posOffset>
                </wp:positionH>
                <wp:positionV relativeFrom="paragraph">
                  <wp:posOffset>187325</wp:posOffset>
                </wp:positionV>
                <wp:extent cx="914400" cy="829310"/>
                <wp:effectExtent l="0" t="0" r="0" b="0"/>
                <wp:wrapNone/>
                <wp:docPr id="381" name="文本框 381"/>
                <wp:cNvGraphicFramePr/>
                <a:graphic xmlns:a="http://schemas.openxmlformats.org/drawingml/2006/main">
                  <a:graphicData uri="http://schemas.microsoft.com/office/word/2010/wordprocessingShape">
                    <wps:wsp>
                      <wps:cNvSpPr txBox="1">
                        <a:spLocks noChangeArrowheads="1"/>
                      </wps:cNvSpPr>
                      <wps:spPr bwMode="auto">
                        <a:xfrm>
                          <a:off x="0" y="0"/>
                          <a:ext cx="914400" cy="829310"/>
                        </a:xfrm>
                        <a:prstGeom prst="rect">
                          <a:avLst/>
                        </a:prstGeom>
                        <a:noFill/>
                        <a:ln>
                          <a:noFill/>
                        </a:ln>
                        <a:effectLst/>
                      </wps:spPr>
                      <wps:txbx>
                        <w:txbxContent>
                          <w:p>
                            <w:pPr>
                              <w:pStyle w:val="46"/>
                              <w:tabs>
                                <w:tab w:val="left" w:pos="2160"/>
                              </w:tabs>
                              <w:spacing w:beforeLines="80"/>
                              <w:rPr>
                                <w:rFonts w:ascii="楷体_GB2312" w:hAnsi="宋体"/>
                                <w:color w:val="FF00FF"/>
                                <w:sz w:val="24"/>
                                <w:szCs w:val="18"/>
                              </w:rPr>
                            </w:pPr>
                            <w:r>
                              <w:rPr>
                                <w:rFonts w:hint="eastAsia" w:ascii="楷体_GB2312" w:hAnsi="宋体"/>
                                <w:b/>
                                <w:color w:val="000000"/>
                                <w:sz w:val="18"/>
                                <w:szCs w:val="18"/>
                              </w:rPr>
                              <w:t>工程量清单准确性和修正</w:t>
                            </w:r>
                          </w:p>
                          <w:p>
                            <w:pPr>
                              <w:rPr>
                                <w:sz w:val="18"/>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55pt;margin-top:14.75pt;height:65.3pt;width:72pt;z-index:251917312;mso-width-relative:page;mso-height-relative:page;" filled="f" stroked="f" coordsize="21600,21600" o:gfxdata="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7jO2t1QAAAAgBAAAPAAAAAAAAAAEAIAAAACIAAABkcnMvZG93bnJl&#10;di54bWxQSwECFAAUAAAACACHTuJAsppLiwACAADYAwAADgAAAAAAAAABACAAAAAkAQAAZHJzL2Uy&#10;b0RvYy54bWxQSwUGAAAAAAYABgBZAQAAlgUAAAAA&#10;">
                <v:fill on="f" focussize="0,0"/>
                <v:stroke on="f"/>
                <v:imagedata o:title=""/>
                <o:lock v:ext="edit" aspectratio="f"/>
                <v:textbox>
                  <w:txbxContent>
                    <w:p>
                      <w:pPr>
                        <w:pStyle w:val="46"/>
                        <w:tabs>
                          <w:tab w:val="left" w:pos="2160"/>
                        </w:tabs>
                        <w:spacing w:beforeLines="80"/>
                        <w:rPr>
                          <w:rFonts w:ascii="楷体_GB2312" w:hAnsi="宋体"/>
                          <w:color w:val="FF00FF"/>
                          <w:sz w:val="24"/>
                          <w:szCs w:val="18"/>
                        </w:rPr>
                      </w:pPr>
                      <w:r>
                        <w:rPr>
                          <w:rFonts w:hint="eastAsia" w:ascii="楷体_GB2312" w:hAnsi="宋体"/>
                          <w:b/>
                          <w:color w:val="000000"/>
                          <w:sz w:val="18"/>
                          <w:szCs w:val="18"/>
                        </w:rPr>
                        <w:t>工程量清单准确性和修正</w:t>
                      </w:r>
                    </w:p>
                    <w:p>
                      <w:pPr>
                        <w:rPr>
                          <w:sz w:val="18"/>
                          <w:szCs w:val="18"/>
                        </w:rPr>
                      </w:pPr>
                    </w:p>
                  </w:txbxContent>
                </v:textbox>
              </v:shape>
            </w:pict>
          </mc:Fallback>
        </mc:AlternateContent>
      </w:r>
      <w:r>
        <w:rPr>
          <w:rFonts w:hint="eastAsia" w:ascii="宋体" w:hAnsi="宋体" w:cs="宋体"/>
          <w:b/>
          <w:color w:val="auto"/>
          <w:kern w:val="0"/>
          <w:szCs w:val="21"/>
        </w:rPr>
        <w:t xml:space="preserve">9.2  </w:t>
      </w:r>
      <w:r>
        <w:rPr>
          <w:rFonts w:hint="eastAsia" w:ascii="宋体" w:hAnsi="宋体" w:cs="宋体"/>
          <w:b/>
          <w:color w:val="auto"/>
          <w:kern w:val="0"/>
          <w:szCs w:val="21"/>
          <w:u w:val="dotted"/>
        </w:rPr>
        <w:t xml:space="preserve">                                                                               </w:t>
      </w:r>
    </w:p>
    <w:p>
      <w:pPr>
        <w:tabs>
          <w:tab w:val="left" w:pos="2160"/>
        </w:tabs>
        <w:spacing w:line="360" w:lineRule="auto"/>
        <w:ind w:left="1791" w:leftChars="828" w:hanging="52" w:hangingChars="25"/>
        <w:rPr>
          <w:rFonts w:ascii="宋体" w:hAnsi="宋体" w:cs="宋体"/>
          <w:color w:val="auto"/>
          <w:kern w:val="0"/>
          <w:szCs w:val="21"/>
        </w:rPr>
      </w:pPr>
      <w:r>
        <w:rPr>
          <w:rFonts w:hint="eastAsia" w:ascii="宋体" w:hAnsi="宋体" w:cs="宋体"/>
          <w:color w:val="auto"/>
          <w:kern w:val="0"/>
          <w:szCs w:val="21"/>
        </w:rPr>
        <w:t>发包人招标文件提供的工程量清单及其招标控制价等资料，应被认为是准确的和完整的。当出现下列情形之一的，发包人应及时予以修正，并相应调整合同价款：</w:t>
      </w:r>
    </w:p>
    <w:p>
      <w:pPr>
        <w:tabs>
          <w:tab w:val="left" w:pos="2160"/>
        </w:tabs>
        <w:spacing w:line="360" w:lineRule="auto"/>
        <w:ind w:firstLine="1575" w:firstLineChars="750"/>
        <w:rPr>
          <w:rFonts w:ascii="宋体" w:hAnsi="宋体" w:cs="宋体"/>
          <w:color w:val="auto"/>
          <w:kern w:val="0"/>
          <w:szCs w:val="21"/>
        </w:rPr>
      </w:pPr>
      <w:r>
        <w:rPr>
          <w:rFonts w:hint="eastAsia" w:ascii="宋体" w:hAnsi="宋体" w:cs="宋体"/>
          <w:color w:val="auto"/>
          <w:kern w:val="0"/>
          <w:szCs w:val="21"/>
        </w:rPr>
        <w:t>（1）施工设计图纸发生变化的；</w:t>
      </w:r>
    </w:p>
    <w:p>
      <w:pPr>
        <w:tabs>
          <w:tab w:val="left" w:pos="2160"/>
        </w:tabs>
        <w:spacing w:line="360" w:lineRule="auto"/>
        <w:ind w:firstLine="1575" w:firstLineChars="750"/>
        <w:rPr>
          <w:rFonts w:ascii="宋体" w:hAnsi="宋体" w:cs="宋体"/>
          <w:color w:val="auto"/>
          <w:kern w:val="0"/>
          <w:szCs w:val="21"/>
        </w:rPr>
      </w:pPr>
      <w:r>
        <w:rPr>
          <w:rFonts w:hint="eastAsia" w:ascii="宋体" w:hAnsi="宋体" w:cs="宋体"/>
          <w:color w:val="auto"/>
          <w:kern w:val="0"/>
          <w:szCs w:val="21"/>
        </w:rPr>
        <w:t>（2）出现第68.2款规定调整合同价款事件的；</w:t>
      </w:r>
    </w:p>
    <w:p>
      <w:pPr>
        <w:tabs>
          <w:tab w:val="left" w:pos="2160"/>
        </w:tabs>
        <w:spacing w:line="360" w:lineRule="auto"/>
        <w:ind w:firstLine="1575" w:firstLineChars="750"/>
        <w:rPr>
          <w:rFonts w:ascii="宋体" w:hAnsi="宋体" w:cs="宋体"/>
          <w:b/>
          <w:color w:val="auto"/>
          <w:kern w:val="0"/>
          <w:szCs w:val="21"/>
          <w:u w:val="single"/>
        </w:rPr>
      </w:pPr>
      <w:r>
        <w:rPr>
          <w:rFonts w:hint="eastAsia" w:ascii="宋体" w:hAnsi="宋体" w:cs="宋体"/>
          <w:color w:val="auto"/>
          <w:kern w:val="0"/>
          <w:szCs w:val="21"/>
        </w:rPr>
        <w:t>（3）未按照国家、省有关计价规定编制的其它情形。</w:t>
      </w:r>
    </w:p>
    <w:p>
      <w:pPr>
        <w:adjustRightInd w:val="0"/>
        <w:snapToGrid w:val="0"/>
        <w:ind w:right="-238"/>
        <w:rPr>
          <w:rFonts w:ascii="宋体" w:hAnsi="宋体" w:cs="宋体"/>
          <w:b/>
          <w:color w:val="auto"/>
          <w:kern w:val="0"/>
          <w:szCs w:val="21"/>
          <w:u w:val="single"/>
        </w:rPr>
      </w:pPr>
      <w:r>
        <w:rPr>
          <w:rFonts w:hint="eastAsia" w:ascii="宋体" w:hAnsi="宋体" w:cs="宋体"/>
          <w:b/>
          <w:color w:val="auto"/>
          <w:kern w:val="0"/>
          <w:szCs w:val="21"/>
          <w:u w:val="single"/>
        </w:rPr>
        <w:t xml:space="preserve">                                                                                   </w:t>
      </w:r>
    </w:p>
    <w:p>
      <w:pPr>
        <w:tabs>
          <w:tab w:val="left" w:pos="1260"/>
        </w:tabs>
        <w:adjustRightInd w:val="0"/>
        <w:snapToGrid w:val="0"/>
        <w:spacing w:beforeLines="50"/>
        <w:ind w:right="-238" w:firstLine="480"/>
        <w:rPr>
          <w:rFonts w:ascii="宋体" w:hAnsi="宋体" w:cs="宋体"/>
          <w:color w:val="auto"/>
          <w:kern w:val="0"/>
          <w:szCs w:val="21"/>
        </w:rPr>
      </w:pPr>
    </w:p>
    <w:p>
      <w:pPr>
        <w:tabs>
          <w:tab w:val="left" w:pos="1260"/>
        </w:tabs>
        <w:adjustRightInd w:val="0"/>
        <w:snapToGrid w:val="0"/>
        <w:spacing w:beforeLines="50" w:line="360" w:lineRule="auto"/>
        <w:ind w:right="-238"/>
        <w:rPr>
          <w:rFonts w:ascii="宋体" w:hAnsi="宋体" w:cs="宋体"/>
          <w:b/>
          <w:color w:val="auto"/>
          <w:kern w:val="0"/>
          <w:szCs w:val="21"/>
        </w:rPr>
      </w:pPr>
      <w:r>
        <w:rPr>
          <w:rFonts w:hint="eastAsia" w:ascii="宋体" w:hAnsi="宋体" w:cs="宋体"/>
          <w:b/>
          <w:color w:val="auto"/>
          <w:kern w:val="0"/>
          <w:szCs w:val="21"/>
        </w:rPr>
        <w:t>10  响应文件的完备性</w:t>
      </w:r>
    </w:p>
    <w:p>
      <w:pPr>
        <w:tabs>
          <w:tab w:val="left" w:pos="1410"/>
        </w:tabs>
        <w:adjustRightInd w:val="0"/>
        <w:snapToGrid w:val="0"/>
        <w:spacing w:line="360" w:lineRule="auto"/>
        <w:rPr>
          <w:rFonts w:ascii="宋体" w:hAnsi="宋体" w:cs="宋体"/>
          <w:b/>
          <w:color w:val="auto"/>
          <w:kern w:val="0"/>
          <w:szCs w:val="21"/>
        </w:rPr>
      </w:pPr>
      <w:r>
        <w:rPr>
          <w:rFonts w:ascii="宋体" w:hAnsi="宋体" w:cs="宋体"/>
          <w:color w:val="auto"/>
          <w:kern w:val="0"/>
          <w:szCs w:val="21"/>
        </w:rPr>
        <mc:AlternateContent>
          <mc:Choice Requires="wps">
            <w:drawing>
              <wp:anchor distT="0" distB="0" distL="114300" distR="114300" simplePos="0" relativeHeight="251905024" behindDoc="0" locked="0" layoutInCell="1" allowOverlap="1">
                <wp:simplePos x="0" y="0"/>
                <wp:positionH relativeFrom="column">
                  <wp:posOffset>-114300</wp:posOffset>
                </wp:positionH>
                <wp:positionV relativeFrom="paragraph">
                  <wp:posOffset>92075</wp:posOffset>
                </wp:positionV>
                <wp:extent cx="914400" cy="812800"/>
                <wp:effectExtent l="0" t="0" r="0" b="0"/>
                <wp:wrapNone/>
                <wp:docPr id="380" name="文本框 380"/>
                <wp:cNvGraphicFramePr/>
                <a:graphic xmlns:a="http://schemas.openxmlformats.org/drawingml/2006/main">
                  <a:graphicData uri="http://schemas.microsoft.com/office/word/2010/wordprocessingShape">
                    <wps:wsp>
                      <wps:cNvSpPr txBox="1">
                        <a:spLocks noChangeArrowheads="1"/>
                      </wps:cNvSpPr>
                      <wps:spPr bwMode="auto">
                        <a:xfrm>
                          <a:off x="0" y="0"/>
                          <a:ext cx="914400" cy="812800"/>
                        </a:xfrm>
                        <a:prstGeom prst="rect">
                          <a:avLst/>
                        </a:prstGeom>
                        <a:noFill/>
                        <a:ln>
                          <a:noFill/>
                        </a:ln>
                        <a:effectLst/>
                      </wps:spPr>
                      <wps:txbx>
                        <w:txbxContent>
                          <w:p>
                            <w:pPr>
                              <w:pStyle w:val="46"/>
                              <w:tabs>
                                <w:tab w:val="left" w:pos="2160"/>
                              </w:tabs>
                              <w:spacing w:beforeLines="80"/>
                              <w:rPr>
                                <w:rFonts w:ascii="楷体_GB2312" w:hAnsi="宋体"/>
                                <w:b/>
                                <w:color w:val="000000"/>
                                <w:sz w:val="18"/>
                                <w:szCs w:val="18"/>
                              </w:rPr>
                            </w:pPr>
                            <w:r>
                              <w:rPr>
                                <w:rFonts w:hint="eastAsia" w:ascii="楷体_GB2312" w:hAnsi="宋体"/>
                                <w:b/>
                                <w:color w:val="000000"/>
                                <w:sz w:val="18"/>
                                <w:szCs w:val="18"/>
                              </w:rPr>
                              <w:t>响应文件完备性和义务</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7.25pt;height:64pt;width:72pt;z-index:251905024;mso-width-relative:page;mso-height-relative:page;" filled="f" stroked="f" coordsize="21600,21600" o:gfxdata="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HbjyhrWAAAACgEAAA8AAAAAAAAAAQAgAAAAIgAAAGRycy9kb3ducmV2&#10;LnhtbFBLAQIUABQAAAAIAIdO4kDSzjY4/gEAANgDAAAOAAAAAAAAAAEAIAAAACUBAABkcnMvZTJv&#10;RG9jLnhtbFBLBQYAAAAABgAGAFkBAACVBQAAAAA=&#10;">
                <v:fill on="f" focussize="0,0"/>
                <v:stroke on="f"/>
                <v:imagedata o:title=""/>
                <o:lock v:ext="edit" aspectratio="f"/>
                <v:textbox>
                  <w:txbxContent>
                    <w:p>
                      <w:pPr>
                        <w:pStyle w:val="46"/>
                        <w:tabs>
                          <w:tab w:val="left" w:pos="2160"/>
                        </w:tabs>
                        <w:spacing w:beforeLines="80"/>
                        <w:rPr>
                          <w:rFonts w:ascii="楷体_GB2312" w:hAnsi="宋体"/>
                          <w:b/>
                          <w:color w:val="000000"/>
                          <w:sz w:val="18"/>
                          <w:szCs w:val="18"/>
                        </w:rPr>
                      </w:pPr>
                      <w:r>
                        <w:rPr>
                          <w:rFonts w:hint="eastAsia" w:ascii="楷体_GB2312" w:hAnsi="宋体"/>
                          <w:b/>
                          <w:color w:val="000000"/>
                          <w:sz w:val="18"/>
                          <w:szCs w:val="18"/>
                        </w:rPr>
                        <w:t>响应文件完备性和义务</w:t>
                      </w:r>
                    </w:p>
                  </w:txbxContent>
                </v:textbox>
              </v:shape>
            </w:pict>
          </mc:Fallback>
        </mc:AlternateContent>
      </w:r>
      <w:r>
        <w:rPr>
          <w:rFonts w:hint="eastAsia" w:ascii="宋体" w:hAnsi="宋体" w:cs="宋体"/>
          <w:b/>
          <w:color w:val="auto"/>
          <w:kern w:val="0"/>
          <w:szCs w:val="21"/>
        </w:rPr>
        <w:t xml:space="preserve">10.1                                      </w:t>
      </w:r>
    </w:p>
    <w:p>
      <w:pPr>
        <w:adjustRightInd w:val="0"/>
        <w:snapToGrid w:val="0"/>
        <w:spacing w:line="360" w:lineRule="auto"/>
        <w:ind w:left="1619" w:leftChars="771"/>
        <w:rPr>
          <w:rFonts w:ascii="宋体" w:hAnsi="宋体" w:cs="宋体"/>
          <w:color w:val="auto"/>
          <w:kern w:val="0"/>
          <w:szCs w:val="21"/>
        </w:rPr>
      </w:pPr>
      <w:r>
        <w:rPr>
          <w:rFonts w:hint="eastAsia" w:ascii="宋体" w:hAnsi="宋体" w:cs="宋体"/>
          <w:color w:val="auto"/>
          <w:kern w:val="0"/>
          <w:szCs w:val="21"/>
        </w:rPr>
        <w:t>承包人响应文件中的工程量清单所填单价和合价，应被认为是正确的和完备的，并已包括了承包人履行本合同的全部义务，包括但不限于以下内容：</w:t>
      </w:r>
    </w:p>
    <w:p>
      <w:pPr>
        <w:numPr>
          <w:ilvl w:val="0"/>
          <w:numId w:val="11"/>
        </w:numPr>
        <w:adjustRightInd w:val="0"/>
        <w:snapToGrid w:val="0"/>
        <w:spacing w:line="360" w:lineRule="auto"/>
        <w:ind w:left="1620" w:right="-240"/>
        <w:rPr>
          <w:rFonts w:ascii="宋体" w:hAnsi="宋体" w:cs="宋体"/>
          <w:color w:val="auto"/>
          <w:kern w:val="0"/>
          <w:szCs w:val="21"/>
        </w:rPr>
      </w:pPr>
      <w:r>
        <w:rPr>
          <w:rFonts w:hint="eastAsia" w:ascii="宋体" w:hAnsi="宋体" w:cs="宋体"/>
          <w:color w:val="auto"/>
          <w:kern w:val="0"/>
          <w:szCs w:val="21"/>
        </w:rPr>
        <w:t xml:space="preserve">提供材料和工程设备、服务的义务及处理意外事件的义务； </w:t>
      </w:r>
    </w:p>
    <w:p>
      <w:pPr>
        <w:numPr>
          <w:ilvl w:val="0"/>
          <w:numId w:val="11"/>
        </w:numPr>
        <w:adjustRightInd w:val="0"/>
        <w:snapToGrid w:val="0"/>
        <w:spacing w:line="360" w:lineRule="auto"/>
        <w:ind w:left="1620" w:right="-240"/>
        <w:rPr>
          <w:rFonts w:ascii="宋体" w:hAnsi="宋体" w:cs="宋体"/>
          <w:color w:val="auto"/>
          <w:kern w:val="0"/>
          <w:szCs w:val="21"/>
        </w:rPr>
      </w:pPr>
      <w:r>
        <w:rPr>
          <w:rFonts w:hint="eastAsia" w:ascii="宋体" w:hAnsi="宋体" w:cs="宋体"/>
          <w:color w:val="auto"/>
          <w:kern w:val="0"/>
          <w:szCs w:val="21"/>
        </w:rPr>
        <w:t>实施和完成合同工程的义务；</w:t>
      </w:r>
    </w:p>
    <w:p>
      <w:pPr>
        <w:numPr>
          <w:ilvl w:val="0"/>
          <w:numId w:val="11"/>
        </w:numPr>
        <w:adjustRightInd w:val="0"/>
        <w:snapToGrid w:val="0"/>
        <w:spacing w:line="360" w:lineRule="auto"/>
        <w:ind w:left="1620" w:right="-240"/>
        <w:rPr>
          <w:rFonts w:ascii="宋体" w:hAnsi="宋体" w:cs="宋体"/>
          <w:color w:val="auto"/>
          <w:kern w:val="0"/>
          <w:szCs w:val="21"/>
        </w:rPr>
      </w:pPr>
      <w:r>
        <w:rPr>
          <w:rFonts w:hint="eastAsia" w:ascii="宋体" w:hAnsi="宋体" w:cs="宋体"/>
          <w:color w:val="auto"/>
          <w:kern w:val="0"/>
          <w:szCs w:val="21"/>
        </w:rPr>
        <w:t>工程质量保修的一切义务。</w:t>
      </w:r>
    </w:p>
    <w:p>
      <w:pPr>
        <w:adjustRightInd w:val="0"/>
        <w:snapToGrid w:val="0"/>
        <w:spacing w:line="360" w:lineRule="auto"/>
        <w:rPr>
          <w:rFonts w:ascii="宋体" w:hAnsi="宋体" w:cs="宋体"/>
          <w:b/>
          <w:color w:val="auto"/>
          <w:kern w:val="0"/>
          <w:szCs w:val="21"/>
        </w:rPr>
      </w:pPr>
      <w:r>
        <w:rPr>
          <w:rFonts w:hint="eastAsia" w:ascii="宋体" w:hAnsi="宋体" w:cs="宋体"/>
          <w:b/>
          <w:color w:val="auto"/>
          <w:kern w:val="0"/>
          <w:szCs w:val="21"/>
        </w:rPr>
        <w:t xml:space="preserve">10.2  </w:t>
      </w:r>
      <w:r>
        <w:rPr>
          <w:rFonts w:hint="eastAsia" w:ascii="宋体" w:hAnsi="宋体" w:cs="宋体"/>
          <w:b/>
          <w:color w:val="auto"/>
          <w:kern w:val="0"/>
          <w:szCs w:val="21"/>
          <w:u w:val="dotted"/>
        </w:rPr>
        <w:t xml:space="preserve">                                                                                                        </w:t>
      </w:r>
      <w:r>
        <w:rPr>
          <w:rFonts w:hint="eastAsia" w:ascii="宋体" w:hAnsi="宋体" w:cs="宋体"/>
          <w:b/>
          <w:color w:val="auto"/>
          <w:kern w:val="0"/>
          <w:szCs w:val="21"/>
        </w:rPr>
        <w:t xml:space="preserve"> </w:t>
      </w:r>
    </w:p>
    <w:p>
      <w:pPr>
        <w:adjustRightInd w:val="0"/>
        <w:snapToGrid w:val="0"/>
        <w:spacing w:line="360" w:lineRule="auto"/>
        <w:ind w:left="1619" w:leftChars="771"/>
        <w:rPr>
          <w:rFonts w:ascii="宋体" w:hAnsi="宋体" w:cs="宋体"/>
          <w:color w:val="auto"/>
          <w:kern w:val="0"/>
          <w:szCs w:val="21"/>
        </w:rPr>
      </w:pPr>
      <w:r>
        <w:rPr>
          <w:rFonts w:ascii="宋体" w:hAnsi="宋体" w:cs="宋体"/>
          <w:color w:val="auto"/>
          <w:kern w:val="0"/>
          <w:szCs w:val="21"/>
        </w:rPr>
        <mc:AlternateContent>
          <mc:Choice Requires="wps">
            <w:drawing>
              <wp:anchor distT="0" distB="0" distL="114300" distR="114300" simplePos="0" relativeHeight="251906048" behindDoc="0" locked="0" layoutInCell="1" allowOverlap="1">
                <wp:simplePos x="0" y="0"/>
                <wp:positionH relativeFrom="column">
                  <wp:posOffset>-114300</wp:posOffset>
                </wp:positionH>
                <wp:positionV relativeFrom="paragraph">
                  <wp:posOffset>8255</wp:posOffset>
                </wp:positionV>
                <wp:extent cx="914400" cy="455295"/>
                <wp:effectExtent l="0" t="0" r="0" b="0"/>
                <wp:wrapNone/>
                <wp:docPr id="379" name="文本框 379"/>
                <wp:cNvGraphicFramePr/>
                <a:graphic xmlns:a="http://schemas.openxmlformats.org/drawingml/2006/main">
                  <a:graphicData uri="http://schemas.microsoft.com/office/word/2010/wordprocessingShape">
                    <wps:wsp>
                      <wps:cNvSpPr txBox="1">
                        <a:spLocks noChangeArrowheads="1"/>
                      </wps:cNvSpPr>
                      <wps:spPr bwMode="auto">
                        <a:xfrm>
                          <a:off x="0" y="0"/>
                          <a:ext cx="914400" cy="455295"/>
                        </a:xfrm>
                        <a:prstGeom prst="rect">
                          <a:avLst/>
                        </a:prstGeom>
                        <a:noFill/>
                        <a:ln>
                          <a:noFill/>
                        </a:ln>
                        <a:effectLst/>
                      </wps:spPr>
                      <wps:txbx>
                        <w:txbxContent>
                          <w:p>
                            <w:pPr>
                              <w:rPr>
                                <w:rFonts w:ascii="楷体_GB2312" w:hAnsi="宋体"/>
                                <w:sz w:val="18"/>
                                <w:szCs w:val="18"/>
                              </w:rPr>
                            </w:pPr>
                            <w:r>
                              <w:rPr>
                                <w:rFonts w:hint="eastAsia" w:ascii="楷体_GB2312" w:hAnsi="宋体"/>
                                <w:b/>
                                <w:color w:val="000000"/>
                                <w:sz w:val="18"/>
                                <w:szCs w:val="18"/>
                              </w:rPr>
                              <w:t>承包人报价的限制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65pt;height:35.85pt;width:72pt;z-index:251906048;mso-width-relative:page;mso-height-relative:page;" filled="f" stroked="f" coordsize="21600,21600" o:gfxdata="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Dv4xD1QAAAAgBAAAPAAAAAAAAAAEAIAAAACIAAABkcnMvZG93bnJl&#10;di54bWxQSwECFAAUAAAACACHTuJAnaG0MAACAADYAwAADgAAAAAAAAABACAAAAAkAQAAZHJzL2Uy&#10;b0RvYy54bWxQSwUGAAAAAAYABgBZAQAAlgUAAAAA&#10;">
                <v:fill on="f" focussize="0,0"/>
                <v:stroke on="f"/>
                <v:imagedata o:title=""/>
                <o:lock v:ext="edit" aspectratio="f"/>
                <v:textbox>
                  <w:txbxContent>
                    <w:p>
                      <w:pPr>
                        <w:rPr>
                          <w:rFonts w:ascii="楷体_GB2312" w:hAnsi="宋体"/>
                          <w:sz w:val="18"/>
                          <w:szCs w:val="18"/>
                        </w:rPr>
                      </w:pPr>
                      <w:r>
                        <w:rPr>
                          <w:rFonts w:hint="eastAsia" w:ascii="楷体_GB2312" w:hAnsi="宋体"/>
                          <w:b/>
                          <w:color w:val="000000"/>
                          <w:sz w:val="18"/>
                          <w:szCs w:val="18"/>
                        </w:rPr>
                        <w:t>承包人报价的限制</w:t>
                      </w:r>
                    </w:p>
                  </w:txbxContent>
                </v:textbox>
              </v:shape>
            </w:pict>
          </mc:Fallback>
        </mc:AlternateContent>
      </w:r>
      <w:r>
        <w:rPr>
          <w:rFonts w:hint="eastAsia" w:ascii="宋体" w:hAnsi="宋体" w:cs="宋体"/>
          <w:color w:val="auto"/>
          <w:kern w:val="0"/>
          <w:szCs w:val="21"/>
        </w:rPr>
        <w:t>承包人响应文件中的工程量清单中没有填入单价或合价的清单项目，应认为该项目价款已包含在工程量清单的其他项目的单价或合价中，发包人将不另行支付。</w:t>
      </w:r>
    </w:p>
    <w:p>
      <w:pPr>
        <w:adjustRightInd w:val="0"/>
        <w:snapToGrid w:val="0"/>
        <w:spacing w:line="360" w:lineRule="auto"/>
        <w:rPr>
          <w:rFonts w:ascii="宋体" w:hAnsi="宋体" w:cs="宋体"/>
          <w:b/>
          <w:color w:val="auto"/>
          <w:kern w:val="0"/>
          <w:szCs w:val="21"/>
        </w:rPr>
      </w:pPr>
      <w:r>
        <w:rPr>
          <w:rFonts w:hint="eastAsia" w:ascii="宋体" w:hAnsi="宋体" w:cs="宋体"/>
          <w:b/>
          <w:color w:val="auto"/>
          <w:kern w:val="0"/>
          <w:szCs w:val="21"/>
        </w:rPr>
        <w:t xml:space="preserve">10.3  </w:t>
      </w:r>
      <w:r>
        <w:rPr>
          <w:rFonts w:hint="eastAsia" w:ascii="宋体" w:hAnsi="宋体" w:cs="宋体"/>
          <w:b/>
          <w:color w:val="auto"/>
          <w:kern w:val="0"/>
          <w:szCs w:val="21"/>
          <w:u w:val="dotted"/>
        </w:rPr>
        <w:t xml:space="preserve">                                                                                                        </w:t>
      </w:r>
      <w:r>
        <w:rPr>
          <w:rFonts w:hint="eastAsia" w:ascii="宋体" w:hAnsi="宋体" w:cs="宋体"/>
          <w:b/>
          <w:color w:val="auto"/>
          <w:kern w:val="0"/>
          <w:szCs w:val="21"/>
        </w:rPr>
        <w:t xml:space="preserve"> </w:t>
      </w:r>
    </w:p>
    <w:p>
      <w:pPr>
        <w:adjustRightInd w:val="0"/>
        <w:snapToGrid w:val="0"/>
        <w:spacing w:line="360" w:lineRule="auto"/>
        <w:ind w:left="1619" w:leftChars="771"/>
        <w:rPr>
          <w:rFonts w:ascii="宋体" w:hAnsi="宋体" w:cs="宋体"/>
          <w:color w:val="auto"/>
          <w:kern w:val="0"/>
          <w:szCs w:val="21"/>
        </w:rPr>
      </w:pPr>
      <w:r>
        <w:rPr>
          <w:rFonts w:ascii="宋体" w:hAnsi="宋体" w:cs="宋体"/>
          <w:color w:val="auto"/>
          <w:kern w:val="0"/>
          <w:szCs w:val="21"/>
        </w:rPr>
        <mc:AlternateContent>
          <mc:Choice Requires="wps">
            <w:drawing>
              <wp:anchor distT="0" distB="0" distL="114300" distR="114300" simplePos="0" relativeHeight="251984896" behindDoc="0" locked="0" layoutInCell="1" allowOverlap="1">
                <wp:simplePos x="0" y="0"/>
                <wp:positionH relativeFrom="column">
                  <wp:posOffset>-114300</wp:posOffset>
                </wp:positionH>
                <wp:positionV relativeFrom="paragraph">
                  <wp:posOffset>8255</wp:posOffset>
                </wp:positionV>
                <wp:extent cx="914400" cy="455295"/>
                <wp:effectExtent l="0" t="0" r="0" b="0"/>
                <wp:wrapNone/>
                <wp:docPr id="378" name="文本框 378"/>
                <wp:cNvGraphicFramePr/>
                <a:graphic xmlns:a="http://schemas.openxmlformats.org/drawingml/2006/main">
                  <a:graphicData uri="http://schemas.microsoft.com/office/word/2010/wordprocessingShape">
                    <wps:wsp>
                      <wps:cNvSpPr txBox="1">
                        <a:spLocks noChangeArrowheads="1"/>
                      </wps:cNvSpPr>
                      <wps:spPr bwMode="auto">
                        <a:xfrm>
                          <a:off x="0" y="0"/>
                          <a:ext cx="914400" cy="455295"/>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算术性错误的调整</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65pt;height:35.85pt;width:72pt;z-index:251984896;mso-width-relative:page;mso-height-relative:page;" filled="f" stroked="f" coordsize="21600,21600" o:gfxdata="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Dv4xD1QAAAAgBAAAPAAAAAAAAAAEAIAAAACIAAABkcnMvZG93bnJl&#10;di54bWxQSwECFAAUAAAACACHTuJAGX4DNAACAADYAwAADgAAAAAAAAABACAAAAAkAQAAZHJzL2Uy&#10;b0RvYy54bWxQSwUGAAAAAAYABgBZAQAAlgU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算术性错误的调整</w:t>
                      </w:r>
                    </w:p>
                  </w:txbxContent>
                </v:textbox>
              </v:shape>
            </w:pict>
          </mc:Fallback>
        </mc:AlternateContent>
      </w:r>
      <w:r>
        <w:rPr>
          <w:rFonts w:hint="eastAsia" w:ascii="宋体" w:hAnsi="宋体" w:cs="宋体"/>
          <w:color w:val="auto"/>
          <w:kern w:val="0"/>
          <w:szCs w:val="21"/>
        </w:rPr>
        <w:t>承包人响应文件中出现算术性错误，导致其实际总造价与报价总金额不一致时，合同双方当事人可按照国家、省有关规定予以修正，并相应调整合同价款。</w:t>
      </w:r>
    </w:p>
    <w:p>
      <w:pPr>
        <w:adjustRightInd w:val="0"/>
        <w:snapToGrid w:val="0"/>
        <w:ind w:left="1423" w:leftChars="1" w:hanging="1421" w:hangingChars="674"/>
        <w:rPr>
          <w:rFonts w:ascii="宋体" w:hAnsi="宋体" w:cs="宋体"/>
          <w:b/>
          <w:color w:val="auto"/>
          <w:kern w:val="0"/>
          <w:szCs w:val="21"/>
        </w:rPr>
      </w:pPr>
      <w:r>
        <w:rPr>
          <w:rFonts w:hint="eastAsia" w:ascii="宋体" w:hAnsi="宋体" w:cs="宋体"/>
          <w:b/>
          <w:color w:val="auto"/>
          <w:kern w:val="0"/>
          <w:szCs w:val="21"/>
          <w:u w:val="single"/>
        </w:rPr>
        <w:t xml:space="preserve">                                                                                                 </w:t>
      </w:r>
    </w:p>
    <w:p>
      <w:pPr>
        <w:adjustRightInd w:val="0"/>
        <w:snapToGrid w:val="0"/>
        <w:spacing w:beforeLines="100" w:line="240" w:lineRule="exact"/>
        <w:ind w:right="-238" w:firstLine="601"/>
        <w:rPr>
          <w:rFonts w:ascii="宋体" w:hAnsi="宋体" w:cs="宋体"/>
          <w:b/>
          <w:color w:val="auto"/>
          <w:kern w:val="0"/>
          <w:szCs w:val="21"/>
        </w:rPr>
      </w:pPr>
    </w:p>
    <w:p>
      <w:pPr>
        <w:adjustRightInd w:val="0"/>
        <w:snapToGrid w:val="0"/>
        <w:spacing w:beforeLines="100" w:line="360" w:lineRule="auto"/>
        <w:ind w:right="-238"/>
        <w:rPr>
          <w:rFonts w:ascii="宋体" w:hAnsi="宋体" w:cs="宋体"/>
          <w:b/>
          <w:color w:val="auto"/>
          <w:kern w:val="0"/>
          <w:szCs w:val="21"/>
        </w:rPr>
      </w:pPr>
      <w:r>
        <w:rPr>
          <w:rFonts w:hint="eastAsia" w:ascii="宋体" w:hAnsi="宋体" w:cs="宋体"/>
          <w:b/>
          <w:color w:val="auto"/>
          <w:kern w:val="0"/>
          <w:szCs w:val="21"/>
        </w:rPr>
        <w:t>11  文物和地下障碍物</w:t>
      </w:r>
    </w:p>
    <w:p>
      <w:pPr>
        <w:adjustRightInd w:val="0"/>
        <w:snapToGrid w:val="0"/>
        <w:spacing w:line="360" w:lineRule="auto"/>
        <w:rPr>
          <w:rFonts w:ascii="宋体" w:hAnsi="宋体" w:cs="宋体"/>
          <w:color w:val="auto"/>
          <w:kern w:val="0"/>
          <w:szCs w:val="21"/>
        </w:rPr>
      </w:pPr>
      <w:r>
        <w:rPr>
          <w:rFonts w:hint="eastAsia" w:ascii="宋体" w:hAnsi="宋体" w:cs="宋体"/>
          <w:b/>
          <w:color w:val="auto"/>
          <w:kern w:val="0"/>
          <w:szCs w:val="21"/>
        </w:rPr>
        <w:t xml:space="preserve">11.1  </w:t>
      </w:r>
      <w:r>
        <w:rPr>
          <w:rFonts w:hint="eastAsia" w:ascii="宋体" w:hAnsi="宋体" w:cs="宋体"/>
          <w:color w:val="auto"/>
          <w:kern w:val="0"/>
          <w:szCs w:val="21"/>
        </w:rPr>
        <w:t xml:space="preserve">                                     </w:t>
      </w:r>
    </w:p>
    <w:p>
      <w:pPr>
        <w:adjustRightInd w:val="0"/>
        <w:snapToGrid w:val="0"/>
        <w:spacing w:line="360" w:lineRule="auto"/>
        <w:ind w:left="1619" w:leftChars="771"/>
        <w:rPr>
          <w:rFonts w:ascii="宋体" w:hAnsi="宋体" w:cs="宋体"/>
          <w:color w:val="auto"/>
          <w:kern w:val="0"/>
          <w:szCs w:val="21"/>
        </w:rPr>
      </w:pPr>
      <w:r>
        <w:rPr>
          <w:rFonts w:ascii="宋体" w:hAnsi="宋体" w:cs="宋体"/>
          <w:color w:val="auto"/>
          <w:kern w:val="0"/>
          <w:szCs w:val="21"/>
        </w:rPr>
        <mc:AlternateContent>
          <mc:Choice Requires="wps">
            <w:drawing>
              <wp:anchor distT="0" distB="0" distL="114300" distR="114300" simplePos="0" relativeHeight="251753472" behindDoc="0" locked="0" layoutInCell="1" allowOverlap="1">
                <wp:simplePos x="0" y="0"/>
                <wp:positionH relativeFrom="column">
                  <wp:posOffset>-114300</wp:posOffset>
                </wp:positionH>
                <wp:positionV relativeFrom="paragraph">
                  <wp:posOffset>-7620</wp:posOffset>
                </wp:positionV>
                <wp:extent cx="914400" cy="495300"/>
                <wp:effectExtent l="0" t="0" r="0" b="0"/>
                <wp:wrapNone/>
                <wp:docPr id="377" name="文本框 377"/>
                <wp:cNvGraphicFramePr/>
                <a:graphic xmlns:a="http://schemas.openxmlformats.org/drawingml/2006/main">
                  <a:graphicData uri="http://schemas.microsoft.com/office/word/2010/wordprocessingShape">
                    <wps:wsp>
                      <wps:cNvSpPr txBox="1">
                        <a:spLocks noChangeArrowheads="1"/>
                      </wps:cNvSpPr>
                      <wps:spPr bwMode="auto">
                        <a:xfrm>
                          <a:off x="0" y="0"/>
                          <a:ext cx="914400" cy="495300"/>
                        </a:xfrm>
                        <a:prstGeom prst="rect">
                          <a:avLst/>
                        </a:prstGeom>
                        <a:noFill/>
                        <a:ln>
                          <a:noFill/>
                        </a:ln>
                        <a:effectLst/>
                      </wps:spPr>
                      <wps:txbx>
                        <w:txbxContent>
                          <w:p>
                            <w:pPr>
                              <w:rPr>
                                <w:rFonts w:ascii="楷体_GB2312" w:hAnsi="宋体"/>
                                <w:sz w:val="18"/>
                                <w:szCs w:val="18"/>
                              </w:rPr>
                            </w:pPr>
                            <w:r>
                              <w:rPr>
                                <w:rFonts w:hint="eastAsia" w:ascii="楷体_GB2312" w:hAnsi="宋体"/>
                                <w:b/>
                                <w:color w:val="000000"/>
                                <w:sz w:val="18"/>
                                <w:szCs w:val="18"/>
                              </w:rPr>
                              <w:t>文物化石等物品保护</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6pt;height:39pt;width:72pt;z-index:251753472;mso-width-relative:page;mso-height-relative:page;" filled="f" stroked="f" coordsize="21600,21600" o:gfxdata="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jYe621gAAAAkBAAAPAAAAAAAAAAEAIAAAACIAAABkcnMvZG93bnJl&#10;di54bWxQSwECFAAUAAAACACHTuJAvQ6HfP8BAADYAwAADgAAAAAAAAABACAAAAAlAQAAZHJzL2Uy&#10;b0RvYy54bWxQSwUGAAAAAAYABgBZAQAAlgUAAAAA&#10;">
                <v:fill on="f" focussize="0,0"/>
                <v:stroke on="f"/>
                <v:imagedata o:title=""/>
                <o:lock v:ext="edit" aspectratio="f"/>
                <v:textbox>
                  <w:txbxContent>
                    <w:p>
                      <w:pPr>
                        <w:rPr>
                          <w:rFonts w:ascii="楷体_GB2312" w:hAnsi="宋体"/>
                          <w:sz w:val="18"/>
                          <w:szCs w:val="18"/>
                        </w:rPr>
                      </w:pPr>
                      <w:r>
                        <w:rPr>
                          <w:rFonts w:hint="eastAsia" w:ascii="楷体_GB2312" w:hAnsi="宋体"/>
                          <w:b/>
                          <w:color w:val="000000"/>
                          <w:sz w:val="18"/>
                          <w:szCs w:val="18"/>
                        </w:rPr>
                        <w:t>文物化石等物品保护</w:t>
                      </w:r>
                    </w:p>
                  </w:txbxContent>
                </v:textbox>
              </v:shape>
            </w:pict>
          </mc:Fallback>
        </mc:AlternateContent>
      </w:r>
      <w:r>
        <w:rPr>
          <w:rFonts w:hint="eastAsia" w:ascii="宋体" w:hAnsi="宋体" w:cs="宋体"/>
          <w:color w:val="auto"/>
          <w:kern w:val="0"/>
          <w:szCs w:val="21"/>
        </w:rPr>
        <w:t>在施工现场发现的古墓、古建筑遗址等文物、古迹以及其他具有考古、地质研究等价值的遗迹、化石、钱币或物品，属于国家所有。一旦发现上述文物，承包人应立即保护好现场，防止任何人员移动或损坏上述文物，并于4小时内以书面形式通知监理工程师和发包人。监理工程师应在收到通知后立即指令承包人继续保护好现场，并在收到通知后24小时内报告当地文物管理部门，合同双方当事人应按照文物管理部门的要求采取妥善保护措施。发包人承担由此增加的费用和（或）工期延误，并向承包人支付合理利润。</w:t>
      </w:r>
      <w:r>
        <w:rPr>
          <w:rFonts w:hint="eastAsia" w:ascii="宋体" w:hAnsi="宋体" w:cs="宋体"/>
          <w:color w:val="auto"/>
          <w:kern w:val="0"/>
          <w:szCs w:val="21"/>
        </w:rPr>
        <w:br w:type="textWrapping"/>
      </w:r>
      <w:r>
        <w:rPr>
          <w:rFonts w:hint="eastAsia" w:ascii="宋体" w:hAnsi="宋体" w:cs="宋体"/>
          <w:color w:val="auto"/>
          <w:kern w:val="0"/>
          <w:szCs w:val="21"/>
        </w:rPr>
        <w:t>如发现文物后隐瞒不报或报告不及时，导致上述文物丢失或遭受破坏的，由责任方赔偿损失，并承担相应的法律责任。</w:t>
      </w:r>
    </w:p>
    <w:p>
      <w:pPr>
        <w:adjustRightInd w:val="0"/>
        <w:snapToGrid w:val="0"/>
        <w:spacing w:line="360" w:lineRule="auto"/>
        <w:rPr>
          <w:rFonts w:ascii="宋体" w:hAnsi="宋体" w:cs="宋体"/>
          <w:b/>
          <w:color w:val="auto"/>
          <w:kern w:val="0"/>
          <w:szCs w:val="21"/>
        </w:rPr>
      </w:pPr>
    </w:p>
    <w:p>
      <w:pPr>
        <w:adjustRightInd w:val="0"/>
        <w:snapToGrid w:val="0"/>
        <w:spacing w:line="480" w:lineRule="auto"/>
        <w:rPr>
          <w:rFonts w:ascii="宋体" w:hAnsi="宋体" w:cs="宋体"/>
          <w:b/>
          <w:color w:val="auto"/>
          <w:kern w:val="0"/>
          <w:szCs w:val="21"/>
        </w:rPr>
      </w:pPr>
      <w:r>
        <w:rPr>
          <w:rFonts w:ascii="宋体" w:hAnsi="宋体" w:cs="宋体"/>
          <w:color w:val="auto"/>
          <w:kern w:val="0"/>
          <w:szCs w:val="21"/>
        </w:rPr>
        <mc:AlternateContent>
          <mc:Choice Requires="wps">
            <w:drawing>
              <wp:anchor distT="0" distB="0" distL="114300" distR="114300" simplePos="0" relativeHeight="251754496" behindDoc="0" locked="0" layoutInCell="1" allowOverlap="1">
                <wp:simplePos x="0" y="0"/>
                <wp:positionH relativeFrom="column">
                  <wp:posOffset>-114300</wp:posOffset>
                </wp:positionH>
                <wp:positionV relativeFrom="paragraph">
                  <wp:posOffset>233045</wp:posOffset>
                </wp:positionV>
                <wp:extent cx="914400" cy="495300"/>
                <wp:effectExtent l="0" t="0" r="0" b="0"/>
                <wp:wrapNone/>
                <wp:docPr id="376" name="文本框 376"/>
                <wp:cNvGraphicFramePr/>
                <a:graphic xmlns:a="http://schemas.openxmlformats.org/drawingml/2006/main">
                  <a:graphicData uri="http://schemas.microsoft.com/office/word/2010/wordprocessingShape">
                    <wps:wsp>
                      <wps:cNvSpPr txBox="1">
                        <a:spLocks noChangeArrowheads="1"/>
                      </wps:cNvSpPr>
                      <wps:spPr bwMode="auto">
                        <a:xfrm>
                          <a:off x="0" y="0"/>
                          <a:ext cx="914400" cy="495300"/>
                        </a:xfrm>
                        <a:prstGeom prst="rect">
                          <a:avLst/>
                        </a:prstGeom>
                        <a:noFill/>
                        <a:ln>
                          <a:noFill/>
                        </a:ln>
                        <a:effectLst/>
                      </wps:spPr>
                      <wps:txbx>
                        <w:txbxContent>
                          <w:p>
                            <w:pPr>
                              <w:rPr>
                                <w:rFonts w:ascii="楷体_GB2312" w:hAnsi="宋体"/>
                                <w:sz w:val="18"/>
                                <w:szCs w:val="18"/>
                              </w:rPr>
                            </w:pPr>
                            <w:r>
                              <w:rPr>
                                <w:rFonts w:hint="eastAsia" w:ascii="楷体_GB2312" w:hAnsi="宋体"/>
                                <w:b/>
                                <w:color w:val="000000"/>
                                <w:sz w:val="18"/>
                                <w:szCs w:val="18"/>
                              </w:rPr>
                              <w:t>地下障碍物处置</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8.35pt;height:39pt;width:72pt;z-index:251754496;mso-width-relative:page;mso-height-relative:page;" filled="f" stroked="f" coordsize="21600,21600" o:gfxdata="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N89neDYAAAACgEAAA8AAAAAAAAAAQAgAAAAIgAAAGRycy9kb3du&#10;cmV2LnhtbFBLAQIUABQAAAAIAIdO4kA50TB4/wEAANgDAAAOAAAAAAAAAAEAIAAAACcBAABkcnMv&#10;ZTJvRG9jLnhtbFBLBQYAAAAABgAGAFkBAACYBQAAAAA=&#10;">
                <v:fill on="f" focussize="0,0"/>
                <v:stroke on="f"/>
                <v:imagedata o:title=""/>
                <o:lock v:ext="edit" aspectratio="f"/>
                <v:textbox>
                  <w:txbxContent>
                    <w:p>
                      <w:pPr>
                        <w:rPr>
                          <w:rFonts w:ascii="楷体_GB2312" w:hAnsi="宋体"/>
                          <w:sz w:val="18"/>
                          <w:szCs w:val="18"/>
                        </w:rPr>
                      </w:pPr>
                      <w:r>
                        <w:rPr>
                          <w:rFonts w:hint="eastAsia" w:ascii="楷体_GB2312" w:hAnsi="宋体"/>
                          <w:b/>
                          <w:color w:val="000000"/>
                          <w:sz w:val="18"/>
                          <w:szCs w:val="18"/>
                        </w:rPr>
                        <w:t>地下障碍物处置</w:t>
                      </w:r>
                    </w:p>
                  </w:txbxContent>
                </v:textbox>
              </v:shape>
            </w:pict>
          </mc:Fallback>
        </mc:AlternateContent>
      </w:r>
      <w:r>
        <w:rPr>
          <w:rFonts w:hint="eastAsia" w:ascii="宋体" w:hAnsi="宋体" w:cs="宋体"/>
          <w:b/>
          <w:color w:val="auto"/>
          <w:kern w:val="0"/>
          <w:szCs w:val="21"/>
        </w:rPr>
        <w:t xml:space="preserve">11.2  </w:t>
      </w:r>
      <w:r>
        <w:rPr>
          <w:rFonts w:hint="eastAsia" w:ascii="宋体" w:hAnsi="宋体" w:cs="宋体"/>
          <w:b/>
          <w:color w:val="auto"/>
          <w:kern w:val="0"/>
          <w:szCs w:val="21"/>
          <w:u w:val="dotted"/>
        </w:rPr>
        <w:t xml:space="preserve">                                                                                                       </w:t>
      </w:r>
    </w:p>
    <w:p>
      <w:pPr>
        <w:adjustRightInd w:val="0"/>
        <w:snapToGrid w:val="0"/>
        <w:spacing w:line="360" w:lineRule="auto"/>
        <w:ind w:left="1619" w:leftChars="771"/>
        <w:rPr>
          <w:rFonts w:ascii="宋体" w:hAnsi="宋体" w:cs="宋体"/>
          <w:color w:val="auto"/>
          <w:kern w:val="0"/>
          <w:szCs w:val="21"/>
        </w:rPr>
      </w:pPr>
      <w:r>
        <w:rPr>
          <w:rFonts w:hint="eastAsia" w:ascii="宋体" w:hAnsi="宋体" w:cs="宋体"/>
          <w:color w:val="auto"/>
          <w:kern w:val="0"/>
          <w:szCs w:val="21"/>
        </w:rPr>
        <w:t>本合同已明确指出的地下障碍物，应视为承包人在投标报价时已预见其对施工的影响，并已在合同价款中考虑。</w:t>
      </w:r>
    </w:p>
    <w:p>
      <w:pPr>
        <w:adjustRightInd w:val="0"/>
        <w:snapToGrid w:val="0"/>
        <w:spacing w:line="360" w:lineRule="auto"/>
        <w:ind w:left="1619" w:leftChars="771"/>
        <w:rPr>
          <w:rFonts w:ascii="宋体" w:hAnsi="宋体" w:cs="宋体"/>
          <w:color w:val="auto"/>
          <w:kern w:val="0"/>
          <w:szCs w:val="21"/>
        </w:rPr>
      </w:pPr>
      <w:r>
        <w:rPr>
          <w:rFonts w:hint="eastAsia" w:ascii="宋体" w:hAnsi="宋体" w:cs="宋体"/>
          <w:color w:val="auto"/>
          <w:kern w:val="0"/>
          <w:szCs w:val="21"/>
        </w:rPr>
        <w:t>本合同未有明确指出的地下障碍物，在施工过程遇到时，承包人应于8小时内以书面形式通知监理工程师和发包人，并提出处置方案。监理工程师在收到处置方案后24小时内予以确认或提出修正方案，并发出施工指令。承包人应按照监理工程师指令进行施工。发包人应承担由此增加的费用和（或）延误的工期，并向承包人支付合理利润。</w:t>
      </w:r>
    </w:p>
    <w:p>
      <w:pPr>
        <w:adjustRightInd w:val="0"/>
        <w:snapToGrid w:val="0"/>
        <w:spacing w:line="360" w:lineRule="auto"/>
        <w:ind w:right="-238"/>
        <w:rPr>
          <w:rFonts w:ascii="宋体" w:hAnsi="宋体" w:cs="宋体"/>
          <w:b/>
          <w:color w:val="auto"/>
          <w:kern w:val="0"/>
          <w:szCs w:val="21"/>
          <w:u w:val="single"/>
        </w:rPr>
      </w:pPr>
      <w:r>
        <w:rPr>
          <w:rFonts w:hint="eastAsia" w:ascii="宋体" w:hAnsi="宋体" w:cs="宋体"/>
          <w:b/>
          <w:color w:val="auto"/>
          <w:kern w:val="0"/>
          <w:szCs w:val="21"/>
          <w:u w:val="single"/>
        </w:rPr>
        <w:t xml:space="preserve">                                                                                                             </w:t>
      </w:r>
    </w:p>
    <w:p>
      <w:pPr>
        <w:tabs>
          <w:tab w:val="left" w:pos="1620"/>
        </w:tabs>
        <w:adjustRightInd w:val="0"/>
        <w:snapToGrid w:val="0"/>
        <w:spacing w:beforeLines="100"/>
        <w:ind w:right="-238" w:firstLine="482"/>
        <w:rPr>
          <w:rFonts w:ascii="宋体" w:hAnsi="宋体" w:cs="宋体"/>
          <w:b/>
          <w:color w:val="auto"/>
          <w:kern w:val="0"/>
          <w:szCs w:val="21"/>
        </w:rPr>
      </w:pPr>
    </w:p>
    <w:p>
      <w:pPr>
        <w:tabs>
          <w:tab w:val="left" w:pos="1620"/>
        </w:tabs>
        <w:adjustRightInd w:val="0"/>
        <w:snapToGrid w:val="0"/>
        <w:spacing w:beforeLines="100" w:line="360" w:lineRule="auto"/>
        <w:ind w:right="-238"/>
        <w:rPr>
          <w:rFonts w:ascii="宋体" w:hAnsi="宋体" w:cs="宋体"/>
          <w:b/>
          <w:color w:val="auto"/>
          <w:kern w:val="0"/>
          <w:szCs w:val="21"/>
        </w:rPr>
      </w:pPr>
      <w:r>
        <w:rPr>
          <w:rFonts w:hint="eastAsia" w:ascii="宋体" w:hAnsi="宋体" w:cs="宋体"/>
          <w:b/>
          <w:color w:val="auto"/>
          <w:kern w:val="0"/>
          <w:szCs w:val="21"/>
        </w:rPr>
        <w:t>12  事故处理</w:t>
      </w:r>
    </w:p>
    <w:p>
      <w:pPr>
        <w:adjustRightInd w:val="0"/>
        <w:snapToGrid w:val="0"/>
        <w:spacing w:line="360" w:lineRule="auto"/>
        <w:rPr>
          <w:rFonts w:ascii="宋体" w:hAnsi="宋体" w:cs="宋体"/>
          <w:b/>
          <w:color w:val="auto"/>
          <w:kern w:val="0"/>
          <w:szCs w:val="21"/>
        </w:rPr>
      </w:pPr>
      <w:r>
        <w:rPr>
          <w:rFonts w:ascii="宋体" w:hAnsi="宋体" w:cs="宋体"/>
          <w:color w:val="auto"/>
          <w:kern w:val="0"/>
          <w:szCs w:val="21"/>
        </w:rPr>
        <mc:AlternateContent>
          <mc:Choice Requires="wps">
            <w:drawing>
              <wp:anchor distT="0" distB="0" distL="114300" distR="114300" simplePos="0" relativeHeight="251755520" behindDoc="0" locked="0" layoutInCell="1" allowOverlap="1">
                <wp:simplePos x="0" y="0"/>
                <wp:positionH relativeFrom="column">
                  <wp:posOffset>-114300</wp:posOffset>
                </wp:positionH>
                <wp:positionV relativeFrom="paragraph">
                  <wp:posOffset>229235</wp:posOffset>
                </wp:positionV>
                <wp:extent cx="1028700" cy="523875"/>
                <wp:effectExtent l="0" t="0" r="0" b="0"/>
                <wp:wrapNone/>
                <wp:docPr id="375" name="文本框 375"/>
                <wp:cNvGraphicFramePr/>
                <a:graphic xmlns:a="http://schemas.openxmlformats.org/drawingml/2006/main">
                  <a:graphicData uri="http://schemas.microsoft.com/office/word/2010/wordprocessingShape">
                    <wps:wsp>
                      <wps:cNvSpPr txBox="1">
                        <a:spLocks noChangeArrowheads="1"/>
                      </wps:cNvSpPr>
                      <wps:spPr bwMode="auto">
                        <a:xfrm>
                          <a:off x="0" y="0"/>
                          <a:ext cx="1028700" cy="523875"/>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发生事故的通</w:t>
                            </w:r>
                          </w:p>
                          <w:p>
                            <w:pPr>
                              <w:rPr>
                                <w:rFonts w:ascii="楷体_GB2312" w:hAnsi="宋体"/>
                                <w:b/>
                                <w:color w:val="000000"/>
                                <w:sz w:val="18"/>
                                <w:szCs w:val="18"/>
                              </w:rPr>
                            </w:pPr>
                            <w:r>
                              <w:rPr>
                                <w:rFonts w:hint="eastAsia" w:ascii="楷体_GB2312" w:hAnsi="宋体"/>
                                <w:b/>
                                <w:color w:val="000000"/>
                                <w:sz w:val="18"/>
                                <w:szCs w:val="18"/>
                              </w:rPr>
                              <w:t>知</w:t>
                            </w:r>
                          </w:p>
                          <w:p>
                            <w:pPr>
                              <w:rPr>
                                <w:color w:val="000000"/>
                                <w:sz w:val="18"/>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8.05pt;height:41.25pt;width:81pt;z-index:251755520;mso-width-relative:page;mso-height-relative:page;" filled="f" stroked="f" coordsize="21600,21600" o:gfxdata="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UBsYf1gAAAAoBAAAPAAAAAAAAAAEAIAAAACIAAABkcnMvZG93&#10;bnJldi54bWxQSwECFAAUAAAACACHTuJAYjLaJAICAADZAwAADgAAAAAAAAABACAAAAAlAQAAZHJz&#10;L2Uyb0RvYy54bWxQSwUGAAAAAAYABgBZAQAAmQU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发生事故的通</w:t>
                      </w:r>
                    </w:p>
                    <w:p>
                      <w:pPr>
                        <w:rPr>
                          <w:rFonts w:ascii="楷体_GB2312" w:hAnsi="宋体"/>
                          <w:b/>
                          <w:color w:val="000000"/>
                          <w:sz w:val="18"/>
                          <w:szCs w:val="18"/>
                        </w:rPr>
                      </w:pPr>
                      <w:r>
                        <w:rPr>
                          <w:rFonts w:hint="eastAsia" w:ascii="楷体_GB2312" w:hAnsi="宋体"/>
                          <w:b/>
                          <w:color w:val="000000"/>
                          <w:sz w:val="18"/>
                          <w:szCs w:val="18"/>
                        </w:rPr>
                        <w:t>知</w:t>
                      </w:r>
                    </w:p>
                    <w:p>
                      <w:pPr>
                        <w:rPr>
                          <w:color w:val="000000"/>
                          <w:sz w:val="18"/>
                          <w:szCs w:val="18"/>
                        </w:rPr>
                      </w:pPr>
                    </w:p>
                  </w:txbxContent>
                </v:textbox>
              </v:shape>
            </w:pict>
          </mc:Fallback>
        </mc:AlternateContent>
      </w:r>
      <w:r>
        <w:rPr>
          <w:rFonts w:hint="eastAsia" w:ascii="宋体" w:hAnsi="宋体" w:cs="宋体"/>
          <w:b/>
          <w:color w:val="auto"/>
          <w:kern w:val="0"/>
          <w:szCs w:val="21"/>
        </w:rPr>
        <w:t xml:space="preserve">12.1                   </w:t>
      </w:r>
    </w:p>
    <w:p>
      <w:pPr>
        <w:adjustRightInd w:val="0"/>
        <w:snapToGrid w:val="0"/>
        <w:spacing w:line="360" w:lineRule="auto"/>
        <w:ind w:left="1619" w:leftChars="771"/>
        <w:rPr>
          <w:rFonts w:ascii="宋体" w:hAnsi="宋体" w:cs="宋体"/>
          <w:color w:val="auto"/>
          <w:kern w:val="0"/>
          <w:szCs w:val="21"/>
        </w:rPr>
      </w:pPr>
      <w:r>
        <w:rPr>
          <w:rFonts w:hint="eastAsia" w:ascii="宋体" w:hAnsi="宋体" w:cs="宋体"/>
          <w:color w:val="auto"/>
          <w:kern w:val="0"/>
          <w:szCs w:val="21"/>
        </w:rPr>
        <w:t>合同履行期间，合同工程发生质量与安全事故，承包人立即通知监理工程师和发包人。</w:t>
      </w:r>
    </w:p>
    <w:p>
      <w:pPr>
        <w:adjustRightInd w:val="0"/>
        <w:snapToGrid w:val="0"/>
        <w:spacing w:line="480" w:lineRule="auto"/>
        <w:rPr>
          <w:rFonts w:ascii="宋体" w:hAnsi="宋体" w:cs="宋体"/>
          <w:color w:val="auto"/>
          <w:kern w:val="0"/>
          <w:szCs w:val="21"/>
        </w:rPr>
      </w:pPr>
      <w:r>
        <w:rPr>
          <w:rFonts w:ascii="宋体" w:hAnsi="宋体" w:cs="宋体"/>
          <w:color w:val="auto"/>
          <w:kern w:val="0"/>
          <w:szCs w:val="21"/>
        </w:rPr>
        <mc:AlternateContent>
          <mc:Choice Requires="wps">
            <w:drawing>
              <wp:anchor distT="0" distB="0" distL="114300" distR="114300" simplePos="0" relativeHeight="251897856" behindDoc="0" locked="0" layoutInCell="1" allowOverlap="1">
                <wp:simplePos x="0" y="0"/>
                <wp:positionH relativeFrom="column">
                  <wp:posOffset>-114300</wp:posOffset>
                </wp:positionH>
                <wp:positionV relativeFrom="paragraph">
                  <wp:posOffset>224790</wp:posOffset>
                </wp:positionV>
                <wp:extent cx="1028700" cy="297180"/>
                <wp:effectExtent l="0" t="0" r="0" b="0"/>
                <wp:wrapNone/>
                <wp:docPr id="374" name="文本框 374"/>
                <wp:cNvGraphicFramePr/>
                <a:graphic xmlns:a="http://schemas.openxmlformats.org/drawingml/2006/main">
                  <a:graphicData uri="http://schemas.microsoft.com/office/word/2010/wordprocessingShape">
                    <wps:wsp>
                      <wps:cNvSpPr txBox="1">
                        <a:spLocks noChangeArrowheads="1"/>
                      </wps:cNvSpPr>
                      <wps:spPr bwMode="auto">
                        <a:xfrm>
                          <a:off x="0" y="0"/>
                          <a:ext cx="1028700" cy="297180"/>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事故的处理</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7.7pt;height:23.4pt;width:81pt;z-index:251897856;mso-width-relative:page;mso-height-relative:page;" filled="f" stroked="f" coordsize="21600,21600" o:gfxdata="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tZyZZdYAAAAJAQAADwAAAAAAAAABACAAAAAiAAAAZHJzL2Rv&#10;d25yZXYueG1sUEsBAhQAFAAAAAgAh07iQFCTPEQDAgAA2QMAAA4AAAAAAAAAAQAgAAAAJQEAAGRy&#10;cy9lMm9Eb2MueG1sUEsFBgAAAAAGAAYAWQEAAJoFA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事故的处理</w:t>
                      </w:r>
                    </w:p>
                  </w:txbxContent>
                </v:textbox>
              </v:shape>
            </w:pict>
          </mc:Fallback>
        </mc:AlternateContent>
      </w:r>
      <w:r>
        <w:rPr>
          <w:rFonts w:hint="eastAsia" w:ascii="宋体" w:hAnsi="宋体" w:cs="宋体"/>
          <w:b/>
          <w:color w:val="auto"/>
          <w:kern w:val="0"/>
          <w:szCs w:val="21"/>
        </w:rPr>
        <w:t xml:space="preserve">12.2 </w:t>
      </w:r>
      <w:r>
        <w:rPr>
          <w:rFonts w:hint="eastAsia" w:ascii="宋体" w:hAnsi="宋体" w:cs="宋体"/>
          <w:color w:val="auto"/>
          <w:kern w:val="0"/>
          <w:szCs w:val="21"/>
        </w:rPr>
        <w:t xml:space="preserve"> </w:t>
      </w:r>
      <w:r>
        <w:rPr>
          <w:rFonts w:hint="eastAsia" w:ascii="宋体" w:hAnsi="宋体" w:cs="宋体"/>
          <w:color w:val="auto"/>
          <w:kern w:val="0"/>
          <w:szCs w:val="21"/>
          <w:u w:val="dotted"/>
        </w:rPr>
        <w:t xml:space="preserve">                                                                                                        </w:t>
      </w:r>
    </w:p>
    <w:p>
      <w:pPr>
        <w:adjustRightInd w:val="0"/>
        <w:snapToGrid w:val="0"/>
        <w:spacing w:line="360" w:lineRule="auto"/>
        <w:ind w:left="1619" w:leftChars="771"/>
        <w:rPr>
          <w:rFonts w:ascii="宋体" w:hAnsi="宋体" w:cs="宋体"/>
          <w:color w:val="auto"/>
          <w:kern w:val="0"/>
          <w:szCs w:val="21"/>
        </w:rPr>
      </w:pPr>
      <w:r>
        <w:rPr>
          <w:rFonts w:hint="eastAsia" w:ascii="宋体" w:hAnsi="宋体" w:cs="宋体"/>
          <w:color w:val="auto"/>
          <w:kern w:val="0"/>
          <w:szCs w:val="21"/>
        </w:rPr>
        <w:t>接到事故通知后，合同双方当事人应立即组织人员和设备进行紧急抢救和抢修，减少人员伤亡和财产损失，防止事故扩大，并保护事故现场。需移动现场物品时，应做好标记和书面记录，妥善保护有关证据。</w:t>
      </w:r>
    </w:p>
    <w:p>
      <w:pPr>
        <w:adjustRightInd w:val="0"/>
        <w:snapToGrid w:val="0"/>
        <w:spacing w:line="360" w:lineRule="auto"/>
        <w:ind w:left="1619" w:leftChars="771"/>
        <w:rPr>
          <w:rFonts w:ascii="宋体" w:hAnsi="宋体" w:cs="宋体"/>
          <w:color w:val="auto"/>
          <w:kern w:val="0"/>
          <w:szCs w:val="21"/>
        </w:rPr>
      </w:pPr>
      <w:r>
        <w:rPr>
          <w:rFonts w:hint="eastAsia" w:ascii="宋体" w:hAnsi="宋体" w:cs="宋体"/>
          <w:color w:val="auto"/>
          <w:kern w:val="0"/>
          <w:szCs w:val="21"/>
        </w:rPr>
        <w:t>合同双方当事人应按照国家规定时限如实上报政府有关部门，配合政府有关部门的调查和处理，由此发生的费用和（或）延误的工期由事故责任方承担。</w:t>
      </w:r>
    </w:p>
    <w:p>
      <w:pPr>
        <w:adjustRightInd w:val="0"/>
        <w:snapToGrid w:val="0"/>
        <w:spacing w:line="480" w:lineRule="auto"/>
        <w:rPr>
          <w:rFonts w:ascii="宋体" w:hAnsi="宋体" w:cs="宋体"/>
          <w:b/>
          <w:color w:val="auto"/>
          <w:kern w:val="0"/>
          <w:szCs w:val="21"/>
        </w:rPr>
      </w:pPr>
      <w:r>
        <w:rPr>
          <w:rFonts w:ascii="宋体" w:hAnsi="宋体" w:cs="宋体"/>
          <w:color w:val="auto"/>
          <w:kern w:val="0"/>
          <w:szCs w:val="21"/>
        </w:rPr>
        <mc:AlternateContent>
          <mc:Choice Requires="wps">
            <w:drawing>
              <wp:anchor distT="0" distB="0" distL="114300" distR="114300" simplePos="0" relativeHeight="252028928" behindDoc="0" locked="0" layoutInCell="1" allowOverlap="1">
                <wp:simplePos x="0" y="0"/>
                <wp:positionH relativeFrom="column">
                  <wp:posOffset>-114300</wp:posOffset>
                </wp:positionH>
                <wp:positionV relativeFrom="paragraph">
                  <wp:posOffset>224790</wp:posOffset>
                </wp:positionV>
                <wp:extent cx="1028700" cy="297180"/>
                <wp:effectExtent l="0" t="0" r="0" b="0"/>
                <wp:wrapNone/>
                <wp:docPr id="373" name="文本框 373"/>
                <wp:cNvGraphicFramePr/>
                <a:graphic xmlns:a="http://schemas.openxmlformats.org/drawingml/2006/main">
                  <a:graphicData uri="http://schemas.microsoft.com/office/word/2010/wordprocessingShape">
                    <wps:wsp>
                      <wps:cNvSpPr txBox="1">
                        <a:spLocks noChangeArrowheads="1"/>
                      </wps:cNvSpPr>
                      <wps:spPr bwMode="auto">
                        <a:xfrm>
                          <a:off x="0" y="0"/>
                          <a:ext cx="1028700" cy="297180"/>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事故争议认定</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7.7pt;height:23.4pt;width:81pt;z-index:252028928;mso-width-relative:page;mso-height-relative:page;" filled="f" stroked="f" coordsize="21600,21600" o:gfxdata="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1nJll1gAAAAkBAAAPAAAAAAAAAAEAIAAAACIAAABkcnMvZG93&#10;bnJldi54bWxQSwECFAAUAAAACACHTuJAIUuavQICAADZAwAADgAAAAAAAAABACAAAAAlAQAAZHJz&#10;L2Uyb0RvYy54bWxQSwUGAAAAAAYABgBZAQAAmQU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事故争议认定</w:t>
                      </w:r>
                    </w:p>
                  </w:txbxContent>
                </v:textbox>
              </v:shape>
            </w:pict>
          </mc:Fallback>
        </mc:AlternateContent>
      </w:r>
      <w:r>
        <w:rPr>
          <w:rFonts w:hint="eastAsia" w:ascii="宋体" w:hAnsi="宋体" w:cs="宋体"/>
          <w:b/>
          <w:color w:val="auto"/>
          <w:kern w:val="0"/>
          <w:szCs w:val="21"/>
        </w:rPr>
        <w:t xml:space="preserve">12.3  </w:t>
      </w:r>
      <w:r>
        <w:rPr>
          <w:rFonts w:hint="eastAsia" w:ascii="宋体" w:hAnsi="宋体" w:cs="宋体"/>
          <w:b/>
          <w:color w:val="auto"/>
          <w:kern w:val="0"/>
          <w:szCs w:val="21"/>
          <w:u w:val="dotted"/>
        </w:rPr>
        <w:t xml:space="preserve">                                                                                                        </w:t>
      </w:r>
    </w:p>
    <w:p>
      <w:pPr>
        <w:tabs>
          <w:tab w:val="left" w:pos="1620"/>
        </w:tabs>
        <w:adjustRightInd w:val="0"/>
        <w:snapToGrid w:val="0"/>
        <w:spacing w:line="360" w:lineRule="auto"/>
        <w:ind w:firstLine="1417" w:firstLineChars="675"/>
        <w:rPr>
          <w:rFonts w:ascii="宋体" w:hAnsi="宋体" w:cs="宋体"/>
          <w:color w:val="auto"/>
          <w:kern w:val="0"/>
          <w:szCs w:val="21"/>
        </w:rPr>
      </w:pPr>
      <w:r>
        <w:rPr>
          <w:rFonts w:hint="eastAsia" w:ascii="宋体" w:hAnsi="宋体" w:cs="宋体"/>
          <w:color w:val="auto"/>
          <w:kern w:val="0"/>
          <w:szCs w:val="21"/>
        </w:rPr>
        <w:t>合同双方当事人对事故责任有争议时，应按照政府有关部门的认定处理。</w:t>
      </w:r>
    </w:p>
    <w:p>
      <w:pPr>
        <w:adjustRightInd w:val="0"/>
        <w:snapToGrid w:val="0"/>
        <w:spacing w:line="480" w:lineRule="auto"/>
        <w:ind w:right="-238"/>
        <w:rPr>
          <w:rFonts w:ascii="宋体" w:hAnsi="宋体" w:cs="宋体"/>
          <w:color w:val="auto"/>
          <w:kern w:val="0"/>
          <w:szCs w:val="21"/>
        </w:rPr>
      </w:pPr>
      <w:r>
        <w:rPr>
          <w:rFonts w:hint="eastAsia" w:ascii="宋体" w:hAnsi="宋体" w:cs="宋体"/>
          <w:b/>
          <w:color w:val="auto"/>
          <w:kern w:val="0"/>
          <w:szCs w:val="21"/>
          <w:u w:val="single"/>
        </w:rPr>
        <w:t xml:space="preserve">                                                                                  </w:t>
      </w:r>
      <w:r>
        <w:rPr>
          <w:rFonts w:hint="eastAsia" w:ascii="宋体" w:hAnsi="宋体" w:cs="宋体"/>
          <w:b/>
          <w:color w:val="auto"/>
          <w:kern w:val="0"/>
          <w:szCs w:val="21"/>
        </w:rPr>
        <w:t xml:space="preserve">  </w:t>
      </w:r>
      <w:r>
        <w:rPr>
          <w:rFonts w:hint="eastAsia" w:ascii="宋体" w:hAnsi="宋体" w:cs="宋体"/>
          <w:color w:val="auto"/>
          <w:kern w:val="0"/>
          <w:szCs w:val="21"/>
        </w:rPr>
        <w:t xml:space="preserve">                         </w:t>
      </w:r>
    </w:p>
    <w:p>
      <w:pPr>
        <w:tabs>
          <w:tab w:val="left" w:pos="1620"/>
        </w:tabs>
        <w:adjustRightInd w:val="0"/>
        <w:snapToGrid w:val="0"/>
        <w:spacing w:beforeLines="100" w:line="360" w:lineRule="auto"/>
        <w:ind w:right="-237" w:rightChars="-113"/>
        <w:rPr>
          <w:rFonts w:ascii="宋体" w:hAnsi="宋体" w:cs="宋体"/>
          <w:b/>
          <w:color w:val="auto"/>
          <w:kern w:val="0"/>
          <w:szCs w:val="21"/>
        </w:rPr>
      </w:pPr>
      <w:r>
        <w:rPr>
          <w:rFonts w:hint="eastAsia" w:ascii="宋体" w:hAnsi="宋体" w:cs="宋体"/>
          <w:b/>
          <w:color w:val="auto"/>
          <w:kern w:val="0"/>
          <w:szCs w:val="21"/>
        </w:rPr>
        <w:t>13  交通运输</w:t>
      </w:r>
    </w:p>
    <w:p>
      <w:pPr>
        <w:adjustRightInd w:val="0"/>
        <w:snapToGrid w:val="0"/>
        <w:spacing w:line="360" w:lineRule="auto"/>
        <w:rPr>
          <w:rFonts w:ascii="宋体" w:hAnsi="宋体" w:cs="宋体"/>
          <w:b/>
          <w:color w:val="auto"/>
          <w:kern w:val="0"/>
          <w:szCs w:val="21"/>
        </w:rPr>
      </w:pPr>
      <w:r>
        <w:rPr>
          <w:rFonts w:ascii="宋体" w:hAnsi="宋体" w:cs="宋体"/>
          <w:color w:val="auto"/>
          <w:kern w:val="0"/>
          <w:szCs w:val="21"/>
        </w:rPr>
        <mc:AlternateContent>
          <mc:Choice Requires="wps">
            <w:drawing>
              <wp:anchor distT="0" distB="0" distL="114300" distR="114300" simplePos="0" relativeHeight="251954176" behindDoc="0" locked="0" layoutInCell="1" allowOverlap="1">
                <wp:simplePos x="0" y="0"/>
                <wp:positionH relativeFrom="column">
                  <wp:posOffset>-114300</wp:posOffset>
                </wp:positionH>
                <wp:positionV relativeFrom="paragraph">
                  <wp:posOffset>229235</wp:posOffset>
                </wp:positionV>
                <wp:extent cx="1028700" cy="523875"/>
                <wp:effectExtent l="0" t="0" r="0" b="0"/>
                <wp:wrapNone/>
                <wp:docPr id="372" name="文本框 372"/>
                <wp:cNvGraphicFramePr/>
                <a:graphic xmlns:a="http://schemas.openxmlformats.org/drawingml/2006/main">
                  <a:graphicData uri="http://schemas.microsoft.com/office/word/2010/wordprocessingShape">
                    <wps:wsp>
                      <wps:cNvSpPr txBox="1">
                        <a:spLocks noChangeArrowheads="1"/>
                      </wps:cNvSpPr>
                      <wps:spPr bwMode="auto">
                        <a:xfrm>
                          <a:off x="0" y="0"/>
                          <a:ext cx="1028700" cy="523875"/>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道路通行权和</w:t>
                            </w:r>
                          </w:p>
                          <w:p>
                            <w:pPr>
                              <w:rPr>
                                <w:rFonts w:ascii="楷体_GB2312" w:hAnsi="宋体"/>
                                <w:b/>
                                <w:color w:val="000000"/>
                                <w:sz w:val="18"/>
                                <w:szCs w:val="18"/>
                              </w:rPr>
                            </w:pPr>
                            <w:r>
                              <w:rPr>
                                <w:rFonts w:hint="eastAsia" w:ascii="楷体_GB2312" w:hAnsi="宋体"/>
                                <w:b/>
                                <w:color w:val="000000"/>
                                <w:sz w:val="18"/>
                                <w:szCs w:val="18"/>
                              </w:rPr>
                              <w:t>场外设施</w:t>
                            </w:r>
                          </w:p>
                          <w:p>
                            <w:pPr>
                              <w:rPr>
                                <w:color w:val="0000FF"/>
                                <w:sz w:val="18"/>
                                <w:szCs w:val="18"/>
                              </w:rPr>
                            </w:pPr>
                          </w:p>
                          <w:p>
                            <w:pPr>
                              <w:rPr>
                                <w:sz w:val="18"/>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8.05pt;height:41.25pt;width:81pt;z-index:251954176;mso-width-relative:page;mso-height-relative:page;" filled="f" stroked="f" coordsize="21600,21600" o:gfxdata="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UBsYf1gAAAAoBAAAPAAAAAAAAAAEAIAAAACIAAABkcnMvZG93&#10;bnJldi54bWxQSwECFAAUAAAACACHTuJAE+p83QICAADZAwAADgAAAAAAAAABACAAAAAlAQAAZHJz&#10;L2Uyb0RvYy54bWxQSwUGAAAAAAYABgBZAQAAmQU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道路通行权和</w:t>
                      </w:r>
                    </w:p>
                    <w:p>
                      <w:pPr>
                        <w:rPr>
                          <w:rFonts w:ascii="楷体_GB2312" w:hAnsi="宋体"/>
                          <w:b/>
                          <w:color w:val="000000"/>
                          <w:sz w:val="18"/>
                          <w:szCs w:val="18"/>
                        </w:rPr>
                      </w:pPr>
                      <w:r>
                        <w:rPr>
                          <w:rFonts w:hint="eastAsia" w:ascii="楷体_GB2312" w:hAnsi="宋体"/>
                          <w:b/>
                          <w:color w:val="000000"/>
                          <w:sz w:val="18"/>
                          <w:szCs w:val="18"/>
                        </w:rPr>
                        <w:t>场外设施</w:t>
                      </w:r>
                    </w:p>
                    <w:p>
                      <w:pPr>
                        <w:rPr>
                          <w:color w:val="0000FF"/>
                          <w:sz w:val="18"/>
                          <w:szCs w:val="18"/>
                        </w:rPr>
                      </w:pPr>
                    </w:p>
                    <w:p>
                      <w:pPr>
                        <w:rPr>
                          <w:sz w:val="18"/>
                          <w:szCs w:val="18"/>
                        </w:rPr>
                      </w:pPr>
                    </w:p>
                  </w:txbxContent>
                </v:textbox>
              </v:shape>
            </w:pict>
          </mc:Fallback>
        </mc:AlternateContent>
      </w:r>
      <w:r>
        <w:rPr>
          <w:rFonts w:hint="eastAsia" w:ascii="宋体" w:hAnsi="宋体" w:cs="宋体"/>
          <w:b/>
          <w:color w:val="auto"/>
          <w:kern w:val="0"/>
          <w:szCs w:val="21"/>
        </w:rPr>
        <w:t xml:space="preserve">13.1                   </w:t>
      </w:r>
    </w:p>
    <w:p>
      <w:pPr>
        <w:tabs>
          <w:tab w:val="left" w:pos="1202"/>
        </w:tabs>
        <w:adjustRightInd w:val="0"/>
        <w:snapToGrid w:val="0"/>
        <w:spacing w:line="360" w:lineRule="auto"/>
        <w:ind w:left="1619" w:leftChars="771"/>
        <w:rPr>
          <w:rFonts w:ascii="宋体" w:hAnsi="宋体" w:cs="宋体"/>
          <w:color w:val="auto"/>
          <w:kern w:val="0"/>
          <w:szCs w:val="21"/>
        </w:rPr>
      </w:pPr>
      <w:r>
        <w:rPr>
          <w:rFonts w:hint="eastAsia" w:ascii="宋体" w:hAnsi="宋体" w:cs="宋体"/>
          <w:color w:val="auto"/>
          <w:kern w:val="0"/>
          <w:szCs w:val="21"/>
        </w:rPr>
        <w:t>除专用条款另有约定外，发包人应根据实施合同工程的需要，负责办理取得出入施工场地的专用和临时道路的通行权，以及取得为实施合同工程所需修建场外设施的权利，并承担有关费用。承包人应协助发包人办理上述手续。</w:t>
      </w:r>
    </w:p>
    <w:p>
      <w:pPr>
        <w:tabs>
          <w:tab w:val="left" w:pos="1202"/>
        </w:tabs>
        <w:adjustRightInd w:val="0"/>
        <w:snapToGrid w:val="0"/>
        <w:spacing w:line="360" w:lineRule="auto"/>
        <w:ind w:left="1417" w:leftChars="1" w:hanging="1415" w:hangingChars="674"/>
        <w:rPr>
          <w:rFonts w:ascii="宋体" w:hAnsi="宋体" w:cs="宋体"/>
          <w:color w:val="auto"/>
          <w:kern w:val="0"/>
          <w:szCs w:val="21"/>
        </w:rPr>
      </w:pPr>
      <w:r>
        <w:rPr>
          <w:rFonts w:ascii="宋体" w:hAnsi="宋体" w:cs="宋体"/>
          <w:color w:val="auto"/>
          <w:kern w:val="0"/>
          <w:szCs w:val="21"/>
        </w:rPr>
        <mc:AlternateContent>
          <mc:Choice Requires="wps">
            <w:drawing>
              <wp:anchor distT="0" distB="0" distL="114300" distR="114300" simplePos="0" relativeHeight="252035072" behindDoc="0" locked="0" layoutInCell="1" allowOverlap="1">
                <wp:simplePos x="0" y="0"/>
                <wp:positionH relativeFrom="column">
                  <wp:posOffset>-114300</wp:posOffset>
                </wp:positionH>
                <wp:positionV relativeFrom="paragraph">
                  <wp:posOffset>333375</wp:posOffset>
                </wp:positionV>
                <wp:extent cx="1028700" cy="523875"/>
                <wp:effectExtent l="0" t="0" r="0" b="0"/>
                <wp:wrapNone/>
                <wp:docPr id="371" name="文本框 371"/>
                <wp:cNvGraphicFramePr/>
                <a:graphic xmlns:a="http://schemas.openxmlformats.org/drawingml/2006/main">
                  <a:graphicData uri="http://schemas.microsoft.com/office/word/2010/wordprocessingShape">
                    <wps:wsp>
                      <wps:cNvSpPr txBox="1">
                        <a:spLocks noChangeArrowheads="1"/>
                      </wps:cNvSpPr>
                      <wps:spPr bwMode="auto">
                        <a:xfrm>
                          <a:off x="0" y="0"/>
                          <a:ext cx="1028700" cy="523875"/>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场内临时道路</w:t>
                            </w:r>
                          </w:p>
                          <w:p>
                            <w:pPr>
                              <w:rPr>
                                <w:rFonts w:ascii="宋体" w:hAnsi="宋体"/>
                                <w:color w:val="000000"/>
                                <w:sz w:val="24"/>
                              </w:rPr>
                            </w:pPr>
                            <w:r>
                              <w:rPr>
                                <w:rFonts w:hint="eastAsia" w:ascii="楷体_GB2312" w:hAnsi="宋体"/>
                                <w:b/>
                                <w:color w:val="000000"/>
                                <w:sz w:val="18"/>
                                <w:szCs w:val="18"/>
                              </w:rPr>
                              <w:t>和交通设施</w:t>
                            </w:r>
                          </w:p>
                          <w:p>
                            <w:pPr>
                              <w:rPr>
                                <w:color w:val="0000FF"/>
                                <w:sz w:val="18"/>
                                <w:szCs w:val="18"/>
                              </w:rPr>
                            </w:pPr>
                          </w:p>
                          <w:p>
                            <w:pPr>
                              <w:rPr>
                                <w:sz w:val="18"/>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6.25pt;height:41.25pt;width:81pt;z-index:252035072;mso-width-relative:page;mso-height-relative:page;" filled="f" stroked="f" coordsize="21600,21600" o:gfxdata="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FSeK5nYAAAACgEAAA8AAAAAAAAAAQAgAAAAIgAAAGRycy9k&#10;b3ducmV2LnhtbFBLAQIUABQAAAAIAIdO4kB4/X85AgIAANkDAAAOAAAAAAAAAAEAIAAAACcBAABk&#10;cnMvZTJvRG9jLnhtbFBLBQYAAAAABgAGAFkBAACbBQ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场内临时道路</w:t>
                      </w:r>
                    </w:p>
                    <w:p>
                      <w:pPr>
                        <w:rPr>
                          <w:rFonts w:ascii="宋体" w:hAnsi="宋体"/>
                          <w:color w:val="000000"/>
                          <w:sz w:val="24"/>
                        </w:rPr>
                      </w:pPr>
                      <w:r>
                        <w:rPr>
                          <w:rFonts w:hint="eastAsia" w:ascii="楷体_GB2312" w:hAnsi="宋体"/>
                          <w:b/>
                          <w:color w:val="000000"/>
                          <w:sz w:val="18"/>
                          <w:szCs w:val="18"/>
                        </w:rPr>
                        <w:t>和交通设施</w:t>
                      </w:r>
                    </w:p>
                    <w:p>
                      <w:pPr>
                        <w:rPr>
                          <w:color w:val="0000FF"/>
                          <w:sz w:val="18"/>
                          <w:szCs w:val="18"/>
                        </w:rPr>
                      </w:pPr>
                    </w:p>
                    <w:p>
                      <w:pPr>
                        <w:rPr>
                          <w:sz w:val="18"/>
                          <w:szCs w:val="18"/>
                        </w:rPr>
                      </w:pPr>
                    </w:p>
                  </w:txbxContent>
                </v:textbox>
              </v:shape>
            </w:pict>
          </mc:Fallback>
        </mc:AlternateContent>
      </w:r>
      <w:r>
        <w:rPr>
          <w:rFonts w:hint="eastAsia" w:ascii="宋体" w:hAnsi="宋体" w:cs="宋体"/>
          <w:b/>
          <w:color w:val="auto"/>
          <w:kern w:val="0"/>
          <w:szCs w:val="21"/>
        </w:rPr>
        <w:t>13.2</w:t>
      </w:r>
      <w:r>
        <w:rPr>
          <w:rFonts w:hint="eastAsia" w:ascii="宋体" w:hAnsi="宋体" w:cs="宋体"/>
          <w:color w:val="auto"/>
          <w:kern w:val="0"/>
          <w:szCs w:val="21"/>
        </w:rPr>
        <w:t xml:space="preserve">  </w:t>
      </w:r>
      <w:r>
        <w:rPr>
          <w:rFonts w:hint="eastAsia" w:ascii="宋体" w:hAnsi="宋体" w:cs="宋体"/>
          <w:color w:val="auto"/>
          <w:kern w:val="0"/>
          <w:szCs w:val="21"/>
          <w:u w:val="dotted"/>
        </w:rPr>
        <w:t xml:space="preserve">                                                                               </w:t>
      </w:r>
      <w:r>
        <w:rPr>
          <w:rFonts w:hint="eastAsia" w:ascii="宋体" w:hAnsi="宋体" w:cs="宋体"/>
          <w:color w:val="auto"/>
          <w:kern w:val="0"/>
          <w:szCs w:val="21"/>
        </w:rPr>
        <w:t>除专用条款另有约定外，承包人应负责修建、维修、养护和管理施工场地内所需的临时道路和交通设施，包括维修、养护和管理发包人提供的道路和交通设施，并承担相应费用。</w:t>
      </w:r>
    </w:p>
    <w:p>
      <w:pPr>
        <w:tabs>
          <w:tab w:val="left" w:pos="1202"/>
        </w:tabs>
        <w:adjustRightInd w:val="0"/>
        <w:snapToGrid w:val="0"/>
        <w:spacing w:line="360" w:lineRule="auto"/>
        <w:ind w:left="1619" w:leftChars="771"/>
        <w:rPr>
          <w:rFonts w:ascii="宋体" w:hAnsi="宋体" w:cs="宋体"/>
          <w:color w:val="auto"/>
          <w:kern w:val="0"/>
          <w:szCs w:val="21"/>
        </w:rPr>
      </w:pPr>
      <w:r>
        <w:rPr>
          <w:rFonts w:hint="eastAsia" w:ascii="宋体" w:hAnsi="宋体" w:cs="宋体"/>
          <w:color w:val="auto"/>
          <w:kern w:val="0"/>
          <w:szCs w:val="21"/>
        </w:rPr>
        <w:t>承包人修建的临时道路和交通设施应免费提供发包人使用。</w:t>
      </w:r>
    </w:p>
    <w:p>
      <w:pPr>
        <w:adjustRightInd w:val="0"/>
        <w:snapToGrid w:val="0"/>
        <w:spacing w:line="360" w:lineRule="auto"/>
        <w:rPr>
          <w:rFonts w:ascii="宋体" w:hAnsi="宋体" w:cs="宋体"/>
          <w:b/>
          <w:color w:val="auto"/>
          <w:kern w:val="0"/>
          <w:szCs w:val="21"/>
        </w:rPr>
      </w:pPr>
      <w:r>
        <w:rPr>
          <w:rFonts w:ascii="宋体" w:hAnsi="宋体" w:cs="宋体"/>
          <w:color w:val="auto"/>
          <w:kern w:val="0"/>
          <w:szCs w:val="21"/>
        </w:rPr>
        <mc:AlternateContent>
          <mc:Choice Requires="wps">
            <w:drawing>
              <wp:anchor distT="0" distB="0" distL="114300" distR="114300" simplePos="0" relativeHeight="251955200" behindDoc="0" locked="0" layoutInCell="1" allowOverlap="1">
                <wp:simplePos x="0" y="0"/>
                <wp:positionH relativeFrom="column">
                  <wp:posOffset>-114300</wp:posOffset>
                </wp:positionH>
                <wp:positionV relativeFrom="paragraph">
                  <wp:posOffset>224790</wp:posOffset>
                </wp:positionV>
                <wp:extent cx="1028700" cy="297180"/>
                <wp:effectExtent l="0" t="0" r="0" b="0"/>
                <wp:wrapNone/>
                <wp:docPr id="370" name="文本框 370"/>
                <wp:cNvGraphicFramePr/>
                <a:graphic xmlns:a="http://schemas.openxmlformats.org/drawingml/2006/main">
                  <a:graphicData uri="http://schemas.microsoft.com/office/word/2010/wordprocessingShape">
                    <wps:wsp>
                      <wps:cNvSpPr txBox="1">
                        <a:spLocks noChangeArrowheads="1"/>
                      </wps:cNvSpPr>
                      <wps:spPr bwMode="auto">
                        <a:xfrm>
                          <a:off x="0" y="0"/>
                          <a:ext cx="1028700" cy="297180"/>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场外交通</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7.7pt;height:23.4pt;width:81pt;z-index:251955200;mso-width-relative:page;mso-height-relative:page;" filled="f" stroked="f" coordsize="21600,21600" o:gfxdata="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1nJll1gAAAAkBAAAPAAAAAAAAAAEAIAAAACIAAABkcnMvZG93&#10;bnJldi54bWxQSwECFAAUAAAACACHTuJASlyZWQICAADZAwAADgAAAAAAAAABACAAAAAlAQAAZHJz&#10;L2Uyb0RvYy54bWxQSwUGAAAAAAYABgBZAQAAmQU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场外交通</w:t>
                      </w:r>
                    </w:p>
                  </w:txbxContent>
                </v:textbox>
              </v:shape>
            </w:pict>
          </mc:Fallback>
        </mc:AlternateContent>
      </w:r>
      <w:r>
        <w:rPr>
          <w:rFonts w:hint="eastAsia" w:ascii="宋体" w:hAnsi="宋体" w:cs="宋体"/>
          <w:b/>
          <w:color w:val="auto"/>
          <w:kern w:val="0"/>
          <w:szCs w:val="21"/>
        </w:rPr>
        <w:t xml:space="preserve">13.3  </w:t>
      </w:r>
      <w:r>
        <w:rPr>
          <w:rFonts w:hint="eastAsia" w:ascii="宋体" w:hAnsi="宋体" w:cs="宋体"/>
          <w:b/>
          <w:color w:val="auto"/>
          <w:kern w:val="0"/>
          <w:szCs w:val="21"/>
          <w:u w:val="dotted"/>
        </w:rPr>
        <w:t xml:space="preserve">                                                                                                        </w:t>
      </w:r>
    </w:p>
    <w:p>
      <w:pPr>
        <w:tabs>
          <w:tab w:val="left" w:pos="1202"/>
        </w:tabs>
        <w:adjustRightInd w:val="0"/>
        <w:snapToGrid w:val="0"/>
        <w:spacing w:line="360" w:lineRule="auto"/>
        <w:ind w:left="1619" w:leftChars="771"/>
        <w:rPr>
          <w:rFonts w:ascii="宋体" w:hAnsi="宋体" w:cs="宋体"/>
          <w:color w:val="auto"/>
          <w:kern w:val="0"/>
          <w:szCs w:val="21"/>
        </w:rPr>
      </w:pPr>
      <w:r>
        <w:rPr>
          <w:rFonts w:hint="eastAsia" w:ascii="宋体" w:hAnsi="宋体" w:cs="宋体"/>
          <w:color w:val="auto"/>
          <w:kern w:val="0"/>
          <w:szCs w:val="21"/>
        </w:rPr>
        <w:t>承包人应遵守有关交通法规，严格按照道路和桥梁的限制荷重安全行驶，并服从交通管理部门的检查和监督。承包人车辆外出行驶所需的场外公共道路的通行费、养路费和税款等，由承包人承担。</w:t>
      </w:r>
    </w:p>
    <w:p>
      <w:pPr>
        <w:adjustRightInd w:val="0"/>
        <w:snapToGrid w:val="0"/>
        <w:spacing w:line="360" w:lineRule="auto"/>
        <w:rPr>
          <w:rFonts w:ascii="宋体" w:hAnsi="宋体" w:cs="宋体"/>
          <w:b/>
          <w:color w:val="auto"/>
          <w:kern w:val="0"/>
          <w:szCs w:val="21"/>
        </w:rPr>
      </w:pPr>
      <w:r>
        <w:rPr>
          <w:rFonts w:ascii="宋体" w:hAnsi="宋体" w:cs="宋体"/>
          <w:color w:val="auto"/>
          <w:kern w:val="0"/>
          <w:szCs w:val="21"/>
        </w:rPr>
        <mc:AlternateContent>
          <mc:Choice Requires="wps">
            <w:drawing>
              <wp:anchor distT="0" distB="0" distL="114300" distR="114300" simplePos="0" relativeHeight="251956224" behindDoc="0" locked="0" layoutInCell="1" allowOverlap="1">
                <wp:simplePos x="0" y="0"/>
                <wp:positionH relativeFrom="column">
                  <wp:posOffset>-114300</wp:posOffset>
                </wp:positionH>
                <wp:positionV relativeFrom="paragraph">
                  <wp:posOffset>224790</wp:posOffset>
                </wp:positionV>
                <wp:extent cx="1028700" cy="466090"/>
                <wp:effectExtent l="0" t="0" r="0" b="0"/>
                <wp:wrapNone/>
                <wp:docPr id="369" name="文本框 369"/>
                <wp:cNvGraphicFramePr/>
                <a:graphic xmlns:a="http://schemas.openxmlformats.org/drawingml/2006/main">
                  <a:graphicData uri="http://schemas.microsoft.com/office/word/2010/wordprocessingShape">
                    <wps:wsp>
                      <wps:cNvSpPr txBox="1">
                        <a:spLocks noChangeArrowheads="1"/>
                      </wps:cNvSpPr>
                      <wps:spPr bwMode="auto">
                        <a:xfrm>
                          <a:off x="0" y="0"/>
                          <a:ext cx="1028700" cy="466090"/>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超大件和超重</w:t>
                            </w:r>
                          </w:p>
                          <w:p>
                            <w:pPr>
                              <w:rPr>
                                <w:rFonts w:ascii="楷体_GB2312" w:hAnsi="宋体"/>
                                <w:b/>
                                <w:color w:val="000000"/>
                                <w:sz w:val="18"/>
                                <w:szCs w:val="18"/>
                              </w:rPr>
                            </w:pPr>
                            <w:r>
                              <w:rPr>
                                <w:rFonts w:hint="eastAsia" w:ascii="楷体_GB2312" w:hAnsi="宋体"/>
                                <w:b/>
                                <w:color w:val="000000"/>
                                <w:sz w:val="18"/>
                                <w:szCs w:val="18"/>
                              </w:rPr>
                              <w:t>件的运输</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7.7pt;height:36.7pt;width:81pt;z-index:251956224;mso-width-relative:page;mso-height-relative:page;" filled="f" stroked="f" coordsize="21600,21600" o:gfxdata="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BvSKrfXAAAACgEAAA8AAAAAAAAAAQAgAAAAIgAAAGRycy9k&#10;b3ducmV2LnhtbFBLAQIUABQAAAAIAIdO4kC4iPVHAwIAANkDAAAOAAAAAAAAAAEAIAAAACYBAABk&#10;cnMvZTJvRG9jLnhtbFBLBQYAAAAABgAGAFkBAACbBQ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超大件和超重</w:t>
                      </w:r>
                    </w:p>
                    <w:p>
                      <w:pPr>
                        <w:rPr>
                          <w:rFonts w:ascii="楷体_GB2312" w:hAnsi="宋体"/>
                          <w:b/>
                          <w:color w:val="000000"/>
                          <w:sz w:val="18"/>
                          <w:szCs w:val="18"/>
                        </w:rPr>
                      </w:pPr>
                      <w:r>
                        <w:rPr>
                          <w:rFonts w:hint="eastAsia" w:ascii="楷体_GB2312" w:hAnsi="宋体"/>
                          <w:b/>
                          <w:color w:val="000000"/>
                          <w:sz w:val="18"/>
                          <w:szCs w:val="18"/>
                        </w:rPr>
                        <w:t>件的运输</w:t>
                      </w:r>
                    </w:p>
                  </w:txbxContent>
                </v:textbox>
              </v:shape>
            </w:pict>
          </mc:Fallback>
        </mc:AlternateContent>
      </w:r>
      <w:r>
        <w:rPr>
          <w:rFonts w:hint="eastAsia" w:ascii="宋体" w:hAnsi="宋体" w:cs="宋体"/>
          <w:b/>
          <w:color w:val="auto"/>
          <w:kern w:val="0"/>
          <w:szCs w:val="21"/>
        </w:rPr>
        <w:t xml:space="preserve">13.4  </w:t>
      </w:r>
      <w:r>
        <w:rPr>
          <w:rFonts w:hint="eastAsia" w:ascii="宋体" w:hAnsi="宋体" w:cs="宋体"/>
          <w:b/>
          <w:color w:val="auto"/>
          <w:kern w:val="0"/>
          <w:szCs w:val="21"/>
          <w:u w:val="dotted"/>
        </w:rPr>
        <w:t xml:space="preserve">                                                                                                        </w:t>
      </w:r>
    </w:p>
    <w:p>
      <w:pPr>
        <w:tabs>
          <w:tab w:val="left" w:pos="1202"/>
        </w:tabs>
        <w:adjustRightInd w:val="0"/>
        <w:snapToGrid w:val="0"/>
        <w:spacing w:line="360" w:lineRule="auto"/>
        <w:ind w:left="1619" w:leftChars="771"/>
        <w:rPr>
          <w:rFonts w:ascii="宋体" w:hAnsi="宋体" w:cs="宋体"/>
          <w:color w:val="auto"/>
          <w:kern w:val="0"/>
          <w:szCs w:val="21"/>
        </w:rPr>
      </w:pPr>
      <w:r>
        <w:rPr>
          <w:rFonts w:hint="eastAsia" w:ascii="宋体" w:hAnsi="宋体" w:cs="宋体"/>
          <w:color w:val="auto"/>
          <w:kern w:val="0"/>
          <w:szCs w:val="21"/>
        </w:rPr>
        <w:t>承包人应负责向交通管理部门办理运输超大件或超重件的申请手续，发包人应协助承包人办理上述手续。除专用条款另有约定外，运输超大件或超重件所需的道路和桥梁临时加固改造费用和其他有关费用，由承包人承担。</w:t>
      </w:r>
    </w:p>
    <w:p>
      <w:pPr>
        <w:adjustRightInd w:val="0"/>
        <w:snapToGrid w:val="0"/>
        <w:spacing w:line="360" w:lineRule="auto"/>
        <w:rPr>
          <w:rFonts w:ascii="宋体" w:hAnsi="宋体" w:cs="宋体"/>
          <w:b/>
          <w:color w:val="auto"/>
          <w:kern w:val="0"/>
          <w:szCs w:val="21"/>
        </w:rPr>
      </w:pPr>
      <w:r>
        <w:rPr>
          <w:rFonts w:ascii="宋体" w:hAnsi="宋体" w:cs="宋体"/>
          <w:color w:val="auto"/>
          <w:kern w:val="0"/>
          <w:szCs w:val="21"/>
        </w:rPr>
        <mc:AlternateContent>
          <mc:Choice Requires="wps">
            <w:drawing>
              <wp:anchor distT="0" distB="0" distL="114300" distR="114300" simplePos="0" relativeHeight="251957248" behindDoc="0" locked="0" layoutInCell="1" allowOverlap="1">
                <wp:simplePos x="0" y="0"/>
                <wp:positionH relativeFrom="column">
                  <wp:posOffset>-114300</wp:posOffset>
                </wp:positionH>
                <wp:positionV relativeFrom="paragraph">
                  <wp:posOffset>224790</wp:posOffset>
                </wp:positionV>
                <wp:extent cx="1028700" cy="466090"/>
                <wp:effectExtent l="0" t="0" r="0" b="0"/>
                <wp:wrapNone/>
                <wp:docPr id="368" name="文本框 368"/>
                <wp:cNvGraphicFramePr/>
                <a:graphic xmlns:a="http://schemas.openxmlformats.org/drawingml/2006/main">
                  <a:graphicData uri="http://schemas.microsoft.com/office/word/2010/wordprocessingShape">
                    <wps:wsp>
                      <wps:cNvSpPr txBox="1">
                        <a:spLocks noChangeArrowheads="1"/>
                      </wps:cNvSpPr>
                      <wps:spPr bwMode="auto">
                        <a:xfrm>
                          <a:off x="0" y="0"/>
                          <a:ext cx="1028700" cy="466090"/>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道路和桥梁的</w:t>
                            </w:r>
                          </w:p>
                          <w:p>
                            <w:pPr>
                              <w:rPr>
                                <w:rFonts w:ascii="楷体_GB2312" w:hAnsi="宋体"/>
                                <w:b/>
                                <w:color w:val="000000"/>
                                <w:sz w:val="18"/>
                                <w:szCs w:val="18"/>
                              </w:rPr>
                            </w:pPr>
                            <w:r>
                              <w:rPr>
                                <w:rFonts w:hint="eastAsia" w:ascii="楷体_GB2312" w:hAnsi="宋体"/>
                                <w:b/>
                                <w:color w:val="000000"/>
                                <w:sz w:val="18"/>
                                <w:szCs w:val="18"/>
                              </w:rPr>
                              <w:t>损坏责任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7.7pt;height:36.7pt;width:81pt;z-index:251957248;mso-width-relative:page;mso-height-relative:page;" filled="f" stroked="f" coordsize="21600,21600" o:gfxdata="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G9Iqt9cAAAAKAQAADwAAAAAAAAABACAAAAAiAAAAZHJzL2Rv&#10;d25yZXYueG1sUEsBAhQAFAAAAAgAh07iQF54JK0CAgAA2QMAAA4AAAAAAAAAAQAgAAAAJgEAAGRy&#10;cy9lMm9Eb2MueG1sUEsFBgAAAAAGAAYAWQEAAJoFA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道路和桥梁的</w:t>
                      </w:r>
                    </w:p>
                    <w:p>
                      <w:pPr>
                        <w:rPr>
                          <w:rFonts w:ascii="楷体_GB2312" w:hAnsi="宋体"/>
                          <w:b/>
                          <w:color w:val="000000"/>
                          <w:sz w:val="18"/>
                          <w:szCs w:val="18"/>
                        </w:rPr>
                      </w:pPr>
                      <w:r>
                        <w:rPr>
                          <w:rFonts w:hint="eastAsia" w:ascii="楷体_GB2312" w:hAnsi="宋体"/>
                          <w:b/>
                          <w:color w:val="000000"/>
                          <w:sz w:val="18"/>
                          <w:szCs w:val="18"/>
                        </w:rPr>
                        <w:t>损坏责任</w:t>
                      </w:r>
                    </w:p>
                  </w:txbxContent>
                </v:textbox>
              </v:shape>
            </w:pict>
          </mc:Fallback>
        </mc:AlternateContent>
      </w:r>
      <w:r>
        <w:rPr>
          <w:rFonts w:hint="eastAsia" w:ascii="宋体" w:hAnsi="宋体" w:cs="宋体"/>
          <w:b/>
          <w:color w:val="auto"/>
          <w:kern w:val="0"/>
          <w:szCs w:val="21"/>
        </w:rPr>
        <w:t xml:space="preserve">13.5  </w:t>
      </w:r>
      <w:r>
        <w:rPr>
          <w:rFonts w:hint="eastAsia" w:ascii="宋体" w:hAnsi="宋体" w:cs="宋体"/>
          <w:b/>
          <w:color w:val="auto"/>
          <w:kern w:val="0"/>
          <w:szCs w:val="21"/>
          <w:u w:val="dotted"/>
        </w:rPr>
        <w:t xml:space="preserve">                                                                                                        </w:t>
      </w:r>
    </w:p>
    <w:p>
      <w:pPr>
        <w:tabs>
          <w:tab w:val="left" w:pos="1202"/>
        </w:tabs>
        <w:adjustRightInd w:val="0"/>
        <w:snapToGrid w:val="0"/>
        <w:spacing w:line="360" w:lineRule="auto"/>
        <w:ind w:left="1619" w:leftChars="771"/>
        <w:rPr>
          <w:rFonts w:ascii="宋体" w:hAnsi="宋体" w:cs="宋体"/>
          <w:color w:val="auto"/>
          <w:kern w:val="0"/>
          <w:szCs w:val="21"/>
        </w:rPr>
      </w:pPr>
      <w:r>
        <w:rPr>
          <w:rFonts w:hint="eastAsia" w:ascii="宋体" w:hAnsi="宋体" w:cs="宋体"/>
          <w:color w:val="auto"/>
          <w:kern w:val="0"/>
          <w:szCs w:val="21"/>
        </w:rPr>
        <w:t>因承包人运输造成施工场地内外公共道路和桥梁损坏的，由承包人承担修复损坏的全部费用和可能引起的赔偿。</w:t>
      </w:r>
    </w:p>
    <w:p>
      <w:pPr>
        <w:adjustRightInd w:val="0"/>
        <w:snapToGrid w:val="0"/>
        <w:spacing w:line="360" w:lineRule="auto"/>
        <w:rPr>
          <w:rFonts w:ascii="宋体" w:hAnsi="宋体" w:cs="宋体"/>
          <w:b/>
          <w:color w:val="auto"/>
          <w:kern w:val="0"/>
          <w:szCs w:val="21"/>
        </w:rPr>
      </w:pPr>
      <w:r>
        <w:rPr>
          <w:rFonts w:ascii="宋体" w:hAnsi="宋体" w:cs="宋体"/>
          <w:color w:val="auto"/>
          <w:kern w:val="0"/>
          <w:szCs w:val="21"/>
        </w:rPr>
        <mc:AlternateContent>
          <mc:Choice Requires="wps">
            <w:drawing>
              <wp:anchor distT="0" distB="0" distL="114300" distR="114300" simplePos="0" relativeHeight="251958272" behindDoc="0" locked="0" layoutInCell="1" allowOverlap="1">
                <wp:simplePos x="0" y="0"/>
                <wp:positionH relativeFrom="column">
                  <wp:posOffset>-114300</wp:posOffset>
                </wp:positionH>
                <wp:positionV relativeFrom="paragraph">
                  <wp:posOffset>224790</wp:posOffset>
                </wp:positionV>
                <wp:extent cx="1028700" cy="608330"/>
                <wp:effectExtent l="0" t="0" r="0" b="0"/>
                <wp:wrapNone/>
                <wp:docPr id="367" name="文本框 367"/>
                <wp:cNvGraphicFramePr/>
                <a:graphic xmlns:a="http://schemas.openxmlformats.org/drawingml/2006/main">
                  <a:graphicData uri="http://schemas.microsoft.com/office/word/2010/wordprocessingShape">
                    <wps:wsp>
                      <wps:cNvSpPr txBox="1">
                        <a:spLocks noChangeArrowheads="1"/>
                      </wps:cNvSpPr>
                      <wps:spPr bwMode="auto">
                        <a:xfrm>
                          <a:off x="0" y="0"/>
                          <a:ext cx="1028700" cy="608330"/>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水路和航空运</w:t>
                            </w:r>
                          </w:p>
                          <w:p>
                            <w:pPr>
                              <w:rPr>
                                <w:rFonts w:ascii="楷体_GB2312" w:hAnsi="宋体"/>
                                <w:b/>
                                <w:color w:val="000000"/>
                                <w:sz w:val="18"/>
                                <w:szCs w:val="18"/>
                              </w:rPr>
                            </w:pPr>
                            <w:r>
                              <w:rPr>
                                <w:rFonts w:hint="eastAsia" w:ascii="楷体_GB2312" w:hAnsi="宋体"/>
                                <w:b/>
                                <w:color w:val="000000"/>
                                <w:sz w:val="18"/>
                                <w:szCs w:val="18"/>
                              </w:rPr>
                              <w:t>输</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7.7pt;height:47.9pt;width:81pt;z-index:251958272;mso-width-relative:page;mso-height-relative:page;" filled="f" stroked="f" coordsize="21600,21600" o:gfxdata="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eKadSdcAAAAKAQAADwAAAAAAAAABACAAAAAiAAAAZHJzL2Rv&#10;d25yZXYueG1sUEsBAhQAFAAAAAgAh07iQEKTBjICAgAA2QMAAA4AAAAAAAAAAQAgAAAAJgEAAGRy&#10;cy9lMm9Eb2MueG1sUEsFBgAAAAAGAAYAWQEAAJoFA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水路和航空运</w:t>
                      </w:r>
                    </w:p>
                    <w:p>
                      <w:pPr>
                        <w:rPr>
                          <w:rFonts w:ascii="楷体_GB2312" w:hAnsi="宋体"/>
                          <w:b/>
                          <w:color w:val="000000"/>
                          <w:sz w:val="18"/>
                          <w:szCs w:val="18"/>
                        </w:rPr>
                      </w:pPr>
                      <w:r>
                        <w:rPr>
                          <w:rFonts w:hint="eastAsia" w:ascii="楷体_GB2312" w:hAnsi="宋体"/>
                          <w:b/>
                          <w:color w:val="000000"/>
                          <w:sz w:val="18"/>
                          <w:szCs w:val="18"/>
                        </w:rPr>
                        <w:t>输</w:t>
                      </w:r>
                    </w:p>
                  </w:txbxContent>
                </v:textbox>
              </v:shape>
            </w:pict>
          </mc:Fallback>
        </mc:AlternateContent>
      </w:r>
      <w:r>
        <w:rPr>
          <w:rFonts w:hint="eastAsia" w:ascii="宋体" w:hAnsi="宋体" w:cs="宋体"/>
          <w:b/>
          <w:color w:val="auto"/>
          <w:kern w:val="0"/>
          <w:szCs w:val="21"/>
        </w:rPr>
        <w:t xml:space="preserve">13.6 </w:t>
      </w:r>
      <w:r>
        <w:rPr>
          <w:rFonts w:hint="eastAsia" w:ascii="宋体" w:hAnsi="宋体" w:cs="宋体"/>
          <w:b/>
          <w:color w:val="auto"/>
          <w:kern w:val="0"/>
          <w:szCs w:val="21"/>
          <w:u w:val="dotted"/>
        </w:rPr>
        <w:t xml:space="preserve">                                                                                                        </w:t>
      </w:r>
    </w:p>
    <w:p>
      <w:pPr>
        <w:tabs>
          <w:tab w:val="left" w:pos="1202"/>
        </w:tabs>
        <w:adjustRightInd w:val="0"/>
        <w:snapToGrid w:val="0"/>
        <w:spacing w:line="360" w:lineRule="auto"/>
        <w:ind w:left="1619" w:leftChars="771"/>
        <w:rPr>
          <w:rFonts w:ascii="宋体" w:hAnsi="宋体" w:cs="宋体"/>
          <w:color w:val="auto"/>
          <w:kern w:val="0"/>
          <w:szCs w:val="21"/>
        </w:rPr>
      </w:pPr>
      <w:r>
        <w:rPr>
          <w:rFonts w:hint="eastAsia" w:ascii="宋体" w:hAnsi="宋体" w:cs="宋体"/>
          <w:color w:val="auto"/>
          <w:kern w:val="0"/>
          <w:szCs w:val="21"/>
        </w:rPr>
        <w:t>本条内容适用于水路运输和航空运输，其中“道路”包括河道、航线、船闸、机场、码头、堤防以及水路或航空运输中其他相似结构物；“车辆”包括船舶和飞机等。</w:t>
      </w:r>
    </w:p>
    <w:p>
      <w:pPr>
        <w:tabs>
          <w:tab w:val="left" w:pos="1202"/>
        </w:tabs>
        <w:adjustRightInd w:val="0"/>
        <w:snapToGrid w:val="0"/>
        <w:spacing w:line="240" w:lineRule="exact"/>
        <w:jc w:val="left"/>
        <w:rPr>
          <w:rFonts w:ascii="宋体" w:hAnsi="宋体" w:cs="宋体"/>
          <w:b/>
          <w:color w:val="auto"/>
          <w:kern w:val="0"/>
          <w:szCs w:val="21"/>
        </w:rPr>
      </w:pPr>
      <w:r>
        <w:rPr>
          <w:rFonts w:hint="eastAsia" w:ascii="宋体" w:hAnsi="宋体" w:cs="宋体"/>
          <w:b/>
          <w:color w:val="auto"/>
          <w:kern w:val="0"/>
          <w:szCs w:val="21"/>
          <w:u w:val="single"/>
        </w:rPr>
        <w:t xml:space="preserve">                                                                              </w:t>
      </w:r>
      <w:r>
        <w:rPr>
          <w:rFonts w:hint="eastAsia" w:ascii="宋体" w:hAnsi="宋体" w:cs="宋体"/>
          <w:b/>
          <w:color w:val="auto"/>
          <w:kern w:val="0"/>
          <w:szCs w:val="21"/>
        </w:rPr>
        <w:t xml:space="preserve">  </w:t>
      </w:r>
    </w:p>
    <w:p>
      <w:pPr>
        <w:tabs>
          <w:tab w:val="left" w:pos="3818"/>
        </w:tabs>
        <w:adjustRightInd w:val="0"/>
        <w:snapToGrid w:val="0"/>
        <w:spacing w:beforeLines="100" w:line="360" w:lineRule="auto"/>
        <w:ind w:right="-238"/>
        <w:rPr>
          <w:rFonts w:ascii="宋体" w:hAnsi="宋体" w:cs="宋体"/>
          <w:b/>
          <w:color w:val="auto"/>
          <w:kern w:val="0"/>
          <w:szCs w:val="21"/>
        </w:rPr>
      </w:pPr>
      <w:r>
        <w:rPr>
          <w:rFonts w:hint="eastAsia" w:ascii="宋体" w:hAnsi="宋体" w:cs="宋体"/>
          <w:b/>
          <w:color w:val="auto"/>
          <w:kern w:val="0"/>
          <w:szCs w:val="21"/>
        </w:rPr>
        <w:t>14  专项批准事件的签认</w:t>
      </w:r>
      <w:r>
        <w:rPr>
          <w:rFonts w:hint="eastAsia" w:ascii="宋体" w:hAnsi="宋体" w:cs="宋体"/>
          <w:b/>
          <w:color w:val="auto"/>
          <w:kern w:val="0"/>
          <w:szCs w:val="21"/>
        </w:rPr>
        <w:tab/>
      </w:r>
    </w:p>
    <w:p>
      <w:pPr>
        <w:tabs>
          <w:tab w:val="left" w:pos="1202"/>
        </w:tabs>
        <w:adjustRightInd w:val="0"/>
        <w:snapToGrid w:val="0"/>
        <w:spacing w:line="360" w:lineRule="auto"/>
        <w:rPr>
          <w:rFonts w:ascii="宋体" w:hAnsi="宋体" w:cs="宋体"/>
          <w:b/>
          <w:color w:val="auto"/>
          <w:kern w:val="0"/>
          <w:szCs w:val="21"/>
        </w:rPr>
      </w:pPr>
      <w:r>
        <w:rPr>
          <w:rFonts w:ascii="宋体" w:hAnsi="宋体" w:cs="宋体"/>
          <w:color w:val="auto"/>
          <w:kern w:val="0"/>
          <w:szCs w:val="21"/>
        </w:rPr>
        <mc:AlternateContent>
          <mc:Choice Requires="wps">
            <w:drawing>
              <wp:anchor distT="0" distB="0" distL="114300" distR="114300" simplePos="0" relativeHeight="251904000" behindDoc="0" locked="0" layoutInCell="1" allowOverlap="1">
                <wp:simplePos x="0" y="0"/>
                <wp:positionH relativeFrom="column">
                  <wp:posOffset>-114300</wp:posOffset>
                </wp:positionH>
                <wp:positionV relativeFrom="paragraph">
                  <wp:posOffset>246380</wp:posOffset>
                </wp:positionV>
                <wp:extent cx="914400" cy="875665"/>
                <wp:effectExtent l="0" t="0" r="0" b="0"/>
                <wp:wrapNone/>
                <wp:docPr id="366" name="文本框 366"/>
                <wp:cNvGraphicFramePr/>
                <a:graphic xmlns:a="http://schemas.openxmlformats.org/drawingml/2006/main">
                  <a:graphicData uri="http://schemas.microsoft.com/office/word/2010/wordprocessingShape">
                    <wps:wsp>
                      <wps:cNvSpPr txBox="1">
                        <a:spLocks noChangeArrowheads="1"/>
                      </wps:cNvSpPr>
                      <wps:spPr bwMode="auto">
                        <a:xfrm>
                          <a:off x="0" y="0"/>
                          <a:ext cx="914400" cy="875665"/>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专项批准事件的签认</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4pt;height:68.95pt;width:72pt;z-index:251904000;mso-width-relative:page;mso-height-relative:page;" filled="f" stroked="f" coordsize="21600,21600" o:gfxdata="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bHBLGNgAAAAKAQAADwAAAAAAAAABACAAAAAiAAAAZHJzL2Rv&#10;d25yZXYueG1sUEsBAhQAFAAAAAgAh07iQEEhwcYBAgAA2AMAAA4AAAAAAAAAAQAgAAAAJwEAAGRy&#10;cy9lMm9Eb2MueG1sUEsFBgAAAAAGAAYAWQEAAJoFA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专项批准事件的签认</w:t>
                      </w:r>
                    </w:p>
                  </w:txbxContent>
                </v:textbox>
              </v:shape>
            </w:pict>
          </mc:Fallback>
        </mc:AlternateContent>
      </w:r>
      <w:r>
        <w:rPr>
          <w:rFonts w:hint="eastAsia" w:ascii="宋体" w:hAnsi="宋体" w:cs="宋体"/>
          <w:b/>
          <w:color w:val="auto"/>
          <w:kern w:val="0"/>
          <w:szCs w:val="21"/>
        </w:rPr>
        <w:t xml:space="preserve">14.1      </w:t>
      </w:r>
    </w:p>
    <w:p>
      <w:pPr>
        <w:tabs>
          <w:tab w:val="left" w:pos="1202"/>
        </w:tabs>
        <w:adjustRightInd w:val="0"/>
        <w:snapToGrid w:val="0"/>
        <w:spacing w:line="360" w:lineRule="auto"/>
        <w:ind w:left="1619" w:leftChars="771"/>
        <w:rPr>
          <w:rFonts w:ascii="宋体" w:hAnsi="宋体" w:cs="宋体"/>
          <w:color w:val="auto"/>
          <w:kern w:val="0"/>
          <w:szCs w:val="21"/>
        </w:rPr>
      </w:pPr>
      <w:r>
        <w:rPr>
          <w:rFonts w:hint="eastAsia" w:ascii="宋体" w:hAnsi="宋体" w:cs="宋体"/>
          <w:color w:val="auto"/>
          <w:kern w:val="0"/>
          <w:szCs w:val="21"/>
        </w:rPr>
        <w:t>合同履行期间，合同工程发生第23.3款、第24.3款专项批准事件的，发包人批准后应通知监理工程师和（或）造价工程师按照合同约定以书面形式向承包人发出工作指令，提供所需的相关资料。承包人在收到监理工程师和（或）造价工程师发出的工作指令后，应按照合同约定实施发生事件的相关工作。</w:t>
      </w:r>
    </w:p>
    <w:p>
      <w:pPr>
        <w:tabs>
          <w:tab w:val="left" w:pos="1202"/>
        </w:tabs>
        <w:adjustRightInd w:val="0"/>
        <w:snapToGrid w:val="0"/>
        <w:spacing w:line="360" w:lineRule="auto"/>
        <w:ind w:left="1619" w:leftChars="771"/>
        <w:rPr>
          <w:rFonts w:ascii="宋体" w:hAnsi="宋体" w:cs="宋体"/>
          <w:color w:val="auto"/>
          <w:kern w:val="0"/>
          <w:szCs w:val="21"/>
        </w:rPr>
      </w:pPr>
      <w:r>
        <w:rPr>
          <w:rFonts w:hint="eastAsia" w:ascii="宋体" w:hAnsi="宋体" w:cs="宋体"/>
          <w:color w:val="auto"/>
          <w:kern w:val="0"/>
          <w:szCs w:val="21"/>
        </w:rPr>
        <w:t>合同双方当事人应按照第14.2款规定对发生的专项批准事件予以签认，并及时将发生事件的相关资料整理、归档，同时按第23.2款、第24.2款规定职权将其中一份送监理工程师和（或）造价工程师留存。</w:t>
      </w:r>
    </w:p>
    <w:p>
      <w:pPr>
        <w:tabs>
          <w:tab w:val="left" w:pos="2160"/>
        </w:tabs>
        <w:spacing w:beforeLines="80" w:line="360" w:lineRule="auto"/>
        <w:rPr>
          <w:rFonts w:ascii="宋体" w:hAnsi="宋体" w:cs="宋体"/>
          <w:b/>
          <w:color w:val="auto"/>
          <w:kern w:val="0"/>
          <w:szCs w:val="21"/>
        </w:rPr>
      </w:pPr>
      <w:r>
        <w:rPr>
          <w:rFonts w:hint="eastAsia" w:ascii="宋体" w:hAnsi="宋体" w:cs="宋体"/>
          <w:b/>
          <w:color w:val="auto"/>
          <w:kern w:val="0"/>
          <w:szCs w:val="21"/>
        </w:rPr>
        <w:t xml:space="preserve">14.2  </w:t>
      </w:r>
      <w:r>
        <w:rPr>
          <w:rFonts w:hint="eastAsia" w:ascii="宋体" w:hAnsi="宋体" w:cs="宋体"/>
          <w:b/>
          <w:color w:val="auto"/>
          <w:kern w:val="0"/>
          <w:szCs w:val="21"/>
          <w:u w:val="dotted"/>
        </w:rPr>
        <w:t xml:space="preserve">                                                                                 </w:t>
      </w:r>
    </w:p>
    <w:p>
      <w:pPr>
        <w:tabs>
          <w:tab w:val="left" w:pos="1620"/>
        </w:tabs>
        <w:spacing w:line="360" w:lineRule="auto"/>
        <w:ind w:left="1618" w:leftChars="770" w:hanging="1"/>
        <w:rPr>
          <w:rFonts w:ascii="宋体" w:hAnsi="宋体" w:cs="宋体"/>
          <w:color w:val="auto"/>
          <w:kern w:val="0"/>
          <w:szCs w:val="21"/>
        </w:rPr>
      </w:pPr>
      <w:r>
        <w:rPr>
          <w:rFonts w:ascii="宋体" w:hAnsi="宋体" w:cs="宋体"/>
          <w:color w:val="auto"/>
          <w:kern w:val="0"/>
          <w:szCs w:val="21"/>
        </w:rPr>
        <mc:AlternateContent>
          <mc:Choice Requires="wps">
            <w:drawing>
              <wp:anchor distT="0" distB="0" distL="114300" distR="114300" simplePos="0" relativeHeight="251918336" behindDoc="0" locked="0" layoutInCell="1" allowOverlap="1">
                <wp:simplePos x="0" y="0"/>
                <wp:positionH relativeFrom="column">
                  <wp:posOffset>0</wp:posOffset>
                </wp:positionH>
                <wp:positionV relativeFrom="paragraph">
                  <wp:posOffset>10795</wp:posOffset>
                </wp:positionV>
                <wp:extent cx="914400" cy="875665"/>
                <wp:effectExtent l="0" t="0" r="0" b="0"/>
                <wp:wrapNone/>
                <wp:docPr id="365" name="文本框 365"/>
                <wp:cNvGraphicFramePr/>
                <a:graphic xmlns:a="http://schemas.openxmlformats.org/drawingml/2006/main">
                  <a:graphicData uri="http://schemas.microsoft.com/office/word/2010/wordprocessingShape">
                    <wps:wsp>
                      <wps:cNvSpPr txBox="1">
                        <a:spLocks noChangeArrowheads="1"/>
                      </wps:cNvSpPr>
                      <wps:spPr bwMode="auto">
                        <a:xfrm>
                          <a:off x="0" y="0"/>
                          <a:ext cx="914400" cy="875665"/>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专项批准事件签认人的要求</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0pt;margin-top:0.85pt;height:68.95pt;width:72pt;z-index:251918336;mso-width-relative:page;mso-height-relative:page;" filled="f" stroked="f" coordsize="21600,21600" o:gfxdata="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5qRuYtMAAAAGAQAADwAAAAAAAAABACAAAAAiAAAAZHJzL2Rvd25yZXYu&#10;eG1sUEsBAhQAFAAAAAgAh07iQM1BGcsAAgAA2AMAAA4AAAAAAAAAAQAgAAAAIgEAAGRycy9lMm9E&#10;b2MueG1sUEsFBgAAAAAGAAYAWQEAAJQFA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专项批准事件签认人的要求</w:t>
                      </w:r>
                    </w:p>
                  </w:txbxContent>
                </v:textbox>
              </v:shape>
            </w:pict>
          </mc:Fallback>
        </mc:AlternateContent>
      </w:r>
      <w:r>
        <w:rPr>
          <w:rFonts w:hint="eastAsia" w:ascii="宋体" w:hAnsi="宋体" w:cs="宋体"/>
          <w:color w:val="auto"/>
          <w:kern w:val="0"/>
          <w:szCs w:val="21"/>
        </w:rPr>
        <w:t>合同双方当事人应按照第23.1款、第24.1款和第25.1款规定，分别在专用条款中写明负责专项批准事件签认的监理工程师、造价工程师和建造师具体人选，授予其负责专项批准事件签认的权力，并提供该人选的印章、签字式样，作为本合同的附件。当专项批准事件发生时，该人选应在其职权范围内，按照本合同约定的程序、时限、生效条件等要求，对发生事件的内容、数量和单价等办理签认手续，并加盖所在单位的法人公章或其授权的施工现场管理机构章。</w:t>
      </w:r>
    </w:p>
    <w:p>
      <w:pPr>
        <w:adjustRightInd w:val="0"/>
        <w:snapToGrid w:val="0"/>
        <w:ind w:right="-238"/>
        <w:rPr>
          <w:rFonts w:ascii="宋体" w:hAnsi="宋体" w:cs="宋体"/>
          <w:b/>
          <w:color w:val="auto"/>
          <w:kern w:val="0"/>
          <w:szCs w:val="21"/>
          <w:u w:val="single"/>
        </w:rPr>
      </w:pPr>
      <w:r>
        <w:rPr>
          <w:rFonts w:hint="eastAsia" w:ascii="宋体" w:hAnsi="宋体" w:cs="宋体"/>
          <w:b/>
          <w:color w:val="auto"/>
          <w:kern w:val="0"/>
          <w:szCs w:val="21"/>
          <w:u w:val="single"/>
        </w:rPr>
        <w:t xml:space="preserve">                                                                                </w:t>
      </w:r>
    </w:p>
    <w:p>
      <w:pPr>
        <w:tabs>
          <w:tab w:val="left" w:pos="1620"/>
        </w:tabs>
        <w:spacing w:line="240" w:lineRule="exact"/>
        <w:rPr>
          <w:rFonts w:ascii="宋体" w:hAnsi="宋体" w:cs="宋体"/>
          <w:color w:val="auto"/>
          <w:szCs w:val="21"/>
          <w:u w:val="single"/>
        </w:rPr>
      </w:pPr>
    </w:p>
    <w:p>
      <w:pPr>
        <w:adjustRightInd w:val="0"/>
        <w:snapToGrid w:val="0"/>
        <w:spacing w:beforeLines="100" w:line="360" w:lineRule="auto"/>
        <w:ind w:right="-238"/>
        <w:rPr>
          <w:rFonts w:ascii="宋体" w:hAnsi="宋体" w:cs="宋体"/>
          <w:b/>
          <w:color w:val="auto"/>
          <w:kern w:val="0"/>
          <w:szCs w:val="21"/>
        </w:rPr>
      </w:pPr>
      <w:r>
        <w:rPr>
          <w:rFonts w:hint="eastAsia" w:ascii="宋体" w:hAnsi="宋体" w:cs="宋体"/>
          <w:b/>
          <w:color w:val="auto"/>
          <w:kern w:val="0"/>
          <w:szCs w:val="21"/>
        </w:rPr>
        <w:t>15  专利技术</w:t>
      </w:r>
    </w:p>
    <w:p>
      <w:pPr>
        <w:adjustRightInd w:val="0"/>
        <w:snapToGrid w:val="0"/>
        <w:spacing w:line="360" w:lineRule="auto"/>
        <w:rPr>
          <w:rFonts w:ascii="宋体" w:hAnsi="宋体" w:cs="宋体"/>
          <w:b/>
          <w:color w:val="auto"/>
          <w:kern w:val="0"/>
          <w:szCs w:val="21"/>
        </w:rPr>
      </w:pPr>
      <w:r>
        <w:rPr>
          <w:rFonts w:hint="eastAsia" w:ascii="宋体" w:hAnsi="宋体" w:cs="宋体"/>
          <w:b/>
          <w:color w:val="auto"/>
          <w:kern w:val="0"/>
          <w:szCs w:val="21"/>
        </w:rPr>
        <w:t xml:space="preserve">15.1                                                                                   </w:t>
      </w:r>
      <w:r>
        <w:rPr>
          <w:rFonts w:hint="eastAsia" w:ascii="宋体" w:hAnsi="宋体" w:cs="宋体"/>
          <w:b/>
          <w:color w:val="auto"/>
          <w:kern w:val="0"/>
          <w:szCs w:val="21"/>
          <w:u w:val="dotted"/>
        </w:rPr>
        <w:t xml:space="preserve">                                                                                                </w:t>
      </w:r>
    </w:p>
    <w:p>
      <w:pPr>
        <w:adjustRightInd w:val="0"/>
        <w:snapToGrid w:val="0"/>
        <w:spacing w:line="360" w:lineRule="auto"/>
        <w:ind w:left="1619" w:leftChars="771"/>
        <w:rPr>
          <w:rFonts w:ascii="宋体" w:hAnsi="宋体" w:cs="宋体"/>
          <w:color w:val="auto"/>
          <w:kern w:val="0"/>
          <w:szCs w:val="21"/>
        </w:rPr>
      </w:pPr>
      <w:r>
        <w:rPr>
          <w:rFonts w:ascii="宋体" w:hAnsi="宋体" w:cs="宋体"/>
          <w:color w:val="auto"/>
          <w:kern w:val="0"/>
          <w:szCs w:val="21"/>
        </w:rPr>
        <mc:AlternateContent>
          <mc:Choice Requires="wps">
            <w:drawing>
              <wp:anchor distT="0" distB="0" distL="114300" distR="114300" simplePos="0" relativeHeight="251907072" behindDoc="0" locked="0" layoutInCell="1" allowOverlap="1">
                <wp:simplePos x="0" y="0"/>
                <wp:positionH relativeFrom="column">
                  <wp:posOffset>-114300</wp:posOffset>
                </wp:positionH>
                <wp:positionV relativeFrom="paragraph">
                  <wp:posOffset>22860</wp:posOffset>
                </wp:positionV>
                <wp:extent cx="914400" cy="471805"/>
                <wp:effectExtent l="0" t="0" r="0" b="0"/>
                <wp:wrapNone/>
                <wp:docPr id="364" name="文本框 364"/>
                <wp:cNvGraphicFramePr/>
                <a:graphic xmlns:a="http://schemas.openxmlformats.org/drawingml/2006/main">
                  <a:graphicData uri="http://schemas.microsoft.com/office/word/2010/wordprocessingShape">
                    <wps:wsp>
                      <wps:cNvSpPr txBox="1">
                        <a:spLocks noChangeArrowheads="1"/>
                      </wps:cNvSpPr>
                      <wps:spPr bwMode="auto">
                        <a:xfrm>
                          <a:off x="0" y="0"/>
                          <a:ext cx="914400" cy="471805"/>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侵犯专利技术责任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8pt;height:37.15pt;width:72pt;z-index:251907072;mso-width-relative:page;mso-height-relative:page;" filled="f" stroked="f" coordsize="21600,21600" o:gfxdata="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um2TpNYAAAAIAQAADwAAAAAAAAABACAAAAAiAAAAZHJzL2Rvd25y&#10;ZXYueG1sUEsBAhQAFAAAAAgAh07iQDjJ22wAAgAA2AMAAA4AAAAAAAAAAQAgAAAAJQEAAGRycy9l&#10;Mm9Eb2MueG1sUEsFBgAAAAAGAAYAWQEAAJcFA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侵犯专利技术责任</w:t>
                      </w:r>
                    </w:p>
                  </w:txbxContent>
                </v:textbox>
              </v:shape>
            </w:pict>
          </mc:Fallback>
        </mc:AlternateContent>
      </w:r>
      <w:r>
        <w:rPr>
          <w:rFonts w:hint="eastAsia" w:ascii="宋体" w:hAnsi="宋体" w:cs="宋体"/>
          <w:color w:val="auto"/>
          <w:kern w:val="0"/>
          <w:szCs w:val="21"/>
        </w:rPr>
        <w:t>承包人在实施、完成并保修合同工程过程中，如因采用施工工艺或使用施工设备及自身供应的材料和工程设备，而发生侵犯他人商标、图案、工艺、材料、设备专利权或知识产权的行为，并引起索赔或诉讼，则一切与此有关的损失、赔偿、诉讼等责任，均由承包人承担。但由于遵守发包人提供的施工设计图纸、标准与规范、技术说明和要求而造成的侵权，则属例外。</w:t>
      </w:r>
    </w:p>
    <w:p>
      <w:pPr>
        <w:adjustRightInd w:val="0"/>
        <w:snapToGrid w:val="0"/>
        <w:spacing w:line="360" w:lineRule="auto"/>
        <w:rPr>
          <w:rFonts w:ascii="宋体" w:hAnsi="宋体" w:cs="宋体"/>
          <w:b/>
          <w:color w:val="auto"/>
          <w:kern w:val="0"/>
          <w:szCs w:val="21"/>
        </w:rPr>
      </w:pPr>
      <w:r>
        <w:rPr>
          <w:rFonts w:hint="eastAsia" w:ascii="宋体" w:hAnsi="宋体" w:cs="宋体"/>
          <w:b/>
          <w:color w:val="auto"/>
          <w:kern w:val="0"/>
          <w:szCs w:val="21"/>
        </w:rPr>
        <w:t>15.2</w:t>
      </w:r>
      <w:r>
        <w:rPr>
          <w:rFonts w:hint="eastAsia" w:ascii="宋体" w:hAnsi="宋体" w:cs="宋体"/>
          <w:b/>
          <w:color w:val="auto"/>
          <w:kern w:val="0"/>
          <w:szCs w:val="21"/>
          <w:u w:val="dotted"/>
        </w:rPr>
        <w:t xml:space="preserve">                                                                             </w:t>
      </w:r>
      <w:r>
        <w:rPr>
          <w:rFonts w:hint="eastAsia" w:ascii="宋体" w:hAnsi="宋体" w:cs="宋体"/>
          <w:b/>
          <w:color w:val="auto"/>
          <w:kern w:val="0"/>
          <w:szCs w:val="21"/>
        </w:rPr>
        <w:t xml:space="preserve">    </w:t>
      </w:r>
      <w:r>
        <w:rPr>
          <w:rFonts w:hint="eastAsia" w:ascii="宋体" w:hAnsi="宋体" w:cs="宋体"/>
          <w:b/>
          <w:color w:val="auto"/>
          <w:kern w:val="0"/>
          <w:szCs w:val="21"/>
          <w:u w:val="dotted"/>
        </w:rPr>
        <w:t xml:space="preserve">                                                                                                </w:t>
      </w:r>
    </w:p>
    <w:p>
      <w:pPr>
        <w:adjustRightInd w:val="0"/>
        <w:snapToGrid w:val="0"/>
        <w:spacing w:line="360" w:lineRule="auto"/>
        <w:ind w:left="1619" w:leftChars="771"/>
        <w:rPr>
          <w:rFonts w:ascii="宋体" w:hAnsi="宋体" w:cs="宋体"/>
          <w:color w:val="auto"/>
          <w:kern w:val="0"/>
          <w:szCs w:val="21"/>
        </w:rPr>
      </w:pPr>
      <w:r>
        <w:rPr>
          <w:rFonts w:ascii="宋体" w:hAnsi="宋体" w:cs="宋体"/>
          <w:color w:val="auto"/>
          <w:kern w:val="0"/>
          <w:szCs w:val="21"/>
        </w:rPr>
        <mc:AlternateContent>
          <mc:Choice Requires="wps">
            <w:drawing>
              <wp:anchor distT="0" distB="0" distL="114300" distR="114300" simplePos="0" relativeHeight="251929600" behindDoc="0" locked="0" layoutInCell="1" allowOverlap="1">
                <wp:simplePos x="0" y="0"/>
                <wp:positionH relativeFrom="column">
                  <wp:posOffset>-114300</wp:posOffset>
                </wp:positionH>
                <wp:positionV relativeFrom="paragraph">
                  <wp:posOffset>22860</wp:posOffset>
                </wp:positionV>
                <wp:extent cx="914400" cy="471805"/>
                <wp:effectExtent l="0" t="0" r="0" b="0"/>
                <wp:wrapNone/>
                <wp:docPr id="363" name="文本框 363"/>
                <wp:cNvGraphicFramePr/>
                <a:graphic xmlns:a="http://schemas.openxmlformats.org/drawingml/2006/main">
                  <a:graphicData uri="http://schemas.microsoft.com/office/word/2010/wordprocessingShape">
                    <wps:wsp>
                      <wps:cNvSpPr txBox="1">
                        <a:spLocks noChangeArrowheads="1"/>
                      </wps:cNvSpPr>
                      <wps:spPr bwMode="auto">
                        <a:xfrm>
                          <a:off x="0" y="0"/>
                          <a:ext cx="914400" cy="471805"/>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专利技术的使用</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8pt;height:37.15pt;width:72pt;z-index:251929600;mso-width-relative:page;mso-height-relative:page;" filled="f" stroked="f" coordsize="21600,21600" o:gfxdata="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Lptk6TWAAAACAEAAA8AAAAAAAAAAQAgAAAAIgAAAGRycy9kb3du&#10;cmV2LnhtbFBLAQIUABQAAAAIAIdO4kCk19xzAQIAANgDAAAOAAAAAAAAAAEAIAAAACUBAABkcnMv&#10;ZTJvRG9jLnhtbFBLBQYAAAAABgAGAFkBAACYBQ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专利技术的使用</w:t>
                      </w:r>
                    </w:p>
                  </w:txbxContent>
                </v:textbox>
              </v:shape>
            </w:pict>
          </mc:Fallback>
        </mc:AlternateContent>
      </w:r>
      <w:r>
        <w:rPr>
          <w:rFonts w:hint="eastAsia" w:ascii="宋体" w:hAnsi="宋体" w:cs="宋体"/>
          <w:color w:val="auto"/>
          <w:kern w:val="0"/>
          <w:szCs w:val="21"/>
        </w:rPr>
        <w:t>承包人在响应文件中采用专利技术的，其发生的费用已包含在投标报价内。承包人的技术秘密和第91条规定的保密信息、资料等，发包人应严格按照第91条规定不得为合同以外的目的泄露给第三方。</w:t>
      </w:r>
    </w:p>
    <w:p>
      <w:pPr>
        <w:tabs>
          <w:tab w:val="left" w:pos="1680"/>
        </w:tabs>
        <w:adjustRightInd w:val="0"/>
        <w:snapToGrid w:val="0"/>
        <w:spacing w:line="360" w:lineRule="auto"/>
        <w:rPr>
          <w:rFonts w:ascii="宋体" w:hAnsi="宋体" w:cs="宋体"/>
          <w:color w:val="auto"/>
          <w:kern w:val="0"/>
          <w:szCs w:val="21"/>
        </w:rPr>
      </w:pPr>
      <w:r>
        <w:rPr>
          <w:rFonts w:ascii="宋体" w:hAnsi="宋体" w:cs="宋体"/>
          <w:color w:val="auto"/>
          <w:kern w:val="0"/>
          <w:szCs w:val="21"/>
        </w:rPr>
        <mc:AlternateContent>
          <mc:Choice Requires="wps">
            <w:drawing>
              <wp:anchor distT="0" distB="0" distL="114300" distR="114300" simplePos="0" relativeHeight="251908096" behindDoc="0" locked="0" layoutInCell="1" allowOverlap="1">
                <wp:simplePos x="0" y="0"/>
                <wp:positionH relativeFrom="column">
                  <wp:posOffset>-114300</wp:posOffset>
                </wp:positionH>
                <wp:positionV relativeFrom="paragraph">
                  <wp:posOffset>241300</wp:posOffset>
                </wp:positionV>
                <wp:extent cx="914400" cy="497840"/>
                <wp:effectExtent l="0" t="0" r="0" b="0"/>
                <wp:wrapNone/>
                <wp:docPr id="362" name="文本框 362"/>
                <wp:cNvGraphicFramePr/>
                <a:graphic xmlns:a="http://schemas.openxmlformats.org/drawingml/2006/main">
                  <a:graphicData uri="http://schemas.microsoft.com/office/word/2010/wordprocessingShape">
                    <wps:wsp>
                      <wps:cNvSpPr txBox="1">
                        <a:spLocks noChangeArrowheads="1"/>
                      </wps:cNvSpPr>
                      <wps:spPr bwMode="auto">
                        <a:xfrm>
                          <a:off x="0" y="0"/>
                          <a:ext cx="914400" cy="497840"/>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版权和知识产权</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pt;height:39.2pt;width:72pt;z-index:251908096;mso-width-relative:page;mso-height-relative:page;" filled="f" stroked="f" coordsize="21600,21600" o:gfxdata="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H1ehpHXAAAACgEAAA8AAAAAAAAAAQAgAAAAIgAAAGRycy9kb3du&#10;cmV2LnhtbFBLAQIUABQAAAAIAIdO4kC0HFXrAAIAANgDAAAOAAAAAAAAAAEAIAAAACYBAABkcnMv&#10;ZTJvRG9jLnhtbFBLBQYAAAAABgAGAFkBAACYBQ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版权和知识产权</w:t>
                      </w:r>
                    </w:p>
                  </w:txbxContent>
                </v:textbox>
              </v:shape>
            </w:pict>
          </mc:Fallback>
        </mc:AlternateContent>
      </w:r>
      <w:r>
        <w:rPr>
          <w:rFonts w:hint="eastAsia" w:ascii="宋体" w:hAnsi="宋体" w:cs="宋体"/>
          <w:color w:val="auto"/>
          <w:kern w:val="0"/>
          <w:szCs w:val="21"/>
        </w:rPr>
        <w:t xml:space="preserve">15.3  </w:t>
      </w:r>
      <w:r>
        <w:rPr>
          <w:rFonts w:hint="eastAsia" w:ascii="宋体" w:hAnsi="宋体" w:cs="宋体"/>
          <w:color w:val="auto"/>
          <w:kern w:val="0"/>
          <w:szCs w:val="21"/>
          <w:u w:val="dotted"/>
        </w:rPr>
        <w:t xml:space="preserve">                                                                                                       </w:t>
      </w:r>
    </w:p>
    <w:p>
      <w:pPr>
        <w:adjustRightInd w:val="0"/>
        <w:snapToGrid w:val="0"/>
        <w:spacing w:line="360" w:lineRule="auto"/>
        <w:ind w:left="1619" w:leftChars="771"/>
        <w:rPr>
          <w:rFonts w:ascii="宋体" w:hAnsi="宋体" w:cs="宋体"/>
          <w:color w:val="auto"/>
          <w:kern w:val="0"/>
          <w:szCs w:val="21"/>
        </w:rPr>
      </w:pPr>
      <w:r>
        <w:rPr>
          <w:rFonts w:hint="eastAsia" w:ascii="宋体" w:hAnsi="宋体" w:cs="宋体"/>
          <w:color w:val="auto"/>
          <w:kern w:val="0"/>
          <w:szCs w:val="21"/>
        </w:rPr>
        <w:t>合同双方当事人各自对属于自己的施工设计图纸及其他文件保留版权和知识产权。双方签订本合同后，应视为分别授权对方当事人为实施合同工程而复制、使用、传送上述施工设计图纸和文件。但未经对方当事人同意，另一方当事人不得将其另作他用或转给第三方。</w:t>
      </w:r>
    </w:p>
    <w:p>
      <w:pPr>
        <w:adjustRightInd w:val="0"/>
        <w:snapToGrid w:val="0"/>
        <w:spacing w:line="360" w:lineRule="auto"/>
        <w:rPr>
          <w:rFonts w:ascii="宋体" w:hAnsi="宋体" w:cs="宋体"/>
          <w:b/>
          <w:color w:val="auto"/>
          <w:kern w:val="0"/>
          <w:szCs w:val="21"/>
          <w:u w:val="single"/>
        </w:rPr>
      </w:pPr>
      <w:r>
        <w:rPr>
          <w:rFonts w:hint="eastAsia" w:ascii="宋体" w:hAnsi="宋体" w:cs="宋体"/>
          <w:b/>
          <w:color w:val="auto"/>
          <w:kern w:val="0"/>
          <w:szCs w:val="21"/>
          <w:u w:val="single"/>
        </w:rPr>
        <w:t xml:space="preserve">                                                                                                             </w:t>
      </w:r>
    </w:p>
    <w:p>
      <w:pPr>
        <w:tabs>
          <w:tab w:val="left" w:pos="1620"/>
        </w:tabs>
        <w:spacing w:line="360" w:lineRule="auto"/>
        <w:rPr>
          <w:rFonts w:ascii="宋体" w:hAnsi="宋体" w:cs="宋体"/>
          <w:color w:val="auto"/>
          <w:szCs w:val="21"/>
        </w:rPr>
      </w:pPr>
    </w:p>
    <w:p>
      <w:pPr>
        <w:adjustRightInd w:val="0"/>
        <w:snapToGrid w:val="0"/>
        <w:spacing w:line="360" w:lineRule="auto"/>
        <w:rPr>
          <w:rFonts w:ascii="宋体" w:hAnsi="宋体" w:cs="宋体"/>
          <w:b/>
          <w:color w:val="auto"/>
          <w:kern w:val="0"/>
          <w:szCs w:val="21"/>
        </w:rPr>
      </w:pPr>
      <w:r>
        <w:rPr>
          <w:rFonts w:hint="eastAsia" w:ascii="宋体" w:hAnsi="宋体" w:cs="宋体"/>
          <w:b/>
          <w:color w:val="auto"/>
          <w:kern w:val="0"/>
          <w:szCs w:val="21"/>
        </w:rPr>
        <w:t>16  联合的责任</w:t>
      </w:r>
    </w:p>
    <w:p>
      <w:pPr>
        <w:adjustRightInd w:val="0"/>
        <w:snapToGrid w:val="0"/>
        <w:spacing w:line="360" w:lineRule="auto"/>
        <w:rPr>
          <w:rFonts w:ascii="宋体" w:hAnsi="宋体" w:cs="宋体"/>
          <w:b/>
          <w:color w:val="auto"/>
          <w:kern w:val="0"/>
          <w:szCs w:val="21"/>
        </w:rPr>
      </w:pPr>
      <w:r>
        <w:rPr>
          <w:rFonts w:ascii="宋体" w:hAnsi="宋体" w:cs="宋体"/>
          <w:color w:val="auto"/>
          <w:kern w:val="0"/>
          <w:szCs w:val="21"/>
        </w:rPr>
        <mc:AlternateContent>
          <mc:Choice Requires="wps">
            <w:drawing>
              <wp:anchor distT="0" distB="0" distL="114300" distR="114300" simplePos="0" relativeHeight="251909120" behindDoc="0" locked="0" layoutInCell="1" allowOverlap="1">
                <wp:simplePos x="0" y="0"/>
                <wp:positionH relativeFrom="column">
                  <wp:posOffset>-114300</wp:posOffset>
                </wp:positionH>
                <wp:positionV relativeFrom="paragraph">
                  <wp:posOffset>234950</wp:posOffset>
                </wp:positionV>
                <wp:extent cx="914400" cy="461010"/>
                <wp:effectExtent l="0" t="0" r="0" b="0"/>
                <wp:wrapNone/>
                <wp:docPr id="361" name="文本框 361"/>
                <wp:cNvGraphicFramePr/>
                <a:graphic xmlns:a="http://schemas.openxmlformats.org/drawingml/2006/main">
                  <a:graphicData uri="http://schemas.microsoft.com/office/word/2010/wordprocessingShape">
                    <wps:wsp>
                      <wps:cNvSpPr txBox="1">
                        <a:spLocks noChangeArrowheads="1"/>
                      </wps:cNvSpPr>
                      <wps:spPr bwMode="auto">
                        <a:xfrm>
                          <a:off x="0" y="0"/>
                          <a:ext cx="914400" cy="461010"/>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共同的和各自的责任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8.5pt;height:36.3pt;width:72pt;z-index:251909120;mso-width-relative:page;mso-height-relative:page;" filled="f" stroked="f" coordsize="21600,21600" o:gfxdata="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iaxOp9cAAAAKAQAADwAAAAAAAAABACAAAAAiAAAAZHJzL2Rvd25y&#10;ZXYueG1sUEsBAhQAFAAAAAgAh07iQBJ3r2v/AQAA2AMAAA4AAAAAAAAAAQAgAAAAJgEAAGRycy9l&#10;Mm9Eb2MueG1sUEsFBgAAAAAGAAYAWQEAAJcFA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共同的和各自的责任</w:t>
                      </w:r>
                    </w:p>
                  </w:txbxContent>
                </v:textbox>
              </v:shape>
            </w:pict>
          </mc:Fallback>
        </mc:AlternateContent>
      </w:r>
      <w:r>
        <w:rPr>
          <w:rFonts w:hint="eastAsia" w:ascii="宋体" w:hAnsi="宋体" w:cs="宋体"/>
          <w:b/>
          <w:color w:val="auto"/>
          <w:kern w:val="0"/>
          <w:szCs w:val="21"/>
        </w:rPr>
        <w:t xml:space="preserve">16.1                     </w:t>
      </w:r>
    </w:p>
    <w:p>
      <w:pPr>
        <w:adjustRightInd w:val="0"/>
        <w:snapToGrid w:val="0"/>
        <w:spacing w:line="360" w:lineRule="auto"/>
        <w:ind w:left="1619" w:leftChars="771"/>
        <w:rPr>
          <w:rFonts w:ascii="宋体" w:hAnsi="宋体" w:cs="宋体"/>
          <w:color w:val="auto"/>
          <w:kern w:val="0"/>
          <w:szCs w:val="21"/>
        </w:rPr>
      </w:pPr>
      <w:r>
        <w:rPr>
          <w:rFonts w:hint="eastAsia" w:ascii="宋体" w:hAnsi="宋体" w:cs="宋体"/>
          <w:color w:val="auto"/>
          <w:kern w:val="0"/>
          <w:szCs w:val="21"/>
        </w:rPr>
        <w:t>如果承包人是联合体经营，则联合体各方应共同与发包人签订合同协议书，并在工程开工前签订联合体施工协议书，作为本合同的附件。该联合体各方都应在合同履行期间对发包人负有共同的和各自的责任。</w:t>
      </w:r>
    </w:p>
    <w:p>
      <w:pPr>
        <w:adjustRightInd w:val="0"/>
        <w:snapToGrid w:val="0"/>
        <w:spacing w:line="360" w:lineRule="auto"/>
        <w:rPr>
          <w:rFonts w:ascii="宋体" w:hAnsi="宋体" w:cs="宋体"/>
          <w:b/>
          <w:color w:val="auto"/>
          <w:kern w:val="0"/>
          <w:szCs w:val="21"/>
        </w:rPr>
      </w:pPr>
      <w:r>
        <w:rPr>
          <w:rFonts w:ascii="宋体" w:hAnsi="宋体" w:cs="宋体"/>
          <w:color w:val="auto"/>
          <w:kern w:val="0"/>
          <w:szCs w:val="21"/>
        </w:rPr>
        <mc:AlternateContent>
          <mc:Choice Requires="wps">
            <w:drawing>
              <wp:anchor distT="0" distB="0" distL="114300" distR="114300" simplePos="0" relativeHeight="251910144" behindDoc="0" locked="0" layoutInCell="1" allowOverlap="1">
                <wp:simplePos x="0" y="0"/>
                <wp:positionH relativeFrom="column">
                  <wp:posOffset>-114300</wp:posOffset>
                </wp:positionH>
                <wp:positionV relativeFrom="paragraph">
                  <wp:posOffset>245745</wp:posOffset>
                </wp:positionV>
                <wp:extent cx="914400" cy="495300"/>
                <wp:effectExtent l="0" t="0" r="0" b="0"/>
                <wp:wrapNone/>
                <wp:docPr id="360" name="文本框 360"/>
                <wp:cNvGraphicFramePr/>
                <a:graphic xmlns:a="http://schemas.openxmlformats.org/drawingml/2006/main">
                  <a:graphicData uri="http://schemas.microsoft.com/office/word/2010/wordprocessingShape">
                    <wps:wsp>
                      <wps:cNvSpPr txBox="1">
                        <a:spLocks noChangeArrowheads="1"/>
                      </wps:cNvSpPr>
                      <wps:spPr bwMode="auto">
                        <a:xfrm>
                          <a:off x="0" y="0"/>
                          <a:ext cx="914400" cy="495300"/>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联合体文件签暑</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35pt;height:39pt;width:72pt;z-index:251910144;mso-width-relative:page;mso-height-relative:page;" filled="f" stroked="f" coordsize="21600,21600" o:gfxdata="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C7HiBtgAAAAKAQAADwAAAAAAAAABACAAAAAiAAAAZHJzL2Rvd25y&#10;ZXYueG1sUEsBAhQAFAAAAAgAh07iQMfgUYn+AQAA2AMAAA4AAAAAAAAAAQAgAAAAJwEAAGRycy9l&#10;Mm9Eb2MueG1sUEsFBgAAAAAGAAYAWQEAAJcFA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联合体文件签暑</w:t>
                      </w:r>
                    </w:p>
                  </w:txbxContent>
                </v:textbox>
              </v:shape>
            </w:pict>
          </mc:Fallback>
        </mc:AlternateContent>
      </w:r>
      <w:r>
        <w:rPr>
          <w:rFonts w:hint="eastAsia" w:ascii="宋体" w:hAnsi="宋体" w:cs="宋体"/>
          <w:b/>
          <w:color w:val="auto"/>
          <w:kern w:val="0"/>
          <w:szCs w:val="21"/>
        </w:rPr>
        <w:t xml:space="preserve">16.2  </w:t>
      </w:r>
      <w:r>
        <w:rPr>
          <w:rFonts w:hint="eastAsia" w:ascii="宋体" w:hAnsi="宋体" w:cs="宋体"/>
          <w:b/>
          <w:color w:val="auto"/>
          <w:kern w:val="0"/>
          <w:szCs w:val="21"/>
          <w:u w:val="dotted"/>
        </w:rPr>
        <w:t xml:space="preserve">                                                                                                       </w:t>
      </w:r>
    </w:p>
    <w:p>
      <w:pPr>
        <w:adjustRightInd w:val="0"/>
        <w:snapToGrid w:val="0"/>
        <w:spacing w:line="360" w:lineRule="auto"/>
        <w:ind w:left="1619" w:leftChars="771"/>
        <w:rPr>
          <w:rFonts w:ascii="宋体" w:hAnsi="宋体" w:cs="宋体"/>
          <w:color w:val="auto"/>
          <w:kern w:val="0"/>
          <w:szCs w:val="21"/>
        </w:rPr>
      </w:pPr>
      <w:r>
        <w:rPr>
          <w:rFonts w:hint="eastAsia" w:ascii="宋体" w:hAnsi="宋体" w:cs="宋体"/>
          <w:color w:val="auto"/>
          <w:kern w:val="0"/>
          <w:szCs w:val="21"/>
        </w:rPr>
        <w:t>联合体应有一个被授权的、对联合体各方有约束力的牵头人，由其负责与发包人、监理人和工程造价咨询人联系，组织联合体各方全面履行合同。该牵头人应指派专职代表负责，履行合同的有关文件由该专职代表签署。未经发包人事先书面同意，联合体的组成、结构和施工协议书不得随意变动。</w:t>
      </w:r>
    </w:p>
    <w:p>
      <w:pPr>
        <w:tabs>
          <w:tab w:val="left" w:pos="1620"/>
        </w:tabs>
        <w:spacing w:line="240" w:lineRule="exact"/>
        <w:rPr>
          <w:rFonts w:ascii="宋体" w:hAnsi="宋体" w:cs="宋体"/>
          <w:b/>
          <w:color w:val="auto"/>
          <w:szCs w:val="21"/>
          <w:u w:val="single"/>
        </w:rPr>
      </w:pPr>
      <w:r>
        <w:rPr>
          <w:rFonts w:hint="eastAsia" w:ascii="宋体" w:hAnsi="宋体" w:cs="宋体"/>
          <w:b/>
          <w:color w:val="auto"/>
          <w:szCs w:val="21"/>
          <w:u w:val="single"/>
        </w:rPr>
        <w:t xml:space="preserve">                                                                                      </w:t>
      </w:r>
    </w:p>
    <w:p>
      <w:pPr>
        <w:adjustRightInd w:val="0"/>
        <w:snapToGrid w:val="0"/>
        <w:spacing w:beforeLines="100" w:line="240" w:lineRule="exact"/>
        <w:ind w:right="-238" w:firstLine="601"/>
        <w:rPr>
          <w:rFonts w:ascii="宋体" w:hAnsi="宋体" w:cs="宋体"/>
          <w:b/>
          <w:color w:val="auto"/>
          <w:kern w:val="0"/>
          <w:szCs w:val="21"/>
        </w:rPr>
      </w:pPr>
    </w:p>
    <w:p>
      <w:pPr>
        <w:tabs>
          <w:tab w:val="left" w:pos="105"/>
        </w:tabs>
        <w:adjustRightInd w:val="0"/>
        <w:snapToGrid w:val="0"/>
        <w:spacing w:beforeLines="100"/>
        <w:ind w:right="-238"/>
        <w:rPr>
          <w:rFonts w:ascii="宋体" w:hAnsi="宋体" w:cs="宋体"/>
          <w:b/>
          <w:color w:val="auto"/>
          <w:kern w:val="0"/>
          <w:szCs w:val="21"/>
        </w:rPr>
      </w:pPr>
      <w:r>
        <w:rPr>
          <w:rFonts w:hint="eastAsia" w:ascii="宋体" w:hAnsi="宋体" w:cs="宋体"/>
          <w:b/>
          <w:color w:val="auto"/>
          <w:kern w:val="0"/>
          <w:szCs w:val="21"/>
        </w:rPr>
        <w:t>17  保障</w:t>
      </w:r>
    </w:p>
    <w:p>
      <w:pPr>
        <w:tabs>
          <w:tab w:val="left" w:pos="1202"/>
        </w:tabs>
        <w:adjustRightInd w:val="0"/>
        <w:snapToGrid w:val="0"/>
        <w:spacing w:line="360" w:lineRule="auto"/>
        <w:rPr>
          <w:rFonts w:ascii="宋体" w:hAnsi="宋体" w:cs="宋体"/>
          <w:b/>
          <w:color w:val="auto"/>
          <w:kern w:val="0"/>
          <w:szCs w:val="21"/>
        </w:rPr>
      </w:pPr>
      <w:r>
        <w:rPr>
          <w:rFonts w:ascii="宋体" w:hAnsi="宋体" w:cs="宋体"/>
          <w:color w:val="auto"/>
          <w:kern w:val="0"/>
          <w:szCs w:val="21"/>
        </w:rPr>
        <mc:AlternateContent>
          <mc:Choice Requires="wps">
            <w:drawing>
              <wp:anchor distT="0" distB="0" distL="114300" distR="114300" simplePos="0" relativeHeight="251756544" behindDoc="0" locked="0" layoutInCell="1" allowOverlap="1">
                <wp:simplePos x="0" y="0"/>
                <wp:positionH relativeFrom="column">
                  <wp:posOffset>0</wp:posOffset>
                </wp:positionH>
                <wp:positionV relativeFrom="paragraph">
                  <wp:posOffset>181610</wp:posOffset>
                </wp:positionV>
                <wp:extent cx="914400" cy="594360"/>
                <wp:effectExtent l="0" t="0" r="0" b="0"/>
                <wp:wrapNone/>
                <wp:docPr id="359" name="文本框 359"/>
                <wp:cNvGraphicFramePr/>
                <a:graphic xmlns:a="http://schemas.openxmlformats.org/drawingml/2006/main">
                  <a:graphicData uri="http://schemas.microsoft.com/office/word/2010/wordprocessingShape">
                    <wps:wsp>
                      <wps:cNvSpPr txBox="1">
                        <a:spLocks noChangeArrowheads="1"/>
                      </wps:cNvSpPr>
                      <wps:spPr bwMode="auto">
                        <a:xfrm>
                          <a:off x="0" y="0"/>
                          <a:ext cx="914400" cy="594360"/>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合同双方相互保障</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0pt;margin-top:14.3pt;height:46.8pt;width:72pt;z-index:251756544;mso-width-relative:page;mso-height-relative:page;" filled="f" stroked="f" coordsize="21600,21600" o:gfxdata="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f/hgkNUAAAAHAQAADwAAAAAAAAABACAAAAAiAAAAZHJzL2Rvd25y&#10;ZXYueG1sUEsBAhQAFAAAAAgAh07iQFBFCtMBAgAA2AMAAA4AAAAAAAAAAQAgAAAAJAEAAGRycy9l&#10;Mm9Eb2MueG1sUEsFBgAAAAAGAAYAWQEAAJcFA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合同双方相互保障</w:t>
                      </w:r>
                    </w:p>
                  </w:txbxContent>
                </v:textbox>
              </v:shape>
            </w:pict>
          </mc:Fallback>
        </mc:AlternateContent>
      </w:r>
      <w:r>
        <w:rPr>
          <w:rFonts w:hint="eastAsia" w:ascii="宋体" w:hAnsi="宋体" w:cs="宋体"/>
          <w:b/>
          <w:color w:val="auto"/>
          <w:kern w:val="0"/>
          <w:szCs w:val="21"/>
        </w:rPr>
        <w:t xml:space="preserve">17.1      </w:t>
      </w:r>
    </w:p>
    <w:p>
      <w:pPr>
        <w:adjustRightInd w:val="0"/>
        <w:snapToGrid w:val="0"/>
        <w:spacing w:line="360" w:lineRule="auto"/>
        <w:ind w:left="1619" w:leftChars="771"/>
        <w:rPr>
          <w:rFonts w:ascii="宋体" w:hAnsi="宋体" w:cs="宋体"/>
          <w:color w:val="auto"/>
          <w:kern w:val="0"/>
          <w:szCs w:val="21"/>
        </w:rPr>
      </w:pPr>
      <w:r>
        <w:rPr>
          <w:rFonts w:hint="eastAsia" w:ascii="宋体" w:hAnsi="宋体" w:cs="宋体"/>
          <w:color w:val="auto"/>
          <w:kern w:val="0"/>
          <w:szCs w:val="21"/>
        </w:rPr>
        <w:t>合同一方当事人应负责和保障另一方当事人不因其自身的行为或疏忽而引起的一切损害、损失和赔偿。但受保障的一方当事人应积极采取合理措施减少可能发生的损失或损害。因受保障的一方当事人未采取合理措施而导致损失扩大，则损失扩大部分由其自身承担。</w:t>
      </w:r>
    </w:p>
    <w:p>
      <w:pPr>
        <w:tabs>
          <w:tab w:val="left" w:pos="1202"/>
        </w:tabs>
        <w:adjustRightInd w:val="0"/>
        <w:snapToGrid w:val="0"/>
        <w:spacing w:line="360" w:lineRule="auto"/>
        <w:rPr>
          <w:rFonts w:ascii="宋体" w:hAnsi="宋体" w:cs="宋体"/>
          <w:b/>
          <w:color w:val="auto"/>
          <w:kern w:val="0"/>
          <w:szCs w:val="21"/>
        </w:rPr>
      </w:pPr>
      <w:r>
        <w:rPr>
          <w:rFonts w:ascii="宋体" w:hAnsi="宋体" w:cs="宋体"/>
          <w:color w:val="auto"/>
          <w:kern w:val="0"/>
          <w:szCs w:val="21"/>
        </w:rPr>
        <mc:AlternateContent>
          <mc:Choice Requires="wps">
            <w:drawing>
              <wp:anchor distT="0" distB="0" distL="114300" distR="114300" simplePos="0" relativeHeight="251757568" behindDoc="0" locked="0" layoutInCell="1" allowOverlap="1">
                <wp:simplePos x="0" y="0"/>
                <wp:positionH relativeFrom="column">
                  <wp:posOffset>-114300</wp:posOffset>
                </wp:positionH>
                <wp:positionV relativeFrom="paragraph">
                  <wp:posOffset>240665</wp:posOffset>
                </wp:positionV>
                <wp:extent cx="914400" cy="534670"/>
                <wp:effectExtent l="0" t="0" r="0" b="0"/>
                <wp:wrapNone/>
                <wp:docPr id="358" name="文本框 358"/>
                <wp:cNvGraphicFramePr/>
                <a:graphic xmlns:a="http://schemas.openxmlformats.org/drawingml/2006/main">
                  <a:graphicData uri="http://schemas.microsoft.com/office/word/2010/wordprocessingShape">
                    <wps:wsp>
                      <wps:cNvSpPr txBox="1">
                        <a:spLocks noChangeArrowheads="1"/>
                      </wps:cNvSpPr>
                      <wps:spPr bwMode="auto">
                        <a:xfrm>
                          <a:off x="0" y="0"/>
                          <a:ext cx="914400" cy="534670"/>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承包人对发包人的保障</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8.95pt;height:42.1pt;width:72pt;z-index:251757568;mso-width-relative:page;mso-height-relative:page;" filled="f" stroked="f" coordsize="21600,21600" o:gfxdata="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pgeQZ9gAAAAKAQAADwAAAAAAAAABACAAAAAiAAAAZHJzL2Rv&#10;d25yZXYueG1sUEsBAhQAFAAAAAgAh07iQNDBcuQBAgAA2AMAAA4AAAAAAAAAAQAgAAAAJwEAAGRy&#10;cy9lMm9Eb2MueG1sUEsFBgAAAAAGAAYAWQEAAJoFA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承包人对发包人的保障</w:t>
                      </w:r>
                    </w:p>
                  </w:txbxContent>
                </v:textbox>
              </v:shape>
            </w:pict>
          </mc:Fallback>
        </mc:AlternateContent>
      </w:r>
      <w:r>
        <w:rPr>
          <w:rFonts w:hint="eastAsia" w:ascii="宋体" w:hAnsi="宋体" w:cs="宋体"/>
          <w:b/>
          <w:color w:val="auto"/>
          <w:kern w:val="0"/>
          <w:szCs w:val="21"/>
        </w:rPr>
        <w:t xml:space="preserve">17.2  </w:t>
      </w:r>
      <w:r>
        <w:rPr>
          <w:rFonts w:hint="eastAsia" w:ascii="宋体" w:hAnsi="宋体" w:cs="宋体"/>
          <w:b/>
          <w:color w:val="auto"/>
          <w:kern w:val="0"/>
          <w:szCs w:val="21"/>
          <w:u w:val="dotted"/>
        </w:rPr>
        <w:t xml:space="preserve">                                                                                                       </w:t>
      </w:r>
    </w:p>
    <w:p>
      <w:pPr>
        <w:adjustRightInd w:val="0"/>
        <w:snapToGrid w:val="0"/>
        <w:spacing w:line="360" w:lineRule="auto"/>
        <w:ind w:left="1619" w:leftChars="771"/>
        <w:rPr>
          <w:rFonts w:ascii="宋体" w:hAnsi="宋体" w:cs="宋体"/>
          <w:color w:val="auto"/>
          <w:kern w:val="0"/>
          <w:szCs w:val="21"/>
        </w:rPr>
      </w:pPr>
      <w:r>
        <w:rPr>
          <w:rFonts w:hint="eastAsia" w:ascii="宋体" w:hAnsi="宋体" w:cs="宋体"/>
          <w:color w:val="auto"/>
          <w:kern w:val="0"/>
          <w:szCs w:val="21"/>
        </w:rPr>
        <w:t>承包人应保障发包人不承担因承包人移动或使用施工场地外的施工设备和临时设施所造成的损害而引起的赔偿。</w:t>
      </w:r>
    </w:p>
    <w:p>
      <w:pPr>
        <w:adjustRightInd w:val="0"/>
        <w:snapToGrid w:val="0"/>
        <w:spacing w:line="360" w:lineRule="auto"/>
        <w:rPr>
          <w:rFonts w:ascii="宋体" w:hAnsi="宋体" w:cs="宋体"/>
          <w:b/>
          <w:color w:val="auto"/>
          <w:kern w:val="0"/>
          <w:szCs w:val="21"/>
          <w:u w:val="single"/>
        </w:rPr>
      </w:pPr>
      <w:r>
        <w:rPr>
          <w:rFonts w:hint="eastAsia" w:ascii="宋体" w:hAnsi="宋体" w:cs="宋体"/>
          <w:b/>
          <w:color w:val="auto"/>
          <w:kern w:val="0"/>
          <w:szCs w:val="21"/>
          <w:u w:val="single"/>
        </w:rPr>
        <w:t xml:space="preserve">                                                                                                             </w:t>
      </w:r>
    </w:p>
    <w:p>
      <w:pPr>
        <w:tabs>
          <w:tab w:val="left" w:pos="1620"/>
        </w:tabs>
        <w:rPr>
          <w:rFonts w:ascii="宋体" w:hAnsi="宋体" w:cs="宋体"/>
          <w:b/>
          <w:color w:val="auto"/>
          <w:szCs w:val="21"/>
        </w:rPr>
      </w:pPr>
    </w:p>
    <w:p>
      <w:pPr>
        <w:adjustRightInd w:val="0"/>
        <w:snapToGrid w:val="0"/>
        <w:spacing w:beforeLines="100"/>
        <w:rPr>
          <w:rFonts w:ascii="宋体" w:hAnsi="宋体" w:cs="宋体"/>
          <w:b/>
          <w:color w:val="auto"/>
          <w:kern w:val="0"/>
          <w:szCs w:val="21"/>
        </w:rPr>
      </w:pPr>
      <w:r>
        <w:rPr>
          <w:rFonts w:hint="eastAsia" w:ascii="宋体" w:hAnsi="宋体" w:cs="宋体"/>
          <w:b/>
          <w:color w:val="auto"/>
          <w:kern w:val="0"/>
          <w:szCs w:val="21"/>
        </w:rPr>
        <w:t>18  财产</w:t>
      </w:r>
    </w:p>
    <w:p>
      <w:pPr>
        <w:spacing w:line="360" w:lineRule="auto"/>
        <w:rPr>
          <w:rFonts w:ascii="宋体" w:hAnsi="宋体" w:cs="宋体"/>
          <w:b/>
          <w:color w:val="auto"/>
          <w:szCs w:val="21"/>
        </w:rPr>
      </w:pPr>
      <w:r>
        <w:rPr>
          <w:rFonts w:hint="eastAsia" w:ascii="宋体" w:hAnsi="宋体" w:cs="宋体"/>
          <w:b/>
          <w:color w:val="auto"/>
          <w:szCs w:val="21"/>
        </w:rPr>
        <w:t xml:space="preserve">18.1                       </w:t>
      </w:r>
    </w:p>
    <w:p>
      <w:pPr>
        <w:spacing w:line="360" w:lineRule="auto"/>
        <w:ind w:left="1619" w:leftChars="771"/>
        <w:rPr>
          <w:rFonts w:ascii="宋体" w:hAnsi="宋体" w:cs="宋体"/>
          <w:color w:val="auto"/>
          <w:szCs w:val="21"/>
        </w:rPr>
      </w:pPr>
      <w:r>
        <w:rPr>
          <w:rFonts w:ascii="宋体" w:hAnsi="宋体" w:cs="宋体"/>
          <w:color w:val="auto"/>
          <w:szCs w:val="21"/>
        </w:rPr>
        <mc:AlternateContent>
          <mc:Choice Requires="wps">
            <w:drawing>
              <wp:anchor distT="0" distB="0" distL="114300" distR="114300" simplePos="0" relativeHeight="251758592" behindDoc="0" locked="0" layoutInCell="1" allowOverlap="1">
                <wp:simplePos x="0" y="0"/>
                <wp:positionH relativeFrom="column">
                  <wp:posOffset>-114300</wp:posOffset>
                </wp:positionH>
                <wp:positionV relativeFrom="paragraph">
                  <wp:posOffset>0</wp:posOffset>
                </wp:positionV>
                <wp:extent cx="914400" cy="724535"/>
                <wp:effectExtent l="0" t="0" r="0" b="0"/>
                <wp:wrapNone/>
                <wp:docPr id="357" name="文本框 357"/>
                <wp:cNvGraphicFramePr/>
                <a:graphic xmlns:a="http://schemas.openxmlformats.org/drawingml/2006/main">
                  <a:graphicData uri="http://schemas.microsoft.com/office/word/2010/wordprocessingShape">
                    <wps:wsp>
                      <wps:cNvSpPr txBox="1">
                        <a:spLocks noChangeArrowheads="1"/>
                      </wps:cNvSpPr>
                      <wps:spPr bwMode="auto">
                        <a:xfrm>
                          <a:off x="0" y="0"/>
                          <a:ext cx="914400" cy="724535"/>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用于工程材料、工程设备和施工设备的</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57.05pt;width:72pt;z-index:251758592;mso-width-relative:page;mso-height-relative:page;" filled="f" stroked="f" coordsize="21600,21600" o:gfxdata="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UUsi51QAAAAgBAAAPAAAAAAAAAAEAIAAAACIAAABkcnMvZG93bnJl&#10;di54bWxQSwECFAAUAAAACACHTuJA+RcY+AACAADYAwAADgAAAAAAAAABACAAAAAkAQAAZHJzL2Uy&#10;b0RvYy54bWxQSwUGAAAAAAYABgBZAQAAlgU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用于工程材料、工程设备和施工设备的</w:t>
                      </w:r>
                    </w:p>
                  </w:txbxContent>
                </v:textbox>
              </v:shape>
            </w:pict>
          </mc:Fallback>
        </mc:AlternateContent>
      </w:r>
      <w:r>
        <w:rPr>
          <w:rFonts w:hint="eastAsia" w:ascii="宋体" w:hAnsi="宋体" w:cs="宋体"/>
          <w:color w:val="auto"/>
          <w:szCs w:val="21"/>
        </w:rPr>
        <w:t>合同工程所需的材料、工程设备（包括备品备件、安装专用工器具与随机资料）和承包人的施工设备一经运至施工现场，即成为实施合同工程的财产。没有经监理工程师同意并由其报发包人批准，承包人不得使用合同工程的财产，也不得将实施合同工程的财产运出施工现场，但用于运送材料和工程设备、施工设备和雇员的运输工具除外。</w:t>
      </w:r>
    </w:p>
    <w:p>
      <w:pPr>
        <w:spacing w:line="360" w:lineRule="auto"/>
        <w:rPr>
          <w:rFonts w:ascii="宋体" w:hAnsi="宋体" w:cs="宋体"/>
          <w:b/>
          <w:color w:val="auto"/>
          <w:szCs w:val="21"/>
        </w:rPr>
      </w:pPr>
      <w:r>
        <w:rPr>
          <w:rFonts w:ascii="宋体" w:hAnsi="宋体" w:cs="宋体"/>
          <w:color w:val="auto"/>
          <w:szCs w:val="21"/>
        </w:rPr>
        <mc:AlternateContent>
          <mc:Choice Requires="wps">
            <w:drawing>
              <wp:anchor distT="0" distB="0" distL="114300" distR="114300" simplePos="0" relativeHeight="251759616" behindDoc="0" locked="0" layoutInCell="1" allowOverlap="1">
                <wp:simplePos x="0" y="0"/>
                <wp:positionH relativeFrom="column">
                  <wp:posOffset>-114300</wp:posOffset>
                </wp:positionH>
                <wp:positionV relativeFrom="paragraph">
                  <wp:posOffset>282575</wp:posOffset>
                </wp:positionV>
                <wp:extent cx="914400" cy="460375"/>
                <wp:effectExtent l="0" t="0" r="0" b="0"/>
                <wp:wrapNone/>
                <wp:docPr id="356" name="文本框 356"/>
                <wp:cNvGraphicFramePr/>
                <a:graphic xmlns:a="http://schemas.openxmlformats.org/drawingml/2006/main">
                  <a:graphicData uri="http://schemas.microsoft.com/office/word/2010/wordprocessingShape">
                    <wps:wsp>
                      <wps:cNvSpPr txBox="1">
                        <a:spLocks noChangeArrowheads="1"/>
                      </wps:cNvSpPr>
                      <wps:spPr bwMode="auto">
                        <a:xfrm>
                          <a:off x="0" y="0"/>
                          <a:ext cx="914400" cy="460375"/>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发包人财产及其使用</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2.25pt;height:36.25pt;width:72pt;z-index:251759616;mso-width-relative:page;mso-height-relative:page;" filled="f" stroked="f" coordsize="21600,21600" o:gfxdata="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6GjUt1wAAAAoBAAAPAAAAAAAAAAEAIAAAACIAAABkcnMvZG93&#10;bnJldi54bWxQSwECFAAUAAAACACHTuJAToxrXgECAADYAwAADgAAAAAAAAABACAAAAAmAQAAZHJz&#10;L2Uyb0RvYy54bWxQSwUGAAAAAAYABgBZAQAAmQU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发包人财产及其使用</w:t>
                      </w:r>
                    </w:p>
                  </w:txbxContent>
                </v:textbox>
              </v:shape>
            </w:pict>
          </mc:Fallback>
        </mc:AlternateContent>
      </w:r>
      <w:r>
        <w:rPr>
          <w:rFonts w:hint="eastAsia" w:ascii="宋体" w:hAnsi="宋体" w:cs="宋体"/>
          <w:b/>
          <w:color w:val="auto"/>
          <w:szCs w:val="21"/>
        </w:rPr>
        <w:t xml:space="preserve">18.2  </w:t>
      </w:r>
      <w:r>
        <w:rPr>
          <w:rFonts w:hint="eastAsia" w:ascii="宋体" w:hAnsi="宋体" w:cs="宋体"/>
          <w:b/>
          <w:color w:val="auto"/>
          <w:szCs w:val="21"/>
          <w:u w:val="dotted"/>
        </w:rPr>
        <w:t xml:space="preserve">                                                                                                       </w:t>
      </w:r>
    </w:p>
    <w:p>
      <w:pPr>
        <w:spacing w:line="360" w:lineRule="auto"/>
        <w:ind w:left="1619" w:leftChars="771"/>
        <w:rPr>
          <w:rFonts w:ascii="宋体" w:hAnsi="宋体" w:cs="宋体"/>
          <w:color w:val="auto"/>
          <w:szCs w:val="21"/>
        </w:rPr>
      </w:pPr>
      <w:r>
        <w:rPr>
          <w:rFonts w:hint="eastAsia" w:ascii="宋体" w:hAnsi="宋体" w:cs="宋体"/>
          <w:color w:val="auto"/>
          <w:szCs w:val="21"/>
        </w:rPr>
        <w:t>如果发包人依据第87.3款规定的情形解除合同，则现场的所有材料和工程设备（周转性材料除外）和合同工程，均应认为是发包人的财产。发包人有权留下承包人的任何施工设备、周转性材料，且无需为此支付任何费用，直到永久工程完工为止。</w:t>
      </w:r>
    </w:p>
    <w:p>
      <w:pPr>
        <w:spacing w:line="480" w:lineRule="auto"/>
        <w:rPr>
          <w:rFonts w:ascii="宋体" w:hAnsi="宋体" w:cs="宋体"/>
          <w:b/>
          <w:color w:val="auto"/>
          <w:szCs w:val="21"/>
        </w:rPr>
      </w:pPr>
      <w:r>
        <w:rPr>
          <w:rFonts w:ascii="宋体" w:hAnsi="宋体" w:cs="宋体"/>
          <w:color w:val="auto"/>
          <w:szCs w:val="21"/>
        </w:rPr>
        <mc:AlternateContent>
          <mc:Choice Requires="wps">
            <w:drawing>
              <wp:anchor distT="0" distB="0" distL="114300" distR="114300" simplePos="0" relativeHeight="251760640" behindDoc="0" locked="0" layoutInCell="1" allowOverlap="1">
                <wp:simplePos x="0" y="0"/>
                <wp:positionH relativeFrom="column">
                  <wp:posOffset>-114300</wp:posOffset>
                </wp:positionH>
                <wp:positionV relativeFrom="paragraph">
                  <wp:posOffset>282575</wp:posOffset>
                </wp:positionV>
                <wp:extent cx="914400" cy="544195"/>
                <wp:effectExtent l="0" t="0" r="0" b="0"/>
                <wp:wrapNone/>
                <wp:docPr id="355" name="文本框 355"/>
                <wp:cNvGraphicFramePr/>
                <a:graphic xmlns:a="http://schemas.openxmlformats.org/drawingml/2006/main">
                  <a:graphicData uri="http://schemas.microsoft.com/office/word/2010/wordprocessingShape">
                    <wps:wsp>
                      <wps:cNvSpPr txBox="1">
                        <a:spLocks noChangeArrowheads="1"/>
                      </wps:cNvSpPr>
                      <wps:spPr bwMode="auto">
                        <a:xfrm>
                          <a:off x="0" y="0"/>
                          <a:ext cx="914400" cy="544195"/>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承包人财产及其使用</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2.25pt;height:42.85pt;width:72pt;z-index:251760640;mso-width-relative:page;mso-height-relative:page;" filled="f" stroked="f" coordsize="21600,21600" o:gfxdata="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pbsBXNgAAAAKAQAADwAAAAAAAAABACAAAAAiAAAAZHJzL2Rv&#10;d25yZXYueG1sUEsBAhQAFAAAAAgAh07iQJq3WkIBAgAA2AMAAA4AAAAAAAAAAQAgAAAAJwEAAGRy&#10;cy9lMm9Eb2MueG1sUEsFBgAAAAAGAAYAWQEAAJoFA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承包人财产及其使用</w:t>
                      </w:r>
                    </w:p>
                  </w:txbxContent>
                </v:textbox>
              </v:shape>
            </w:pict>
          </mc:Fallback>
        </mc:AlternateContent>
      </w:r>
      <w:r>
        <w:rPr>
          <w:rFonts w:hint="eastAsia" w:ascii="宋体" w:hAnsi="宋体" w:cs="宋体"/>
          <w:b/>
          <w:color w:val="auto"/>
          <w:szCs w:val="21"/>
        </w:rPr>
        <w:t xml:space="preserve">18.3  </w:t>
      </w:r>
      <w:r>
        <w:rPr>
          <w:rFonts w:hint="eastAsia" w:ascii="宋体" w:hAnsi="宋体" w:cs="宋体"/>
          <w:b/>
          <w:color w:val="auto"/>
          <w:szCs w:val="21"/>
          <w:u w:val="dotted"/>
        </w:rPr>
        <w:t xml:space="preserve">                                                                                                       </w:t>
      </w:r>
    </w:p>
    <w:p>
      <w:pPr>
        <w:spacing w:line="360" w:lineRule="auto"/>
        <w:ind w:left="1619" w:leftChars="771"/>
        <w:rPr>
          <w:rFonts w:ascii="宋体" w:hAnsi="宋体" w:cs="宋体"/>
          <w:color w:val="auto"/>
          <w:szCs w:val="21"/>
        </w:rPr>
      </w:pPr>
      <w:r>
        <w:rPr>
          <w:rFonts w:hint="eastAsia" w:ascii="宋体" w:hAnsi="宋体" w:cs="宋体"/>
          <w:color w:val="auto"/>
          <w:szCs w:val="21"/>
        </w:rPr>
        <w:t>如果承包人依据第87.4款规定的情形解除合同，则承包人有权要求发包人支付已完工程款，并赔偿因此造成的损失。发包人应为承包人撤出现场提供便利和协助。如发包人未付完相关款项，承包人有权留置施工现场，直到发包人付完款项为止。</w:t>
      </w:r>
    </w:p>
    <w:p>
      <w:pPr>
        <w:spacing w:line="360" w:lineRule="auto"/>
        <w:outlineLvl w:val="1"/>
        <w:rPr>
          <w:rFonts w:ascii="宋体" w:hAnsi="宋体" w:cs="宋体"/>
          <w:b/>
          <w:bCs/>
          <w:color w:val="auto"/>
          <w:szCs w:val="21"/>
        </w:rPr>
      </w:pPr>
      <w:r>
        <w:rPr>
          <w:rFonts w:hint="eastAsia" w:ascii="宋体" w:hAnsi="宋体" w:cs="宋体"/>
          <w:b/>
          <w:bCs/>
          <w:color w:val="auto"/>
          <w:szCs w:val="21"/>
          <w:u w:val="single"/>
        </w:rPr>
        <w:t xml:space="preserve">                  </w:t>
      </w:r>
      <w:r>
        <w:rPr>
          <w:rFonts w:hint="eastAsia" w:ascii="宋体" w:hAnsi="宋体" w:cs="宋体"/>
          <w:b/>
          <w:color w:val="auto"/>
          <w:szCs w:val="21"/>
          <w:u w:val="single"/>
        </w:rPr>
        <w:t xml:space="preserve">                                                                                            </w:t>
      </w:r>
    </w:p>
    <w:p>
      <w:pPr>
        <w:adjustRightInd w:val="0"/>
        <w:snapToGrid w:val="0"/>
        <w:spacing w:line="360" w:lineRule="auto"/>
        <w:ind w:right="-238"/>
        <w:jc w:val="center"/>
        <w:outlineLvl w:val="1"/>
        <w:rPr>
          <w:rFonts w:ascii="宋体" w:hAnsi="宋体" w:cs="宋体"/>
          <w:b/>
          <w:color w:val="auto"/>
          <w:kern w:val="0"/>
          <w:sz w:val="32"/>
          <w:szCs w:val="28"/>
        </w:rPr>
      </w:pPr>
      <w:r>
        <w:rPr>
          <w:rFonts w:hint="eastAsia" w:ascii="宋体" w:hAnsi="宋体" w:cs="宋体"/>
          <w:b/>
          <w:color w:val="auto"/>
          <w:kern w:val="0"/>
          <w:sz w:val="32"/>
          <w:szCs w:val="28"/>
        </w:rPr>
        <w:t>二、合同主体</w:t>
      </w:r>
    </w:p>
    <w:p>
      <w:pPr>
        <w:spacing w:line="360" w:lineRule="auto"/>
        <w:jc w:val="center"/>
        <w:outlineLvl w:val="1"/>
        <w:rPr>
          <w:rFonts w:ascii="宋体" w:hAnsi="宋体" w:cs="宋体"/>
          <w:b/>
          <w:bCs/>
          <w:color w:val="auto"/>
          <w:szCs w:val="21"/>
        </w:rPr>
      </w:pPr>
    </w:p>
    <w:p>
      <w:pPr>
        <w:spacing w:beforeLines="50" w:afterLines="50" w:line="360" w:lineRule="auto"/>
        <w:rPr>
          <w:rFonts w:ascii="宋体" w:hAnsi="宋体" w:cs="宋体"/>
          <w:b/>
          <w:color w:val="auto"/>
          <w:szCs w:val="21"/>
        </w:rPr>
      </w:pPr>
      <w:r>
        <w:rPr>
          <w:rFonts w:hint="eastAsia" w:ascii="宋体" w:hAnsi="宋体" w:cs="宋体"/>
          <w:b/>
          <w:color w:val="auto"/>
          <w:szCs w:val="21"/>
        </w:rPr>
        <w:t>19  发包人</w:t>
      </w:r>
    </w:p>
    <w:p>
      <w:pPr>
        <w:tabs>
          <w:tab w:val="left" w:pos="1620"/>
        </w:tabs>
        <w:ind w:left="-2" w:leftChars="-1" w:firstLine="1"/>
        <w:rPr>
          <w:rFonts w:ascii="宋体" w:hAnsi="宋体" w:cs="宋体"/>
          <w:b/>
          <w:color w:val="auto"/>
          <w:szCs w:val="21"/>
        </w:rPr>
      </w:pPr>
      <w:r>
        <w:rPr>
          <w:rFonts w:hint="eastAsia" w:ascii="宋体" w:hAnsi="宋体" w:cs="宋体"/>
          <w:b/>
          <w:color w:val="auto"/>
          <w:szCs w:val="21"/>
        </w:rPr>
        <w:t xml:space="preserve">19.1                                                        </w:t>
      </w:r>
    </w:p>
    <w:p>
      <w:pPr>
        <w:tabs>
          <w:tab w:val="left" w:pos="1620"/>
        </w:tabs>
        <w:spacing w:line="360" w:lineRule="auto"/>
        <w:ind w:left="1619" w:leftChars="771"/>
        <w:rPr>
          <w:rFonts w:ascii="宋体" w:hAnsi="宋体" w:cs="宋体"/>
          <w:color w:val="auto"/>
          <w:szCs w:val="21"/>
        </w:rPr>
      </w:pPr>
      <w:r>
        <w:rPr>
          <w:rFonts w:ascii="宋体" w:hAnsi="宋体" w:cs="宋体"/>
          <w:color w:val="auto"/>
          <w:szCs w:val="21"/>
        </w:rPr>
        <mc:AlternateContent>
          <mc:Choice Requires="wps">
            <w:drawing>
              <wp:anchor distT="0" distB="0" distL="114300" distR="114300" simplePos="0" relativeHeight="251930624" behindDoc="0" locked="0" layoutInCell="1" allowOverlap="1">
                <wp:simplePos x="0" y="0"/>
                <wp:positionH relativeFrom="column">
                  <wp:posOffset>-114300</wp:posOffset>
                </wp:positionH>
                <wp:positionV relativeFrom="paragraph">
                  <wp:posOffset>4445</wp:posOffset>
                </wp:positionV>
                <wp:extent cx="914400" cy="429895"/>
                <wp:effectExtent l="0" t="0" r="0" b="0"/>
                <wp:wrapNone/>
                <wp:docPr id="354" name="文本框 354"/>
                <wp:cNvGraphicFramePr/>
                <a:graphic xmlns:a="http://schemas.openxmlformats.org/drawingml/2006/main">
                  <a:graphicData uri="http://schemas.microsoft.com/office/word/2010/wordprocessingShape">
                    <wps:wsp>
                      <wps:cNvSpPr txBox="1">
                        <a:spLocks noChangeArrowheads="1"/>
                      </wps:cNvSpPr>
                      <wps:spPr bwMode="auto">
                        <a:xfrm>
                          <a:off x="0" y="0"/>
                          <a:ext cx="914400" cy="429895"/>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遵守法律</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35pt;height:33.85pt;width:72pt;z-index:251930624;mso-width-relative:page;mso-height-relative:page;" filled="f" stroked="f" coordsize="21600,21600" o:gfxdata="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FFopk1QAAAAcBAAAPAAAAAAAAAAEAIAAAACIAAABkcnMvZG93bnJl&#10;di54bWxQSwECFAAUAAAACACHTuJAkBHf0AACAADYAwAADgAAAAAAAAABACAAAAAkAQAAZHJzL2Uy&#10;b0RvYy54bWxQSwUGAAAAAAYABgBZAQAAlgU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遵守法律</w:t>
                      </w:r>
                    </w:p>
                  </w:txbxContent>
                </v:textbox>
              </v:shape>
            </w:pict>
          </mc:Fallback>
        </mc:AlternateContent>
      </w:r>
      <w:r>
        <w:rPr>
          <w:rFonts w:hint="eastAsia" w:ascii="宋体" w:hAnsi="宋体" w:cs="宋体"/>
          <w:color w:val="auto"/>
          <w:szCs w:val="21"/>
        </w:rPr>
        <w:t>发包人在履行合同期间应遵守法律，并保证承包人免于承担因发包人违反法律而引起的任何责任。</w:t>
      </w:r>
    </w:p>
    <w:p>
      <w:pPr>
        <w:tabs>
          <w:tab w:val="left" w:pos="1620"/>
        </w:tabs>
        <w:spacing w:line="360" w:lineRule="auto"/>
        <w:ind w:left="-2" w:leftChars="-1" w:firstLine="1"/>
        <w:rPr>
          <w:rFonts w:ascii="宋体" w:hAnsi="宋体" w:cs="宋体"/>
          <w:b/>
          <w:color w:val="auto"/>
          <w:szCs w:val="21"/>
        </w:rPr>
      </w:pPr>
      <w:r>
        <w:rPr>
          <w:rFonts w:hint="eastAsia" w:ascii="宋体" w:hAnsi="宋体" w:cs="宋体"/>
          <w:b/>
          <w:color w:val="auto"/>
          <w:szCs w:val="21"/>
        </w:rPr>
        <w:t xml:space="preserve">19.2 </w:t>
      </w:r>
      <w:r>
        <w:rPr>
          <w:rFonts w:hint="eastAsia" w:ascii="宋体" w:hAnsi="宋体" w:cs="宋体"/>
          <w:b/>
          <w:color w:val="auto"/>
          <w:szCs w:val="21"/>
          <w:u w:val="dotted"/>
        </w:rPr>
        <w:t xml:space="preserve">                                                                             </w:t>
      </w:r>
      <w:r>
        <w:rPr>
          <w:rFonts w:hint="eastAsia" w:ascii="宋体" w:hAnsi="宋体" w:cs="宋体"/>
          <w:b/>
          <w:color w:val="auto"/>
          <w:szCs w:val="21"/>
        </w:rPr>
        <w:t xml:space="preserve">                                                       </w:t>
      </w:r>
    </w:p>
    <w:p>
      <w:pPr>
        <w:spacing w:line="360" w:lineRule="auto"/>
        <w:ind w:left="1620"/>
        <w:rPr>
          <w:rFonts w:ascii="宋体" w:hAnsi="宋体" w:cs="宋体"/>
          <w:color w:val="auto"/>
          <w:szCs w:val="21"/>
        </w:rPr>
      </w:pPr>
      <w:r>
        <w:rPr>
          <w:rFonts w:ascii="宋体" w:hAnsi="宋体" w:cs="宋体"/>
          <w:color w:val="auto"/>
          <w:szCs w:val="21"/>
        </w:rPr>
        <mc:AlternateContent>
          <mc:Choice Requires="wps">
            <w:drawing>
              <wp:anchor distT="0" distB="0" distL="114300" distR="114300" simplePos="0" relativeHeight="251898880" behindDoc="0" locked="0" layoutInCell="1" allowOverlap="1">
                <wp:simplePos x="0" y="0"/>
                <wp:positionH relativeFrom="column">
                  <wp:posOffset>-114300</wp:posOffset>
                </wp:positionH>
                <wp:positionV relativeFrom="paragraph">
                  <wp:posOffset>4445</wp:posOffset>
                </wp:positionV>
                <wp:extent cx="914400" cy="429895"/>
                <wp:effectExtent l="0" t="0" r="0" b="0"/>
                <wp:wrapNone/>
                <wp:docPr id="353" name="文本框 353"/>
                <wp:cNvGraphicFramePr/>
                <a:graphic xmlns:a="http://schemas.openxmlformats.org/drawingml/2006/main">
                  <a:graphicData uri="http://schemas.microsoft.com/office/word/2010/wordprocessingShape">
                    <wps:wsp>
                      <wps:cNvSpPr txBox="1">
                        <a:spLocks noChangeArrowheads="1"/>
                      </wps:cNvSpPr>
                      <wps:spPr bwMode="auto">
                        <a:xfrm>
                          <a:off x="0" y="0"/>
                          <a:ext cx="914400" cy="429895"/>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发包人工作</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35pt;height:33.85pt;width:72pt;z-index:251898880;mso-width-relative:page;mso-height-relative:page;" filled="f" stroked="f" coordsize="21600,21600" o:gfxdata="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hRaKZNUAAAAHAQAADwAAAAAAAAABACAAAAAiAAAAZHJzL2Rvd25y&#10;ZXYueG1sUEsBAhQAFAAAAAgAh07iQAwP2M8BAgAA2AMAAA4AAAAAAAAAAQAgAAAAJAEAAGRycy9l&#10;Mm9Eb2MueG1sUEsFBgAAAAAGAAYAWQEAAJcFA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发包人工作</w:t>
                      </w:r>
                    </w:p>
                  </w:txbxContent>
                </v:textbox>
              </v:shape>
            </w:pict>
          </mc:Fallback>
        </mc:AlternateContent>
      </w:r>
      <w:r>
        <w:rPr>
          <w:rFonts w:hint="eastAsia" w:ascii="宋体" w:hAnsi="宋体" w:cs="宋体"/>
          <w:color w:val="auto"/>
          <w:szCs w:val="21"/>
        </w:rPr>
        <w:t>发包人应按照合同约定完成下列工作，包括但不限于：</w:t>
      </w:r>
    </w:p>
    <w:p>
      <w:pPr>
        <w:numPr>
          <w:ilvl w:val="0"/>
          <w:numId w:val="12"/>
        </w:numPr>
        <w:tabs>
          <w:tab w:val="left" w:pos="1080"/>
          <w:tab w:val="left" w:pos="1470"/>
          <w:tab w:val="left" w:pos="1980"/>
        </w:tabs>
        <w:spacing w:line="360" w:lineRule="auto"/>
        <w:ind w:left="1610" w:leftChars="749" w:hanging="37" w:hangingChars="18"/>
        <w:rPr>
          <w:rFonts w:ascii="宋体" w:hAnsi="宋体" w:cs="宋体"/>
          <w:color w:val="auto"/>
          <w:szCs w:val="21"/>
        </w:rPr>
      </w:pPr>
      <w:r>
        <w:rPr>
          <w:rFonts w:hint="eastAsia" w:ascii="宋体" w:hAnsi="宋体" w:cs="宋体"/>
          <w:color w:val="auto"/>
          <w:szCs w:val="21"/>
        </w:rPr>
        <w:t>办理土地征用、拆迁、平整施工场地等工作，使施工场地具备施工条件，并在开工后继续负责解决上述工作遗留的问题；</w:t>
      </w:r>
    </w:p>
    <w:p>
      <w:pPr>
        <w:numPr>
          <w:ilvl w:val="0"/>
          <w:numId w:val="12"/>
        </w:numPr>
        <w:tabs>
          <w:tab w:val="left" w:pos="1080"/>
          <w:tab w:val="left" w:pos="1470"/>
          <w:tab w:val="left" w:pos="1980"/>
        </w:tabs>
        <w:spacing w:line="360" w:lineRule="auto"/>
        <w:ind w:left="1627" w:leftChars="750" w:hanging="52" w:hangingChars="25"/>
        <w:rPr>
          <w:rFonts w:ascii="宋体" w:hAnsi="宋体" w:cs="宋体"/>
          <w:color w:val="auto"/>
          <w:szCs w:val="21"/>
        </w:rPr>
      </w:pPr>
      <w:r>
        <w:rPr>
          <w:rFonts w:hint="eastAsia" w:ascii="宋体" w:hAnsi="宋体" w:cs="宋体"/>
          <w:color w:val="auto"/>
          <w:szCs w:val="21"/>
        </w:rPr>
        <w:t>将施工所需水、电、通讯线路从施工场地外部接驳至专用条款约定的地点，</w:t>
      </w:r>
    </w:p>
    <w:p>
      <w:pPr>
        <w:tabs>
          <w:tab w:val="left" w:pos="1980"/>
        </w:tabs>
        <w:spacing w:line="360" w:lineRule="auto"/>
        <w:ind w:left="1575" w:leftChars="750" w:firstLine="37" w:firstLineChars="18"/>
        <w:rPr>
          <w:rFonts w:ascii="宋体" w:hAnsi="宋体" w:cs="宋体"/>
          <w:color w:val="auto"/>
          <w:szCs w:val="21"/>
        </w:rPr>
      </w:pPr>
      <w:r>
        <w:rPr>
          <w:rFonts w:hint="eastAsia" w:ascii="宋体" w:hAnsi="宋体" w:cs="宋体"/>
          <w:color w:val="auto"/>
          <w:szCs w:val="21"/>
        </w:rPr>
        <w:t>保证施工期间的需要；</w:t>
      </w:r>
    </w:p>
    <w:p>
      <w:pPr>
        <w:numPr>
          <w:ilvl w:val="0"/>
          <w:numId w:val="12"/>
        </w:numPr>
        <w:tabs>
          <w:tab w:val="left" w:pos="1080"/>
          <w:tab w:val="left" w:pos="1470"/>
          <w:tab w:val="left" w:pos="1980"/>
        </w:tabs>
        <w:spacing w:line="360" w:lineRule="auto"/>
        <w:ind w:left="1627" w:leftChars="750" w:hanging="52" w:hangingChars="25"/>
        <w:rPr>
          <w:rFonts w:ascii="宋体" w:hAnsi="宋体" w:cs="宋体"/>
          <w:color w:val="auto"/>
          <w:szCs w:val="21"/>
        </w:rPr>
      </w:pPr>
      <w:r>
        <w:rPr>
          <w:rFonts w:hint="eastAsia" w:ascii="宋体" w:hAnsi="宋体" w:cs="宋体"/>
          <w:color w:val="auto"/>
          <w:szCs w:val="21"/>
        </w:rPr>
        <w:t>开通施工场地与城乡公共道路间的通道，满足第13条交通运输的需要；</w:t>
      </w:r>
    </w:p>
    <w:p>
      <w:pPr>
        <w:numPr>
          <w:ilvl w:val="0"/>
          <w:numId w:val="12"/>
        </w:numPr>
        <w:tabs>
          <w:tab w:val="left" w:pos="1080"/>
          <w:tab w:val="left" w:pos="1470"/>
          <w:tab w:val="left" w:pos="1980"/>
        </w:tabs>
        <w:spacing w:line="360" w:lineRule="auto"/>
        <w:ind w:left="1610" w:leftChars="749" w:hanging="37" w:hangingChars="18"/>
        <w:rPr>
          <w:rFonts w:ascii="宋体" w:hAnsi="宋体" w:cs="宋体"/>
          <w:color w:val="auto"/>
          <w:szCs w:val="21"/>
        </w:rPr>
      </w:pPr>
      <w:r>
        <w:rPr>
          <w:rFonts w:hint="eastAsia" w:ascii="宋体" w:hAnsi="宋体" w:cs="宋体"/>
          <w:color w:val="auto"/>
          <w:szCs w:val="21"/>
        </w:rPr>
        <w:t>向承包人提供施工场地的工程地质勘察资料，以及施工现场及毗邻区域内供水、排水、供电、供气、供热、通信、广播电视等地下管线资料，气象和水文观测资料，邻近建筑物和构筑物、地下工程的有关资料，并保证资料的真实、准确、完整；</w:t>
      </w:r>
    </w:p>
    <w:p>
      <w:pPr>
        <w:numPr>
          <w:ilvl w:val="0"/>
          <w:numId w:val="12"/>
        </w:numPr>
        <w:tabs>
          <w:tab w:val="left" w:pos="1080"/>
          <w:tab w:val="left" w:pos="1470"/>
          <w:tab w:val="left" w:pos="1980"/>
        </w:tabs>
        <w:spacing w:line="360" w:lineRule="auto"/>
        <w:ind w:left="1610" w:leftChars="748" w:hanging="39" w:hangingChars="19"/>
        <w:rPr>
          <w:rFonts w:ascii="宋体" w:hAnsi="宋体" w:cs="宋体"/>
          <w:color w:val="auto"/>
          <w:szCs w:val="21"/>
        </w:rPr>
      </w:pPr>
      <w:r>
        <w:rPr>
          <w:rFonts w:hint="eastAsia" w:ascii="宋体" w:hAnsi="宋体" w:cs="宋体"/>
          <w:color w:val="auto"/>
          <w:szCs w:val="21"/>
        </w:rPr>
        <w:t>办理施工许可及其他所需证件、批准文件和办理临时用地、停水、停电、中断道路交通、爆破作业等的申请批准手续（承包人自身施工资质的证件除外）；</w:t>
      </w:r>
    </w:p>
    <w:p>
      <w:pPr>
        <w:numPr>
          <w:ilvl w:val="0"/>
          <w:numId w:val="12"/>
        </w:numPr>
        <w:tabs>
          <w:tab w:val="left" w:pos="1080"/>
          <w:tab w:val="left" w:pos="1470"/>
          <w:tab w:val="left" w:pos="1980"/>
        </w:tabs>
        <w:spacing w:line="360" w:lineRule="auto"/>
        <w:ind w:left="1627" w:leftChars="750" w:hanging="52" w:hangingChars="25"/>
        <w:rPr>
          <w:rFonts w:ascii="宋体" w:hAnsi="宋体" w:cs="宋体"/>
          <w:color w:val="auto"/>
          <w:szCs w:val="21"/>
        </w:rPr>
      </w:pPr>
      <w:r>
        <w:rPr>
          <w:rFonts w:hint="eastAsia" w:ascii="宋体" w:hAnsi="宋体" w:cs="宋体"/>
          <w:color w:val="auto"/>
          <w:szCs w:val="21"/>
        </w:rPr>
        <w:t>确定水准点与坐标控制点，组织现场交验并以书面形式移交给承包人；</w:t>
      </w:r>
    </w:p>
    <w:p>
      <w:pPr>
        <w:tabs>
          <w:tab w:val="left" w:pos="1980"/>
        </w:tabs>
        <w:spacing w:line="360" w:lineRule="auto"/>
        <w:ind w:left="540" w:leftChars="257" w:firstLine="890" w:firstLineChars="424"/>
        <w:rPr>
          <w:rFonts w:ascii="宋体" w:hAnsi="宋体" w:cs="宋体"/>
          <w:color w:val="auto"/>
          <w:szCs w:val="21"/>
        </w:rPr>
      </w:pPr>
      <w:r>
        <w:rPr>
          <w:rFonts w:hint="eastAsia" w:ascii="宋体" w:hAnsi="宋体" w:cs="宋体"/>
          <w:color w:val="auto"/>
          <w:szCs w:val="21"/>
        </w:rPr>
        <w:t>(7) 按照专用条款约定的时间向承包人提供一式两份约定的标准与规范；</w:t>
      </w:r>
    </w:p>
    <w:p>
      <w:pPr>
        <w:tabs>
          <w:tab w:val="left" w:pos="1080"/>
          <w:tab w:val="left" w:pos="1980"/>
        </w:tabs>
        <w:spacing w:line="360" w:lineRule="auto"/>
        <w:ind w:left="1575"/>
        <w:rPr>
          <w:rFonts w:ascii="宋体" w:hAnsi="宋体" w:cs="宋体"/>
          <w:color w:val="auto"/>
          <w:szCs w:val="21"/>
        </w:rPr>
      </w:pPr>
      <w:r>
        <w:rPr>
          <w:rFonts w:hint="eastAsia" w:ascii="宋体" w:hAnsi="宋体" w:cs="宋体"/>
          <w:color w:val="auto"/>
          <w:szCs w:val="21"/>
        </w:rPr>
        <w:t>(8) 组织承包人和设计人进行图纸会审和设计交底；</w:t>
      </w:r>
    </w:p>
    <w:p>
      <w:pPr>
        <w:tabs>
          <w:tab w:val="left" w:pos="1980"/>
        </w:tabs>
        <w:spacing w:line="360" w:lineRule="auto"/>
        <w:ind w:left="1575"/>
        <w:rPr>
          <w:rFonts w:ascii="宋体" w:hAnsi="宋体" w:cs="宋体"/>
          <w:color w:val="auto"/>
          <w:szCs w:val="21"/>
        </w:rPr>
      </w:pPr>
      <w:r>
        <w:rPr>
          <w:rFonts w:hint="eastAsia" w:ascii="宋体" w:hAnsi="宋体" w:cs="宋体"/>
          <w:color w:val="auto"/>
          <w:szCs w:val="21"/>
        </w:rPr>
        <w:t>(9)协调处理施工场地周围地形关系问题和做好邻近建筑物、构筑物（包括文物</w:t>
      </w:r>
    </w:p>
    <w:p>
      <w:pPr>
        <w:tabs>
          <w:tab w:val="left" w:pos="1980"/>
        </w:tabs>
        <w:spacing w:line="360" w:lineRule="auto"/>
        <w:ind w:left="1575" w:leftChars="750" w:firstLine="37" w:firstLineChars="18"/>
        <w:rPr>
          <w:rFonts w:ascii="宋体" w:hAnsi="宋体" w:cs="宋体"/>
          <w:color w:val="auto"/>
          <w:szCs w:val="21"/>
        </w:rPr>
      </w:pPr>
      <w:r>
        <w:rPr>
          <w:rFonts w:hint="eastAsia" w:ascii="宋体" w:hAnsi="宋体" w:cs="宋体"/>
          <w:color w:val="auto"/>
          <w:szCs w:val="21"/>
        </w:rPr>
        <w:t>保护建筑）、古树名木等的保护工作；</w:t>
      </w:r>
    </w:p>
    <w:p>
      <w:pPr>
        <w:tabs>
          <w:tab w:val="left" w:pos="1980"/>
        </w:tabs>
        <w:spacing w:line="360" w:lineRule="auto"/>
        <w:ind w:left="480" w:firstLine="997" w:firstLineChars="475"/>
        <w:rPr>
          <w:rFonts w:ascii="宋体" w:hAnsi="宋体" w:cs="宋体"/>
          <w:color w:val="auto"/>
          <w:szCs w:val="21"/>
        </w:rPr>
      </w:pPr>
      <w:r>
        <w:rPr>
          <w:rFonts w:hint="eastAsia" w:ascii="宋体" w:hAnsi="宋体" w:cs="宋体"/>
          <w:color w:val="auto"/>
          <w:szCs w:val="21"/>
        </w:rPr>
        <w:t>(10)及时接收已完工程，并按照合同约定及时支付工程款及其他各种款项。</w:t>
      </w:r>
    </w:p>
    <w:p>
      <w:pPr>
        <w:tabs>
          <w:tab w:val="left" w:pos="1980"/>
        </w:tabs>
        <w:spacing w:line="360" w:lineRule="auto"/>
        <w:ind w:left="1619" w:leftChars="771" w:firstLine="1"/>
        <w:rPr>
          <w:rFonts w:ascii="宋体" w:hAnsi="宋体" w:cs="宋体"/>
          <w:color w:val="auto"/>
          <w:kern w:val="0"/>
          <w:szCs w:val="21"/>
        </w:rPr>
      </w:pPr>
      <w:r>
        <w:rPr>
          <w:rFonts w:hint="eastAsia" w:ascii="宋体" w:hAnsi="宋体" w:cs="宋体"/>
          <w:color w:val="auto"/>
          <w:kern w:val="0"/>
          <w:szCs w:val="21"/>
        </w:rPr>
        <w:t>发包人可将其中部分工作委托给承包人办理，具体由合同双方当事人在专用条款中约定。除合同价款已包括外，由发包人承担所需费用，并向承包人支付合理利润。</w:t>
      </w:r>
    </w:p>
    <w:p>
      <w:pPr>
        <w:spacing w:line="360" w:lineRule="auto"/>
        <w:rPr>
          <w:rFonts w:ascii="宋体" w:hAnsi="宋体" w:cs="宋体"/>
          <w:color w:val="auto"/>
          <w:szCs w:val="21"/>
        </w:rPr>
      </w:pPr>
      <w:r>
        <w:rPr>
          <w:rFonts w:hint="eastAsia" w:ascii="宋体" w:hAnsi="宋体" w:cs="宋体"/>
          <w:b/>
          <w:color w:val="auto"/>
          <w:szCs w:val="21"/>
        </w:rPr>
        <w:t xml:space="preserve">19.3 </w:t>
      </w:r>
      <w:r>
        <w:rPr>
          <w:rFonts w:hint="eastAsia" w:ascii="宋体" w:hAnsi="宋体" w:cs="宋体"/>
          <w:color w:val="auto"/>
          <w:szCs w:val="21"/>
        </w:rPr>
        <w:t xml:space="preserve"> </w:t>
      </w:r>
      <w:r>
        <w:rPr>
          <w:rFonts w:hint="eastAsia" w:ascii="宋体" w:hAnsi="宋体" w:cs="宋体"/>
          <w:color w:val="auto"/>
          <w:szCs w:val="21"/>
          <w:u w:val="dotted"/>
        </w:rPr>
        <w:t xml:space="preserve">                                                                                                       </w:t>
      </w:r>
    </w:p>
    <w:p>
      <w:pPr>
        <w:spacing w:line="360" w:lineRule="auto"/>
        <w:ind w:left="1619" w:leftChars="771" w:firstLine="2"/>
        <w:rPr>
          <w:rFonts w:ascii="宋体" w:hAnsi="宋体" w:cs="宋体"/>
          <w:color w:val="auto"/>
          <w:szCs w:val="21"/>
        </w:rPr>
      </w:pPr>
      <w:r>
        <w:rPr>
          <w:rFonts w:ascii="宋体" w:hAnsi="宋体" w:cs="宋体"/>
          <w:color w:val="auto"/>
          <w:szCs w:val="21"/>
        </w:rPr>
        <mc:AlternateContent>
          <mc:Choice Requires="wps">
            <w:drawing>
              <wp:anchor distT="0" distB="0" distL="114300" distR="114300" simplePos="0" relativeHeight="251761664" behindDoc="0" locked="0" layoutInCell="1" allowOverlap="1">
                <wp:simplePos x="0" y="0"/>
                <wp:positionH relativeFrom="column">
                  <wp:posOffset>-114300</wp:posOffset>
                </wp:positionH>
                <wp:positionV relativeFrom="paragraph">
                  <wp:posOffset>0</wp:posOffset>
                </wp:positionV>
                <wp:extent cx="914400" cy="495300"/>
                <wp:effectExtent l="0" t="0" r="0" b="0"/>
                <wp:wrapNone/>
                <wp:docPr id="352" name="文本框 352"/>
                <wp:cNvGraphicFramePr/>
                <a:graphic xmlns:a="http://schemas.openxmlformats.org/drawingml/2006/main">
                  <a:graphicData uri="http://schemas.microsoft.com/office/word/2010/wordprocessingShape">
                    <wps:wsp>
                      <wps:cNvSpPr txBox="1">
                        <a:spLocks noChangeArrowheads="1"/>
                      </wps:cNvSpPr>
                      <wps:spPr bwMode="auto">
                        <a:xfrm>
                          <a:off x="0" y="0"/>
                          <a:ext cx="914400" cy="495300"/>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发包人提供施工场地</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39pt;width:72pt;z-index:251761664;mso-width-relative:page;mso-height-relative:page;" filled="f" stroked="f" coordsize="21600,21600" o:gfxdata="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kLuITtQAAAAHAQAADwAAAAAAAAABACAAAAAiAAAAZHJzL2Rvd25yZXYu&#10;eG1sUEsBAhQAFAAAAAgAh07iQKRIPWT/AQAA2AMAAA4AAAAAAAAAAQAgAAAAIwEAAGRycy9lMm9E&#10;b2MueG1sUEsFBgAAAAAGAAYAWQEAAJQFA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发包人提供施工场地</w:t>
                      </w:r>
                    </w:p>
                  </w:txbxContent>
                </v:textbox>
              </v:shape>
            </w:pict>
          </mc:Fallback>
        </mc:AlternateContent>
      </w:r>
      <w:r>
        <w:rPr>
          <w:rFonts w:hint="eastAsia" w:ascii="宋体" w:hAnsi="宋体" w:cs="宋体"/>
          <w:color w:val="auto"/>
          <w:szCs w:val="21"/>
        </w:rPr>
        <w:t>发包人应按照专用条款约定的时间提供施工场地，并在确保承包人按照计划进度顺利开工的时间内给予承包人进入和使用施工场地的权利。</w:t>
      </w:r>
    </w:p>
    <w:p>
      <w:pPr>
        <w:spacing w:line="360" w:lineRule="auto"/>
        <w:ind w:left="1619" w:leftChars="771" w:firstLine="2"/>
        <w:rPr>
          <w:rFonts w:ascii="宋体" w:hAnsi="宋体" w:cs="宋体"/>
          <w:color w:val="auto"/>
          <w:szCs w:val="21"/>
        </w:rPr>
      </w:pPr>
      <w:r>
        <w:rPr>
          <w:rFonts w:hint="eastAsia" w:ascii="宋体" w:hAnsi="宋体" w:cs="宋体"/>
          <w:color w:val="auto"/>
          <w:szCs w:val="21"/>
        </w:rPr>
        <w:t>发包人保留其工作人员、雇员和相关执法人员进入和使用施工场地的权利。</w:t>
      </w:r>
    </w:p>
    <w:p>
      <w:pPr>
        <w:spacing w:line="360" w:lineRule="auto"/>
        <w:rPr>
          <w:rFonts w:ascii="宋体" w:hAnsi="宋体" w:cs="宋体"/>
          <w:b/>
          <w:color w:val="auto"/>
          <w:szCs w:val="21"/>
        </w:rPr>
      </w:pPr>
      <w:r>
        <w:rPr>
          <w:rFonts w:hint="eastAsia" w:ascii="宋体" w:hAnsi="宋体" w:cs="宋体"/>
          <w:b/>
          <w:color w:val="auto"/>
          <w:szCs w:val="21"/>
        </w:rPr>
        <w:t xml:space="preserve">19.4  </w:t>
      </w:r>
      <w:r>
        <w:rPr>
          <w:rFonts w:hint="eastAsia" w:ascii="宋体" w:hAnsi="宋体" w:cs="宋体"/>
          <w:b/>
          <w:color w:val="auto"/>
          <w:szCs w:val="21"/>
          <w:u w:val="dotted"/>
        </w:rPr>
        <w:t xml:space="preserve">                                                                                                       </w:t>
      </w:r>
    </w:p>
    <w:p>
      <w:pPr>
        <w:spacing w:line="360" w:lineRule="auto"/>
        <w:ind w:left="1619" w:leftChars="771"/>
        <w:rPr>
          <w:rFonts w:ascii="宋体" w:hAnsi="宋体" w:cs="宋体"/>
          <w:b/>
          <w:color w:val="auto"/>
          <w:szCs w:val="21"/>
        </w:rPr>
      </w:pPr>
      <w:r>
        <w:rPr>
          <w:rFonts w:ascii="宋体" w:hAnsi="宋体" w:cs="宋体"/>
          <w:color w:val="auto"/>
          <w:szCs w:val="21"/>
        </w:rPr>
        <mc:AlternateContent>
          <mc:Choice Requires="wps">
            <w:drawing>
              <wp:anchor distT="0" distB="0" distL="114300" distR="114300" simplePos="0" relativeHeight="251931648" behindDoc="0" locked="0" layoutInCell="1" allowOverlap="1">
                <wp:simplePos x="0" y="0"/>
                <wp:positionH relativeFrom="column">
                  <wp:posOffset>-114300</wp:posOffset>
                </wp:positionH>
                <wp:positionV relativeFrom="paragraph">
                  <wp:posOffset>15240</wp:posOffset>
                </wp:positionV>
                <wp:extent cx="914400" cy="715645"/>
                <wp:effectExtent l="0" t="0" r="0" b="0"/>
                <wp:wrapNone/>
                <wp:docPr id="351" name="文本框 351"/>
                <wp:cNvGraphicFramePr/>
                <a:graphic xmlns:a="http://schemas.openxmlformats.org/drawingml/2006/main">
                  <a:graphicData uri="http://schemas.microsoft.com/office/word/2010/wordprocessingShape">
                    <wps:wsp>
                      <wps:cNvSpPr txBox="1">
                        <a:spLocks noChangeArrowheads="1"/>
                      </wps:cNvSpPr>
                      <wps:spPr bwMode="auto">
                        <a:xfrm>
                          <a:off x="0" y="0"/>
                          <a:ext cx="914400" cy="715645"/>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发包人支付款项</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pt;height:56.35pt;width:72pt;z-index:251931648;mso-width-relative:page;mso-height-relative:page;" filled="f" stroked="f" coordsize="21600,21600" o:gfxdata="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FQxO5NYAAAAJAQAADwAAAAAAAAABACAAAAAiAAAAZHJzL2Rvd25y&#10;ZXYueG1sUEsBAhQAFAAAAAgAh07iQDtjPjYAAgAA2AMAAA4AAAAAAAAAAQAgAAAAJQEAAGRycy9l&#10;Mm9Eb2MueG1sUEsFBgAAAAAGAAYAWQEAAJcFA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发包人支付款项</w:t>
                      </w:r>
                    </w:p>
                  </w:txbxContent>
                </v:textbox>
              </v:shape>
            </w:pict>
          </mc:Fallback>
        </mc:AlternateContent>
      </w:r>
      <w:r>
        <w:rPr>
          <w:rFonts w:hint="eastAsia" w:ascii="宋体" w:hAnsi="宋体" w:cs="宋体"/>
          <w:color w:val="auto"/>
          <w:szCs w:val="21"/>
        </w:rPr>
        <w:t>发包人应按照合同约定的期限和方式向承包人支付工程款及其他应支付的款项。</w:t>
      </w:r>
    </w:p>
    <w:p>
      <w:pPr>
        <w:spacing w:line="360" w:lineRule="auto"/>
        <w:rPr>
          <w:rFonts w:ascii="宋体" w:hAnsi="宋体" w:cs="宋体"/>
          <w:b/>
          <w:color w:val="auto"/>
          <w:szCs w:val="21"/>
        </w:rPr>
      </w:pPr>
      <w:r>
        <w:rPr>
          <w:rFonts w:hint="eastAsia" w:ascii="宋体" w:hAnsi="宋体" w:cs="宋体"/>
          <w:b/>
          <w:color w:val="auto"/>
          <w:szCs w:val="21"/>
        </w:rPr>
        <w:t xml:space="preserve">19.5  </w:t>
      </w:r>
      <w:r>
        <w:rPr>
          <w:rFonts w:hint="eastAsia" w:ascii="宋体" w:hAnsi="宋体" w:cs="宋体"/>
          <w:b/>
          <w:color w:val="auto"/>
          <w:szCs w:val="21"/>
          <w:u w:val="dotted"/>
        </w:rPr>
        <w:t xml:space="preserve">                                                                                                       </w:t>
      </w:r>
    </w:p>
    <w:p>
      <w:pPr>
        <w:spacing w:line="360" w:lineRule="auto"/>
        <w:ind w:left="1619" w:leftChars="771"/>
        <w:rPr>
          <w:rFonts w:ascii="宋体" w:hAnsi="宋体" w:cs="宋体"/>
          <w:color w:val="auto"/>
          <w:szCs w:val="21"/>
        </w:rPr>
      </w:pPr>
      <w:r>
        <w:rPr>
          <w:rFonts w:ascii="宋体" w:hAnsi="宋体" w:cs="宋体"/>
          <w:color w:val="auto"/>
          <w:szCs w:val="21"/>
        </w:rPr>
        <mc:AlternateContent>
          <mc:Choice Requires="wps">
            <w:drawing>
              <wp:anchor distT="0" distB="0" distL="114300" distR="114300" simplePos="0" relativeHeight="251932672" behindDoc="0" locked="0" layoutInCell="1" allowOverlap="1">
                <wp:simplePos x="0" y="0"/>
                <wp:positionH relativeFrom="column">
                  <wp:posOffset>-114300</wp:posOffset>
                </wp:positionH>
                <wp:positionV relativeFrom="paragraph">
                  <wp:posOffset>15240</wp:posOffset>
                </wp:positionV>
                <wp:extent cx="914400" cy="852170"/>
                <wp:effectExtent l="0" t="0" r="0" b="0"/>
                <wp:wrapNone/>
                <wp:docPr id="350" name="文本框 350"/>
                <wp:cNvGraphicFramePr/>
                <a:graphic xmlns:a="http://schemas.openxmlformats.org/drawingml/2006/main">
                  <a:graphicData uri="http://schemas.microsoft.com/office/word/2010/wordprocessingShape">
                    <wps:wsp>
                      <wps:cNvSpPr txBox="1">
                        <a:spLocks noChangeArrowheads="1"/>
                      </wps:cNvSpPr>
                      <wps:spPr bwMode="auto">
                        <a:xfrm>
                          <a:off x="0" y="0"/>
                          <a:ext cx="914400" cy="852170"/>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发包人组织竣工验收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pt;height:67.1pt;width:72pt;z-index:251932672;mso-width-relative:page;mso-height-relative:page;" filled="f" stroked="f" coordsize="21600,21600" o:gfxdata="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6csd5dYAAAAJAQAADwAAAAAAAAABACAAAAAiAAAAZHJzL2Rvd25y&#10;ZXYueG1sUEsBAhQAFAAAAAgAh07iQJHphjQAAgAA2AMAAA4AAAAAAAAAAQAgAAAAJQEAAGRycy9l&#10;Mm9Eb2MueG1sUEsFBgAAAAAGAAYAWQEAAJcFA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发包人组织竣工验收</w:t>
                      </w:r>
                    </w:p>
                  </w:txbxContent>
                </v:textbox>
              </v:shape>
            </w:pict>
          </mc:Fallback>
        </mc:AlternateContent>
      </w:r>
      <w:r>
        <w:rPr>
          <w:rFonts w:hint="eastAsia" w:ascii="宋体" w:hAnsi="宋体" w:cs="宋体"/>
          <w:color w:val="auto"/>
          <w:szCs w:val="21"/>
        </w:rPr>
        <w:t>发包人应按照第58条规定组织承包人、设计人、监理人和工程造价咨询人等进行竣工验收。</w:t>
      </w:r>
    </w:p>
    <w:p>
      <w:pPr>
        <w:spacing w:line="360" w:lineRule="auto"/>
        <w:rPr>
          <w:rFonts w:ascii="宋体" w:hAnsi="宋体" w:cs="宋体"/>
          <w:b/>
          <w:color w:val="auto"/>
          <w:szCs w:val="21"/>
        </w:rPr>
      </w:pPr>
      <w:r>
        <w:rPr>
          <w:rFonts w:ascii="宋体" w:hAnsi="宋体" w:cs="宋体"/>
          <w:color w:val="auto"/>
          <w:szCs w:val="21"/>
        </w:rPr>
        <mc:AlternateContent>
          <mc:Choice Requires="wps">
            <w:drawing>
              <wp:anchor distT="0" distB="0" distL="114300" distR="114300" simplePos="0" relativeHeight="251762688" behindDoc="0" locked="0" layoutInCell="1" allowOverlap="1">
                <wp:simplePos x="0" y="0"/>
                <wp:positionH relativeFrom="column">
                  <wp:posOffset>-114300</wp:posOffset>
                </wp:positionH>
                <wp:positionV relativeFrom="paragraph">
                  <wp:posOffset>273050</wp:posOffset>
                </wp:positionV>
                <wp:extent cx="914400" cy="1162685"/>
                <wp:effectExtent l="0" t="0" r="0" b="0"/>
                <wp:wrapNone/>
                <wp:docPr id="349" name="文本框 349"/>
                <wp:cNvGraphicFramePr/>
                <a:graphic xmlns:a="http://schemas.openxmlformats.org/drawingml/2006/main">
                  <a:graphicData uri="http://schemas.microsoft.com/office/word/2010/wordprocessingShape">
                    <wps:wsp>
                      <wps:cNvSpPr txBox="1">
                        <a:spLocks noChangeArrowheads="1"/>
                      </wps:cNvSpPr>
                      <wps:spPr bwMode="auto">
                        <a:xfrm>
                          <a:off x="0" y="0"/>
                          <a:ext cx="914400" cy="1162685"/>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发包人供应材料和工程设备要求</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1.5pt;height:91.55pt;width:72pt;z-index:251762688;mso-width-relative:page;mso-height-relative:page;" filled="f" stroked="f" coordsize="21600,21600" o:gfxdata="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LMi0l1wAAAAoBAAAPAAAAAAAAAAEAIAAAACIAAABkcnMvZG93&#10;bnJldi54bWxQSwECFAAUAAAACACHTuJA8ahSyAECAADZAwAADgAAAAAAAAABACAAAAAmAQAAZHJz&#10;L2Uyb0RvYy54bWxQSwUGAAAAAAYABgBZAQAAmQU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发包人供应材料和工程设备要求</w:t>
                      </w:r>
                    </w:p>
                  </w:txbxContent>
                </v:textbox>
              </v:shape>
            </w:pict>
          </mc:Fallback>
        </mc:AlternateContent>
      </w:r>
      <w:r>
        <w:rPr>
          <w:rFonts w:hint="eastAsia" w:ascii="宋体" w:hAnsi="宋体" w:cs="宋体"/>
          <w:b/>
          <w:color w:val="auto"/>
          <w:szCs w:val="21"/>
        </w:rPr>
        <w:t xml:space="preserve">19.6  </w:t>
      </w:r>
      <w:r>
        <w:rPr>
          <w:rFonts w:hint="eastAsia" w:ascii="宋体" w:hAnsi="宋体" w:cs="宋体"/>
          <w:b/>
          <w:color w:val="auto"/>
          <w:szCs w:val="21"/>
          <w:u w:val="dotted"/>
        </w:rPr>
        <w:t xml:space="preserve">                                                                                                       </w:t>
      </w:r>
    </w:p>
    <w:p>
      <w:pPr>
        <w:spacing w:line="360" w:lineRule="auto"/>
        <w:ind w:left="1619" w:leftChars="771"/>
        <w:rPr>
          <w:rFonts w:ascii="宋体" w:hAnsi="宋体" w:cs="宋体"/>
          <w:color w:val="auto"/>
          <w:szCs w:val="21"/>
        </w:rPr>
      </w:pPr>
      <w:r>
        <w:rPr>
          <w:rFonts w:hint="eastAsia" w:ascii="宋体" w:hAnsi="宋体" w:cs="宋体"/>
          <w:color w:val="auto"/>
          <w:szCs w:val="21"/>
        </w:rPr>
        <w:t>发包人供应材料和工程设备的，发包人应按照第48条规定向承包人提供材料和工程设备。</w:t>
      </w:r>
    </w:p>
    <w:p>
      <w:pPr>
        <w:spacing w:line="360" w:lineRule="auto"/>
        <w:rPr>
          <w:rFonts w:ascii="宋体" w:hAnsi="宋体" w:cs="宋体"/>
          <w:b/>
          <w:color w:val="auto"/>
          <w:szCs w:val="21"/>
        </w:rPr>
      </w:pPr>
      <w:r>
        <w:rPr>
          <w:rFonts w:hint="eastAsia" w:ascii="宋体" w:hAnsi="宋体" w:cs="宋体"/>
          <w:b/>
          <w:color w:val="auto"/>
          <w:szCs w:val="21"/>
        </w:rPr>
        <w:t xml:space="preserve">19.7  </w:t>
      </w:r>
      <w:r>
        <w:rPr>
          <w:rFonts w:hint="eastAsia" w:ascii="宋体" w:hAnsi="宋体" w:cs="宋体"/>
          <w:b/>
          <w:color w:val="auto"/>
          <w:szCs w:val="21"/>
          <w:u w:val="dotted"/>
        </w:rPr>
        <w:t xml:space="preserve">                                                                                                       </w:t>
      </w:r>
    </w:p>
    <w:p>
      <w:pPr>
        <w:spacing w:line="360" w:lineRule="auto"/>
        <w:ind w:left="1619" w:leftChars="771" w:firstLine="1"/>
        <w:rPr>
          <w:rFonts w:ascii="宋体" w:hAnsi="宋体" w:cs="宋体"/>
          <w:color w:val="auto"/>
          <w:szCs w:val="21"/>
        </w:rPr>
      </w:pPr>
      <w:r>
        <w:rPr>
          <w:rFonts w:ascii="宋体" w:hAnsi="宋体" w:cs="宋体"/>
          <w:color w:val="auto"/>
          <w:szCs w:val="21"/>
        </w:rPr>
        <mc:AlternateContent>
          <mc:Choice Requires="wps">
            <w:drawing>
              <wp:anchor distT="0" distB="0" distL="114300" distR="114300" simplePos="0" relativeHeight="251763712" behindDoc="0" locked="0" layoutInCell="1" allowOverlap="1">
                <wp:simplePos x="0" y="0"/>
                <wp:positionH relativeFrom="column">
                  <wp:posOffset>-114300</wp:posOffset>
                </wp:positionH>
                <wp:positionV relativeFrom="paragraph">
                  <wp:posOffset>0</wp:posOffset>
                </wp:positionV>
                <wp:extent cx="914400" cy="449580"/>
                <wp:effectExtent l="0" t="0" r="0" b="0"/>
                <wp:wrapNone/>
                <wp:docPr id="348" name="文本框 348"/>
                <wp:cNvGraphicFramePr/>
                <a:graphic xmlns:a="http://schemas.openxmlformats.org/drawingml/2006/main">
                  <a:graphicData uri="http://schemas.microsoft.com/office/word/2010/wordprocessingShape">
                    <wps:wsp>
                      <wps:cNvSpPr txBox="1">
                        <a:spLocks noChangeArrowheads="1"/>
                      </wps:cNvSpPr>
                      <wps:spPr bwMode="auto">
                        <a:xfrm>
                          <a:off x="0" y="0"/>
                          <a:ext cx="914400" cy="449580"/>
                        </a:xfrm>
                        <a:prstGeom prst="rect">
                          <a:avLst/>
                        </a:prstGeom>
                        <a:noFill/>
                        <a:ln>
                          <a:noFill/>
                        </a:ln>
                        <a:effectLst/>
                      </wps:spPr>
                      <wps:txbx>
                        <w:txbxContent>
                          <w:p>
                            <w:pPr>
                              <w:rPr>
                                <w:rFonts w:ascii="楷体_GB2312" w:hAnsi="宋体"/>
                                <w:sz w:val="18"/>
                                <w:szCs w:val="18"/>
                              </w:rPr>
                            </w:pPr>
                            <w:r>
                              <w:rPr>
                                <w:rFonts w:hint="eastAsia" w:ascii="楷体_GB2312" w:hAnsi="宋体"/>
                                <w:b/>
                                <w:color w:val="000000"/>
                                <w:sz w:val="18"/>
                                <w:szCs w:val="18"/>
                              </w:rPr>
                              <w:t>发包人未尽义务的责任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35.4pt;width:72pt;z-index:251763712;mso-width-relative:page;mso-height-relative:page;" filled="f" stroked="f" coordsize="21600,21600" o:gfxdata="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ncPLa1AAAAAcBAAAPAAAAAAAAAAEAIAAAACIAAABkcnMvZG93bnJl&#10;di54bWxQSwECFAAUAAAACACHTuJAYRvV8gECAADYAwAADgAAAAAAAAABACAAAAAjAQAAZHJzL2Uy&#10;b0RvYy54bWxQSwUGAAAAAAYABgBZAQAAlgUAAAAA&#10;">
                <v:fill on="f" focussize="0,0"/>
                <v:stroke on="f"/>
                <v:imagedata o:title=""/>
                <o:lock v:ext="edit" aspectratio="f"/>
                <v:textbox>
                  <w:txbxContent>
                    <w:p>
                      <w:pPr>
                        <w:rPr>
                          <w:rFonts w:ascii="楷体_GB2312" w:hAnsi="宋体"/>
                          <w:sz w:val="18"/>
                          <w:szCs w:val="18"/>
                        </w:rPr>
                      </w:pPr>
                      <w:r>
                        <w:rPr>
                          <w:rFonts w:hint="eastAsia" w:ascii="楷体_GB2312" w:hAnsi="宋体"/>
                          <w:b/>
                          <w:color w:val="000000"/>
                          <w:sz w:val="18"/>
                          <w:szCs w:val="18"/>
                        </w:rPr>
                        <w:t>发包人未尽义务的责任</w:t>
                      </w:r>
                    </w:p>
                  </w:txbxContent>
                </v:textbox>
              </v:shape>
            </w:pict>
          </mc:Fallback>
        </mc:AlternateContent>
      </w:r>
      <w:r>
        <w:rPr>
          <w:rFonts w:hint="eastAsia" w:ascii="宋体" w:hAnsi="宋体" w:cs="宋体"/>
          <w:color w:val="auto"/>
          <w:szCs w:val="21"/>
        </w:rPr>
        <w:t>发包人未能正确完成本合同约定的全部义务，导致费用的增加和（或）延误的工期，由发包人承担；给承包人造成损失的，发包人应予赔偿。</w:t>
      </w:r>
    </w:p>
    <w:p>
      <w:pPr>
        <w:rPr>
          <w:rFonts w:ascii="宋体" w:hAnsi="宋体" w:cs="宋体"/>
          <w:b/>
          <w:color w:val="auto"/>
          <w:szCs w:val="21"/>
          <w:u w:val="single"/>
        </w:rPr>
      </w:pPr>
      <w:r>
        <w:rPr>
          <w:rFonts w:hint="eastAsia" w:ascii="宋体" w:hAnsi="宋体" w:cs="宋体"/>
          <w:b/>
          <w:color w:val="auto"/>
          <w:szCs w:val="21"/>
          <w:u w:val="single"/>
        </w:rPr>
        <w:t xml:space="preserve">                                                                                                             </w:t>
      </w:r>
    </w:p>
    <w:p>
      <w:pPr>
        <w:tabs>
          <w:tab w:val="left" w:pos="1620"/>
        </w:tabs>
        <w:spacing w:before="100" w:line="240" w:lineRule="exact"/>
        <w:rPr>
          <w:rFonts w:ascii="宋体" w:hAnsi="宋体" w:cs="宋体"/>
          <w:b/>
          <w:color w:val="auto"/>
          <w:szCs w:val="21"/>
        </w:rPr>
      </w:pPr>
    </w:p>
    <w:p>
      <w:pPr>
        <w:spacing w:beforeLines="100" w:line="360" w:lineRule="auto"/>
        <w:rPr>
          <w:rFonts w:ascii="宋体" w:hAnsi="宋体" w:cs="宋体"/>
          <w:b/>
          <w:color w:val="auto"/>
          <w:szCs w:val="21"/>
        </w:rPr>
      </w:pPr>
      <w:r>
        <w:rPr>
          <w:rFonts w:hint="eastAsia" w:ascii="宋体" w:hAnsi="宋体" w:cs="宋体"/>
          <w:b/>
          <w:color w:val="auto"/>
          <w:szCs w:val="21"/>
        </w:rPr>
        <w:t>20  承包人</w:t>
      </w:r>
    </w:p>
    <w:p>
      <w:pPr>
        <w:tabs>
          <w:tab w:val="left" w:pos="1620"/>
        </w:tabs>
        <w:spacing w:line="360" w:lineRule="auto"/>
        <w:ind w:left="-2" w:leftChars="-1" w:firstLine="1"/>
        <w:rPr>
          <w:rFonts w:ascii="宋体" w:hAnsi="宋体" w:cs="宋体"/>
          <w:b/>
          <w:color w:val="auto"/>
          <w:szCs w:val="21"/>
        </w:rPr>
      </w:pPr>
      <w:r>
        <w:rPr>
          <w:rFonts w:hint="eastAsia" w:ascii="宋体" w:hAnsi="宋体" w:cs="宋体"/>
          <w:b/>
          <w:color w:val="auto"/>
          <w:szCs w:val="21"/>
        </w:rPr>
        <w:t xml:space="preserve">20.1                                                        </w:t>
      </w:r>
    </w:p>
    <w:p>
      <w:pPr>
        <w:tabs>
          <w:tab w:val="left" w:pos="1620"/>
        </w:tabs>
        <w:spacing w:line="360" w:lineRule="auto"/>
        <w:ind w:left="1619" w:leftChars="771"/>
        <w:rPr>
          <w:rFonts w:ascii="宋体" w:hAnsi="宋体" w:cs="宋体"/>
          <w:color w:val="auto"/>
          <w:szCs w:val="21"/>
        </w:rPr>
      </w:pPr>
      <w:r>
        <w:rPr>
          <w:rFonts w:ascii="宋体" w:hAnsi="宋体" w:cs="宋体"/>
          <w:color w:val="auto"/>
          <w:szCs w:val="21"/>
        </w:rPr>
        <mc:AlternateContent>
          <mc:Choice Requires="wps">
            <w:drawing>
              <wp:anchor distT="0" distB="0" distL="114300" distR="114300" simplePos="0" relativeHeight="251933696" behindDoc="0" locked="0" layoutInCell="1" allowOverlap="1">
                <wp:simplePos x="0" y="0"/>
                <wp:positionH relativeFrom="column">
                  <wp:posOffset>-114300</wp:posOffset>
                </wp:positionH>
                <wp:positionV relativeFrom="paragraph">
                  <wp:posOffset>4445</wp:posOffset>
                </wp:positionV>
                <wp:extent cx="914400" cy="429895"/>
                <wp:effectExtent l="0" t="0" r="0" b="0"/>
                <wp:wrapNone/>
                <wp:docPr id="347" name="文本框 347"/>
                <wp:cNvGraphicFramePr/>
                <a:graphic xmlns:a="http://schemas.openxmlformats.org/drawingml/2006/main">
                  <a:graphicData uri="http://schemas.microsoft.com/office/word/2010/wordprocessingShape">
                    <wps:wsp>
                      <wps:cNvSpPr txBox="1">
                        <a:spLocks noChangeArrowheads="1"/>
                      </wps:cNvSpPr>
                      <wps:spPr bwMode="auto">
                        <a:xfrm>
                          <a:off x="0" y="0"/>
                          <a:ext cx="914400" cy="429895"/>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遵守法律</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35pt;height:33.85pt;width:72pt;z-index:251933696;mso-width-relative:page;mso-height-relative:page;" filled="f" stroked="f" coordsize="21600,21600" o:gfxdata="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FFopk1QAAAAcBAAAPAAAAAAAAAAEAIAAAACIAAABkcnMvZG93bnJl&#10;di54bWxQSwECFAAUAAAACACHTuJA+oHWNwACAADYAwAADgAAAAAAAAABACAAAAAkAQAAZHJzL2Uy&#10;b0RvYy54bWxQSwUGAAAAAAYABgBZAQAAlgU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遵守法律</w:t>
                      </w:r>
                    </w:p>
                  </w:txbxContent>
                </v:textbox>
              </v:shape>
            </w:pict>
          </mc:Fallback>
        </mc:AlternateContent>
      </w:r>
      <w:r>
        <w:rPr>
          <w:rFonts w:hint="eastAsia" w:ascii="宋体" w:hAnsi="宋体" w:cs="宋体"/>
          <w:color w:val="auto"/>
          <w:szCs w:val="21"/>
        </w:rPr>
        <w:t>承包人在履行合同期间应遵守法律，并保证发包人免于承担因承包人违反法律而引起的任何责任。</w:t>
      </w:r>
    </w:p>
    <w:p>
      <w:pPr>
        <w:spacing w:line="360" w:lineRule="auto"/>
        <w:rPr>
          <w:rFonts w:ascii="宋体" w:hAnsi="宋体" w:cs="宋体"/>
          <w:color w:val="auto"/>
          <w:szCs w:val="21"/>
        </w:rPr>
      </w:pPr>
      <w:r>
        <w:rPr>
          <w:rFonts w:hint="eastAsia" w:ascii="宋体" w:hAnsi="宋体" w:cs="宋体"/>
          <w:b/>
          <w:color w:val="auto"/>
          <w:szCs w:val="21"/>
        </w:rPr>
        <w:t>20.2</w:t>
      </w:r>
      <w:r>
        <w:rPr>
          <w:rFonts w:hint="eastAsia" w:ascii="宋体" w:hAnsi="宋体" w:cs="宋体"/>
          <w:color w:val="auto"/>
          <w:szCs w:val="21"/>
        </w:rPr>
        <w:t xml:space="preserve"> </w:t>
      </w:r>
      <w:r>
        <w:rPr>
          <w:rFonts w:hint="eastAsia" w:ascii="宋体" w:hAnsi="宋体" w:cs="宋体"/>
          <w:color w:val="auto"/>
          <w:szCs w:val="21"/>
          <w:u w:val="dotted"/>
        </w:rPr>
        <w:t xml:space="preserve">                                                                             </w:t>
      </w:r>
    </w:p>
    <w:p>
      <w:pPr>
        <w:tabs>
          <w:tab w:val="left" w:pos="1620"/>
        </w:tabs>
        <w:spacing w:line="360" w:lineRule="auto"/>
        <w:ind w:left="1619" w:leftChars="771"/>
        <w:rPr>
          <w:rFonts w:ascii="宋体" w:hAnsi="宋体" w:cs="宋体"/>
          <w:color w:val="auto"/>
          <w:szCs w:val="21"/>
        </w:rPr>
      </w:pPr>
      <w:r>
        <w:rPr>
          <w:rFonts w:ascii="宋体" w:hAnsi="宋体" w:cs="宋体"/>
          <w:color w:val="auto"/>
          <w:szCs w:val="21"/>
        </w:rPr>
        <mc:AlternateContent>
          <mc:Choice Requires="wps">
            <w:drawing>
              <wp:anchor distT="0" distB="0" distL="114300" distR="114300" simplePos="0" relativeHeight="251764736" behindDoc="0" locked="0" layoutInCell="1" allowOverlap="1">
                <wp:simplePos x="0" y="0"/>
                <wp:positionH relativeFrom="column">
                  <wp:posOffset>-114300</wp:posOffset>
                </wp:positionH>
                <wp:positionV relativeFrom="paragraph">
                  <wp:posOffset>0</wp:posOffset>
                </wp:positionV>
                <wp:extent cx="914400" cy="373380"/>
                <wp:effectExtent l="0" t="0" r="0" b="0"/>
                <wp:wrapNone/>
                <wp:docPr id="346" name="文本框 346"/>
                <wp:cNvGraphicFramePr/>
                <a:graphic xmlns:a="http://schemas.openxmlformats.org/drawingml/2006/main">
                  <a:graphicData uri="http://schemas.microsoft.com/office/word/2010/wordprocessingShape">
                    <wps:wsp>
                      <wps:cNvSpPr txBox="1">
                        <a:spLocks noChangeArrowheads="1"/>
                      </wps:cNvSpPr>
                      <wps:spPr bwMode="auto">
                        <a:xfrm>
                          <a:off x="0" y="0"/>
                          <a:ext cx="914400" cy="373380"/>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承包人工作</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29.4pt;width:72pt;z-index:251764736;mso-width-relative:page;mso-height-relative:page;" filled="f" stroked="f" coordsize="21600,21600" o:gfxdata="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Gin7aPUAAAABwEAAA8AAAAAAAAAAQAgAAAAIgAAAGRycy9kb3ducmV2&#10;LnhtbFBLAQIUABQAAAAIAIdO4kBfDsX6AAIAANgDAAAOAAAAAAAAAAEAIAAAACMBAABkcnMvZTJv&#10;RG9jLnhtbFBLBQYAAAAABgAGAFkBAACVBQ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承包人工作</w:t>
                      </w:r>
                    </w:p>
                  </w:txbxContent>
                </v:textbox>
              </v:shape>
            </w:pict>
          </mc:Fallback>
        </mc:AlternateContent>
      </w:r>
      <w:r>
        <w:rPr>
          <w:rFonts w:hint="eastAsia" w:ascii="宋体" w:hAnsi="宋体" w:cs="宋体"/>
          <w:color w:val="auto"/>
          <w:szCs w:val="21"/>
        </w:rPr>
        <w:t>承包人应按照合同约定完成下列工作，包括但不限于：</w:t>
      </w:r>
    </w:p>
    <w:p>
      <w:pPr>
        <w:numPr>
          <w:ilvl w:val="0"/>
          <w:numId w:val="13"/>
        </w:numPr>
        <w:tabs>
          <w:tab w:val="left" w:pos="1980"/>
        </w:tabs>
        <w:spacing w:line="360" w:lineRule="auto"/>
        <w:ind w:left="1619" w:leftChars="771"/>
        <w:rPr>
          <w:rFonts w:ascii="宋体" w:hAnsi="宋体" w:cs="宋体"/>
          <w:color w:val="auto"/>
          <w:szCs w:val="21"/>
        </w:rPr>
      </w:pPr>
      <w:r>
        <w:rPr>
          <w:rFonts w:hint="eastAsia" w:ascii="宋体" w:hAnsi="宋体" w:cs="宋体"/>
          <w:color w:val="auto"/>
          <w:szCs w:val="21"/>
        </w:rPr>
        <w:t>按照合同约定和监理工程师的指令实施、完成并保修合同工程；</w:t>
      </w:r>
    </w:p>
    <w:p>
      <w:pPr>
        <w:numPr>
          <w:ilvl w:val="0"/>
          <w:numId w:val="13"/>
        </w:numPr>
        <w:tabs>
          <w:tab w:val="left" w:pos="1980"/>
        </w:tabs>
        <w:spacing w:line="360" w:lineRule="auto"/>
        <w:ind w:left="1619" w:leftChars="771"/>
        <w:rPr>
          <w:rFonts w:ascii="宋体" w:hAnsi="宋体" w:cs="宋体"/>
          <w:color w:val="auto"/>
          <w:szCs w:val="21"/>
        </w:rPr>
      </w:pPr>
      <w:r>
        <w:rPr>
          <w:rFonts w:hint="eastAsia" w:ascii="宋体" w:hAnsi="宋体" w:cs="宋体"/>
          <w:color w:val="auto"/>
          <w:szCs w:val="21"/>
        </w:rPr>
        <w:t>按照合同约定和监理工程师的要求提交工程进度报告和进度计划；</w:t>
      </w:r>
    </w:p>
    <w:p>
      <w:pPr>
        <w:numPr>
          <w:ilvl w:val="0"/>
          <w:numId w:val="13"/>
        </w:numPr>
        <w:tabs>
          <w:tab w:val="left" w:pos="1980"/>
        </w:tabs>
        <w:spacing w:line="360" w:lineRule="auto"/>
        <w:ind w:left="1619" w:leftChars="771"/>
        <w:rPr>
          <w:rFonts w:ascii="宋体" w:hAnsi="宋体" w:cs="宋体"/>
          <w:color w:val="auto"/>
          <w:szCs w:val="21"/>
        </w:rPr>
      </w:pPr>
      <w:r>
        <w:rPr>
          <w:rFonts w:hint="eastAsia" w:ascii="宋体" w:hAnsi="宋体" w:cs="宋体"/>
          <w:color w:val="auto"/>
          <w:szCs w:val="21"/>
        </w:rPr>
        <w:t>按照合同约定和造价工程师的要求提交支付申请和工程款报告，包括安全文明施工费、进度款、结算款和调整合同价款等；</w:t>
      </w:r>
    </w:p>
    <w:p>
      <w:pPr>
        <w:numPr>
          <w:ilvl w:val="0"/>
          <w:numId w:val="13"/>
        </w:numPr>
        <w:tabs>
          <w:tab w:val="left" w:pos="1980"/>
        </w:tabs>
        <w:spacing w:line="360" w:lineRule="auto"/>
        <w:ind w:left="1619" w:leftChars="771"/>
        <w:rPr>
          <w:rFonts w:ascii="宋体" w:hAnsi="宋体" w:cs="宋体"/>
          <w:color w:val="auto"/>
          <w:szCs w:val="21"/>
        </w:rPr>
      </w:pPr>
      <w:r>
        <w:rPr>
          <w:rFonts w:hint="eastAsia" w:ascii="宋体" w:hAnsi="宋体" w:cs="宋体"/>
          <w:color w:val="auto"/>
          <w:szCs w:val="21"/>
        </w:rPr>
        <w:t>负责施工场地安全保卫工作，防止因工程施工造成的人身伤害和财产损失，提供和维修非夜间施工使用的照明、围栏设施等安全标志；</w:t>
      </w:r>
    </w:p>
    <w:p>
      <w:pPr>
        <w:numPr>
          <w:ilvl w:val="0"/>
          <w:numId w:val="13"/>
        </w:numPr>
        <w:tabs>
          <w:tab w:val="left" w:pos="1980"/>
        </w:tabs>
        <w:spacing w:line="360" w:lineRule="auto"/>
        <w:ind w:left="1619" w:leftChars="771"/>
        <w:rPr>
          <w:rFonts w:ascii="宋体" w:hAnsi="宋体" w:cs="宋体"/>
          <w:color w:val="auto"/>
          <w:szCs w:val="21"/>
        </w:rPr>
      </w:pPr>
      <w:r>
        <w:rPr>
          <w:rFonts w:hint="eastAsia" w:ascii="宋体" w:hAnsi="宋体" w:cs="宋体"/>
          <w:color w:val="auto"/>
          <w:szCs w:val="21"/>
        </w:rPr>
        <w:t>按照专用条款约定的数量和要求，向发包人提供施工场地办公和生活的房屋及设施，并在施工现场保留本合同、约定的标准与规范、变更资料等各一份，供监理工程师、造价工程师需要时使用；</w:t>
      </w:r>
    </w:p>
    <w:p>
      <w:pPr>
        <w:numPr>
          <w:ilvl w:val="0"/>
          <w:numId w:val="13"/>
        </w:numPr>
        <w:tabs>
          <w:tab w:val="left" w:pos="1980"/>
        </w:tabs>
        <w:spacing w:line="360" w:lineRule="auto"/>
        <w:ind w:left="1618" w:leftChars="770" w:hanging="1"/>
        <w:rPr>
          <w:rFonts w:ascii="宋体" w:hAnsi="宋体" w:cs="宋体"/>
          <w:color w:val="auto"/>
          <w:szCs w:val="21"/>
        </w:rPr>
      </w:pPr>
      <w:r>
        <w:rPr>
          <w:rFonts w:hint="eastAsia" w:ascii="宋体" w:hAnsi="宋体" w:cs="宋体"/>
          <w:color w:val="auto"/>
          <w:szCs w:val="21"/>
        </w:rPr>
        <w:t xml:space="preserve">遵守政府部门有关施工场地交通、环境保护、施工噪声、安全文明施工等的管理规定，办理有关手续，并以书面形式通知发包人； </w:t>
      </w:r>
    </w:p>
    <w:p>
      <w:pPr>
        <w:numPr>
          <w:ilvl w:val="0"/>
          <w:numId w:val="13"/>
        </w:numPr>
        <w:tabs>
          <w:tab w:val="left" w:pos="1980"/>
          <w:tab w:val="left" w:pos="2520"/>
        </w:tabs>
        <w:spacing w:line="360" w:lineRule="auto"/>
        <w:ind w:left="1618" w:leftChars="770" w:hanging="1"/>
        <w:rPr>
          <w:rFonts w:ascii="宋体" w:hAnsi="宋体" w:cs="宋体"/>
          <w:color w:val="auto"/>
          <w:szCs w:val="21"/>
        </w:rPr>
      </w:pPr>
      <w:r>
        <w:rPr>
          <w:rFonts w:hint="eastAsia" w:ascii="宋体" w:hAnsi="宋体" w:cs="宋体"/>
          <w:color w:val="auto"/>
          <w:szCs w:val="21"/>
        </w:rPr>
        <w:t>在合同工程或其某单位工程已竣工未移交给发包人之前，负责已完工程的照管工作。工程接收证书颁发时尚有部分未竣工工程的，还应负责该未竣工工程的照管工作，直至竣工后移交给发包人为止。照管期间发生损坏的，应予以修复并承担费用；发包人要求采取特殊保护措施的，由发包人承担相应费用；</w:t>
      </w:r>
    </w:p>
    <w:p>
      <w:pPr>
        <w:numPr>
          <w:ilvl w:val="0"/>
          <w:numId w:val="13"/>
        </w:numPr>
        <w:tabs>
          <w:tab w:val="left" w:pos="1980"/>
          <w:tab w:val="left" w:pos="2520"/>
        </w:tabs>
        <w:spacing w:line="360" w:lineRule="auto"/>
        <w:ind w:left="1619" w:leftChars="771"/>
        <w:rPr>
          <w:rFonts w:ascii="宋体" w:hAnsi="宋体" w:cs="宋体"/>
          <w:color w:val="auto"/>
          <w:szCs w:val="21"/>
        </w:rPr>
      </w:pPr>
      <w:r>
        <w:rPr>
          <w:rFonts w:hint="eastAsia" w:ascii="宋体" w:hAnsi="宋体" w:cs="宋体"/>
          <w:color w:val="auto"/>
          <w:szCs w:val="21"/>
        </w:rPr>
        <w:t>做好施工场地地下管线和邻近建筑物、构筑物（包括文物保护建筑）、古树</w:t>
      </w:r>
    </w:p>
    <w:p>
      <w:pPr>
        <w:tabs>
          <w:tab w:val="left" w:pos="1980"/>
          <w:tab w:val="left" w:pos="2520"/>
        </w:tabs>
        <w:spacing w:line="360" w:lineRule="auto"/>
        <w:ind w:left="1138" w:leftChars="542" w:firstLine="420" w:firstLineChars="200"/>
        <w:rPr>
          <w:rFonts w:ascii="宋体" w:hAnsi="宋体" w:cs="宋体"/>
          <w:color w:val="auto"/>
          <w:szCs w:val="21"/>
        </w:rPr>
      </w:pPr>
      <w:r>
        <w:rPr>
          <w:rFonts w:hint="eastAsia" w:ascii="宋体" w:hAnsi="宋体" w:cs="宋体"/>
          <w:color w:val="auto"/>
          <w:szCs w:val="21"/>
        </w:rPr>
        <w:t>名木的保护工作；</w:t>
      </w:r>
    </w:p>
    <w:p>
      <w:pPr>
        <w:numPr>
          <w:ilvl w:val="0"/>
          <w:numId w:val="13"/>
        </w:numPr>
        <w:tabs>
          <w:tab w:val="left" w:pos="1980"/>
          <w:tab w:val="left" w:pos="2520"/>
        </w:tabs>
        <w:spacing w:line="360" w:lineRule="auto"/>
        <w:ind w:left="1618" w:leftChars="770" w:hanging="1"/>
        <w:rPr>
          <w:rFonts w:ascii="宋体" w:hAnsi="宋体" w:cs="宋体"/>
          <w:color w:val="auto"/>
          <w:szCs w:val="21"/>
        </w:rPr>
      </w:pPr>
      <w:r>
        <w:rPr>
          <w:rFonts w:hint="eastAsia" w:ascii="宋体" w:hAnsi="宋体" w:cs="宋体"/>
          <w:color w:val="auto"/>
          <w:szCs w:val="21"/>
        </w:rPr>
        <w:t>遵守政府部门有关环境卫生的管理规定，保证施工场地的清洁和做好交工前施工现场的清理工作，并承担因自身责任造成的损失和罚款；</w:t>
      </w:r>
    </w:p>
    <w:p>
      <w:pPr>
        <w:numPr>
          <w:ilvl w:val="0"/>
          <w:numId w:val="13"/>
        </w:numPr>
        <w:tabs>
          <w:tab w:val="left" w:pos="1440"/>
          <w:tab w:val="left" w:pos="1980"/>
        </w:tabs>
        <w:spacing w:line="360" w:lineRule="auto"/>
        <w:ind w:left="1619" w:leftChars="771"/>
        <w:rPr>
          <w:rFonts w:ascii="宋体" w:hAnsi="宋体" w:cs="宋体"/>
          <w:color w:val="auto"/>
          <w:szCs w:val="21"/>
        </w:rPr>
      </w:pPr>
      <w:r>
        <w:rPr>
          <w:rFonts w:hint="eastAsia" w:ascii="宋体" w:hAnsi="宋体" w:cs="宋体"/>
          <w:color w:val="auto"/>
          <w:szCs w:val="21"/>
        </w:rPr>
        <w:t>工程完工后，应按照合同约定提交竣工验收申请报告和竣工结算文件。</w:t>
      </w:r>
    </w:p>
    <w:p>
      <w:pPr>
        <w:tabs>
          <w:tab w:val="left" w:pos="4970"/>
        </w:tabs>
        <w:spacing w:line="360" w:lineRule="auto"/>
        <w:rPr>
          <w:rFonts w:ascii="宋体" w:hAnsi="宋体" w:cs="宋体"/>
          <w:b/>
          <w:color w:val="auto"/>
          <w:szCs w:val="21"/>
        </w:rPr>
      </w:pPr>
      <w:r>
        <w:rPr>
          <w:rFonts w:hint="eastAsia" w:ascii="宋体" w:hAnsi="宋体" w:cs="宋体"/>
          <w:b/>
          <w:color w:val="auto"/>
          <w:szCs w:val="21"/>
        </w:rPr>
        <w:t xml:space="preserve">20.3   </w:t>
      </w:r>
      <w:r>
        <w:rPr>
          <w:rFonts w:hint="eastAsia" w:ascii="宋体" w:hAnsi="宋体" w:cs="宋体"/>
          <w:b/>
          <w:color w:val="auto"/>
          <w:szCs w:val="21"/>
          <w:u w:val="dotted"/>
        </w:rPr>
        <w:t xml:space="preserve">                                                                                                       </w:t>
      </w:r>
    </w:p>
    <w:p>
      <w:pPr>
        <w:tabs>
          <w:tab w:val="left" w:pos="4970"/>
        </w:tabs>
        <w:spacing w:line="360" w:lineRule="auto"/>
        <w:ind w:left="1619" w:leftChars="771"/>
        <w:rPr>
          <w:rFonts w:ascii="宋体" w:hAnsi="宋体" w:cs="宋体"/>
          <w:color w:val="auto"/>
          <w:szCs w:val="21"/>
        </w:rPr>
      </w:pPr>
      <w:r>
        <w:rPr>
          <w:rFonts w:ascii="宋体" w:hAnsi="宋体" w:cs="宋体"/>
          <w:color w:val="auto"/>
          <w:szCs w:val="21"/>
        </w:rPr>
        <mc:AlternateContent>
          <mc:Choice Requires="wps">
            <w:drawing>
              <wp:anchor distT="0" distB="0" distL="114300" distR="114300" simplePos="0" relativeHeight="251765760" behindDoc="0" locked="0" layoutInCell="1" allowOverlap="1">
                <wp:simplePos x="0" y="0"/>
                <wp:positionH relativeFrom="column">
                  <wp:posOffset>-114300</wp:posOffset>
                </wp:positionH>
                <wp:positionV relativeFrom="paragraph">
                  <wp:posOffset>0</wp:posOffset>
                </wp:positionV>
                <wp:extent cx="914400" cy="594360"/>
                <wp:effectExtent l="0" t="0" r="0" b="0"/>
                <wp:wrapNone/>
                <wp:docPr id="345" name="文本框 345"/>
                <wp:cNvGraphicFramePr/>
                <a:graphic xmlns:a="http://schemas.openxmlformats.org/drawingml/2006/main">
                  <a:graphicData uri="http://schemas.microsoft.com/office/word/2010/wordprocessingShape">
                    <wps:wsp>
                      <wps:cNvSpPr txBox="1">
                        <a:spLocks noChangeArrowheads="1"/>
                      </wps:cNvSpPr>
                      <wps:spPr bwMode="auto">
                        <a:xfrm>
                          <a:off x="0" y="0"/>
                          <a:ext cx="914400" cy="594360"/>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承包人实施工作</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46.8pt;width:72pt;z-index:251765760;mso-width-relative:page;mso-height-relative:page;" filled="f" stroked="f" coordsize="21600,21600" o:gfxdata="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SyfpMtUAAAAHAQAADwAAAAAAAAABACAAAAAiAAAAZHJzL2Rvd25y&#10;ZXYueG1sUEsBAhQAFAAAAAgAh07iQIY3ug4BAgAA2AMAAA4AAAAAAAAAAQAgAAAAJAEAAGRycy9l&#10;Mm9Eb2MueG1sUEsFBgAAAAAGAAYAWQEAAJcFA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承包人实施工作</w:t>
                      </w:r>
                    </w:p>
                  </w:txbxContent>
                </v:textbox>
              </v:shape>
            </w:pict>
          </mc:Fallback>
        </mc:AlternateContent>
      </w:r>
      <w:r>
        <w:rPr>
          <w:rFonts w:hint="eastAsia" w:ascii="宋体" w:hAnsi="宋体" w:cs="宋体"/>
          <w:color w:val="auto"/>
          <w:szCs w:val="21"/>
        </w:rPr>
        <w:t>承包人应按照合同约定和监理工程师指令实施、完成并保修合同工程。除专用条款另有约定外，承包人应提供为完成合同工程所需的劳务、材料、工程设备、施工设备和其他物品。如果承包人不按照合同约定或监理工程师依据合同发出的指令组织施工，且在监理工程师书面要求改正后的7天内仍未采取补救措施的，则发包人可自行或委托第三方进行补救，由此发生的费用和造成的损失由承包人承担。该笔款项经造价工程师核实后，由发包人从应支付或将支付给承包人的工程进度款或结算款中扣除。</w:t>
      </w:r>
    </w:p>
    <w:p>
      <w:pPr>
        <w:tabs>
          <w:tab w:val="left" w:pos="4970"/>
        </w:tabs>
        <w:spacing w:line="360" w:lineRule="auto"/>
        <w:rPr>
          <w:rFonts w:ascii="宋体" w:hAnsi="宋体" w:cs="宋体"/>
          <w:b/>
          <w:color w:val="auto"/>
          <w:szCs w:val="21"/>
        </w:rPr>
      </w:pPr>
      <w:r>
        <w:rPr>
          <w:rFonts w:hint="eastAsia" w:ascii="宋体" w:hAnsi="宋体" w:cs="宋体"/>
          <w:b/>
          <w:color w:val="auto"/>
          <w:szCs w:val="21"/>
        </w:rPr>
        <w:t xml:space="preserve">20.4   </w:t>
      </w:r>
      <w:r>
        <w:rPr>
          <w:rFonts w:hint="eastAsia" w:ascii="宋体" w:hAnsi="宋体" w:cs="宋体"/>
          <w:b/>
          <w:color w:val="auto"/>
          <w:szCs w:val="21"/>
          <w:u w:val="dotted"/>
        </w:rPr>
        <w:t xml:space="preserve">                                                                                                      </w:t>
      </w:r>
    </w:p>
    <w:p>
      <w:pPr>
        <w:tabs>
          <w:tab w:val="left" w:pos="4970"/>
        </w:tabs>
        <w:spacing w:line="360" w:lineRule="auto"/>
        <w:ind w:left="1619" w:leftChars="771"/>
        <w:rPr>
          <w:rFonts w:ascii="宋体" w:hAnsi="宋体" w:cs="宋体"/>
          <w:color w:val="auto"/>
          <w:szCs w:val="21"/>
        </w:rPr>
      </w:pPr>
      <w:r>
        <w:rPr>
          <w:rFonts w:ascii="宋体" w:hAnsi="宋体" w:cs="宋体"/>
          <w:color w:val="auto"/>
          <w:szCs w:val="21"/>
        </w:rPr>
        <mc:AlternateContent>
          <mc:Choice Requires="wps">
            <w:drawing>
              <wp:anchor distT="0" distB="0" distL="114300" distR="114300" simplePos="0" relativeHeight="251766784" behindDoc="0" locked="0" layoutInCell="1" allowOverlap="1">
                <wp:simplePos x="0" y="0"/>
                <wp:positionH relativeFrom="column">
                  <wp:posOffset>-114300</wp:posOffset>
                </wp:positionH>
                <wp:positionV relativeFrom="paragraph">
                  <wp:posOffset>22860</wp:posOffset>
                </wp:positionV>
                <wp:extent cx="914400" cy="1003935"/>
                <wp:effectExtent l="0" t="0" r="0" b="0"/>
                <wp:wrapNone/>
                <wp:docPr id="344" name="文本框 344"/>
                <wp:cNvGraphicFramePr/>
                <a:graphic xmlns:a="http://schemas.openxmlformats.org/drawingml/2006/main">
                  <a:graphicData uri="http://schemas.microsoft.com/office/word/2010/wordprocessingShape">
                    <wps:wsp>
                      <wps:cNvSpPr txBox="1">
                        <a:spLocks noChangeArrowheads="1"/>
                      </wps:cNvSpPr>
                      <wps:spPr bwMode="auto">
                        <a:xfrm>
                          <a:off x="0" y="0"/>
                          <a:ext cx="914400" cy="1003935"/>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承包人实施施工组织设计和工作安排</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8pt;height:79.05pt;width:72pt;z-index:251766784;mso-width-relative:page;mso-height-relative:page;" filled="f" stroked="f" coordsize="21600,21600" o:gfxdata="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Jq/gQnWAAAACQEAAA8AAAAAAAAAAQAgAAAAIgAAAGRycy9kb3du&#10;cmV2LnhtbFBLAQIUABQAAAAIAIdO4kCGFFwEAQIAANkDAAAOAAAAAAAAAAEAIAAAACUBAABkcnMv&#10;ZTJvRG9jLnhtbFBLBQYAAAAABgAGAFkBAACYBQ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承包人实施施工组织设计和工作安排</w:t>
                      </w:r>
                    </w:p>
                  </w:txbxContent>
                </v:textbox>
              </v:shape>
            </w:pict>
          </mc:Fallback>
        </mc:AlternateContent>
      </w:r>
      <w:r>
        <w:rPr>
          <w:rFonts w:hint="eastAsia" w:ascii="宋体" w:hAnsi="宋体" w:cs="宋体"/>
          <w:color w:val="auto"/>
          <w:szCs w:val="21"/>
        </w:rPr>
        <w:t>承包人对所有现场作业和施工方法的完备性、稳定性和安全性负责，并应按照合同约定的工作内容和施工进度要求，向监理工程师提交合同工程拟采用的施工组织设计和工作安排的详细说明。如承包人对施工组织设计和工作安排作出重大修改，应事先征得监理工程师同意。</w:t>
      </w:r>
    </w:p>
    <w:p>
      <w:pPr>
        <w:tabs>
          <w:tab w:val="left" w:pos="4970"/>
        </w:tabs>
        <w:spacing w:line="360" w:lineRule="auto"/>
        <w:rPr>
          <w:rFonts w:ascii="宋体" w:hAnsi="宋体" w:cs="宋体"/>
          <w:color w:val="auto"/>
          <w:szCs w:val="21"/>
        </w:rPr>
      </w:pPr>
      <w:r>
        <w:rPr>
          <w:rFonts w:hint="eastAsia" w:ascii="宋体" w:hAnsi="宋体" w:cs="宋体"/>
          <w:b/>
          <w:color w:val="auto"/>
          <w:szCs w:val="21"/>
        </w:rPr>
        <w:t xml:space="preserve">20.5 </w:t>
      </w:r>
      <w:r>
        <w:rPr>
          <w:rFonts w:hint="eastAsia" w:ascii="宋体" w:hAnsi="宋体" w:cs="宋体"/>
          <w:color w:val="auto"/>
          <w:szCs w:val="21"/>
        </w:rPr>
        <w:t xml:space="preserve"> </w:t>
      </w:r>
      <w:r>
        <w:rPr>
          <w:rFonts w:hint="eastAsia" w:ascii="宋体" w:hAnsi="宋体" w:cs="宋体"/>
          <w:color w:val="auto"/>
          <w:szCs w:val="21"/>
          <w:u w:val="dotted"/>
        </w:rPr>
        <w:t xml:space="preserve">                                                                                                        </w:t>
      </w:r>
    </w:p>
    <w:p>
      <w:pPr>
        <w:tabs>
          <w:tab w:val="left" w:pos="4970"/>
        </w:tabs>
        <w:spacing w:line="360" w:lineRule="auto"/>
        <w:ind w:left="1619" w:leftChars="771"/>
        <w:rPr>
          <w:rFonts w:ascii="宋体" w:hAnsi="宋体" w:cs="宋体"/>
          <w:color w:val="auto"/>
          <w:kern w:val="0"/>
          <w:szCs w:val="21"/>
        </w:rPr>
      </w:pPr>
      <w:r>
        <w:rPr>
          <w:rFonts w:ascii="宋体" w:hAnsi="宋体" w:cs="宋体"/>
          <w:color w:val="auto"/>
          <w:kern w:val="0"/>
          <w:szCs w:val="21"/>
        </w:rPr>
        <mc:AlternateContent>
          <mc:Choice Requires="wps">
            <w:drawing>
              <wp:anchor distT="0" distB="0" distL="114300" distR="114300" simplePos="0" relativeHeight="251767808" behindDoc="0" locked="0" layoutInCell="1" allowOverlap="1">
                <wp:simplePos x="0" y="0"/>
                <wp:positionH relativeFrom="column">
                  <wp:posOffset>-114300</wp:posOffset>
                </wp:positionH>
                <wp:positionV relativeFrom="paragraph">
                  <wp:posOffset>15240</wp:posOffset>
                </wp:positionV>
                <wp:extent cx="914400" cy="657860"/>
                <wp:effectExtent l="0" t="0" r="0" b="0"/>
                <wp:wrapNone/>
                <wp:docPr id="343" name="文本框 343"/>
                <wp:cNvGraphicFramePr/>
                <a:graphic xmlns:a="http://schemas.openxmlformats.org/drawingml/2006/main">
                  <a:graphicData uri="http://schemas.microsoft.com/office/word/2010/wordprocessingShape">
                    <wps:wsp>
                      <wps:cNvSpPr txBox="1">
                        <a:spLocks noChangeArrowheads="1"/>
                      </wps:cNvSpPr>
                      <wps:spPr bwMode="auto">
                        <a:xfrm>
                          <a:off x="0" y="0"/>
                          <a:ext cx="914400" cy="657860"/>
                        </a:xfrm>
                        <a:prstGeom prst="rect">
                          <a:avLst/>
                        </a:prstGeom>
                        <a:noFill/>
                        <a:ln>
                          <a:noFill/>
                        </a:ln>
                        <a:effectLst/>
                      </wps:spPr>
                      <wps:txbx>
                        <w:txbxContent>
                          <w:p>
                            <w:pPr>
                              <w:spacing w:line="240" w:lineRule="exact"/>
                              <w:rPr>
                                <w:rFonts w:ascii="楷体_GB2312" w:hAnsi="宋体"/>
                                <w:sz w:val="18"/>
                                <w:szCs w:val="18"/>
                              </w:rPr>
                            </w:pPr>
                            <w:r>
                              <w:rPr>
                                <w:rFonts w:hint="eastAsia" w:ascii="楷体_GB2312" w:hAnsi="宋体"/>
                                <w:b/>
                                <w:color w:val="000000"/>
                                <w:sz w:val="18"/>
                                <w:szCs w:val="18"/>
                              </w:rPr>
                              <w:t>承包人为发包人的人员提供配合</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pt;height:51.8pt;width:72pt;z-index:251767808;mso-width-relative:page;mso-height-relative:page;" filled="f" stroked="f" coordsize="21600,21600" o:gfxdata="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ZQt8D1AAAAAkBAAAPAAAAAAAAAAEAIAAAACIAAABkcnMvZG93bnJl&#10;di54bWxQSwECFAAUAAAACACHTuJAZARNJgECAADYAwAADgAAAAAAAAABACAAAAAjAQAAZHJzL2Uy&#10;b0RvYy54bWxQSwUGAAAAAAYABgBZAQAAlgUAAAAA&#10;">
                <v:fill on="f" focussize="0,0"/>
                <v:stroke on="f"/>
                <v:imagedata o:title=""/>
                <o:lock v:ext="edit" aspectratio="f"/>
                <v:textbox>
                  <w:txbxContent>
                    <w:p>
                      <w:pPr>
                        <w:spacing w:line="240" w:lineRule="exact"/>
                        <w:rPr>
                          <w:rFonts w:ascii="楷体_GB2312" w:hAnsi="宋体"/>
                          <w:sz w:val="18"/>
                          <w:szCs w:val="18"/>
                        </w:rPr>
                      </w:pPr>
                      <w:r>
                        <w:rPr>
                          <w:rFonts w:hint="eastAsia" w:ascii="楷体_GB2312" w:hAnsi="宋体"/>
                          <w:b/>
                          <w:color w:val="000000"/>
                          <w:sz w:val="18"/>
                          <w:szCs w:val="18"/>
                        </w:rPr>
                        <w:t>承包人为发包人的人员提供配合</w:t>
                      </w:r>
                    </w:p>
                  </w:txbxContent>
                </v:textbox>
              </v:shape>
            </w:pict>
          </mc:Fallback>
        </mc:AlternateContent>
      </w:r>
      <w:r>
        <w:rPr>
          <w:rFonts w:hint="eastAsia" w:ascii="宋体" w:hAnsi="宋体" w:cs="宋体"/>
          <w:color w:val="auto"/>
          <w:kern w:val="0"/>
          <w:szCs w:val="21"/>
        </w:rPr>
        <w:t>承包人应按照合同约定或监理工程师的指令，配合和协助下述人员在施工场地及其附近实施与合同工程有关的各项工作：</w:t>
      </w:r>
    </w:p>
    <w:p>
      <w:pPr>
        <w:tabs>
          <w:tab w:val="left" w:pos="1980"/>
          <w:tab w:val="left" w:pos="4970"/>
        </w:tabs>
        <w:spacing w:line="360" w:lineRule="auto"/>
        <w:ind w:left="1619"/>
        <w:rPr>
          <w:rFonts w:ascii="宋体" w:hAnsi="宋体" w:cs="宋体"/>
          <w:color w:val="auto"/>
          <w:szCs w:val="21"/>
        </w:rPr>
      </w:pPr>
      <w:r>
        <w:rPr>
          <w:rFonts w:hint="eastAsia" w:ascii="宋体" w:hAnsi="宋体" w:cs="宋体"/>
          <w:color w:val="auto"/>
          <w:szCs w:val="21"/>
        </w:rPr>
        <w:t>（1）发包人的工作人员；</w:t>
      </w:r>
    </w:p>
    <w:p>
      <w:pPr>
        <w:tabs>
          <w:tab w:val="left" w:pos="1980"/>
          <w:tab w:val="left" w:pos="4970"/>
        </w:tabs>
        <w:spacing w:line="360" w:lineRule="auto"/>
        <w:ind w:left="1619"/>
        <w:rPr>
          <w:rFonts w:ascii="宋体" w:hAnsi="宋体" w:cs="宋体"/>
          <w:color w:val="auto"/>
          <w:szCs w:val="21"/>
        </w:rPr>
      </w:pPr>
      <w:r>
        <w:rPr>
          <w:rFonts w:hint="eastAsia" w:ascii="宋体" w:hAnsi="宋体" w:cs="宋体"/>
          <w:color w:val="auto"/>
          <w:szCs w:val="21"/>
        </w:rPr>
        <w:t>（2）发包人的雇员；</w:t>
      </w:r>
    </w:p>
    <w:p>
      <w:pPr>
        <w:tabs>
          <w:tab w:val="left" w:pos="1980"/>
          <w:tab w:val="left" w:pos="4970"/>
        </w:tabs>
        <w:spacing w:line="360" w:lineRule="auto"/>
        <w:ind w:left="1619"/>
        <w:rPr>
          <w:rFonts w:ascii="宋体" w:hAnsi="宋体" w:cs="宋体"/>
          <w:color w:val="auto"/>
          <w:szCs w:val="21"/>
        </w:rPr>
      </w:pPr>
      <w:r>
        <w:rPr>
          <w:rFonts w:hint="eastAsia" w:ascii="宋体" w:hAnsi="宋体" w:cs="宋体"/>
          <w:color w:val="auto"/>
          <w:szCs w:val="21"/>
        </w:rPr>
        <w:t>（3）任何监督管理机构的执法人员。</w:t>
      </w:r>
    </w:p>
    <w:p>
      <w:pPr>
        <w:tabs>
          <w:tab w:val="left" w:pos="2520"/>
          <w:tab w:val="left" w:pos="4970"/>
        </w:tabs>
        <w:spacing w:line="360" w:lineRule="auto"/>
        <w:ind w:left="1619" w:leftChars="771"/>
        <w:rPr>
          <w:rFonts w:ascii="宋体" w:hAnsi="宋体" w:cs="宋体"/>
          <w:color w:val="auto"/>
          <w:kern w:val="0"/>
          <w:szCs w:val="21"/>
        </w:rPr>
      </w:pPr>
      <w:r>
        <w:rPr>
          <w:rFonts w:hint="eastAsia" w:ascii="宋体" w:hAnsi="宋体" w:cs="宋体"/>
          <w:color w:val="auto"/>
          <w:kern w:val="0"/>
          <w:szCs w:val="21"/>
        </w:rPr>
        <w:t>此类指令若增加了承包人的工作或支出，包括使用了承包人的设备、临时工程或通行道路等，则视为工程变更，按照第72条规定调整合同价款。</w:t>
      </w:r>
    </w:p>
    <w:p>
      <w:pPr>
        <w:tabs>
          <w:tab w:val="left" w:pos="4970"/>
        </w:tabs>
        <w:spacing w:line="480" w:lineRule="auto"/>
        <w:rPr>
          <w:rFonts w:ascii="宋体" w:hAnsi="宋体" w:cs="宋体"/>
          <w:b/>
          <w:color w:val="auto"/>
          <w:szCs w:val="21"/>
        </w:rPr>
      </w:pPr>
      <w:r>
        <w:rPr>
          <w:rFonts w:hint="eastAsia" w:ascii="宋体" w:hAnsi="宋体" w:cs="宋体"/>
          <w:b/>
          <w:color w:val="auto"/>
          <w:szCs w:val="21"/>
        </w:rPr>
        <w:t xml:space="preserve">20.6  </w:t>
      </w:r>
      <w:r>
        <w:rPr>
          <w:rFonts w:hint="eastAsia" w:ascii="宋体" w:hAnsi="宋体" w:cs="宋体"/>
          <w:b/>
          <w:color w:val="auto"/>
          <w:szCs w:val="21"/>
          <w:u w:val="dotted"/>
        </w:rPr>
        <w:t xml:space="preserve">                                                                                                        </w:t>
      </w:r>
    </w:p>
    <w:p>
      <w:pPr>
        <w:tabs>
          <w:tab w:val="left" w:pos="4970"/>
        </w:tabs>
        <w:spacing w:line="360" w:lineRule="auto"/>
        <w:ind w:left="1619" w:leftChars="771"/>
        <w:rPr>
          <w:rFonts w:ascii="宋体" w:hAnsi="宋体" w:cs="宋体"/>
          <w:color w:val="auto"/>
          <w:szCs w:val="21"/>
        </w:rPr>
      </w:pPr>
      <w:r>
        <w:rPr>
          <w:rFonts w:ascii="宋体" w:hAnsi="宋体" w:cs="宋体"/>
          <w:color w:val="auto"/>
          <w:szCs w:val="21"/>
        </w:rPr>
        <mc:AlternateContent>
          <mc:Choice Requires="wps">
            <w:drawing>
              <wp:anchor distT="0" distB="0" distL="114300" distR="114300" simplePos="0" relativeHeight="251934720" behindDoc="0" locked="0" layoutInCell="1" allowOverlap="1">
                <wp:simplePos x="0" y="0"/>
                <wp:positionH relativeFrom="column">
                  <wp:posOffset>-114300</wp:posOffset>
                </wp:positionH>
                <wp:positionV relativeFrom="paragraph">
                  <wp:posOffset>0</wp:posOffset>
                </wp:positionV>
                <wp:extent cx="914400" cy="792480"/>
                <wp:effectExtent l="0" t="0" r="0" b="0"/>
                <wp:wrapNone/>
                <wp:docPr id="342" name="文本框 342"/>
                <wp:cNvGraphicFramePr/>
                <a:graphic xmlns:a="http://schemas.openxmlformats.org/drawingml/2006/main">
                  <a:graphicData uri="http://schemas.microsoft.com/office/word/2010/wordprocessingShape">
                    <wps:wsp>
                      <wps:cNvSpPr txBox="1">
                        <a:spLocks noChangeArrowheads="1"/>
                      </wps:cNvSpPr>
                      <wps:spPr bwMode="auto">
                        <a:xfrm>
                          <a:off x="0" y="0"/>
                          <a:ext cx="914400" cy="792480"/>
                        </a:xfrm>
                        <a:prstGeom prst="rect">
                          <a:avLst/>
                        </a:prstGeom>
                        <a:noFill/>
                        <a:ln>
                          <a:noFill/>
                        </a:ln>
                        <a:effectLst/>
                      </wps:spPr>
                      <wps:txbx>
                        <w:txbxContent>
                          <w:p>
                            <w:pPr>
                              <w:rPr>
                                <w:rFonts w:ascii="楷体_GB2312" w:hAnsi="宋体"/>
                                <w:sz w:val="18"/>
                                <w:szCs w:val="18"/>
                              </w:rPr>
                            </w:pPr>
                            <w:r>
                              <w:rPr>
                                <w:rFonts w:hint="eastAsia" w:ascii="楷体_GB2312" w:hAnsi="宋体"/>
                                <w:b/>
                                <w:color w:val="000000"/>
                                <w:sz w:val="18"/>
                                <w:szCs w:val="18"/>
                              </w:rPr>
                              <w:t>承包人避免施工损害他人利益</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62.4pt;width:72pt;z-index:251934720;mso-width-relative:page;mso-height-relative:page;" filled="f" stroked="f" coordsize="21600,21600" o:gfxdata="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qTZUc1QAAAAgBAAAPAAAAAAAAAAEAIAAAACIAAABkcnMvZG93bnJl&#10;di54bWxQSwECFAAUAAAACACHTuJAJCUDtgACAADYAwAADgAAAAAAAAABACAAAAAkAQAAZHJzL2Uy&#10;b0RvYy54bWxQSwUGAAAAAAYABgBZAQAAlgUAAAAA&#10;">
                <v:fill on="f" focussize="0,0"/>
                <v:stroke on="f"/>
                <v:imagedata o:title=""/>
                <o:lock v:ext="edit" aspectratio="f"/>
                <v:textbox>
                  <w:txbxContent>
                    <w:p>
                      <w:pPr>
                        <w:rPr>
                          <w:rFonts w:ascii="楷体_GB2312" w:hAnsi="宋体"/>
                          <w:sz w:val="18"/>
                          <w:szCs w:val="18"/>
                        </w:rPr>
                      </w:pPr>
                      <w:r>
                        <w:rPr>
                          <w:rFonts w:hint="eastAsia" w:ascii="楷体_GB2312" w:hAnsi="宋体"/>
                          <w:b/>
                          <w:color w:val="000000"/>
                          <w:sz w:val="18"/>
                          <w:szCs w:val="18"/>
                        </w:rPr>
                        <w:t>承包人避免施工损害他人利益</w:t>
                      </w:r>
                    </w:p>
                  </w:txbxContent>
                </v:textbox>
              </v:shape>
            </w:pict>
          </mc:Fallback>
        </mc:AlternateContent>
      </w:r>
      <w:r>
        <w:rPr>
          <w:rFonts w:hint="eastAsia" w:ascii="宋体" w:hAnsi="宋体" w:cs="宋体"/>
          <w:color w:val="auto"/>
          <w:szCs w:val="21"/>
        </w:rPr>
        <w:t>承包人在施工过程中，不得侵害发包人与他人使用公用道路、水源、市政管网等公共设施的权利，避免对邻近的公共设施产生干扰。承包人占用或使用他人的施工场地，影响他人作业或生活的，应承担相应责任。</w:t>
      </w:r>
    </w:p>
    <w:p>
      <w:pPr>
        <w:tabs>
          <w:tab w:val="left" w:pos="4970"/>
        </w:tabs>
        <w:spacing w:line="480" w:lineRule="auto"/>
        <w:rPr>
          <w:rFonts w:ascii="宋体" w:hAnsi="宋体" w:cs="宋体"/>
          <w:b/>
          <w:color w:val="auto"/>
          <w:szCs w:val="21"/>
        </w:rPr>
      </w:pPr>
      <w:r>
        <w:rPr>
          <w:rFonts w:hint="eastAsia" w:ascii="宋体" w:hAnsi="宋体" w:cs="宋体"/>
          <w:b/>
          <w:color w:val="auto"/>
          <w:szCs w:val="21"/>
        </w:rPr>
        <w:t xml:space="preserve">20.7  </w:t>
      </w:r>
      <w:r>
        <w:rPr>
          <w:rFonts w:hint="eastAsia" w:ascii="宋体" w:hAnsi="宋体" w:cs="宋体"/>
          <w:b/>
          <w:color w:val="auto"/>
          <w:szCs w:val="21"/>
          <w:u w:val="dotted"/>
        </w:rPr>
        <w:t xml:space="preserve">                                                                                                        </w:t>
      </w:r>
    </w:p>
    <w:p>
      <w:pPr>
        <w:tabs>
          <w:tab w:val="left" w:pos="4970"/>
        </w:tabs>
        <w:spacing w:line="360" w:lineRule="auto"/>
        <w:ind w:left="1619" w:leftChars="771"/>
        <w:rPr>
          <w:rFonts w:ascii="宋体" w:hAnsi="宋体" w:cs="宋体"/>
          <w:color w:val="auto"/>
          <w:szCs w:val="21"/>
        </w:rPr>
      </w:pPr>
      <w:r>
        <w:rPr>
          <w:rFonts w:ascii="宋体" w:hAnsi="宋体" w:cs="宋体"/>
          <w:color w:val="auto"/>
          <w:szCs w:val="21"/>
        </w:rPr>
        <mc:AlternateContent>
          <mc:Choice Requires="wps">
            <w:drawing>
              <wp:anchor distT="0" distB="0" distL="114300" distR="114300" simplePos="0" relativeHeight="251768832" behindDoc="0" locked="0" layoutInCell="1" allowOverlap="1">
                <wp:simplePos x="0" y="0"/>
                <wp:positionH relativeFrom="column">
                  <wp:posOffset>-114300</wp:posOffset>
                </wp:positionH>
                <wp:positionV relativeFrom="paragraph">
                  <wp:posOffset>0</wp:posOffset>
                </wp:positionV>
                <wp:extent cx="914400" cy="495300"/>
                <wp:effectExtent l="0" t="0" r="0" b="0"/>
                <wp:wrapNone/>
                <wp:docPr id="341" name="文本框 341"/>
                <wp:cNvGraphicFramePr/>
                <a:graphic xmlns:a="http://schemas.openxmlformats.org/drawingml/2006/main">
                  <a:graphicData uri="http://schemas.microsoft.com/office/word/2010/wordprocessingShape">
                    <wps:wsp>
                      <wps:cNvSpPr txBox="1">
                        <a:spLocks noChangeArrowheads="1"/>
                      </wps:cNvSpPr>
                      <wps:spPr bwMode="auto">
                        <a:xfrm>
                          <a:off x="0" y="0"/>
                          <a:ext cx="914400" cy="495300"/>
                        </a:xfrm>
                        <a:prstGeom prst="rect">
                          <a:avLst/>
                        </a:prstGeom>
                        <a:noFill/>
                        <a:ln>
                          <a:noFill/>
                        </a:ln>
                        <a:effectLst/>
                      </wps:spPr>
                      <wps:txbx>
                        <w:txbxContent>
                          <w:p>
                            <w:pPr>
                              <w:rPr>
                                <w:rFonts w:ascii="楷体_GB2312" w:hAnsi="宋体"/>
                                <w:sz w:val="18"/>
                                <w:szCs w:val="18"/>
                              </w:rPr>
                            </w:pPr>
                            <w:r>
                              <w:rPr>
                                <w:rFonts w:hint="eastAsia" w:ascii="楷体_GB2312" w:hAnsi="宋体"/>
                                <w:b/>
                                <w:color w:val="000000"/>
                                <w:sz w:val="18"/>
                                <w:szCs w:val="18"/>
                              </w:rPr>
                              <w:t>承包人未尽义务的责任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39pt;width:72pt;z-index:251768832;mso-width-relative:page;mso-height-relative:page;" filled="f" stroked="f" coordsize="21600,21600" o:gfxdata="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JC7iE7UAAAABwEAAA8AAAAAAAAAAQAgAAAAIgAAAGRycy9kb3ducmV2&#10;LnhtbFBLAQIUABQAAAAIAIdO4kDO2DSDAAIAANgDAAAOAAAAAAAAAAEAIAAAACMBAABkcnMvZTJv&#10;RG9jLnhtbFBLBQYAAAAABgAGAFkBAACVBQAAAAA=&#10;">
                <v:fill on="f" focussize="0,0"/>
                <v:stroke on="f"/>
                <v:imagedata o:title=""/>
                <o:lock v:ext="edit" aspectratio="f"/>
                <v:textbox>
                  <w:txbxContent>
                    <w:p>
                      <w:pPr>
                        <w:rPr>
                          <w:rFonts w:ascii="楷体_GB2312" w:hAnsi="宋体"/>
                          <w:sz w:val="18"/>
                          <w:szCs w:val="18"/>
                        </w:rPr>
                      </w:pPr>
                      <w:r>
                        <w:rPr>
                          <w:rFonts w:hint="eastAsia" w:ascii="楷体_GB2312" w:hAnsi="宋体"/>
                          <w:b/>
                          <w:color w:val="000000"/>
                          <w:sz w:val="18"/>
                          <w:szCs w:val="18"/>
                        </w:rPr>
                        <w:t>承包人未尽义务的责任</w:t>
                      </w:r>
                    </w:p>
                  </w:txbxContent>
                </v:textbox>
              </v:shape>
            </w:pict>
          </mc:Fallback>
        </mc:AlternateContent>
      </w:r>
      <w:r>
        <w:rPr>
          <w:rFonts w:hint="eastAsia" w:ascii="宋体" w:hAnsi="宋体" w:cs="宋体"/>
          <w:color w:val="auto"/>
          <w:szCs w:val="21"/>
        </w:rPr>
        <w:t>承包人未能正确完成本合同约定的全部义务，导致费用的增加和（或）延误的工期，由承包人承担；给发包人造成损失的，承包人应予赔偿。</w:t>
      </w:r>
    </w:p>
    <w:p>
      <w:pPr>
        <w:adjustRightInd w:val="0"/>
        <w:snapToGrid w:val="0"/>
        <w:spacing w:line="480" w:lineRule="auto"/>
        <w:ind w:right="-238"/>
        <w:rPr>
          <w:rFonts w:ascii="宋体" w:hAnsi="宋体" w:cs="宋体"/>
          <w:b/>
          <w:color w:val="auto"/>
          <w:kern w:val="0"/>
          <w:szCs w:val="21"/>
          <w:u w:val="single"/>
        </w:rPr>
      </w:pPr>
      <w:r>
        <w:rPr>
          <w:rFonts w:hint="eastAsia" w:ascii="宋体" w:hAnsi="宋体" w:cs="宋体"/>
          <w:b/>
          <w:color w:val="auto"/>
          <w:kern w:val="0"/>
          <w:szCs w:val="21"/>
          <w:u w:val="single"/>
        </w:rPr>
        <w:t xml:space="preserve">                                                                                                              </w:t>
      </w:r>
    </w:p>
    <w:p>
      <w:pPr>
        <w:adjustRightInd w:val="0"/>
        <w:snapToGrid w:val="0"/>
        <w:spacing w:beforeLines="100" w:line="360" w:lineRule="auto"/>
        <w:ind w:right="-238"/>
        <w:rPr>
          <w:rFonts w:ascii="宋体" w:hAnsi="宋体" w:cs="宋体"/>
          <w:b/>
          <w:color w:val="auto"/>
          <w:kern w:val="0"/>
          <w:szCs w:val="21"/>
        </w:rPr>
      </w:pPr>
      <w:r>
        <w:rPr>
          <w:rFonts w:hint="eastAsia" w:ascii="宋体" w:hAnsi="宋体" w:cs="宋体"/>
          <w:b/>
          <w:color w:val="auto"/>
          <w:kern w:val="0"/>
          <w:szCs w:val="21"/>
        </w:rPr>
        <w:t>21  现场管理人员任命和更换</w:t>
      </w:r>
    </w:p>
    <w:p>
      <w:pPr>
        <w:tabs>
          <w:tab w:val="left" w:pos="1320"/>
        </w:tabs>
        <w:adjustRightInd w:val="0"/>
        <w:snapToGrid w:val="0"/>
        <w:spacing w:line="360" w:lineRule="auto"/>
        <w:ind w:right="-240"/>
        <w:rPr>
          <w:rFonts w:ascii="宋体" w:hAnsi="宋体" w:cs="宋体"/>
          <w:b/>
          <w:color w:val="auto"/>
          <w:kern w:val="0"/>
          <w:szCs w:val="21"/>
        </w:rPr>
      </w:pPr>
      <w:r>
        <w:rPr>
          <w:rFonts w:hint="eastAsia" w:ascii="宋体" w:hAnsi="宋体" w:cs="宋体"/>
          <w:b/>
          <w:color w:val="auto"/>
          <w:kern w:val="0"/>
          <w:szCs w:val="21"/>
        </w:rPr>
        <w:t>21.1</w:t>
      </w:r>
    </w:p>
    <w:p>
      <w:pPr>
        <w:adjustRightInd w:val="0"/>
        <w:snapToGrid w:val="0"/>
        <w:spacing w:line="360" w:lineRule="auto"/>
        <w:ind w:left="1619" w:leftChars="771" w:right="-238" w:firstLine="2"/>
        <w:rPr>
          <w:rFonts w:ascii="宋体" w:hAnsi="宋体" w:cs="宋体"/>
          <w:color w:val="auto"/>
          <w:kern w:val="0"/>
          <w:szCs w:val="21"/>
        </w:rPr>
      </w:pPr>
      <w:r>
        <w:rPr>
          <w:rFonts w:ascii="宋体" w:hAnsi="宋体" w:cs="宋体"/>
          <w:color w:val="auto"/>
          <w:kern w:val="0"/>
          <w:szCs w:val="21"/>
        </w:rPr>
        <mc:AlternateContent>
          <mc:Choice Requires="wps">
            <w:drawing>
              <wp:anchor distT="0" distB="0" distL="114300" distR="114300" simplePos="0" relativeHeight="251769856" behindDoc="0" locked="0" layoutInCell="1" allowOverlap="1">
                <wp:simplePos x="0" y="0"/>
                <wp:positionH relativeFrom="column">
                  <wp:posOffset>-114300</wp:posOffset>
                </wp:positionH>
                <wp:positionV relativeFrom="paragraph">
                  <wp:posOffset>7620</wp:posOffset>
                </wp:positionV>
                <wp:extent cx="914400" cy="602615"/>
                <wp:effectExtent l="0" t="0" r="0" b="0"/>
                <wp:wrapNone/>
                <wp:docPr id="340" name="文本框 340"/>
                <wp:cNvGraphicFramePr/>
                <a:graphic xmlns:a="http://schemas.openxmlformats.org/drawingml/2006/main">
                  <a:graphicData uri="http://schemas.microsoft.com/office/word/2010/wordprocessingShape">
                    <wps:wsp>
                      <wps:cNvSpPr txBox="1">
                        <a:spLocks noChangeArrowheads="1"/>
                      </wps:cNvSpPr>
                      <wps:spPr bwMode="auto">
                        <a:xfrm>
                          <a:off x="0" y="0"/>
                          <a:ext cx="914400" cy="602615"/>
                        </a:xfrm>
                        <a:prstGeom prst="rect">
                          <a:avLst/>
                        </a:prstGeom>
                        <a:noFill/>
                        <a:ln>
                          <a:noFill/>
                        </a:ln>
                        <a:effectLst/>
                      </wps:spPr>
                      <wps:txbx>
                        <w:txbxContent>
                          <w:p>
                            <w:pPr>
                              <w:spacing w:line="240" w:lineRule="exact"/>
                              <w:rPr>
                                <w:rFonts w:ascii="楷体_GB2312" w:hAnsi="宋体"/>
                                <w:sz w:val="18"/>
                                <w:szCs w:val="18"/>
                              </w:rPr>
                            </w:pPr>
                            <w:r>
                              <w:rPr>
                                <w:rFonts w:hint="eastAsia" w:ascii="楷体_GB2312" w:hAnsi="宋体"/>
                                <w:b/>
                                <w:color w:val="000000"/>
                                <w:sz w:val="18"/>
                                <w:szCs w:val="18"/>
                              </w:rPr>
                              <w:t>发包人现场管理人员任命和更换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6pt;height:47.45pt;width:72pt;z-index:251769856;mso-width-relative:page;mso-height-relative:page;" filled="f" stroked="f" coordsize="21600,21600" o:gfxdata="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ITdb+dQAAAAIAQAADwAAAAAAAAABACAAAAAiAAAAZHJzL2Rvd25yZXYu&#10;eG1sUEsBAhQAFAAAAAgAh07iQEJiOKj/AQAA2AMAAA4AAAAAAAAAAQAgAAAAIwEAAGRycy9lMm9E&#10;b2MueG1sUEsFBgAAAAAGAAYAWQEAAJQFAAAAAA==&#10;">
                <v:fill on="f" focussize="0,0"/>
                <v:stroke on="f"/>
                <v:imagedata o:title=""/>
                <o:lock v:ext="edit" aspectratio="f"/>
                <v:textbox>
                  <w:txbxContent>
                    <w:p>
                      <w:pPr>
                        <w:spacing w:line="240" w:lineRule="exact"/>
                        <w:rPr>
                          <w:rFonts w:ascii="楷体_GB2312" w:hAnsi="宋体"/>
                          <w:sz w:val="18"/>
                          <w:szCs w:val="18"/>
                        </w:rPr>
                      </w:pPr>
                      <w:r>
                        <w:rPr>
                          <w:rFonts w:hint="eastAsia" w:ascii="楷体_GB2312" w:hAnsi="宋体"/>
                          <w:b/>
                          <w:color w:val="000000"/>
                          <w:sz w:val="18"/>
                          <w:szCs w:val="18"/>
                        </w:rPr>
                        <w:t>发包人现场管理人员任命和更换</w:t>
                      </w:r>
                    </w:p>
                  </w:txbxContent>
                </v:textbox>
              </v:shape>
            </w:pict>
          </mc:Fallback>
        </mc:AlternateContent>
      </w:r>
      <w:r>
        <w:rPr>
          <w:rFonts w:hint="eastAsia" w:ascii="宋体" w:hAnsi="宋体" w:cs="宋体"/>
          <w:color w:val="auto"/>
          <w:kern w:val="0"/>
          <w:szCs w:val="21"/>
        </w:rPr>
        <w:t>发包人应任命代表发包人工作的现场管理人员，并在开工前将该任命书以书面形式通知承包人。该类管理人员可包括发包人代表、监理工程师、造价工程师等。国家、省规定发包人可不委托监理人和（或）工程造价咨询人，发包人因而没有任命监理工程师和（或）造价工程师的，本合同规定的监理工程师和（或）造价工程师及其代表的工作，由发包人代表担任。</w:t>
      </w:r>
    </w:p>
    <w:p>
      <w:pPr>
        <w:adjustRightInd w:val="0"/>
        <w:snapToGrid w:val="0"/>
        <w:spacing w:line="360" w:lineRule="auto"/>
        <w:ind w:left="1619" w:leftChars="771" w:right="-238" w:firstLine="2"/>
        <w:rPr>
          <w:rFonts w:ascii="宋体" w:hAnsi="宋体" w:cs="宋体"/>
          <w:color w:val="auto"/>
          <w:kern w:val="0"/>
          <w:szCs w:val="21"/>
        </w:rPr>
      </w:pPr>
      <w:r>
        <w:rPr>
          <w:rFonts w:hint="eastAsia" w:ascii="宋体" w:hAnsi="宋体" w:cs="宋体"/>
          <w:color w:val="auto"/>
          <w:kern w:val="0"/>
          <w:szCs w:val="21"/>
        </w:rPr>
        <w:t>发包人如需更换现场管理人员，应至少提前7天以书面形式通知承包人，否则该项更换无效。承包人应在收到通知后7天内予以回复，否则视为已收到通知。后任现场管理人员应继续行使合同规定的前任现场管理人员的职权和履行相应的义务。</w:t>
      </w:r>
    </w:p>
    <w:p>
      <w:pPr>
        <w:tabs>
          <w:tab w:val="left" w:pos="1320"/>
          <w:tab w:val="left" w:pos="1620"/>
        </w:tabs>
        <w:adjustRightInd w:val="0"/>
        <w:snapToGrid w:val="0"/>
        <w:spacing w:line="360" w:lineRule="auto"/>
        <w:ind w:right="-238"/>
        <w:rPr>
          <w:rFonts w:ascii="宋体" w:hAnsi="宋体" w:cs="宋体"/>
          <w:b/>
          <w:color w:val="auto"/>
          <w:kern w:val="0"/>
          <w:szCs w:val="21"/>
        </w:rPr>
      </w:pPr>
      <w:r>
        <w:rPr>
          <w:rFonts w:hint="eastAsia" w:ascii="宋体" w:hAnsi="宋体" w:cs="宋体"/>
          <w:b/>
          <w:color w:val="auto"/>
          <w:kern w:val="0"/>
          <w:szCs w:val="21"/>
        </w:rPr>
        <w:t xml:space="preserve">21.2  </w:t>
      </w:r>
      <w:r>
        <w:rPr>
          <w:rFonts w:hint="eastAsia" w:ascii="宋体" w:hAnsi="宋体" w:cs="宋体"/>
          <w:b/>
          <w:color w:val="auto"/>
          <w:kern w:val="0"/>
          <w:szCs w:val="21"/>
          <w:u w:val="dotted"/>
        </w:rPr>
        <w:t xml:space="preserve">                                                                             </w:t>
      </w:r>
    </w:p>
    <w:p>
      <w:pPr>
        <w:adjustRightInd w:val="0"/>
        <w:snapToGrid w:val="0"/>
        <w:spacing w:line="360" w:lineRule="auto"/>
        <w:ind w:left="1619" w:leftChars="771" w:right="-36"/>
        <w:rPr>
          <w:rFonts w:ascii="宋体" w:hAnsi="宋体" w:cs="宋体"/>
          <w:color w:val="auto"/>
          <w:kern w:val="0"/>
          <w:szCs w:val="21"/>
        </w:rPr>
      </w:pPr>
      <w:r>
        <w:rPr>
          <w:rFonts w:ascii="宋体" w:hAnsi="宋体" w:cs="宋体"/>
          <w:color w:val="auto"/>
          <w:kern w:val="0"/>
          <w:szCs w:val="21"/>
        </w:rPr>
        <mc:AlternateContent>
          <mc:Choice Requires="wps">
            <w:drawing>
              <wp:anchor distT="0" distB="0" distL="114300" distR="114300" simplePos="0" relativeHeight="251770880" behindDoc="0" locked="0" layoutInCell="1" allowOverlap="1">
                <wp:simplePos x="0" y="0"/>
                <wp:positionH relativeFrom="column">
                  <wp:posOffset>-114300</wp:posOffset>
                </wp:positionH>
                <wp:positionV relativeFrom="paragraph">
                  <wp:posOffset>84455</wp:posOffset>
                </wp:positionV>
                <wp:extent cx="914400" cy="457200"/>
                <wp:effectExtent l="0" t="0" r="0" b="0"/>
                <wp:wrapNone/>
                <wp:docPr id="339" name="文本框 339"/>
                <wp:cNvGraphicFramePr/>
                <a:graphic xmlns:a="http://schemas.openxmlformats.org/drawingml/2006/main">
                  <a:graphicData uri="http://schemas.microsoft.com/office/word/2010/wordprocessingShape">
                    <wps:wsp>
                      <wps:cNvSpPr txBox="1">
                        <a:spLocks noChangeArrowheads="1"/>
                      </wps:cNvSpPr>
                      <wps:spPr bwMode="auto">
                        <a:xfrm>
                          <a:off x="0" y="0"/>
                          <a:ext cx="914400" cy="457200"/>
                        </a:xfrm>
                        <a:prstGeom prst="rect">
                          <a:avLst/>
                        </a:prstGeom>
                        <a:noFill/>
                        <a:ln>
                          <a:noFill/>
                        </a:ln>
                        <a:effectLst/>
                      </wps:spPr>
                      <wps:txbx>
                        <w:txbxContent>
                          <w:p>
                            <w:pPr>
                              <w:spacing w:line="240" w:lineRule="exact"/>
                              <w:rPr>
                                <w:rFonts w:ascii="楷体_GB2312" w:hAnsi="宋体"/>
                                <w:sz w:val="18"/>
                                <w:szCs w:val="18"/>
                              </w:rPr>
                            </w:pPr>
                            <w:r>
                              <w:rPr>
                                <w:rFonts w:hint="eastAsia" w:ascii="楷体_GB2312" w:hAnsi="宋体"/>
                                <w:b/>
                                <w:color w:val="000000"/>
                                <w:sz w:val="18"/>
                                <w:szCs w:val="18"/>
                              </w:rPr>
                              <w:t>承包人代表任命和更换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6.65pt;height:36pt;width:72pt;z-index:251770880;mso-width-relative:page;mso-height-relative:page;" filled="f" stroked="f" coordsize="21600,21600" o:gfxdata="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8TAn6dYAAAAJAQAADwAAAAAAAAABACAAAAAiAAAAZHJzL2Rvd25yZXYu&#10;eG1sUEsBAhQAFAAAAAgAh07iQJuK4vb9AQAA2AMAAA4AAAAAAAAAAQAgAAAAJQEAAGRycy9lMm9E&#10;b2MueG1sUEsFBgAAAAAGAAYAWQEAAJQFAAAAAA==&#10;">
                <v:fill on="f" focussize="0,0"/>
                <v:stroke on="f"/>
                <v:imagedata o:title=""/>
                <o:lock v:ext="edit" aspectratio="f"/>
                <v:textbox>
                  <w:txbxContent>
                    <w:p>
                      <w:pPr>
                        <w:spacing w:line="240" w:lineRule="exact"/>
                        <w:rPr>
                          <w:rFonts w:ascii="楷体_GB2312" w:hAnsi="宋体"/>
                          <w:sz w:val="18"/>
                          <w:szCs w:val="18"/>
                        </w:rPr>
                      </w:pPr>
                      <w:r>
                        <w:rPr>
                          <w:rFonts w:hint="eastAsia" w:ascii="楷体_GB2312" w:hAnsi="宋体"/>
                          <w:b/>
                          <w:color w:val="000000"/>
                          <w:sz w:val="18"/>
                          <w:szCs w:val="18"/>
                        </w:rPr>
                        <w:t>承包人代表任命和更换</w:t>
                      </w:r>
                    </w:p>
                  </w:txbxContent>
                </v:textbox>
              </v:shape>
            </w:pict>
          </mc:Fallback>
        </mc:AlternateContent>
      </w:r>
      <w:r>
        <w:rPr>
          <w:rFonts w:hint="eastAsia" w:ascii="宋体" w:hAnsi="宋体" w:cs="宋体"/>
          <w:color w:val="auto"/>
          <w:kern w:val="0"/>
          <w:szCs w:val="21"/>
        </w:rPr>
        <w:t>承包人应任命代表承包人工作的承包人代表，该代表的人选应具有注册建造师执业资格，由承包人在开工前依法向发包人提出，经发包人同意后在专用条款中写明。建设行政主管部门有规定的，应遵守其规定；招标工程的承包人代表，应为响应文件所载明的人选。</w:t>
      </w:r>
    </w:p>
    <w:p>
      <w:pPr>
        <w:adjustRightInd w:val="0"/>
        <w:snapToGrid w:val="0"/>
        <w:spacing w:line="360" w:lineRule="auto"/>
        <w:ind w:left="1619" w:leftChars="771" w:right="-238"/>
        <w:rPr>
          <w:rFonts w:ascii="宋体" w:hAnsi="宋体" w:cs="宋体"/>
          <w:color w:val="auto"/>
          <w:kern w:val="0"/>
          <w:szCs w:val="21"/>
        </w:rPr>
      </w:pPr>
      <w:r>
        <w:rPr>
          <w:rFonts w:hint="eastAsia" w:ascii="宋体" w:hAnsi="宋体" w:cs="宋体"/>
          <w:color w:val="auto"/>
          <w:kern w:val="0"/>
          <w:szCs w:val="21"/>
        </w:rPr>
        <w:t>承包人如需更换承包人代表，应取得发包人的同意和遵守建设行政主管部门的规定，并至少提前7天以书面形式通知发包人，否则该项更换无效。发包人应在收到通知后的7天内予以答复，否则视为同意。后任承包人代表应继续行使合同规定的前任承包人代表的职权和履行相应的义务。</w:t>
      </w:r>
    </w:p>
    <w:p>
      <w:pPr>
        <w:tabs>
          <w:tab w:val="left" w:pos="1320"/>
        </w:tabs>
        <w:adjustRightInd w:val="0"/>
        <w:snapToGrid w:val="0"/>
        <w:spacing w:line="360" w:lineRule="auto"/>
        <w:ind w:right="-238"/>
        <w:rPr>
          <w:rFonts w:ascii="宋体" w:hAnsi="宋体" w:cs="宋体"/>
          <w:b/>
          <w:color w:val="auto"/>
          <w:kern w:val="0"/>
          <w:szCs w:val="21"/>
        </w:rPr>
      </w:pPr>
      <w:r>
        <w:rPr>
          <w:rFonts w:hint="eastAsia" w:ascii="宋体" w:hAnsi="宋体" w:cs="宋体"/>
          <w:b/>
          <w:color w:val="auto"/>
          <w:kern w:val="0"/>
          <w:szCs w:val="21"/>
        </w:rPr>
        <w:t xml:space="preserve">21.3  </w:t>
      </w:r>
      <w:r>
        <w:rPr>
          <w:rFonts w:hint="eastAsia" w:ascii="宋体" w:hAnsi="宋体" w:cs="宋体"/>
          <w:b/>
          <w:color w:val="auto"/>
          <w:kern w:val="0"/>
          <w:szCs w:val="21"/>
          <w:u w:val="dotted"/>
        </w:rPr>
        <w:t xml:space="preserve">                                                                                                          </w:t>
      </w:r>
    </w:p>
    <w:p>
      <w:pPr>
        <w:adjustRightInd w:val="0"/>
        <w:snapToGrid w:val="0"/>
        <w:spacing w:line="360" w:lineRule="auto"/>
        <w:ind w:left="1619" w:leftChars="771" w:right="-36"/>
        <w:rPr>
          <w:rFonts w:ascii="宋体" w:hAnsi="宋体" w:cs="宋体"/>
          <w:b/>
          <w:color w:val="auto"/>
          <w:kern w:val="0"/>
          <w:szCs w:val="21"/>
        </w:rPr>
      </w:pPr>
      <w:r>
        <w:rPr>
          <w:rFonts w:ascii="宋体" w:hAnsi="宋体" w:cs="宋体"/>
          <w:color w:val="auto"/>
          <w:kern w:val="0"/>
          <w:szCs w:val="21"/>
        </w:rPr>
        <mc:AlternateContent>
          <mc:Choice Requires="wps">
            <w:drawing>
              <wp:anchor distT="0" distB="0" distL="114300" distR="114300" simplePos="0" relativeHeight="251771904" behindDoc="0" locked="0" layoutInCell="1" allowOverlap="1">
                <wp:simplePos x="0" y="0"/>
                <wp:positionH relativeFrom="column">
                  <wp:posOffset>-83820</wp:posOffset>
                </wp:positionH>
                <wp:positionV relativeFrom="paragraph">
                  <wp:posOffset>46355</wp:posOffset>
                </wp:positionV>
                <wp:extent cx="1231900" cy="720725"/>
                <wp:effectExtent l="0" t="0" r="0" b="0"/>
                <wp:wrapNone/>
                <wp:docPr id="338" name="文本框 338"/>
                <wp:cNvGraphicFramePr/>
                <a:graphic xmlns:a="http://schemas.openxmlformats.org/drawingml/2006/main">
                  <a:graphicData uri="http://schemas.microsoft.com/office/word/2010/wordprocessingShape">
                    <wps:wsp>
                      <wps:cNvSpPr txBox="1">
                        <a:spLocks noChangeArrowheads="1"/>
                      </wps:cNvSpPr>
                      <wps:spPr bwMode="auto">
                        <a:xfrm>
                          <a:off x="0" y="0"/>
                          <a:ext cx="1231900" cy="72072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监理工程师、</w:t>
                            </w:r>
                          </w:p>
                          <w:p>
                            <w:pPr>
                              <w:spacing w:line="240" w:lineRule="exact"/>
                              <w:rPr>
                                <w:rFonts w:ascii="楷体_GB2312" w:hAnsi="宋体"/>
                                <w:b/>
                                <w:color w:val="000000"/>
                                <w:sz w:val="18"/>
                                <w:szCs w:val="18"/>
                              </w:rPr>
                            </w:pPr>
                            <w:r>
                              <w:rPr>
                                <w:rFonts w:hint="eastAsia" w:ascii="楷体_GB2312" w:hAnsi="宋体"/>
                                <w:b/>
                                <w:color w:val="000000"/>
                                <w:sz w:val="18"/>
                                <w:szCs w:val="18"/>
                              </w:rPr>
                              <w:t>造价工程师代</w:t>
                            </w:r>
                          </w:p>
                          <w:p>
                            <w:pPr>
                              <w:spacing w:line="240" w:lineRule="exact"/>
                              <w:rPr>
                                <w:rFonts w:ascii="楷体_GB2312" w:hAnsi="宋体"/>
                                <w:b/>
                                <w:color w:val="000000"/>
                                <w:sz w:val="18"/>
                                <w:szCs w:val="18"/>
                              </w:rPr>
                            </w:pPr>
                            <w:r>
                              <w:rPr>
                                <w:rFonts w:hint="eastAsia" w:ascii="楷体_GB2312" w:hAnsi="宋体"/>
                                <w:b/>
                                <w:color w:val="000000"/>
                                <w:sz w:val="18"/>
                                <w:szCs w:val="18"/>
                              </w:rPr>
                              <w:t>表任命和撤回</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6.6pt;margin-top:3.65pt;height:56.75pt;width:97pt;z-index:251771904;mso-width-relative:page;mso-height-relative:page;" filled="f" stroked="f" coordsize="21600,21600" o:gfxdata="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NQVlyPVAAAACQEAAA8AAAAAAAAAAQAgAAAAIgAAAGRycy9kb3du&#10;cmV2LnhtbFBLAQIUABQAAAAIAIdO4kCjHZJYAgIAANkDAAAOAAAAAAAAAAEAIAAAACQBAABkcnMv&#10;ZTJvRG9jLnhtbFBLBQYAAAAABgAGAFkBAACY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监理工程师、</w:t>
                      </w:r>
                    </w:p>
                    <w:p>
                      <w:pPr>
                        <w:spacing w:line="240" w:lineRule="exact"/>
                        <w:rPr>
                          <w:rFonts w:ascii="楷体_GB2312" w:hAnsi="宋体"/>
                          <w:b/>
                          <w:color w:val="000000"/>
                          <w:sz w:val="18"/>
                          <w:szCs w:val="18"/>
                        </w:rPr>
                      </w:pPr>
                      <w:r>
                        <w:rPr>
                          <w:rFonts w:hint="eastAsia" w:ascii="楷体_GB2312" w:hAnsi="宋体"/>
                          <w:b/>
                          <w:color w:val="000000"/>
                          <w:sz w:val="18"/>
                          <w:szCs w:val="18"/>
                        </w:rPr>
                        <w:t>造价工程师代</w:t>
                      </w:r>
                    </w:p>
                    <w:p>
                      <w:pPr>
                        <w:spacing w:line="240" w:lineRule="exact"/>
                        <w:rPr>
                          <w:rFonts w:ascii="楷体_GB2312" w:hAnsi="宋体"/>
                          <w:b/>
                          <w:color w:val="000000"/>
                          <w:sz w:val="18"/>
                          <w:szCs w:val="18"/>
                        </w:rPr>
                      </w:pPr>
                      <w:r>
                        <w:rPr>
                          <w:rFonts w:hint="eastAsia" w:ascii="楷体_GB2312" w:hAnsi="宋体"/>
                          <w:b/>
                          <w:color w:val="000000"/>
                          <w:sz w:val="18"/>
                          <w:szCs w:val="18"/>
                        </w:rPr>
                        <w:t>表任命和撤回</w:t>
                      </w:r>
                    </w:p>
                  </w:txbxContent>
                </v:textbox>
              </v:shape>
            </w:pict>
          </mc:Fallback>
        </mc:AlternateContent>
      </w:r>
      <w:r>
        <w:rPr>
          <w:rFonts w:hint="eastAsia" w:ascii="宋体" w:hAnsi="宋体" w:cs="宋体"/>
          <w:color w:val="auto"/>
          <w:kern w:val="0"/>
          <w:szCs w:val="21"/>
        </w:rPr>
        <w:t>除合同约定或依法应由监理工程师、造价工程师行使的职权外，监理工程师、造价工程师可将其职权以书面形式授予其任命的监理工程师、造价工程师代表，亦可将其授权撤回。任何此类任命或撤回，均应至少提前7天以书面形式通知承包人。未将有关文件送交承包人之前，任何此类任命或撤回均为无效。</w:t>
      </w:r>
    </w:p>
    <w:p>
      <w:pPr>
        <w:tabs>
          <w:tab w:val="left" w:pos="1320"/>
        </w:tabs>
        <w:adjustRightInd w:val="0"/>
        <w:snapToGrid w:val="0"/>
        <w:spacing w:line="360" w:lineRule="auto"/>
        <w:ind w:right="-238"/>
        <w:rPr>
          <w:rFonts w:ascii="宋体" w:hAnsi="宋体" w:cs="宋体"/>
          <w:b/>
          <w:color w:val="auto"/>
          <w:kern w:val="0"/>
          <w:szCs w:val="21"/>
        </w:rPr>
      </w:pPr>
    </w:p>
    <w:p>
      <w:pPr>
        <w:tabs>
          <w:tab w:val="left" w:pos="1320"/>
        </w:tabs>
        <w:adjustRightInd w:val="0"/>
        <w:snapToGrid w:val="0"/>
        <w:spacing w:line="360" w:lineRule="auto"/>
        <w:ind w:right="-238"/>
        <w:rPr>
          <w:rFonts w:ascii="宋体" w:hAnsi="宋体" w:cs="宋体"/>
          <w:color w:val="auto"/>
          <w:kern w:val="0"/>
          <w:szCs w:val="21"/>
        </w:rPr>
      </w:pPr>
      <w:r>
        <w:rPr>
          <w:rFonts w:hint="eastAsia" w:ascii="宋体" w:hAnsi="宋体" w:cs="宋体"/>
          <w:b/>
          <w:color w:val="auto"/>
          <w:kern w:val="0"/>
          <w:szCs w:val="21"/>
        </w:rPr>
        <w:t xml:space="preserve">21.4  </w:t>
      </w:r>
      <w:r>
        <w:rPr>
          <w:rFonts w:hint="eastAsia" w:ascii="宋体" w:hAnsi="宋体" w:cs="宋体"/>
          <w:color w:val="auto"/>
          <w:kern w:val="0"/>
          <w:szCs w:val="21"/>
          <w:u w:val="dotted"/>
        </w:rPr>
        <w:t xml:space="preserve">                                                                             </w:t>
      </w:r>
    </w:p>
    <w:p>
      <w:pPr>
        <w:adjustRightInd w:val="0"/>
        <w:snapToGrid w:val="0"/>
        <w:spacing w:line="360" w:lineRule="auto"/>
        <w:ind w:left="1619" w:leftChars="771" w:right="-238"/>
        <w:rPr>
          <w:rFonts w:ascii="宋体" w:hAnsi="宋体" w:cs="宋体"/>
          <w:color w:val="auto"/>
          <w:kern w:val="0"/>
          <w:szCs w:val="21"/>
        </w:rPr>
      </w:pPr>
      <w:r>
        <w:rPr>
          <w:rFonts w:ascii="宋体" w:hAnsi="宋体" w:cs="宋体"/>
          <w:color w:val="auto"/>
          <w:kern w:val="0"/>
          <w:szCs w:val="21"/>
        </w:rPr>
        <mc:AlternateContent>
          <mc:Choice Requires="wps">
            <w:drawing>
              <wp:anchor distT="0" distB="0" distL="114300" distR="114300" simplePos="0" relativeHeight="251772928" behindDoc="0" locked="0" layoutInCell="1" allowOverlap="1">
                <wp:simplePos x="0" y="0"/>
                <wp:positionH relativeFrom="column">
                  <wp:posOffset>-114300</wp:posOffset>
                </wp:positionH>
                <wp:positionV relativeFrom="paragraph">
                  <wp:posOffset>35560</wp:posOffset>
                </wp:positionV>
                <wp:extent cx="914400" cy="559435"/>
                <wp:effectExtent l="0" t="0" r="0" b="0"/>
                <wp:wrapNone/>
                <wp:docPr id="337" name="文本框 337"/>
                <wp:cNvGraphicFramePr/>
                <a:graphic xmlns:a="http://schemas.openxmlformats.org/drawingml/2006/main">
                  <a:graphicData uri="http://schemas.microsoft.com/office/word/2010/wordprocessingShape">
                    <wps:wsp>
                      <wps:cNvSpPr txBox="1">
                        <a:spLocks noChangeArrowheads="1"/>
                      </wps:cNvSpPr>
                      <wps:spPr bwMode="auto">
                        <a:xfrm>
                          <a:off x="0" y="0"/>
                          <a:ext cx="914400" cy="55943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承包人代表授权人选任命和撤回</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8pt;height:44.05pt;width:72pt;z-index:251772928;mso-width-relative:page;mso-height-relative:page;" filled="f" stroked="f" coordsize="21600,21600" o:gfxdata="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BeIOGdYAAAAIAQAADwAAAAAAAAABACAAAAAiAAAAZHJzL2Rvd25y&#10;ZXYueG1sUEsBAhQAFAAAAAgAh07iQEW1zcQAAgAA2AMAAA4AAAAAAAAAAQAgAAAAJQEAAGRycy9l&#10;Mm9Eb2MueG1sUEsFBgAAAAAGAAYAWQEAAJcF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承包人代表授权人选任命和撤回</w:t>
                      </w:r>
                    </w:p>
                  </w:txbxContent>
                </v:textbox>
              </v:shape>
            </w:pict>
          </mc:Fallback>
        </mc:AlternateContent>
      </w:r>
      <w:r>
        <w:rPr>
          <w:rFonts w:hint="eastAsia" w:ascii="宋体" w:hAnsi="宋体" w:cs="宋体"/>
          <w:color w:val="auto"/>
          <w:kern w:val="0"/>
          <w:szCs w:val="21"/>
        </w:rPr>
        <w:t>除合同约定或依法应由承包人代表行使的职权外，承包人代表可将其职权以书</w:t>
      </w:r>
    </w:p>
    <w:p>
      <w:pPr>
        <w:adjustRightInd w:val="0"/>
        <w:snapToGrid w:val="0"/>
        <w:spacing w:line="360" w:lineRule="auto"/>
        <w:ind w:left="1619" w:leftChars="771" w:right="-238"/>
        <w:rPr>
          <w:rFonts w:ascii="宋体" w:hAnsi="宋体" w:cs="宋体"/>
          <w:color w:val="auto"/>
          <w:kern w:val="0"/>
          <w:szCs w:val="21"/>
        </w:rPr>
      </w:pPr>
      <w:r>
        <w:rPr>
          <w:rFonts w:hint="eastAsia" w:ascii="宋体" w:hAnsi="宋体" w:cs="宋体"/>
          <w:color w:val="auto"/>
          <w:kern w:val="0"/>
          <w:szCs w:val="21"/>
        </w:rPr>
        <w:t>面形式授予其任命的合格人选，亦可将其授权撤回。任何此类任命或撤回，均应至少提前7天以书面形式通知发包人和监理工程师、造价工程师。未将有关文件提交发包人和监理工程师、造价工程师之前，任何此类任命或撤回均为无效。</w:t>
      </w:r>
    </w:p>
    <w:p>
      <w:pPr>
        <w:spacing w:line="360" w:lineRule="auto"/>
        <w:rPr>
          <w:rFonts w:ascii="宋体" w:hAnsi="宋体" w:cs="宋体"/>
          <w:b/>
          <w:color w:val="auto"/>
          <w:szCs w:val="21"/>
          <w:u w:val="single"/>
        </w:rPr>
      </w:pPr>
      <w:r>
        <w:rPr>
          <w:rFonts w:hint="eastAsia" w:ascii="宋体" w:hAnsi="宋体" w:cs="宋体"/>
          <w:b/>
          <w:bCs/>
          <w:color w:val="auto"/>
          <w:szCs w:val="21"/>
          <w:u w:val="single"/>
        </w:rPr>
        <w:t xml:space="preserve">                  </w:t>
      </w:r>
      <w:r>
        <w:rPr>
          <w:rFonts w:hint="eastAsia" w:ascii="宋体" w:hAnsi="宋体" w:cs="宋体"/>
          <w:b/>
          <w:color w:val="auto"/>
          <w:szCs w:val="21"/>
          <w:u w:val="single"/>
        </w:rPr>
        <w:t xml:space="preserve">                                                                                            </w:t>
      </w:r>
    </w:p>
    <w:p>
      <w:pPr>
        <w:tabs>
          <w:tab w:val="left" w:pos="1620"/>
        </w:tabs>
        <w:rPr>
          <w:rFonts w:ascii="宋体" w:hAnsi="宋体" w:cs="宋体"/>
          <w:b/>
          <w:color w:val="auto"/>
          <w:szCs w:val="21"/>
        </w:rPr>
      </w:pPr>
    </w:p>
    <w:p>
      <w:pPr>
        <w:spacing w:beforeLines="100" w:line="360" w:lineRule="auto"/>
        <w:rPr>
          <w:rFonts w:ascii="宋体" w:hAnsi="宋体" w:cs="宋体"/>
          <w:b/>
          <w:bCs/>
          <w:color w:val="auto"/>
          <w:szCs w:val="21"/>
        </w:rPr>
      </w:pPr>
      <w:r>
        <w:rPr>
          <w:rFonts w:hint="eastAsia" w:ascii="宋体" w:hAnsi="宋体" w:cs="宋体"/>
          <w:b/>
          <w:bCs/>
          <w:color w:val="auto"/>
          <w:szCs w:val="21"/>
        </w:rPr>
        <w:t>22  发包人代表</w:t>
      </w:r>
    </w:p>
    <w:p>
      <w:pPr>
        <w:spacing w:line="360" w:lineRule="auto"/>
        <w:rPr>
          <w:rFonts w:ascii="宋体" w:hAnsi="宋体" w:cs="宋体"/>
          <w:b/>
          <w:color w:val="auto"/>
          <w:szCs w:val="21"/>
        </w:rPr>
      </w:pPr>
      <w:r>
        <w:rPr>
          <w:rFonts w:hint="eastAsia" w:ascii="宋体" w:hAnsi="宋体" w:cs="宋体"/>
          <w:b/>
          <w:color w:val="auto"/>
          <w:szCs w:val="21"/>
        </w:rPr>
        <w:t xml:space="preserve">22.1                           </w:t>
      </w:r>
    </w:p>
    <w:p>
      <w:pPr>
        <w:spacing w:line="360" w:lineRule="auto"/>
        <w:ind w:left="1619" w:leftChars="771"/>
        <w:rPr>
          <w:rFonts w:ascii="宋体" w:hAnsi="宋体" w:cs="宋体"/>
          <w:color w:val="auto"/>
          <w:kern w:val="0"/>
          <w:szCs w:val="21"/>
        </w:rPr>
      </w:pPr>
      <w:r>
        <w:rPr>
          <w:rFonts w:ascii="宋体" w:hAnsi="宋体" w:cs="宋体"/>
          <w:color w:val="auto"/>
          <w:kern w:val="0"/>
          <w:szCs w:val="21"/>
        </w:rPr>
        <mc:AlternateContent>
          <mc:Choice Requires="wps">
            <w:drawing>
              <wp:anchor distT="0" distB="0" distL="114300" distR="114300" simplePos="0" relativeHeight="251773952" behindDoc="0" locked="0" layoutInCell="1" allowOverlap="1">
                <wp:simplePos x="0" y="0"/>
                <wp:positionH relativeFrom="column">
                  <wp:posOffset>-114300</wp:posOffset>
                </wp:positionH>
                <wp:positionV relativeFrom="paragraph">
                  <wp:posOffset>53340</wp:posOffset>
                </wp:positionV>
                <wp:extent cx="914400" cy="443230"/>
                <wp:effectExtent l="0" t="0" r="0" b="0"/>
                <wp:wrapNone/>
                <wp:docPr id="336" name="文本框 336"/>
                <wp:cNvGraphicFramePr/>
                <a:graphic xmlns:a="http://schemas.openxmlformats.org/drawingml/2006/main">
                  <a:graphicData uri="http://schemas.microsoft.com/office/word/2010/wordprocessingShape">
                    <wps:wsp>
                      <wps:cNvSpPr txBox="1">
                        <a:spLocks noChangeArrowheads="1"/>
                      </wps:cNvSpPr>
                      <wps:spPr bwMode="auto">
                        <a:xfrm>
                          <a:off x="0" y="0"/>
                          <a:ext cx="914400" cy="44323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发包人对其代表授权</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4.2pt;height:34.9pt;width:72pt;z-index:251773952;mso-width-relative:page;mso-height-relative:page;" filled="f" stroked="f" coordsize="21600,21600" o:gfxdata="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Cu6wF1QAAAAgBAAAPAAAAAAAAAAEAIAAAACIAAABkcnMvZG93bnJl&#10;di54bWxQSwECFAAUAAAACACHTuJAdt2WBwACAADYAwAADgAAAAAAAAABACAAAAAkAQAAZHJzL2Uy&#10;b0RvYy54bWxQSwUGAAAAAAYABgBZAQAAlg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发包人对其代表授权</w:t>
                      </w:r>
                    </w:p>
                  </w:txbxContent>
                </v:textbox>
              </v:shape>
            </w:pict>
          </mc:Fallback>
        </mc:AlternateContent>
      </w:r>
      <w:r>
        <w:rPr>
          <w:rFonts w:hint="eastAsia" w:ascii="宋体" w:hAnsi="宋体" w:cs="宋体"/>
          <w:color w:val="auto"/>
          <w:kern w:val="0"/>
          <w:szCs w:val="21"/>
        </w:rPr>
        <w:t>发包人应在专用条款中写明发包人代表具体人选，并在开工前将发包人代表任命书以书面形式通知承包人，授予其代表发包人履行合同规定职责所需的一切权力。除专用条款另有约定外，发包人不应对发包人代表的权力另有限制。</w:t>
      </w:r>
    </w:p>
    <w:p>
      <w:pPr>
        <w:spacing w:line="360" w:lineRule="auto"/>
        <w:rPr>
          <w:rFonts w:ascii="宋体" w:hAnsi="宋体" w:cs="宋体"/>
          <w:b/>
          <w:color w:val="auto"/>
          <w:szCs w:val="21"/>
        </w:rPr>
      </w:pPr>
      <w:r>
        <w:rPr>
          <w:rFonts w:hint="eastAsia" w:ascii="宋体" w:hAnsi="宋体" w:cs="宋体"/>
          <w:b/>
          <w:color w:val="auto"/>
          <w:szCs w:val="21"/>
        </w:rPr>
        <w:t xml:space="preserve">22.2   </w:t>
      </w:r>
      <w:r>
        <w:rPr>
          <w:rFonts w:hint="eastAsia" w:ascii="宋体" w:hAnsi="宋体" w:cs="宋体"/>
          <w:b/>
          <w:color w:val="auto"/>
          <w:szCs w:val="21"/>
          <w:u w:val="dotted"/>
        </w:rPr>
        <w:t xml:space="preserve">                                                                                                      </w:t>
      </w:r>
    </w:p>
    <w:p>
      <w:pPr>
        <w:spacing w:line="360" w:lineRule="auto"/>
        <w:ind w:left="1619" w:leftChars="771"/>
        <w:rPr>
          <w:rFonts w:ascii="宋体" w:hAnsi="宋体" w:cs="宋体"/>
          <w:color w:val="auto"/>
          <w:kern w:val="0"/>
          <w:szCs w:val="21"/>
        </w:rPr>
      </w:pPr>
      <w:r>
        <w:rPr>
          <w:rFonts w:ascii="宋体" w:hAnsi="宋体" w:cs="宋体"/>
          <w:color w:val="auto"/>
          <w:kern w:val="0"/>
          <w:szCs w:val="21"/>
        </w:rPr>
        <mc:AlternateContent>
          <mc:Choice Requires="wps">
            <w:drawing>
              <wp:anchor distT="0" distB="0" distL="114300" distR="114300" simplePos="0" relativeHeight="251774976" behindDoc="0" locked="0" layoutInCell="1" allowOverlap="1">
                <wp:simplePos x="0" y="0"/>
                <wp:positionH relativeFrom="column">
                  <wp:posOffset>-114300</wp:posOffset>
                </wp:positionH>
                <wp:positionV relativeFrom="paragraph">
                  <wp:posOffset>76200</wp:posOffset>
                </wp:positionV>
                <wp:extent cx="914400" cy="396240"/>
                <wp:effectExtent l="0" t="0" r="0" b="0"/>
                <wp:wrapNone/>
                <wp:docPr id="335" name="文本框 335"/>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发包人代表职权</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6pt;height:31.2pt;width:72pt;z-index:251774976;mso-width-relative:page;mso-height-relative:page;" filled="f" stroked="f" coordsize="21600,21600" o:gfxdata="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M2N7btYAAAAJAQAADwAAAAAAAAABACAAAAAiAAAAZHJzL2Rvd25y&#10;ZXYueG1sUEsBAhQAFAAAAAgAh07iQAnFnXIAAgAA2AMAAA4AAAAAAAAAAQAgAAAAJQEAAGRycy9l&#10;Mm9Eb2MueG1sUEsFBgAAAAAGAAYAWQEAAJcF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发包人代表职权</w:t>
                      </w:r>
                    </w:p>
                  </w:txbxContent>
                </v:textbox>
              </v:shape>
            </w:pict>
          </mc:Fallback>
        </mc:AlternateContent>
      </w:r>
      <w:r>
        <w:rPr>
          <w:rFonts w:hint="eastAsia" w:ascii="宋体" w:hAnsi="宋体" w:cs="宋体"/>
          <w:color w:val="auto"/>
          <w:kern w:val="0"/>
          <w:szCs w:val="21"/>
        </w:rPr>
        <w:t>发包人代表应代表发包人履行合同规定的职责、行使合同明文规定和必然隐含的权力，对发包人负责。发包人代表在发包人授予职权范围内工作，发包人应予认可。</w:t>
      </w:r>
    </w:p>
    <w:p>
      <w:pPr>
        <w:spacing w:line="360" w:lineRule="auto"/>
        <w:rPr>
          <w:rFonts w:ascii="宋体" w:hAnsi="宋体" w:cs="宋体"/>
          <w:b/>
          <w:color w:val="auto"/>
          <w:szCs w:val="21"/>
          <w:u w:val="single"/>
        </w:rPr>
      </w:pPr>
      <w:r>
        <w:rPr>
          <w:rFonts w:hint="eastAsia" w:ascii="宋体" w:hAnsi="宋体" w:cs="宋体"/>
          <w:b/>
          <w:color w:val="auto"/>
          <w:szCs w:val="21"/>
          <w:u w:val="single"/>
        </w:rPr>
        <w:t xml:space="preserve">                                                                                                             </w:t>
      </w:r>
    </w:p>
    <w:p>
      <w:pPr>
        <w:tabs>
          <w:tab w:val="left" w:pos="1620"/>
        </w:tabs>
        <w:rPr>
          <w:rFonts w:ascii="宋体" w:hAnsi="宋体" w:cs="宋体"/>
          <w:b/>
          <w:color w:val="auto"/>
          <w:szCs w:val="21"/>
        </w:rPr>
      </w:pPr>
    </w:p>
    <w:p>
      <w:pPr>
        <w:spacing w:beforeLines="100" w:line="360" w:lineRule="auto"/>
        <w:rPr>
          <w:rFonts w:ascii="宋体" w:hAnsi="宋体" w:cs="宋体"/>
          <w:b/>
          <w:color w:val="auto"/>
          <w:szCs w:val="21"/>
        </w:rPr>
      </w:pPr>
      <w:r>
        <w:rPr>
          <w:rFonts w:hint="eastAsia" w:ascii="宋体" w:hAnsi="宋体" w:cs="宋体"/>
          <w:b/>
          <w:color w:val="auto"/>
          <w:szCs w:val="21"/>
        </w:rPr>
        <w:t>23  监理工程师</w:t>
      </w:r>
    </w:p>
    <w:p>
      <w:pPr>
        <w:spacing w:line="360" w:lineRule="auto"/>
        <w:rPr>
          <w:rFonts w:ascii="宋体" w:hAnsi="宋体" w:cs="宋体"/>
          <w:b/>
          <w:color w:val="auto"/>
          <w:szCs w:val="21"/>
        </w:rPr>
      </w:pPr>
      <w:r>
        <w:rPr>
          <w:rFonts w:hint="eastAsia" w:ascii="宋体" w:hAnsi="宋体" w:cs="宋体"/>
          <w:b/>
          <w:color w:val="auto"/>
          <w:szCs w:val="21"/>
        </w:rPr>
        <w:t xml:space="preserve">23.1  </w:t>
      </w:r>
      <w:r>
        <w:rPr>
          <w:rFonts w:hint="eastAsia" w:ascii="宋体" w:hAnsi="宋体" w:cs="宋体"/>
          <w:b/>
          <w:color w:val="auto"/>
          <w:szCs w:val="21"/>
          <w:u w:val="dotted"/>
        </w:rPr>
        <w:t xml:space="preserve">                                                                                                        </w:t>
      </w:r>
    </w:p>
    <w:p>
      <w:pPr>
        <w:spacing w:line="360" w:lineRule="auto"/>
        <w:ind w:left="1619" w:leftChars="771"/>
        <w:rPr>
          <w:rFonts w:ascii="宋体" w:hAnsi="宋体" w:cs="宋体"/>
          <w:color w:val="auto"/>
          <w:kern w:val="0"/>
          <w:szCs w:val="21"/>
        </w:rPr>
      </w:pPr>
      <w:r>
        <w:rPr>
          <w:rFonts w:ascii="宋体" w:hAnsi="宋体" w:cs="宋体"/>
          <w:color w:val="auto"/>
          <w:kern w:val="0"/>
          <w:szCs w:val="21"/>
        </w:rPr>
        <mc:AlternateContent>
          <mc:Choice Requires="wps">
            <w:drawing>
              <wp:anchor distT="0" distB="0" distL="114300" distR="114300" simplePos="0" relativeHeight="251776000" behindDoc="0" locked="0" layoutInCell="1" allowOverlap="1">
                <wp:simplePos x="0" y="0"/>
                <wp:positionH relativeFrom="column">
                  <wp:posOffset>-114300</wp:posOffset>
                </wp:positionH>
                <wp:positionV relativeFrom="paragraph">
                  <wp:posOffset>53340</wp:posOffset>
                </wp:positionV>
                <wp:extent cx="914400" cy="389890"/>
                <wp:effectExtent l="0" t="0" r="0" b="0"/>
                <wp:wrapNone/>
                <wp:docPr id="334" name="文本框 334"/>
                <wp:cNvGraphicFramePr/>
                <a:graphic xmlns:a="http://schemas.openxmlformats.org/drawingml/2006/main">
                  <a:graphicData uri="http://schemas.microsoft.com/office/word/2010/wordprocessingShape">
                    <wps:wsp>
                      <wps:cNvSpPr txBox="1">
                        <a:spLocks noChangeArrowheads="1"/>
                      </wps:cNvSpPr>
                      <wps:spPr bwMode="auto">
                        <a:xfrm>
                          <a:off x="0" y="0"/>
                          <a:ext cx="914400" cy="38989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发包人对监理工程师授权</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4.2pt;height:30.7pt;width:72pt;z-index:251776000;mso-width-relative:page;mso-height-relative:page;" filled="f" stroked="f" coordsize="21600,21600" o:gfxdata="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uGASC1QAAAAgBAAAPAAAAAAAAAAEAIAAAACIAAABkcnMvZG93bnJl&#10;di54bWxQSwECFAAUAAAACACHTuJAhMJm6wACAADYAwAADgAAAAAAAAABACAAAAAkAQAAZHJzL2Uy&#10;b0RvYy54bWxQSwUGAAAAAAYABgBZAQAAlg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发包人对监理工程师授权</w:t>
                      </w:r>
                    </w:p>
                  </w:txbxContent>
                </v:textbox>
              </v:shape>
            </w:pict>
          </mc:Fallback>
        </mc:AlternateContent>
      </w:r>
      <w:r>
        <w:rPr>
          <w:rFonts w:hint="eastAsia" w:ascii="宋体" w:hAnsi="宋体" w:cs="宋体"/>
          <w:color w:val="auto"/>
          <w:kern w:val="0"/>
          <w:szCs w:val="21"/>
        </w:rPr>
        <w:t>发包人应在专用条款中写明负责合同工程工程监理专业技术的监理人名称和监理工程师具体人选，并在开工前将监理工程师任命书以书面形式通知承包人，授予其代表发包人履行合同规定职责所需的权力。</w:t>
      </w:r>
    </w:p>
    <w:p>
      <w:pPr>
        <w:spacing w:line="360" w:lineRule="auto"/>
        <w:rPr>
          <w:rFonts w:ascii="宋体" w:hAnsi="宋体" w:cs="宋体"/>
          <w:b/>
          <w:color w:val="auto"/>
          <w:szCs w:val="21"/>
        </w:rPr>
      </w:pPr>
      <w:r>
        <w:rPr>
          <w:rFonts w:hint="eastAsia" w:ascii="宋体" w:hAnsi="宋体" w:cs="宋体"/>
          <w:b/>
          <w:color w:val="auto"/>
          <w:szCs w:val="21"/>
        </w:rPr>
        <w:t xml:space="preserve">23.2  </w:t>
      </w:r>
      <w:r>
        <w:rPr>
          <w:rFonts w:hint="eastAsia" w:ascii="宋体" w:hAnsi="宋体" w:cs="宋体"/>
          <w:b/>
          <w:color w:val="auto"/>
          <w:szCs w:val="21"/>
          <w:u w:val="dotted"/>
        </w:rPr>
        <w:t xml:space="preserve">                                                                                                        </w:t>
      </w:r>
    </w:p>
    <w:p>
      <w:pPr>
        <w:spacing w:line="360" w:lineRule="auto"/>
        <w:ind w:left="1619" w:leftChars="771"/>
        <w:rPr>
          <w:rFonts w:ascii="宋体" w:hAnsi="宋体" w:cs="宋体"/>
          <w:color w:val="auto"/>
          <w:szCs w:val="21"/>
        </w:rPr>
      </w:pPr>
      <w:r>
        <w:rPr>
          <w:rFonts w:ascii="宋体" w:hAnsi="宋体" w:cs="宋体"/>
          <w:color w:val="auto"/>
          <w:szCs w:val="21"/>
        </w:rPr>
        <mc:AlternateContent>
          <mc:Choice Requires="wps">
            <w:drawing>
              <wp:anchor distT="0" distB="0" distL="114300" distR="114300" simplePos="0" relativeHeight="251777024" behindDoc="0" locked="0" layoutInCell="1" allowOverlap="1">
                <wp:simplePos x="0" y="0"/>
                <wp:positionH relativeFrom="column">
                  <wp:posOffset>-114300</wp:posOffset>
                </wp:positionH>
                <wp:positionV relativeFrom="paragraph">
                  <wp:posOffset>38100</wp:posOffset>
                </wp:positionV>
                <wp:extent cx="914400" cy="483870"/>
                <wp:effectExtent l="0" t="0" r="0" b="0"/>
                <wp:wrapNone/>
                <wp:docPr id="333" name="文本框 333"/>
                <wp:cNvGraphicFramePr/>
                <a:graphic xmlns:a="http://schemas.openxmlformats.org/drawingml/2006/main">
                  <a:graphicData uri="http://schemas.microsoft.com/office/word/2010/wordprocessingShape">
                    <wps:wsp>
                      <wps:cNvSpPr txBox="1">
                        <a:spLocks noChangeArrowheads="1"/>
                      </wps:cNvSpPr>
                      <wps:spPr bwMode="auto">
                        <a:xfrm>
                          <a:off x="0" y="0"/>
                          <a:ext cx="914400" cy="48387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监理工程师职权</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pt;height:38.1pt;width:72pt;z-index:251777024;mso-width-relative:page;mso-height-relative:page;" filled="f" stroked="f" coordsize="21600,21600" o:gfxdata="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7H5hO1QAAAAgBAAAPAAAAAAAAAAEAIAAAACIAAABkcnMvZG93bnJl&#10;di54bWxQSwECFAAUAAAACACHTuJAnUlb0wACAADYAwAADgAAAAAAAAABACAAAAAkAQAAZHJzL2Uy&#10;b0RvYy54bWxQSwUGAAAAAAYABgBZAQAAlg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监理工程师职权</w:t>
                      </w:r>
                    </w:p>
                  </w:txbxContent>
                </v:textbox>
              </v:shape>
            </w:pict>
          </mc:Fallback>
        </mc:AlternateContent>
      </w:r>
      <w:r>
        <w:rPr>
          <w:rFonts w:hint="eastAsia" w:ascii="宋体" w:hAnsi="宋体" w:cs="宋体"/>
          <w:color w:val="auto"/>
          <w:szCs w:val="21"/>
        </w:rPr>
        <w:t>监理工程师行使合同明文规定和必然隐含的职权，代表发包人负责监督、检查合同工程的进度、质量和安全，试验和检验承包人使用的与合同工程有关的材料、工程设备、施工设备和施工工艺，及时向承包人提供工作所需的批准、确认和通知等指令。监理工程师无权免除或变更合同规定的合同任何一方当事人在合同履行期间的权力、义务和责任。</w:t>
      </w:r>
    </w:p>
    <w:p>
      <w:pPr>
        <w:spacing w:line="360" w:lineRule="auto"/>
        <w:rPr>
          <w:rFonts w:ascii="宋体" w:hAnsi="宋体" w:cs="宋体"/>
          <w:b/>
          <w:color w:val="auto"/>
          <w:szCs w:val="21"/>
        </w:rPr>
      </w:pPr>
      <w:r>
        <w:rPr>
          <w:rFonts w:hint="eastAsia" w:ascii="宋体" w:hAnsi="宋体" w:cs="宋体"/>
          <w:b/>
          <w:color w:val="auto"/>
          <w:szCs w:val="21"/>
        </w:rPr>
        <w:t xml:space="preserve">23.3  </w:t>
      </w:r>
      <w:r>
        <w:rPr>
          <w:rFonts w:hint="eastAsia" w:ascii="宋体" w:hAnsi="宋体" w:cs="宋体"/>
          <w:b/>
          <w:color w:val="auto"/>
          <w:szCs w:val="21"/>
          <w:u w:val="dotted"/>
        </w:rPr>
        <w:t xml:space="preserve">                                                                                                        </w:t>
      </w:r>
    </w:p>
    <w:p>
      <w:pPr>
        <w:spacing w:line="360" w:lineRule="auto"/>
        <w:ind w:left="1619" w:leftChars="771" w:firstLine="1"/>
        <w:rPr>
          <w:rFonts w:ascii="宋体" w:hAnsi="宋体" w:cs="宋体"/>
          <w:color w:val="auto"/>
          <w:szCs w:val="21"/>
        </w:rPr>
      </w:pPr>
      <w:r>
        <w:rPr>
          <w:rFonts w:ascii="宋体" w:hAnsi="宋体" w:cs="宋体"/>
          <w:color w:val="auto"/>
          <w:szCs w:val="21"/>
        </w:rPr>
        <mc:AlternateContent>
          <mc:Choice Requires="wps">
            <w:drawing>
              <wp:anchor distT="0" distB="0" distL="114300" distR="114300" simplePos="0" relativeHeight="251778048" behindDoc="0" locked="0" layoutInCell="1" allowOverlap="1">
                <wp:simplePos x="0" y="0"/>
                <wp:positionH relativeFrom="column">
                  <wp:posOffset>-114300</wp:posOffset>
                </wp:positionH>
                <wp:positionV relativeFrom="paragraph">
                  <wp:posOffset>68580</wp:posOffset>
                </wp:positionV>
                <wp:extent cx="914400" cy="410210"/>
                <wp:effectExtent l="0" t="0" r="0" b="0"/>
                <wp:wrapNone/>
                <wp:docPr id="332" name="文本框 332"/>
                <wp:cNvGraphicFramePr/>
                <a:graphic xmlns:a="http://schemas.openxmlformats.org/drawingml/2006/main">
                  <a:graphicData uri="http://schemas.microsoft.com/office/word/2010/wordprocessingShape">
                    <wps:wsp>
                      <wps:cNvSpPr txBox="1">
                        <a:spLocks noChangeArrowheads="1"/>
                      </wps:cNvSpPr>
                      <wps:spPr bwMode="auto">
                        <a:xfrm>
                          <a:off x="0" y="0"/>
                          <a:ext cx="914400" cy="41021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监理工程师职权限制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5.4pt;height:32.3pt;width:72pt;z-index:251778048;mso-width-relative:page;mso-height-relative:page;" filled="f" stroked="f" coordsize="21600,21600" o:gfxdata="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CTBLaHVAAAACQEAAA8AAAAAAAAAAQAgAAAAIgAAAGRycy9kb3ducmV2&#10;LnhtbFBLAQIUABQAAAAIAIdO4kC+zs19/wEAANgDAAAOAAAAAAAAAAEAIAAAACQBAABkcnMvZTJv&#10;RG9jLnhtbFBLBQYAAAAABgAGAFkBAACV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监理工程师职权限制</w:t>
                      </w:r>
                    </w:p>
                  </w:txbxContent>
                </v:textbox>
              </v:shape>
            </w:pict>
          </mc:Fallback>
        </mc:AlternateContent>
      </w:r>
      <w:r>
        <w:rPr>
          <w:rFonts w:hint="eastAsia" w:ascii="宋体" w:hAnsi="宋体" w:cs="宋体"/>
          <w:color w:val="auto"/>
          <w:szCs w:val="21"/>
        </w:rPr>
        <w:t>除属于第86条规定的争议外，监理工程师在职权范围内的工作，发包人应予认可，但下列事件应事先取得发包人的专项批准：</w:t>
      </w:r>
    </w:p>
    <w:p>
      <w:pPr>
        <w:numPr>
          <w:ilvl w:val="0"/>
          <w:numId w:val="14"/>
        </w:numPr>
        <w:spacing w:line="360" w:lineRule="auto"/>
        <w:ind w:left="1619" w:leftChars="771" w:firstLine="1"/>
        <w:rPr>
          <w:rFonts w:ascii="宋体" w:hAnsi="宋体" w:cs="宋体"/>
          <w:color w:val="auto"/>
          <w:szCs w:val="21"/>
        </w:rPr>
      </w:pPr>
      <w:r>
        <w:rPr>
          <w:rFonts w:hint="eastAsia" w:ascii="宋体" w:hAnsi="宋体" w:cs="宋体"/>
          <w:color w:val="auto"/>
          <w:szCs w:val="21"/>
        </w:rPr>
        <w:t>根据第5.2款规定批准承包人提供的配合施工设计图纸；</w:t>
      </w:r>
    </w:p>
    <w:p>
      <w:pPr>
        <w:numPr>
          <w:ilvl w:val="0"/>
          <w:numId w:val="14"/>
        </w:numPr>
        <w:spacing w:line="360" w:lineRule="auto"/>
        <w:ind w:left="1619" w:leftChars="771" w:firstLine="1"/>
        <w:rPr>
          <w:rFonts w:ascii="宋体" w:hAnsi="宋体" w:cs="宋体"/>
          <w:color w:val="auto"/>
          <w:szCs w:val="21"/>
        </w:rPr>
      </w:pPr>
      <w:r>
        <w:rPr>
          <w:rFonts w:hint="eastAsia" w:ascii="宋体" w:hAnsi="宋体" w:cs="宋体"/>
          <w:color w:val="auto"/>
          <w:szCs w:val="21"/>
        </w:rPr>
        <w:t>根据第7.2款规定同意承包人分包工程；</w:t>
      </w:r>
    </w:p>
    <w:p>
      <w:pPr>
        <w:numPr>
          <w:ilvl w:val="0"/>
          <w:numId w:val="14"/>
        </w:numPr>
        <w:spacing w:line="360" w:lineRule="auto"/>
        <w:ind w:left="1619" w:leftChars="771" w:firstLine="1"/>
        <w:rPr>
          <w:rFonts w:ascii="宋体" w:hAnsi="宋体" w:cs="宋体"/>
          <w:color w:val="auto"/>
          <w:szCs w:val="21"/>
        </w:rPr>
      </w:pPr>
      <w:r>
        <w:rPr>
          <w:rFonts w:hint="eastAsia" w:ascii="宋体" w:hAnsi="宋体" w:cs="宋体"/>
          <w:color w:val="auto"/>
          <w:szCs w:val="21"/>
        </w:rPr>
        <w:t>根据第18.1款规定批准承包人将材料和工程设备、施工设备移出施工场地；</w:t>
      </w:r>
    </w:p>
    <w:p>
      <w:pPr>
        <w:numPr>
          <w:ilvl w:val="0"/>
          <w:numId w:val="14"/>
        </w:numPr>
        <w:spacing w:line="360" w:lineRule="auto"/>
        <w:ind w:left="1619" w:leftChars="771" w:firstLine="1"/>
        <w:rPr>
          <w:rFonts w:ascii="宋体" w:hAnsi="宋体" w:cs="宋体"/>
          <w:color w:val="auto"/>
          <w:szCs w:val="21"/>
        </w:rPr>
      </w:pPr>
      <w:r>
        <w:rPr>
          <w:rFonts w:hint="eastAsia" w:ascii="宋体" w:hAnsi="宋体" w:cs="宋体"/>
          <w:color w:val="auto"/>
          <w:szCs w:val="21"/>
        </w:rPr>
        <w:t>根据第33条规定批准承包人的施工组织设计和工程进度计划；</w:t>
      </w:r>
    </w:p>
    <w:p>
      <w:pPr>
        <w:numPr>
          <w:ilvl w:val="0"/>
          <w:numId w:val="14"/>
        </w:numPr>
        <w:spacing w:line="360" w:lineRule="auto"/>
        <w:ind w:left="1619" w:leftChars="771" w:firstLine="1"/>
        <w:rPr>
          <w:rFonts w:ascii="宋体" w:hAnsi="宋体" w:cs="宋体"/>
          <w:color w:val="auto"/>
          <w:szCs w:val="21"/>
        </w:rPr>
      </w:pPr>
      <w:r>
        <w:rPr>
          <w:rFonts w:hint="eastAsia" w:ascii="宋体" w:hAnsi="宋体" w:cs="宋体"/>
          <w:color w:val="auto"/>
          <w:szCs w:val="21"/>
        </w:rPr>
        <w:t>根据第34.2款规定发出的工程开工令；</w:t>
      </w:r>
    </w:p>
    <w:p>
      <w:pPr>
        <w:numPr>
          <w:ilvl w:val="0"/>
          <w:numId w:val="14"/>
        </w:numPr>
        <w:spacing w:line="360" w:lineRule="auto"/>
        <w:ind w:left="1619" w:leftChars="771" w:firstLine="1"/>
        <w:rPr>
          <w:rFonts w:ascii="宋体" w:hAnsi="宋体" w:cs="宋体"/>
          <w:color w:val="auto"/>
          <w:szCs w:val="21"/>
        </w:rPr>
      </w:pPr>
      <w:r>
        <w:rPr>
          <w:rFonts w:hint="eastAsia" w:ascii="宋体" w:hAnsi="宋体" w:cs="宋体"/>
          <w:color w:val="auto"/>
          <w:szCs w:val="21"/>
        </w:rPr>
        <w:t>根据第37.2款规定发出加快进度的变更指令；</w:t>
      </w:r>
    </w:p>
    <w:p>
      <w:pPr>
        <w:numPr>
          <w:ilvl w:val="0"/>
          <w:numId w:val="14"/>
        </w:numPr>
        <w:spacing w:line="360" w:lineRule="auto"/>
        <w:ind w:left="1619" w:leftChars="771" w:firstLine="1"/>
        <w:rPr>
          <w:rFonts w:ascii="宋体" w:hAnsi="宋体" w:cs="宋体"/>
          <w:color w:val="auto"/>
          <w:szCs w:val="21"/>
        </w:rPr>
      </w:pPr>
      <w:r>
        <w:rPr>
          <w:rFonts w:hint="eastAsia" w:ascii="宋体" w:hAnsi="宋体" w:cs="宋体"/>
          <w:color w:val="auto"/>
          <w:szCs w:val="21"/>
        </w:rPr>
        <w:t>根据第49.6款规定使用替换材料；</w:t>
      </w:r>
    </w:p>
    <w:p>
      <w:pPr>
        <w:numPr>
          <w:ilvl w:val="0"/>
          <w:numId w:val="14"/>
        </w:numPr>
        <w:spacing w:line="360" w:lineRule="auto"/>
        <w:ind w:left="1619" w:leftChars="771" w:firstLine="1"/>
        <w:rPr>
          <w:rFonts w:ascii="宋体" w:hAnsi="宋体" w:cs="宋体"/>
          <w:color w:val="auto"/>
          <w:szCs w:val="21"/>
        </w:rPr>
      </w:pPr>
      <w:r>
        <w:rPr>
          <w:rFonts w:hint="eastAsia" w:ascii="宋体" w:hAnsi="宋体" w:cs="宋体"/>
          <w:color w:val="auto"/>
          <w:szCs w:val="21"/>
        </w:rPr>
        <w:t>根据第63条规定发出使用暂列金额的工作指令；</w:t>
      </w:r>
    </w:p>
    <w:p>
      <w:pPr>
        <w:numPr>
          <w:ilvl w:val="0"/>
          <w:numId w:val="14"/>
        </w:numPr>
        <w:spacing w:line="360" w:lineRule="auto"/>
        <w:ind w:left="1619" w:leftChars="771" w:firstLine="1"/>
        <w:rPr>
          <w:rFonts w:ascii="宋体" w:hAnsi="宋体" w:cs="宋体"/>
          <w:color w:val="auto"/>
          <w:szCs w:val="21"/>
        </w:rPr>
      </w:pPr>
      <w:r>
        <w:rPr>
          <w:rFonts w:hint="eastAsia" w:ascii="宋体" w:hAnsi="宋体" w:cs="宋体"/>
          <w:color w:val="auto"/>
          <w:szCs w:val="21"/>
        </w:rPr>
        <w:t>根据第64条规定发出使用计日工的工作指令；</w:t>
      </w:r>
    </w:p>
    <w:p>
      <w:pPr>
        <w:numPr>
          <w:ilvl w:val="0"/>
          <w:numId w:val="14"/>
        </w:numPr>
        <w:spacing w:line="360" w:lineRule="auto"/>
        <w:ind w:left="1619" w:leftChars="771" w:firstLine="1"/>
        <w:rPr>
          <w:rFonts w:ascii="宋体" w:hAnsi="宋体" w:cs="宋体"/>
          <w:color w:val="auto"/>
          <w:szCs w:val="21"/>
        </w:rPr>
      </w:pPr>
      <w:r>
        <w:rPr>
          <w:rFonts w:hint="eastAsia" w:ascii="宋体" w:hAnsi="宋体" w:cs="宋体"/>
          <w:color w:val="auto"/>
          <w:szCs w:val="21"/>
        </w:rPr>
        <w:t>根据第56条规定指令或批准的工程变更；</w:t>
      </w:r>
    </w:p>
    <w:p>
      <w:pPr>
        <w:numPr>
          <w:ilvl w:val="0"/>
          <w:numId w:val="14"/>
        </w:numPr>
        <w:spacing w:line="360" w:lineRule="auto"/>
        <w:ind w:left="1619" w:leftChars="771" w:firstLine="1"/>
        <w:rPr>
          <w:rFonts w:ascii="宋体" w:hAnsi="宋体" w:cs="宋体"/>
          <w:color w:val="auto"/>
          <w:szCs w:val="21"/>
        </w:rPr>
      </w:pPr>
      <w:r>
        <w:rPr>
          <w:rFonts w:hint="eastAsia" w:ascii="宋体" w:hAnsi="宋体" w:cs="宋体"/>
          <w:color w:val="auto"/>
          <w:szCs w:val="21"/>
        </w:rPr>
        <w:t>根据第75条规定指令或确认的现场签证；</w:t>
      </w:r>
    </w:p>
    <w:p>
      <w:pPr>
        <w:numPr>
          <w:ilvl w:val="0"/>
          <w:numId w:val="14"/>
        </w:numPr>
        <w:spacing w:line="360" w:lineRule="auto"/>
        <w:ind w:left="1619" w:leftChars="771" w:firstLine="1"/>
        <w:rPr>
          <w:rFonts w:ascii="宋体" w:hAnsi="宋体" w:cs="宋体"/>
          <w:color w:val="auto"/>
          <w:szCs w:val="21"/>
        </w:rPr>
      </w:pPr>
      <w:r>
        <w:rPr>
          <w:rFonts w:hint="eastAsia" w:ascii="宋体" w:hAnsi="宋体" w:cs="宋体"/>
          <w:color w:val="auto"/>
          <w:szCs w:val="21"/>
        </w:rPr>
        <w:t>专用条款约定需要发包人批准的其他事项。</w:t>
      </w:r>
    </w:p>
    <w:p>
      <w:pPr>
        <w:spacing w:line="360" w:lineRule="auto"/>
        <w:rPr>
          <w:rFonts w:ascii="宋体" w:hAnsi="宋体" w:cs="宋体"/>
          <w:b/>
          <w:color w:val="auto"/>
          <w:szCs w:val="21"/>
        </w:rPr>
      </w:pPr>
      <w:r>
        <w:rPr>
          <w:rFonts w:ascii="宋体" w:hAnsi="宋体" w:cs="宋体"/>
          <w:color w:val="auto"/>
          <w:szCs w:val="21"/>
        </w:rPr>
        <mc:AlternateContent>
          <mc:Choice Requires="wps">
            <w:drawing>
              <wp:anchor distT="0" distB="0" distL="114300" distR="114300" simplePos="0" relativeHeight="251779072" behindDoc="0" locked="0" layoutInCell="1" allowOverlap="1">
                <wp:simplePos x="0" y="0"/>
                <wp:positionH relativeFrom="column">
                  <wp:posOffset>-114300</wp:posOffset>
                </wp:positionH>
                <wp:positionV relativeFrom="paragraph">
                  <wp:posOffset>278130</wp:posOffset>
                </wp:positionV>
                <wp:extent cx="1028700" cy="457200"/>
                <wp:effectExtent l="0" t="0" r="0" b="0"/>
                <wp:wrapNone/>
                <wp:docPr id="331" name="文本框 331"/>
                <wp:cNvGraphicFramePr/>
                <a:graphic xmlns:a="http://schemas.openxmlformats.org/drawingml/2006/main">
                  <a:graphicData uri="http://schemas.microsoft.com/office/word/2010/wordprocessingShape">
                    <wps:wsp>
                      <wps:cNvSpPr txBox="1">
                        <a:spLocks noChangeArrowheads="1"/>
                      </wps:cNvSpPr>
                      <wps:spPr bwMode="auto">
                        <a:xfrm>
                          <a:off x="0" y="0"/>
                          <a:ext cx="1028700" cy="45720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监理工程师指</w:t>
                            </w:r>
                          </w:p>
                          <w:p>
                            <w:pPr>
                              <w:spacing w:line="240" w:lineRule="exact"/>
                              <w:rPr>
                                <w:rFonts w:ascii="宋体" w:hAnsi="宋体"/>
                                <w:sz w:val="18"/>
                                <w:szCs w:val="18"/>
                              </w:rPr>
                            </w:pPr>
                            <w:r>
                              <w:rPr>
                                <w:rFonts w:hint="eastAsia" w:ascii="楷体_GB2312" w:hAnsi="宋体"/>
                                <w:b/>
                                <w:color w:val="000000"/>
                                <w:sz w:val="18"/>
                                <w:szCs w:val="18"/>
                              </w:rPr>
                              <w:t>令</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1.9pt;height:36pt;width:81pt;z-index:251779072;mso-width-relative:page;mso-height-relative:page;" filled="f" stroked="f" coordsize="21600,21600" o:gfxdata="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OZhKhdcAAAAKAQAADwAAAAAAAAABACAAAAAiAAAAZHJzL2Rvd25y&#10;ZXYueG1sUEsBAhQAFAAAAAgAh07iQHIbtZb/AQAA2QMAAA4AAAAAAAAAAQAgAAAAJgEAAGRycy9l&#10;Mm9Eb2MueG1sUEsFBgAAAAAGAAYAWQEAAJcF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监理工程师指</w:t>
                      </w:r>
                    </w:p>
                    <w:p>
                      <w:pPr>
                        <w:spacing w:line="240" w:lineRule="exact"/>
                        <w:rPr>
                          <w:rFonts w:ascii="宋体" w:hAnsi="宋体"/>
                          <w:sz w:val="18"/>
                          <w:szCs w:val="18"/>
                        </w:rPr>
                      </w:pPr>
                      <w:r>
                        <w:rPr>
                          <w:rFonts w:hint="eastAsia" w:ascii="楷体_GB2312" w:hAnsi="宋体"/>
                          <w:b/>
                          <w:color w:val="000000"/>
                          <w:sz w:val="18"/>
                          <w:szCs w:val="18"/>
                        </w:rPr>
                        <w:t>令</w:t>
                      </w:r>
                    </w:p>
                  </w:txbxContent>
                </v:textbox>
              </v:shape>
            </w:pict>
          </mc:Fallback>
        </mc:AlternateContent>
      </w:r>
      <w:r>
        <w:rPr>
          <w:rFonts w:hint="eastAsia" w:ascii="宋体" w:hAnsi="宋体" w:cs="宋体"/>
          <w:b/>
          <w:color w:val="auto"/>
          <w:szCs w:val="21"/>
        </w:rPr>
        <w:t xml:space="preserve">23.4  </w:t>
      </w:r>
      <w:r>
        <w:rPr>
          <w:rFonts w:hint="eastAsia" w:ascii="宋体" w:hAnsi="宋体" w:cs="宋体"/>
          <w:b/>
          <w:color w:val="auto"/>
          <w:szCs w:val="21"/>
          <w:u w:val="dotted"/>
        </w:rPr>
        <w:t xml:space="preserve">                                                                                                       </w:t>
      </w:r>
    </w:p>
    <w:p>
      <w:pPr>
        <w:spacing w:line="360" w:lineRule="auto"/>
        <w:ind w:left="1619" w:leftChars="771"/>
        <w:rPr>
          <w:rFonts w:ascii="宋体" w:hAnsi="宋体" w:cs="宋体"/>
          <w:color w:val="auto"/>
          <w:szCs w:val="21"/>
        </w:rPr>
      </w:pPr>
      <w:r>
        <w:rPr>
          <w:rFonts w:hint="eastAsia" w:ascii="宋体" w:hAnsi="宋体" w:cs="宋体"/>
          <w:color w:val="auto"/>
          <w:szCs w:val="21"/>
        </w:rPr>
        <w:t>监理工程师应按照合同约定时间向承包人提供实施合同工程的进度、质量和安全工作所需的批准、确认和通知等指令。</w:t>
      </w:r>
    </w:p>
    <w:p>
      <w:pPr>
        <w:tabs>
          <w:tab w:val="left" w:pos="1260"/>
        </w:tabs>
        <w:spacing w:line="360" w:lineRule="auto"/>
        <w:ind w:left="1619" w:leftChars="771"/>
        <w:rPr>
          <w:rFonts w:ascii="宋体" w:hAnsi="宋体" w:cs="宋体"/>
          <w:b/>
          <w:color w:val="auto"/>
          <w:szCs w:val="21"/>
        </w:rPr>
      </w:pPr>
      <w:r>
        <w:rPr>
          <w:rFonts w:hint="eastAsia" w:ascii="宋体" w:hAnsi="宋体" w:cs="宋体"/>
          <w:color w:val="auto"/>
          <w:szCs w:val="21"/>
        </w:rPr>
        <w:t>监理工程师提供的指令，均应采用书面形式。在紧急情况下，监理工程师可发出口头指令，但应在48小时内给予书面确认。对监理工程师的口头指令，承包人应予执行。如果承包人在监理工程师发出口头指令48小时后未收到书面确认，则应在接到口头指令后的7天内向监理工程师发出书面确认函。监理工程师应在承包人发出书面确认函后48小时内给予答复；逾期未予答复的，视为承包人的书面确认函已被认可。</w:t>
      </w:r>
    </w:p>
    <w:p>
      <w:pPr>
        <w:spacing w:line="360" w:lineRule="auto"/>
        <w:rPr>
          <w:rFonts w:ascii="宋体" w:hAnsi="宋体" w:cs="宋体"/>
          <w:b/>
          <w:color w:val="auto"/>
          <w:szCs w:val="21"/>
        </w:rPr>
      </w:pPr>
      <w:r>
        <w:rPr>
          <w:rFonts w:hint="eastAsia" w:ascii="宋体" w:hAnsi="宋体" w:cs="宋体"/>
          <w:b/>
          <w:color w:val="auto"/>
          <w:szCs w:val="21"/>
        </w:rPr>
        <w:t xml:space="preserve">23.5  </w:t>
      </w:r>
      <w:r>
        <w:rPr>
          <w:rFonts w:hint="eastAsia" w:ascii="宋体" w:hAnsi="宋体" w:cs="宋体"/>
          <w:b/>
          <w:color w:val="auto"/>
          <w:szCs w:val="21"/>
          <w:u w:val="dotted"/>
        </w:rPr>
        <w:t xml:space="preserve">                                                                                                        </w:t>
      </w:r>
    </w:p>
    <w:p>
      <w:pPr>
        <w:spacing w:line="360" w:lineRule="auto"/>
        <w:ind w:left="1619" w:leftChars="771"/>
        <w:rPr>
          <w:rFonts w:ascii="宋体" w:hAnsi="宋体" w:cs="宋体"/>
          <w:color w:val="auto"/>
          <w:szCs w:val="21"/>
        </w:rPr>
      </w:pPr>
      <w:r>
        <w:rPr>
          <w:rFonts w:ascii="宋体" w:hAnsi="宋体" w:cs="宋体"/>
          <w:color w:val="auto"/>
          <w:szCs w:val="21"/>
        </w:rPr>
        <mc:AlternateContent>
          <mc:Choice Requires="wps">
            <w:drawing>
              <wp:anchor distT="0" distB="0" distL="114300" distR="114300" simplePos="0" relativeHeight="251780096" behindDoc="0" locked="0" layoutInCell="1" allowOverlap="1">
                <wp:simplePos x="0" y="0"/>
                <wp:positionH relativeFrom="column">
                  <wp:posOffset>-114300</wp:posOffset>
                </wp:positionH>
                <wp:positionV relativeFrom="paragraph">
                  <wp:posOffset>49530</wp:posOffset>
                </wp:positionV>
                <wp:extent cx="914400" cy="430530"/>
                <wp:effectExtent l="0" t="0" r="0" b="0"/>
                <wp:wrapNone/>
                <wp:docPr id="330" name="文本框 330"/>
                <wp:cNvGraphicFramePr/>
                <a:graphic xmlns:a="http://schemas.openxmlformats.org/drawingml/2006/main">
                  <a:graphicData uri="http://schemas.microsoft.com/office/word/2010/wordprocessingShape">
                    <wps:wsp>
                      <wps:cNvSpPr txBox="1">
                        <a:spLocks noChangeArrowheads="1"/>
                      </wps:cNvSpPr>
                      <wps:spPr bwMode="auto">
                        <a:xfrm>
                          <a:off x="0" y="0"/>
                          <a:ext cx="914400" cy="43053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承包人执行监理工程师指令</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9pt;height:33.9pt;width:72pt;z-index:251780096;mso-width-relative:page;mso-height-relative:page;" filled="f" stroked="f" coordsize="21600,21600" o:gfxdata="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lZ3x+tQAAAAIAQAADwAAAAAAAAABACAAAAAiAAAAZHJzL2Rvd25yZXYu&#10;eG1sUEsBAhQAFAAAAAgAh07iQB/Aq4z/AQAA2AMAAA4AAAAAAAAAAQAgAAAAIwEAAGRycy9lMm9E&#10;b2MueG1sUEsFBgAAAAAGAAYAWQEAAJQF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承包人执行监理工程师指令</w:t>
                      </w:r>
                    </w:p>
                  </w:txbxContent>
                </v:textbox>
              </v:shape>
            </w:pict>
          </mc:Fallback>
        </mc:AlternateContent>
      </w:r>
      <w:r>
        <w:rPr>
          <w:rFonts w:hint="eastAsia" w:ascii="宋体" w:hAnsi="宋体" w:cs="宋体"/>
          <w:color w:val="auto"/>
          <w:szCs w:val="21"/>
        </w:rPr>
        <w:t>如果承包人认为监理工程师的指令不合理，应在收到指令后24小时内向监理工程师提出书面报告，监理工程师应在收到承包人报告后24小时内做出修改指令或继续执行原指令的决定，并书面通知承包人。逾期不做出决定的，承包人可不执行监理工程师的指令。</w:t>
      </w:r>
    </w:p>
    <w:p>
      <w:pPr>
        <w:spacing w:line="360" w:lineRule="auto"/>
        <w:rPr>
          <w:rFonts w:ascii="宋体" w:hAnsi="宋体" w:cs="宋体"/>
          <w:color w:val="auto"/>
          <w:szCs w:val="21"/>
        </w:rPr>
      </w:pPr>
      <w:r>
        <w:rPr>
          <w:rFonts w:hint="eastAsia" w:ascii="宋体" w:hAnsi="宋体" w:cs="宋体"/>
          <w:b/>
          <w:color w:val="auto"/>
          <w:szCs w:val="21"/>
        </w:rPr>
        <w:t>23.6</w:t>
      </w:r>
      <w:r>
        <w:rPr>
          <w:rFonts w:hint="eastAsia" w:ascii="宋体" w:hAnsi="宋体" w:cs="宋体"/>
          <w:color w:val="auto"/>
          <w:szCs w:val="21"/>
        </w:rPr>
        <w:t xml:space="preserve">  </w:t>
      </w:r>
      <w:r>
        <w:rPr>
          <w:rFonts w:hint="eastAsia" w:ascii="宋体" w:hAnsi="宋体" w:cs="宋体"/>
          <w:color w:val="auto"/>
          <w:szCs w:val="21"/>
          <w:u w:val="dotted"/>
        </w:rPr>
        <w:t xml:space="preserve">                                                                                                        </w:t>
      </w:r>
    </w:p>
    <w:p>
      <w:pPr>
        <w:spacing w:line="360" w:lineRule="auto"/>
        <w:ind w:left="1619" w:leftChars="771"/>
        <w:rPr>
          <w:rFonts w:ascii="宋体" w:hAnsi="宋体" w:cs="宋体"/>
          <w:color w:val="auto"/>
          <w:szCs w:val="21"/>
        </w:rPr>
      </w:pPr>
      <w:r>
        <w:rPr>
          <w:rFonts w:ascii="宋体" w:hAnsi="宋体" w:cs="宋体"/>
          <w:color w:val="auto"/>
          <w:szCs w:val="21"/>
        </w:rPr>
        <mc:AlternateContent>
          <mc:Choice Requires="wps">
            <w:drawing>
              <wp:anchor distT="0" distB="0" distL="114300" distR="114300" simplePos="0" relativeHeight="251781120" behindDoc="0" locked="0" layoutInCell="1" allowOverlap="1">
                <wp:simplePos x="0" y="0"/>
                <wp:positionH relativeFrom="column">
                  <wp:posOffset>-114300</wp:posOffset>
                </wp:positionH>
                <wp:positionV relativeFrom="paragraph">
                  <wp:posOffset>21590</wp:posOffset>
                </wp:positionV>
                <wp:extent cx="914400" cy="443230"/>
                <wp:effectExtent l="0" t="0" r="0" b="0"/>
                <wp:wrapNone/>
                <wp:docPr id="329" name="文本框 329"/>
                <wp:cNvGraphicFramePr/>
                <a:graphic xmlns:a="http://schemas.openxmlformats.org/drawingml/2006/main">
                  <a:graphicData uri="http://schemas.microsoft.com/office/word/2010/wordprocessingShape">
                    <wps:wsp>
                      <wps:cNvSpPr txBox="1">
                        <a:spLocks noChangeArrowheads="1"/>
                      </wps:cNvSpPr>
                      <wps:spPr bwMode="auto">
                        <a:xfrm>
                          <a:off x="0" y="0"/>
                          <a:ext cx="914400" cy="44323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监理工程师职权委托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7pt;height:34.9pt;width:72pt;z-index:251781120;mso-width-relative:page;mso-height-relative:page;" filled="f" stroked="f" coordsize="21600,21600" o:gfxdata="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pLIZsdYAAAAIAQAADwAAAAAAAAABACAAAAAiAAAAZHJzL2Rvd25y&#10;ZXYueG1sUEsBAhQAFAAAAAgAh07iQCzP/tcAAgAA2AMAAA4AAAAAAAAAAQAgAAAAJQEAAGRycy9l&#10;Mm9Eb2MueG1sUEsFBgAAAAAGAAYAWQEAAJcF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监理工程师职权委托</w:t>
                      </w:r>
                    </w:p>
                  </w:txbxContent>
                </v:textbox>
              </v:shape>
            </w:pict>
          </mc:Fallback>
        </mc:AlternateContent>
      </w:r>
      <w:r>
        <w:rPr>
          <w:rFonts w:hint="eastAsia" w:ascii="宋体" w:hAnsi="宋体" w:cs="宋体"/>
          <w:color w:val="auto"/>
          <w:szCs w:val="21"/>
        </w:rPr>
        <w:t>监理工程师可按照第21.3款规定授权给其任命的监理工程师代表，亦可将其授权撤回。监理工程师代表行使监理工程师授予的职权，对监理工程师负责。监理工程师代表在监理工程师授予职权范围内工作，监理工程师应予认可，但监理工程师保留因监理工程师代表未反对合同工程的工程质量检查、材料和工程设备使用等工作的错误而否定该类工作，并发出纠正指令的权力。未按照第21.3款规定，任何此类任命或撤回均为无效。</w:t>
      </w:r>
    </w:p>
    <w:p>
      <w:pPr>
        <w:spacing w:line="360" w:lineRule="auto"/>
        <w:rPr>
          <w:rFonts w:ascii="宋体" w:hAnsi="宋体" w:cs="宋体"/>
          <w:b/>
          <w:color w:val="auto"/>
          <w:szCs w:val="21"/>
        </w:rPr>
      </w:pPr>
      <w:r>
        <w:rPr>
          <w:rFonts w:hint="eastAsia" w:ascii="宋体" w:hAnsi="宋体" w:cs="宋体"/>
          <w:b/>
          <w:color w:val="auto"/>
          <w:szCs w:val="21"/>
        </w:rPr>
        <w:t xml:space="preserve">23.7  </w:t>
      </w:r>
      <w:r>
        <w:rPr>
          <w:rFonts w:hint="eastAsia" w:ascii="宋体" w:hAnsi="宋体" w:cs="宋体"/>
          <w:b/>
          <w:color w:val="auto"/>
          <w:szCs w:val="21"/>
          <w:u w:val="dotted"/>
        </w:rPr>
        <w:t xml:space="preserve">                                                                                                        </w:t>
      </w:r>
    </w:p>
    <w:p>
      <w:pPr>
        <w:spacing w:line="360" w:lineRule="auto"/>
        <w:ind w:left="1619" w:leftChars="771"/>
        <w:rPr>
          <w:rFonts w:ascii="宋体" w:hAnsi="宋体" w:cs="宋体"/>
          <w:color w:val="auto"/>
          <w:szCs w:val="21"/>
        </w:rPr>
      </w:pPr>
      <w:r>
        <w:rPr>
          <w:rFonts w:ascii="宋体" w:hAnsi="宋体" w:cs="宋体"/>
          <w:color w:val="auto"/>
          <w:szCs w:val="21"/>
        </w:rPr>
        <mc:AlternateContent>
          <mc:Choice Requires="wps">
            <w:drawing>
              <wp:anchor distT="0" distB="0" distL="114300" distR="114300" simplePos="0" relativeHeight="251782144" behindDoc="0" locked="0" layoutInCell="1" allowOverlap="1">
                <wp:simplePos x="0" y="0"/>
                <wp:positionH relativeFrom="column">
                  <wp:posOffset>-114300</wp:posOffset>
                </wp:positionH>
                <wp:positionV relativeFrom="paragraph">
                  <wp:posOffset>29210</wp:posOffset>
                </wp:positionV>
                <wp:extent cx="914400" cy="610870"/>
                <wp:effectExtent l="0" t="0" r="0" b="0"/>
                <wp:wrapNone/>
                <wp:docPr id="328" name="文本框 328"/>
                <wp:cNvGraphicFramePr/>
                <a:graphic xmlns:a="http://schemas.openxmlformats.org/drawingml/2006/main">
                  <a:graphicData uri="http://schemas.microsoft.com/office/word/2010/wordprocessingShape">
                    <wps:wsp>
                      <wps:cNvSpPr txBox="1">
                        <a:spLocks noChangeArrowheads="1"/>
                      </wps:cNvSpPr>
                      <wps:spPr bwMode="auto">
                        <a:xfrm>
                          <a:off x="0" y="0"/>
                          <a:ext cx="914400" cy="61087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监理工程师未尽义务或失误的责任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3pt;height:48.1pt;width:72pt;z-index:251782144;mso-width-relative:page;mso-height-relative:page;" filled="f" stroked="f" coordsize="21600,21600" o:gfxdata="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PjqHM/WAAAACQEAAA8AAAAAAAAAAQAgAAAAIgAAAGRycy9kb3du&#10;cmV2LnhtbFBLAQIUABQAAAAIAIdO4kDWaBW+AQIAANgDAAAOAAAAAAAAAAEAIAAAACUBAABkcnMv&#10;ZTJvRG9jLnhtbFBLBQYAAAAABgAGAFkBAACY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监理工程师未尽义务或失误的责任</w:t>
                      </w:r>
                    </w:p>
                  </w:txbxContent>
                </v:textbox>
              </v:shape>
            </w:pict>
          </mc:Fallback>
        </mc:AlternateContent>
      </w:r>
      <w:r>
        <w:rPr>
          <w:rFonts w:hint="eastAsia" w:ascii="宋体" w:hAnsi="宋体" w:cs="宋体"/>
          <w:color w:val="auto"/>
          <w:szCs w:val="21"/>
        </w:rPr>
        <w:t>监理工程师（含其代表）未能正确完成本合同约定的全部义务，或工作出现失误，导致费用的增加和（或）延误的工期，由发包人承担；给承包人造成损失的，发包人应予赔偿。</w:t>
      </w:r>
    </w:p>
    <w:p>
      <w:pPr>
        <w:tabs>
          <w:tab w:val="left" w:pos="1260"/>
        </w:tabs>
        <w:spacing w:line="360" w:lineRule="auto"/>
        <w:rPr>
          <w:rFonts w:ascii="宋体" w:hAnsi="宋体" w:cs="宋体"/>
          <w:b/>
          <w:color w:val="auto"/>
          <w:szCs w:val="21"/>
          <w:u w:val="single"/>
        </w:rPr>
      </w:pPr>
      <w:r>
        <w:rPr>
          <w:rFonts w:hint="eastAsia" w:ascii="宋体" w:hAnsi="宋体" w:cs="宋体"/>
          <w:b/>
          <w:color w:val="auto"/>
          <w:szCs w:val="21"/>
          <w:u w:val="single"/>
        </w:rPr>
        <w:t xml:space="preserve">                                                                                                           </w:t>
      </w:r>
    </w:p>
    <w:p>
      <w:pPr>
        <w:tabs>
          <w:tab w:val="left" w:pos="1620"/>
        </w:tabs>
        <w:rPr>
          <w:rFonts w:ascii="宋体" w:hAnsi="宋体" w:cs="宋体"/>
          <w:b/>
          <w:color w:val="auto"/>
          <w:szCs w:val="21"/>
        </w:rPr>
      </w:pPr>
    </w:p>
    <w:p>
      <w:pPr>
        <w:tabs>
          <w:tab w:val="left" w:pos="1260"/>
        </w:tabs>
        <w:spacing w:beforeLines="100"/>
        <w:rPr>
          <w:rFonts w:ascii="宋体" w:hAnsi="宋体" w:cs="宋体"/>
          <w:b/>
          <w:color w:val="auto"/>
          <w:szCs w:val="21"/>
        </w:rPr>
      </w:pPr>
      <w:r>
        <w:rPr>
          <w:rFonts w:hint="eastAsia" w:ascii="宋体" w:hAnsi="宋体" w:cs="宋体"/>
          <w:b/>
          <w:color w:val="auto"/>
          <w:szCs w:val="21"/>
        </w:rPr>
        <w:t>24  造价工程师</w:t>
      </w:r>
    </w:p>
    <w:p>
      <w:pPr>
        <w:tabs>
          <w:tab w:val="left" w:pos="1260"/>
        </w:tabs>
        <w:spacing w:line="400" w:lineRule="exact"/>
        <w:rPr>
          <w:rFonts w:ascii="宋体" w:hAnsi="宋体" w:cs="宋体"/>
          <w:b/>
          <w:color w:val="auto"/>
          <w:szCs w:val="21"/>
        </w:rPr>
      </w:pPr>
      <w:r>
        <w:rPr>
          <w:rFonts w:hint="eastAsia" w:ascii="宋体" w:hAnsi="宋体" w:cs="宋体"/>
          <w:b/>
          <w:color w:val="auto"/>
          <w:szCs w:val="21"/>
        </w:rPr>
        <w:t xml:space="preserve">24.1                                                   </w:t>
      </w:r>
    </w:p>
    <w:p>
      <w:pPr>
        <w:tabs>
          <w:tab w:val="left" w:pos="1260"/>
          <w:tab w:val="left" w:pos="1620"/>
        </w:tabs>
        <w:spacing w:line="360" w:lineRule="auto"/>
        <w:ind w:left="1619" w:leftChars="771"/>
        <w:rPr>
          <w:rFonts w:ascii="宋体" w:hAnsi="宋体" w:cs="宋体"/>
          <w:color w:val="auto"/>
          <w:kern w:val="0"/>
          <w:szCs w:val="21"/>
        </w:rPr>
      </w:pPr>
      <w:r>
        <w:rPr>
          <w:rFonts w:ascii="宋体" w:hAnsi="宋体" w:cs="宋体"/>
          <w:color w:val="auto"/>
          <w:kern w:val="0"/>
          <w:szCs w:val="21"/>
        </w:rPr>
        <mc:AlternateContent>
          <mc:Choice Requires="wps">
            <w:drawing>
              <wp:anchor distT="0" distB="0" distL="114300" distR="114300" simplePos="0" relativeHeight="251783168" behindDoc="0" locked="0" layoutInCell="1" allowOverlap="1">
                <wp:simplePos x="0" y="0"/>
                <wp:positionH relativeFrom="column">
                  <wp:posOffset>-114300</wp:posOffset>
                </wp:positionH>
                <wp:positionV relativeFrom="paragraph">
                  <wp:posOffset>45720</wp:posOffset>
                </wp:positionV>
                <wp:extent cx="914400" cy="449580"/>
                <wp:effectExtent l="0" t="0" r="0" b="0"/>
                <wp:wrapNone/>
                <wp:docPr id="327" name="文本框 327"/>
                <wp:cNvGraphicFramePr/>
                <a:graphic xmlns:a="http://schemas.openxmlformats.org/drawingml/2006/main">
                  <a:graphicData uri="http://schemas.microsoft.com/office/word/2010/wordprocessingShape">
                    <wps:wsp>
                      <wps:cNvSpPr txBox="1">
                        <a:spLocks noChangeArrowheads="1"/>
                      </wps:cNvSpPr>
                      <wps:spPr bwMode="auto">
                        <a:xfrm>
                          <a:off x="0" y="0"/>
                          <a:ext cx="914400" cy="44958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发包人对造价工程师授权</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6pt;height:35.4pt;width:72pt;z-index:251783168;mso-width-relative:page;mso-height-relative:page;" filled="f" stroked="f" coordsize="21600,21600" o:gfxdata="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G6OTFDTAAAACAEAAA8AAAAAAAAAAQAgAAAAIgAAAGRycy9kb3ducmV2&#10;LnhtbFBLAQIUABQAAAAIAIdO4kBK0RvbAQIAANgDAAAOAAAAAAAAAAEAIAAAACIBAABkcnMvZTJv&#10;RG9jLnhtbFBLBQYAAAAABgAGAFkBAACV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发包人对造价工程师授权</w:t>
                      </w:r>
                    </w:p>
                  </w:txbxContent>
                </v:textbox>
              </v:shape>
            </w:pict>
          </mc:Fallback>
        </mc:AlternateContent>
      </w:r>
      <w:r>
        <w:rPr>
          <w:rFonts w:hint="eastAsia" w:ascii="宋体" w:hAnsi="宋体" w:cs="宋体"/>
          <w:color w:val="auto"/>
          <w:kern w:val="0"/>
          <w:szCs w:val="21"/>
        </w:rPr>
        <w:t>发包人应在专用条款中写明负责合同工程工程造价专业技术的工程造价咨询人名称和造价工程师具体人选，并在开工前将造价工程师任命书以书面形式通知承包人，授予其代表发包人履行合同规定职责所需的权力。</w:t>
      </w:r>
    </w:p>
    <w:p>
      <w:pPr>
        <w:tabs>
          <w:tab w:val="left" w:pos="1260"/>
        </w:tabs>
        <w:spacing w:line="360" w:lineRule="auto"/>
        <w:rPr>
          <w:rFonts w:ascii="宋体" w:hAnsi="宋体" w:cs="宋体"/>
          <w:b/>
          <w:color w:val="auto"/>
          <w:szCs w:val="21"/>
        </w:rPr>
      </w:pPr>
      <w:r>
        <w:rPr>
          <w:rFonts w:hint="eastAsia" w:ascii="宋体" w:hAnsi="宋体" w:cs="宋体"/>
          <w:b/>
          <w:color w:val="auto"/>
          <w:szCs w:val="21"/>
        </w:rPr>
        <w:t xml:space="preserve">24.2  </w:t>
      </w:r>
      <w:r>
        <w:rPr>
          <w:rFonts w:hint="eastAsia" w:ascii="宋体" w:hAnsi="宋体" w:cs="宋体"/>
          <w:b/>
          <w:color w:val="auto"/>
          <w:szCs w:val="21"/>
          <w:u w:val="dotted"/>
        </w:rPr>
        <w:t xml:space="preserve">                                                                                                        </w:t>
      </w:r>
    </w:p>
    <w:p>
      <w:pPr>
        <w:tabs>
          <w:tab w:val="left" w:pos="1260"/>
        </w:tabs>
        <w:spacing w:line="360" w:lineRule="auto"/>
        <w:ind w:left="1619" w:leftChars="771"/>
        <w:rPr>
          <w:rFonts w:ascii="宋体" w:hAnsi="宋体" w:cs="宋体"/>
          <w:color w:val="auto"/>
          <w:szCs w:val="21"/>
        </w:rPr>
      </w:pPr>
      <w:r>
        <w:rPr>
          <w:rFonts w:ascii="宋体" w:hAnsi="宋体" w:cs="宋体"/>
          <w:color w:val="auto"/>
          <w:szCs w:val="21"/>
        </w:rPr>
        <mc:AlternateContent>
          <mc:Choice Requires="wps">
            <w:drawing>
              <wp:anchor distT="0" distB="0" distL="114300" distR="114300" simplePos="0" relativeHeight="251784192" behindDoc="0" locked="0" layoutInCell="1" allowOverlap="1">
                <wp:simplePos x="0" y="0"/>
                <wp:positionH relativeFrom="column">
                  <wp:posOffset>-114300</wp:posOffset>
                </wp:positionH>
                <wp:positionV relativeFrom="paragraph">
                  <wp:posOffset>-1270</wp:posOffset>
                </wp:positionV>
                <wp:extent cx="914400" cy="427990"/>
                <wp:effectExtent l="0" t="0" r="0" b="0"/>
                <wp:wrapNone/>
                <wp:docPr id="326" name="文本框 326"/>
                <wp:cNvGraphicFramePr/>
                <a:graphic xmlns:a="http://schemas.openxmlformats.org/drawingml/2006/main">
                  <a:graphicData uri="http://schemas.microsoft.com/office/word/2010/wordprocessingShape">
                    <wps:wsp>
                      <wps:cNvSpPr txBox="1">
                        <a:spLocks noChangeArrowheads="1"/>
                      </wps:cNvSpPr>
                      <wps:spPr bwMode="auto">
                        <a:xfrm>
                          <a:off x="0" y="0"/>
                          <a:ext cx="914400" cy="42799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造价工程师职权</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1pt;height:33.7pt;width:72pt;z-index:251784192;mso-width-relative:page;mso-height-relative:page;" filled="f" stroked="f" coordsize="21600,21600" o:gfxdata="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coraj1QAAAAgBAAAPAAAAAAAAAAEAIAAAACIAAABkcnMvZG93bnJl&#10;di54bWxQSwECFAAUAAAACACHTuJAL8pyZgACAADYAwAADgAAAAAAAAABACAAAAAkAQAAZHJzL2Uy&#10;b0RvYy54bWxQSwUGAAAAAAYABgBZAQAAlg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造价工程师职权</w:t>
                      </w:r>
                    </w:p>
                  </w:txbxContent>
                </v:textbox>
              </v:shape>
            </w:pict>
          </mc:Fallback>
        </mc:AlternateContent>
      </w:r>
      <w:r>
        <w:rPr>
          <w:rFonts w:hint="eastAsia" w:ascii="宋体" w:hAnsi="宋体" w:cs="宋体"/>
          <w:color w:val="auto"/>
          <w:szCs w:val="21"/>
        </w:rPr>
        <w:t>造价工程师行使合同明文规定和必然隐含的职权，代表发包人负责工程计量和计价，工程进度款的调整和核实，结算价款的编制、调整和复核，签发支付证书，及时向承包人提供合同价款的核实、调整和通知等指令。造价工程师无权免除或变更合同规定的合同任何一方当事人在合同履行期间的权力、义务和责任。</w:t>
      </w:r>
    </w:p>
    <w:p>
      <w:pPr>
        <w:tabs>
          <w:tab w:val="left" w:pos="1260"/>
        </w:tabs>
        <w:spacing w:line="360" w:lineRule="auto"/>
        <w:rPr>
          <w:rFonts w:ascii="宋体" w:hAnsi="宋体" w:cs="宋体"/>
          <w:b/>
          <w:color w:val="auto"/>
          <w:szCs w:val="21"/>
        </w:rPr>
      </w:pPr>
      <w:r>
        <w:rPr>
          <w:rFonts w:hint="eastAsia" w:ascii="宋体" w:hAnsi="宋体" w:cs="宋体"/>
          <w:b/>
          <w:color w:val="auto"/>
          <w:szCs w:val="21"/>
        </w:rPr>
        <w:t xml:space="preserve">24.3  </w:t>
      </w:r>
      <w:r>
        <w:rPr>
          <w:rFonts w:hint="eastAsia" w:ascii="宋体" w:hAnsi="宋体" w:cs="宋体"/>
          <w:b/>
          <w:color w:val="auto"/>
          <w:szCs w:val="21"/>
          <w:u w:val="dotted"/>
        </w:rPr>
        <w:t xml:space="preserve">                                                                                                        </w:t>
      </w:r>
    </w:p>
    <w:p>
      <w:pPr>
        <w:tabs>
          <w:tab w:val="left" w:pos="1260"/>
        </w:tabs>
        <w:spacing w:line="360" w:lineRule="auto"/>
        <w:ind w:left="1619" w:leftChars="771"/>
        <w:rPr>
          <w:rFonts w:ascii="宋体" w:hAnsi="宋体" w:cs="宋体"/>
          <w:color w:val="auto"/>
          <w:szCs w:val="21"/>
        </w:rPr>
      </w:pPr>
      <w:r>
        <w:rPr>
          <w:rFonts w:ascii="宋体" w:hAnsi="宋体" w:cs="宋体"/>
          <w:color w:val="auto"/>
          <w:szCs w:val="21"/>
        </w:rPr>
        <mc:AlternateContent>
          <mc:Choice Requires="wps">
            <w:drawing>
              <wp:anchor distT="0" distB="0" distL="114300" distR="114300" simplePos="0" relativeHeight="251785216" behindDoc="0" locked="0" layoutInCell="1" allowOverlap="1">
                <wp:simplePos x="0" y="0"/>
                <wp:positionH relativeFrom="column">
                  <wp:posOffset>-114300</wp:posOffset>
                </wp:positionH>
                <wp:positionV relativeFrom="paragraph">
                  <wp:posOffset>0</wp:posOffset>
                </wp:positionV>
                <wp:extent cx="914400" cy="510540"/>
                <wp:effectExtent l="0" t="0" r="0" b="0"/>
                <wp:wrapNone/>
                <wp:docPr id="325" name="文本框 325"/>
                <wp:cNvGraphicFramePr/>
                <a:graphic xmlns:a="http://schemas.openxmlformats.org/drawingml/2006/main">
                  <a:graphicData uri="http://schemas.microsoft.com/office/word/2010/wordprocessingShape">
                    <wps:wsp>
                      <wps:cNvSpPr txBox="1">
                        <a:spLocks noChangeArrowheads="1"/>
                      </wps:cNvSpPr>
                      <wps:spPr bwMode="auto">
                        <a:xfrm>
                          <a:off x="0" y="0"/>
                          <a:ext cx="914400" cy="51054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造价工程师职权限制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40.2pt;width:72pt;z-index:251785216;mso-width-relative:page;mso-height-relative:page;" filled="f" stroked="f" coordsize="21600,21600" o:gfxdata="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O7vLnbUAAAABwEAAA8AAAAAAAAAAQAgAAAAIgAAAGRycy9kb3ducmV2&#10;LnhtbFBLAQIUABQAAAAIAIdO4kANV9nuAAIAANgDAAAOAAAAAAAAAAEAIAAAACMBAABkcnMvZTJv&#10;RG9jLnhtbFBLBQYAAAAABgAGAFkBAACV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造价工程师职权限制</w:t>
                      </w:r>
                    </w:p>
                  </w:txbxContent>
                </v:textbox>
              </v:shape>
            </w:pict>
          </mc:Fallback>
        </mc:AlternateContent>
      </w:r>
      <w:r>
        <w:rPr>
          <w:rFonts w:hint="eastAsia" w:ascii="宋体" w:hAnsi="宋体" w:cs="宋体"/>
          <w:color w:val="auto"/>
          <w:szCs w:val="21"/>
        </w:rPr>
        <w:t>除属于第86条规定的争议外，造价工程师在职权范围内的工作，发包人应予认可，但下列事件应事先取得发包人的专项批准：</w:t>
      </w:r>
    </w:p>
    <w:p>
      <w:pPr>
        <w:numPr>
          <w:ilvl w:val="0"/>
          <w:numId w:val="15"/>
        </w:numPr>
        <w:tabs>
          <w:tab w:val="left" w:pos="2160"/>
        </w:tabs>
        <w:spacing w:line="360" w:lineRule="auto"/>
        <w:ind w:left="1619" w:leftChars="771"/>
        <w:rPr>
          <w:rFonts w:ascii="宋体" w:hAnsi="宋体" w:cs="宋体"/>
          <w:color w:val="auto"/>
          <w:szCs w:val="21"/>
        </w:rPr>
      </w:pPr>
      <w:r>
        <w:rPr>
          <w:rFonts w:hint="eastAsia" w:ascii="宋体" w:hAnsi="宋体" w:cs="宋体"/>
          <w:color w:val="auto"/>
          <w:szCs w:val="21"/>
        </w:rPr>
        <w:t>根据第63条规定使用暂列金额；</w:t>
      </w:r>
    </w:p>
    <w:p>
      <w:pPr>
        <w:numPr>
          <w:ilvl w:val="0"/>
          <w:numId w:val="15"/>
        </w:numPr>
        <w:tabs>
          <w:tab w:val="left" w:pos="2160"/>
        </w:tabs>
        <w:spacing w:line="360" w:lineRule="auto"/>
        <w:ind w:left="1619" w:leftChars="771"/>
        <w:rPr>
          <w:rFonts w:ascii="宋体" w:hAnsi="宋体" w:cs="宋体"/>
          <w:color w:val="auto"/>
          <w:szCs w:val="21"/>
        </w:rPr>
      </w:pPr>
      <w:r>
        <w:rPr>
          <w:rFonts w:hint="eastAsia" w:ascii="宋体" w:hAnsi="宋体" w:cs="宋体"/>
          <w:color w:val="auto"/>
          <w:szCs w:val="21"/>
        </w:rPr>
        <w:t>根据第64条规定使用计日工；</w:t>
      </w:r>
    </w:p>
    <w:p>
      <w:pPr>
        <w:numPr>
          <w:ilvl w:val="0"/>
          <w:numId w:val="15"/>
        </w:numPr>
        <w:tabs>
          <w:tab w:val="left" w:pos="2160"/>
        </w:tabs>
        <w:spacing w:line="360" w:lineRule="auto"/>
        <w:ind w:left="1619" w:leftChars="771"/>
        <w:rPr>
          <w:rFonts w:ascii="宋体" w:hAnsi="宋体" w:cs="宋体"/>
          <w:color w:val="auto"/>
          <w:szCs w:val="21"/>
        </w:rPr>
      </w:pPr>
      <w:r>
        <w:rPr>
          <w:rFonts w:hint="eastAsia" w:ascii="宋体" w:hAnsi="宋体" w:cs="宋体"/>
          <w:color w:val="auto"/>
          <w:szCs w:val="21"/>
        </w:rPr>
        <w:t>根据第65条规定使用暂估价；</w:t>
      </w:r>
    </w:p>
    <w:p>
      <w:pPr>
        <w:numPr>
          <w:ilvl w:val="0"/>
          <w:numId w:val="15"/>
        </w:numPr>
        <w:tabs>
          <w:tab w:val="left" w:pos="2160"/>
        </w:tabs>
        <w:spacing w:line="360" w:lineRule="auto"/>
        <w:ind w:left="1619" w:leftChars="771"/>
        <w:rPr>
          <w:rFonts w:ascii="宋体" w:hAnsi="宋体" w:cs="宋体"/>
          <w:color w:val="auto"/>
          <w:szCs w:val="21"/>
        </w:rPr>
      </w:pPr>
      <w:r>
        <w:rPr>
          <w:rFonts w:hint="eastAsia" w:ascii="宋体" w:hAnsi="宋体" w:cs="宋体"/>
          <w:color w:val="auto"/>
          <w:szCs w:val="21"/>
        </w:rPr>
        <w:t>根据第66条确定的提前竣工奖与误期赔偿费；</w:t>
      </w:r>
    </w:p>
    <w:p>
      <w:pPr>
        <w:numPr>
          <w:ilvl w:val="0"/>
          <w:numId w:val="15"/>
        </w:numPr>
        <w:tabs>
          <w:tab w:val="left" w:pos="2160"/>
        </w:tabs>
        <w:spacing w:line="360" w:lineRule="auto"/>
        <w:ind w:left="1619" w:leftChars="771"/>
        <w:rPr>
          <w:rFonts w:ascii="宋体" w:hAnsi="宋体" w:cs="宋体"/>
          <w:color w:val="auto"/>
          <w:szCs w:val="21"/>
        </w:rPr>
      </w:pPr>
      <w:r>
        <w:rPr>
          <w:rFonts w:hint="eastAsia" w:ascii="宋体" w:hAnsi="宋体" w:cs="宋体"/>
          <w:color w:val="auto"/>
          <w:szCs w:val="21"/>
        </w:rPr>
        <w:t>根据第67条确定的工程优质费；</w:t>
      </w:r>
    </w:p>
    <w:p>
      <w:pPr>
        <w:numPr>
          <w:ilvl w:val="0"/>
          <w:numId w:val="15"/>
        </w:numPr>
        <w:tabs>
          <w:tab w:val="left" w:pos="2160"/>
        </w:tabs>
        <w:spacing w:line="360" w:lineRule="auto"/>
        <w:ind w:left="1619" w:leftChars="771"/>
        <w:rPr>
          <w:rFonts w:ascii="宋体" w:hAnsi="宋体" w:cs="宋体"/>
          <w:color w:val="auto"/>
          <w:szCs w:val="21"/>
        </w:rPr>
      </w:pPr>
      <w:r>
        <w:rPr>
          <w:rFonts w:hint="eastAsia" w:ascii="宋体" w:hAnsi="宋体" w:cs="宋体"/>
          <w:color w:val="auto"/>
          <w:szCs w:val="21"/>
        </w:rPr>
        <w:t>根据第68.2款规定事件调整的合同价款；</w:t>
      </w:r>
    </w:p>
    <w:p>
      <w:pPr>
        <w:numPr>
          <w:ilvl w:val="0"/>
          <w:numId w:val="15"/>
        </w:numPr>
        <w:tabs>
          <w:tab w:val="left" w:pos="2160"/>
        </w:tabs>
        <w:spacing w:line="360" w:lineRule="auto"/>
        <w:ind w:left="1619" w:leftChars="771"/>
        <w:rPr>
          <w:rFonts w:ascii="宋体" w:hAnsi="宋体" w:cs="宋体"/>
          <w:color w:val="auto"/>
          <w:szCs w:val="21"/>
        </w:rPr>
      </w:pPr>
      <w:r>
        <w:rPr>
          <w:rFonts w:hint="eastAsia" w:ascii="宋体" w:hAnsi="宋体" w:cs="宋体"/>
          <w:color w:val="auto"/>
          <w:szCs w:val="21"/>
        </w:rPr>
        <w:t>专用条款约定需要发包人批准的其他事项。</w:t>
      </w:r>
    </w:p>
    <w:p>
      <w:pPr>
        <w:spacing w:line="400" w:lineRule="exact"/>
        <w:rPr>
          <w:rFonts w:ascii="宋体" w:hAnsi="宋体" w:cs="宋体"/>
          <w:b/>
          <w:color w:val="auto"/>
          <w:szCs w:val="21"/>
        </w:rPr>
      </w:pPr>
      <w:r>
        <w:rPr>
          <w:rFonts w:hint="eastAsia" w:ascii="宋体" w:hAnsi="宋体" w:cs="宋体"/>
          <w:b/>
          <w:color w:val="auto"/>
          <w:szCs w:val="21"/>
        </w:rPr>
        <w:t xml:space="preserve">24.4  </w:t>
      </w:r>
      <w:r>
        <w:rPr>
          <w:rFonts w:hint="eastAsia" w:ascii="宋体" w:hAnsi="宋体" w:cs="宋体"/>
          <w:b/>
          <w:color w:val="auto"/>
          <w:szCs w:val="21"/>
          <w:u w:val="dotted"/>
        </w:rPr>
        <w:t xml:space="preserve">                                                                                                        </w:t>
      </w:r>
    </w:p>
    <w:p>
      <w:pPr>
        <w:spacing w:line="360" w:lineRule="auto"/>
        <w:ind w:left="1619" w:leftChars="771"/>
        <w:rPr>
          <w:rFonts w:ascii="宋体" w:hAnsi="宋体" w:cs="宋体"/>
          <w:color w:val="auto"/>
          <w:szCs w:val="21"/>
        </w:rPr>
      </w:pPr>
      <w:r>
        <w:rPr>
          <w:rFonts w:ascii="宋体" w:hAnsi="宋体" w:cs="宋体"/>
          <w:color w:val="auto"/>
          <w:szCs w:val="21"/>
        </w:rPr>
        <mc:AlternateContent>
          <mc:Choice Requires="wps">
            <w:drawing>
              <wp:anchor distT="0" distB="0" distL="114300" distR="114300" simplePos="0" relativeHeight="251786240" behindDoc="0" locked="0" layoutInCell="1" allowOverlap="1">
                <wp:simplePos x="0" y="0"/>
                <wp:positionH relativeFrom="column">
                  <wp:posOffset>-114300</wp:posOffset>
                </wp:positionH>
                <wp:positionV relativeFrom="paragraph">
                  <wp:posOffset>0</wp:posOffset>
                </wp:positionV>
                <wp:extent cx="1092200" cy="434340"/>
                <wp:effectExtent l="0" t="0" r="0" b="0"/>
                <wp:wrapNone/>
                <wp:docPr id="324" name="文本框 324"/>
                <wp:cNvGraphicFramePr/>
                <a:graphic xmlns:a="http://schemas.openxmlformats.org/drawingml/2006/main">
                  <a:graphicData uri="http://schemas.microsoft.com/office/word/2010/wordprocessingShape">
                    <wps:wsp>
                      <wps:cNvSpPr txBox="1">
                        <a:spLocks noChangeArrowheads="1"/>
                      </wps:cNvSpPr>
                      <wps:spPr bwMode="auto">
                        <a:xfrm>
                          <a:off x="0" y="0"/>
                          <a:ext cx="1092200" cy="43434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造价工程师指</w:t>
                            </w:r>
                          </w:p>
                          <w:p>
                            <w:pPr>
                              <w:spacing w:line="240" w:lineRule="exact"/>
                              <w:rPr>
                                <w:rFonts w:ascii="楷体_GB2312" w:hAnsi="宋体"/>
                                <w:b/>
                                <w:color w:val="000000"/>
                                <w:sz w:val="18"/>
                                <w:szCs w:val="18"/>
                              </w:rPr>
                            </w:pPr>
                            <w:r>
                              <w:rPr>
                                <w:rFonts w:hint="eastAsia" w:ascii="楷体_GB2312" w:hAnsi="宋体"/>
                                <w:b/>
                                <w:color w:val="000000"/>
                                <w:sz w:val="18"/>
                                <w:szCs w:val="18"/>
                              </w:rPr>
                              <w:t>令</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34.2pt;width:86pt;z-index:251786240;mso-width-relative:page;mso-height-relative:page;" filled="f" stroked="f" coordsize="21600,21600" o:gfxdata="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vGN8nVAAAABwEAAA8AAAAAAAAAAQAgAAAAIgAAAGRycy9kb3du&#10;cmV2LnhtbFBLAQIUABQAAAAIAIdO4kAlMMq4AgIAANkDAAAOAAAAAAAAAAEAIAAAACQBAABkcnMv&#10;ZTJvRG9jLnhtbFBLBQYAAAAABgAGAFkBAACY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造价工程师指</w:t>
                      </w:r>
                    </w:p>
                    <w:p>
                      <w:pPr>
                        <w:spacing w:line="240" w:lineRule="exact"/>
                        <w:rPr>
                          <w:rFonts w:ascii="楷体_GB2312" w:hAnsi="宋体"/>
                          <w:b/>
                          <w:color w:val="000000"/>
                          <w:sz w:val="18"/>
                          <w:szCs w:val="18"/>
                        </w:rPr>
                      </w:pPr>
                      <w:r>
                        <w:rPr>
                          <w:rFonts w:hint="eastAsia" w:ascii="楷体_GB2312" w:hAnsi="宋体"/>
                          <w:b/>
                          <w:color w:val="000000"/>
                          <w:sz w:val="18"/>
                          <w:szCs w:val="18"/>
                        </w:rPr>
                        <w:t>令</w:t>
                      </w:r>
                    </w:p>
                  </w:txbxContent>
                </v:textbox>
              </v:shape>
            </w:pict>
          </mc:Fallback>
        </mc:AlternateContent>
      </w:r>
      <w:r>
        <w:rPr>
          <w:rFonts w:hint="eastAsia" w:ascii="宋体" w:hAnsi="宋体" w:cs="宋体"/>
          <w:color w:val="auto"/>
          <w:szCs w:val="21"/>
        </w:rPr>
        <w:t>造价工程师应按照合同约定时间向承包人提供实施合同工程的工程造价工作所需的核实、调整和通知等指令。</w:t>
      </w:r>
    </w:p>
    <w:p>
      <w:pPr>
        <w:tabs>
          <w:tab w:val="left" w:pos="1260"/>
        </w:tabs>
        <w:spacing w:line="360" w:lineRule="auto"/>
        <w:ind w:left="1619" w:leftChars="771"/>
        <w:rPr>
          <w:rFonts w:ascii="宋体" w:hAnsi="宋体" w:cs="宋体"/>
          <w:color w:val="auto"/>
          <w:szCs w:val="21"/>
        </w:rPr>
      </w:pPr>
      <w:r>
        <w:rPr>
          <w:rFonts w:hint="eastAsia" w:ascii="宋体" w:hAnsi="宋体" w:cs="宋体"/>
          <w:color w:val="auto"/>
          <w:szCs w:val="21"/>
        </w:rPr>
        <w:t>造价工程师提供的指令，均应采用书面形式。在紧急情况下，造价工程师可发出口头指令，但应在48小时内给予书面确认。对造价工程师的口头指令，承包人应予执行。如果承包人在造价工程师发出的口头指令48小时后未收到书面确认，则应在接到口头指令后的7天内向造价工程师发出书面确认函。造价工程师应在承包人发出书面确认函后48小时内给予答复；逾期未予答复的，视为承包人的书面确认函已被认可。</w:t>
      </w:r>
    </w:p>
    <w:p>
      <w:pPr>
        <w:tabs>
          <w:tab w:val="left" w:pos="1260"/>
        </w:tabs>
        <w:spacing w:line="360" w:lineRule="auto"/>
        <w:rPr>
          <w:rFonts w:ascii="宋体" w:hAnsi="宋体" w:cs="宋体"/>
          <w:b/>
          <w:color w:val="auto"/>
          <w:szCs w:val="21"/>
        </w:rPr>
      </w:pPr>
      <w:r>
        <w:rPr>
          <w:rFonts w:hint="eastAsia" w:ascii="宋体" w:hAnsi="宋体" w:cs="宋体"/>
          <w:b/>
          <w:color w:val="auto"/>
          <w:szCs w:val="21"/>
        </w:rPr>
        <w:t xml:space="preserve">24.5  </w:t>
      </w:r>
      <w:r>
        <w:rPr>
          <w:rFonts w:hint="eastAsia" w:ascii="宋体" w:hAnsi="宋体" w:cs="宋体"/>
          <w:b/>
          <w:color w:val="auto"/>
          <w:szCs w:val="21"/>
          <w:u w:val="dotted"/>
        </w:rPr>
        <w:t xml:space="preserve">                                                                                                        </w:t>
      </w:r>
    </w:p>
    <w:p>
      <w:pPr>
        <w:tabs>
          <w:tab w:val="left" w:pos="1260"/>
        </w:tabs>
        <w:spacing w:line="360" w:lineRule="auto"/>
        <w:ind w:left="1619" w:leftChars="771"/>
        <w:rPr>
          <w:rFonts w:ascii="宋体" w:hAnsi="宋体" w:cs="宋体"/>
          <w:color w:val="auto"/>
          <w:szCs w:val="21"/>
        </w:rPr>
      </w:pPr>
      <w:r>
        <w:rPr>
          <w:rFonts w:ascii="宋体" w:hAnsi="宋体" w:cs="宋体"/>
          <w:color w:val="auto"/>
          <w:szCs w:val="21"/>
        </w:rPr>
        <mc:AlternateContent>
          <mc:Choice Requires="wps">
            <w:drawing>
              <wp:anchor distT="0" distB="0" distL="114300" distR="114300" simplePos="0" relativeHeight="251787264" behindDoc="0" locked="0" layoutInCell="1" allowOverlap="1">
                <wp:simplePos x="0" y="0"/>
                <wp:positionH relativeFrom="column">
                  <wp:posOffset>-114300</wp:posOffset>
                </wp:positionH>
                <wp:positionV relativeFrom="paragraph">
                  <wp:posOffset>15240</wp:posOffset>
                </wp:positionV>
                <wp:extent cx="914400" cy="448310"/>
                <wp:effectExtent l="0" t="0" r="0" b="0"/>
                <wp:wrapNone/>
                <wp:docPr id="323" name="文本框 323"/>
                <wp:cNvGraphicFramePr/>
                <a:graphic xmlns:a="http://schemas.openxmlformats.org/drawingml/2006/main">
                  <a:graphicData uri="http://schemas.microsoft.com/office/word/2010/wordprocessingShape">
                    <wps:wsp>
                      <wps:cNvSpPr txBox="1">
                        <a:spLocks noChangeArrowheads="1"/>
                      </wps:cNvSpPr>
                      <wps:spPr bwMode="auto">
                        <a:xfrm>
                          <a:off x="0" y="0"/>
                          <a:ext cx="914400" cy="44831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承包人执行造价工程师指令</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pt;height:35.3pt;width:72pt;z-index:251787264;mso-width-relative:page;mso-height-relative:page;" filled="f" stroked="f" coordsize="21600,21600" o:gfxdata="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Ko11F1QAAAAgBAAAPAAAAAAAAAAEAIAAAACIAAABkcnMvZG93bnJl&#10;di54bWxQSwECFAAUAAAACACHTuJAqUozjAACAADYAwAADgAAAAAAAAABACAAAAAkAQAAZHJzL2Uy&#10;b0RvYy54bWxQSwUGAAAAAAYABgBZAQAAlg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承包人执行造价工程师指令</w:t>
                      </w:r>
                    </w:p>
                  </w:txbxContent>
                </v:textbox>
              </v:shape>
            </w:pict>
          </mc:Fallback>
        </mc:AlternateContent>
      </w:r>
      <w:r>
        <w:rPr>
          <w:rFonts w:hint="eastAsia" w:ascii="宋体" w:hAnsi="宋体" w:cs="宋体"/>
          <w:color w:val="auto"/>
          <w:szCs w:val="21"/>
        </w:rPr>
        <w:t>如果承包人认为造价工程师的指令不合理，应在收到指令后24小时内向造价工程师提出书面报告，造价工程师应在收到承包人报告后24小时内做出修改指令或继续执行原指令的决定，并书面通知承包人。逾期不做出决定的，承包人可不执行造价工程师的指令。</w:t>
      </w:r>
    </w:p>
    <w:p>
      <w:pPr>
        <w:tabs>
          <w:tab w:val="left" w:pos="1260"/>
        </w:tabs>
        <w:spacing w:line="360" w:lineRule="auto"/>
        <w:rPr>
          <w:rFonts w:ascii="宋体" w:hAnsi="宋体" w:cs="宋体"/>
          <w:b/>
          <w:color w:val="auto"/>
          <w:szCs w:val="21"/>
        </w:rPr>
      </w:pPr>
      <w:r>
        <w:rPr>
          <w:rFonts w:hint="eastAsia" w:ascii="宋体" w:hAnsi="宋体" w:cs="宋体"/>
          <w:b/>
          <w:color w:val="auto"/>
          <w:szCs w:val="21"/>
        </w:rPr>
        <w:t xml:space="preserve">24.6  </w:t>
      </w:r>
      <w:r>
        <w:rPr>
          <w:rFonts w:hint="eastAsia" w:ascii="宋体" w:hAnsi="宋体" w:cs="宋体"/>
          <w:b/>
          <w:color w:val="auto"/>
          <w:szCs w:val="21"/>
          <w:u w:val="dotted"/>
        </w:rPr>
        <w:t xml:space="preserve">                                                                                                        </w:t>
      </w:r>
    </w:p>
    <w:p>
      <w:pPr>
        <w:tabs>
          <w:tab w:val="left" w:pos="1260"/>
        </w:tabs>
        <w:spacing w:line="360" w:lineRule="auto"/>
        <w:ind w:left="1619" w:leftChars="771"/>
        <w:rPr>
          <w:rFonts w:ascii="宋体" w:hAnsi="宋体" w:cs="宋体"/>
          <w:color w:val="auto"/>
          <w:szCs w:val="21"/>
        </w:rPr>
      </w:pPr>
      <w:r>
        <w:rPr>
          <w:rFonts w:ascii="宋体" w:hAnsi="宋体" w:cs="宋体"/>
          <w:color w:val="auto"/>
          <w:szCs w:val="21"/>
        </w:rPr>
        <mc:AlternateContent>
          <mc:Choice Requires="wps">
            <w:drawing>
              <wp:anchor distT="0" distB="0" distL="114300" distR="114300" simplePos="0" relativeHeight="252050432" behindDoc="0" locked="0" layoutInCell="1" allowOverlap="1">
                <wp:simplePos x="0" y="0"/>
                <wp:positionH relativeFrom="column">
                  <wp:posOffset>-114300</wp:posOffset>
                </wp:positionH>
                <wp:positionV relativeFrom="paragraph">
                  <wp:posOffset>0</wp:posOffset>
                </wp:positionV>
                <wp:extent cx="914400" cy="594360"/>
                <wp:effectExtent l="0" t="0" r="0" b="0"/>
                <wp:wrapNone/>
                <wp:docPr id="322" name="文本框 322"/>
                <wp:cNvGraphicFramePr/>
                <a:graphic xmlns:a="http://schemas.openxmlformats.org/drawingml/2006/main">
                  <a:graphicData uri="http://schemas.microsoft.com/office/word/2010/wordprocessingShape">
                    <wps:wsp>
                      <wps:cNvSpPr txBox="1">
                        <a:spLocks noChangeArrowheads="1"/>
                      </wps:cNvSpPr>
                      <wps:spPr bwMode="auto">
                        <a:xfrm>
                          <a:off x="0" y="0"/>
                          <a:ext cx="914400" cy="594360"/>
                        </a:xfrm>
                        <a:prstGeom prst="rect">
                          <a:avLst/>
                        </a:prstGeom>
                        <a:noFill/>
                        <a:ln>
                          <a:noFill/>
                        </a:ln>
                        <a:effectLst/>
                      </wps:spPr>
                      <wps:txbx>
                        <w:txbxContent>
                          <w:p>
                            <w:pPr>
                              <w:spacing w:line="240" w:lineRule="exact"/>
                              <w:rPr>
                                <w:rFonts w:ascii="宋体" w:hAnsi="宋体"/>
                                <w:sz w:val="18"/>
                                <w:szCs w:val="18"/>
                              </w:rPr>
                            </w:pPr>
                            <w:r>
                              <w:rPr>
                                <w:rFonts w:hint="eastAsia" w:ascii="楷体_GB2312" w:hAnsi="宋体"/>
                                <w:b/>
                                <w:color w:val="000000"/>
                                <w:sz w:val="18"/>
                                <w:szCs w:val="18"/>
                              </w:rPr>
                              <w:t>造价工程师职权委托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46.8pt;width:72pt;z-index:252050432;mso-width-relative:page;mso-height-relative:page;" filled="f" stroked="f" coordsize="21600,21600" o:gfxdata="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SyfpMtUAAAAHAQAADwAAAAAAAAABACAAAAAiAAAAZHJzL2Rvd25y&#10;ZXYueG1sUEsBAhQAFAAAAAgAh07iQI0BygIBAgAA2AMAAA4AAAAAAAAAAQAgAAAAJAEAAGRycy9l&#10;Mm9Eb2MueG1sUEsFBgAAAAAGAAYAWQEAAJcFAAAAAA==&#10;">
                <v:fill on="f" focussize="0,0"/>
                <v:stroke on="f"/>
                <v:imagedata o:title=""/>
                <o:lock v:ext="edit" aspectratio="f"/>
                <v:textbox>
                  <w:txbxContent>
                    <w:p>
                      <w:pPr>
                        <w:spacing w:line="240" w:lineRule="exact"/>
                        <w:rPr>
                          <w:rFonts w:ascii="宋体" w:hAnsi="宋体"/>
                          <w:sz w:val="18"/>
                          <w:szCs w:val="18"/>
                        </w:rPr>
                      </w:pPr>
                      <w:r>
                        <w:rPr>
                          <w:rFonts w:hint="eastAsia" w:ascii="楷体_GB2312" w:hAnsi="宋体"/>
                          <w:b/>
                          <w:color w:val="000000"/>
                          <w:sz w:val="18"/>
                          <w:szCs w:val="18"/>
                        </w:rPr>
                        <w:t>造价工程师职权委托</w:t>
                      </w:r>
                    </w:p>
                  </w:txbxContent>
                </v:textbox>
              </v:shape>
            </w:pict>
          </mc:Fallback>
        </mc:AlternateContent>
      </w:r>
      <w:r>
        <w:rPr>
          <w:rFonts w:hint="eastAsia" w:ascii="宋体" w:hAnsi="宋体" w:cs="宋体"/>
          <w:color w:val="auto"/>
          <w:szCs w:val="21"/>
        </w:rPr>
        <w:t>造价工程师可按照第21.3款规定授权给其任命的造价工程师代表，亦可将其授权撤回，造价工程师代表行使造价工程师授予的职权，对造价工程师负责。造价工程师代表在造价工程师授予职权范围内工作，造价工程师应予认可，但造价工程师保留因造价工程师代表未反对合同工程的工程计量和计价工作的错误而否定该工作，并发出纠正指令的权力。未按照第21.3款规定，任何此类任命或撤回均为无效。</w:t>
      </w:r>
    </w:p>
    <w:p>
      <w:pPr>
        <w:tabs>
          <w:tab w:val="left" w:pos="1260"/>
        </w:tabs>
        <w:spacing w:line="360" w:lineRule="auto"/>
        <w:rPr>
          <w:rFonts w:ascii="宋体" w:hAnsi="宋体" w:cs="宋体"/>
          <w:color w:val="auto"/>
          <w:szCs w:val="21"/>
        </w:rPr>
      </w:pPr>
      <w:r>
        <w:rPr>
          <w:rFonts w:hint="eastAsia" w:ascii="宋体" w:hAnsi="宋体" w:cs="宋体"/>
          <w:b/>
          <w:color w:val="auto"/>
          <w:szCs w:val="21"/>
        </w:rPr>
        <w:t>24.7</w:t>
      </w:r>
      <w:r>
        <w:rPr>
          <w:rFonts w:hint="eastAsia" w:ascii="宋体" w:hAnsi="宋体" w:cs="宋体"/>
          <w:color w:val="auto"/>
          <w:szCs w:val="21"/>
        </w:rPr>
        <w:t xml:space="preserve">  </w:t>
      </w:r>
      <w:r>
        <w:rPr>
          <w:rFonts w:hint="eastAsia" w:ascii="宋体" w:hAnsi="宋体" w:cs="宋体"/>
          <w:color w:val="auto"/>
          <w:szCs w:val="21"/>
          <w:u w:val="dotted"/>
        </w:rPr>
        <w:t xml:space="preserve">                                                                                                        </w:t>
      </w:r>
    </w:p>
    <w:p>
      <w:pPr>
        <w:tabs>
          <w:tab w:val="left" w:pos="1260"/>
        </w:tabs>
        <w:spacing w:line="360" w:lineRule="auto"/>
        <w:ind w:left="1619" w:leftChars="771"/>
        <w:rPr>
          <w:rFonts w:ascii="宋体" w:hAnsi="宋体" w:cs="宋体"/>
          <w:color w:val="auto"/>
          <w:szCs w:val="21"/>
        </w:rPr>
      </w:pPr>
      <w:r>
        <w:rPr>
          <w:rFonts w:ascii="宋体" w:hAnsi="宋体" w:cs="宋体"/>
          <w:color w:val="auto"/>
          <w:szCs w:val="21"/>
        </w:rPr>
        <mc:AlternateContent>
          <mc:Choice Requires="wps">
            <w:drawing>
              <wp:anchor distT="0" distB="0" distL="114300" distR="114300" simplePos="0" relativeHeight="251788288" behindDoc="0" locked="0" layoutInCell="1" allowOverlap="1">
                <wp:simplePos x="0" y="0"/>
                <wp:positionH relativeFrom="column">
                  <wp:posOffset>-114300</wp:posOffset>
                </wp:positionH>
                <wp:positionV relativeFrom="paragraph">
                  <wp:posOffset>0</wp:posOffset>
                </wp:positionV>
                <wp:extent cx="914400" cy="594360"/>
                <wp:effectExtent l="0" t="0" r="0" b="0"/>
                <wp:wrapNone/>
                <wp:docPr id="321" name="文本框 321"/>
                <wp:cNvGraphicFramePr/>
                <a:graphic xmlns:a="http://schemas.openxmlformats.org/drawingml/2006/main">
                  <a:graphicData uri="http://schemas.microsoft.com/office/word/2010/wordprocessingShape">
                    <wps:wsp>
                      <wps:cNvSpPr txBox="1">
                        <a:spLocks noChangeArrowheads="1"/>
                      </wps:cNvSpPr>
                      <wps:spPr bwMode="auto">
                        <a:xfrm>
                          <a:off x="0" y="0"/>
                          <a:ext cx="914400" cy="59436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造价工程师未尽义务或失误的责任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46.8pt;width:72pt;z-index:251788288;mso-width-relative:page;mso-height-relative:page;" filled="f" stroked="f" coordsize="21600,21600" o:gfxdata="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SyfpMtUAAAAHAQAADwAAAAAAAAABACAAAAAiAAAAZHJzL2Rvd25y&#10;ZXYueG1sUEsBAhQAFAAAAAgAh07iQAFhEg8BAgAA2AMAAA4AAAAAAAAAAQAgAAAAJAEAAGRycy9l&#10;Mm9Eb2MueG1sUEsFBgAAAAAGAAYAWQEAAJcF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造价工程师未尽义务或失误的责任</w:t>
                      </w:r>
                    </w:p>
                  </w:txbxContent>
                </v:textbox>
              </v:shape>
            </w:pict>
          </mc:Fallback>
        </mc:AlternateContent>
      </w:r>
      <w:r>
        <w:rPr>
          <w:rFonts w:hint="eastAsia" w:ascii="宋体" w:hAnsi="宋体" w:cs="宋体"/>
          <w:color w:val="auto"/>
          <w:szCs w:val="21"/>
        </w:rPr>
        <w:t>造价工程师（含其代表）未能正确完成本合同约定的全部义务，或工作出现失误，导致费用的增加和（或）延误的工期，由发包人承担；给承包人造成损失的，发包人应予赔偿。</w:t>
      </w:r>
    </w:p>
    <w:p>
      <w:pPr>
        <w:tabs>
          <w:tab w:val="left" w:pos="540"/>
          <w:tab w:val="left" w:pos="720"/>
        </w:tabs>
        <w:spacing w:line="360" w:lineRule="auto"/>
        <w:rPr>
          <w:rFonts w:ascii="宋体" w:hAnsi="宋体" w:cs="宋体"/>
          <w:b/>
          <w:color w:val="auto"/>
          <w:szCs w:val="21"/>
          <w:u w:val="single"/>
        </w:rPr>
      </w:pPr>
      <w:r>
        <w:rPr>
          <w:rFonts w:hint="eastAsia" w:ascii="宋体" w:hAnsi="宋体" w:cs="宋体"/>
          <w:b/>
          <w:color w:val="auto"/>
          <w:szCs w:val="21"/>
          <w:u w:val="single"/>
        </w:rPr>
        <w:t xml:space="preserve">                                                                                                              </w:t>
      </w:r>
    </w:p>
    <w:p>
      <w:pPr>
        <w:tabs>
          <w:tab w:val="left" w:pos="1620"/>
        </w:tabs>
        <w:spacing w:line="360" w:lineRule="auto"/>
        <w:rPr>
          <w:rFonts w:ascii="宋体" w:hAnsi="宋体" w:cs="宋体"/>
          <w:color w:val="auto"/>
          <w:szCs w:val="21"/>
        </w:rPr>
      </w:pPr>
    </w:p>
    <w:p>
      <w:pPr>
        <w:tabs>
          <w:tab w:val="left" w:pos="540"/>
          <w:tab w:val="left" w:pos="720"/>
        </w:tabs>
        <w:spacing w:line="360" w:lineRule="auto"/>
        <w:rPr>
          <w:rFonts w:ascii="宋体" w:hAnsi="宋体" w:cs="宋体"/>
          <w:b/>
          <w:color w:val="auto"/>
          <w:szCs w:val="21"/>
        </w:rPr>
      </w:pPr>
      <w:r>
        <w:rPr>
          <w:rFonts w:hint="eastAsia" w:ascii="宋体" w:hAnsi="宋体" w:cs="宋体"/>
          <w:b/>
          <w:color w:val="auto"/>
          <w:szCs w:val="21"/>
        </w:rPr>
        <w:t>25  承包人代表</w:t>
      </w:r>
    </w:p>
    <w:p>
      <w:pPr>
        <w:tabs>
          <w:tab w:val="left" w:pos="540"/>
          <w:tab w:val="left" w:pos="720"/>
        </w:tabs>
        <w:spacing w:line="360" w:lineRule="auto"/>
        <w:rPr>
          <w:rFonts w:ascii="宋体" w:hAnsi="宋体" w:cs="宋体"/>
          <w:b/>
          <w:color w:val="auto"/>
          <w:szCs w:val="21"/>
        </w:rPr>
      </w:pPr>
      <w:r>
        <w:rPr>
          <w:rFonts w:hint="eastAsia" w:ascii="宋体" w:hAnsi="宋体" w:cs="宋体"/>
          <w:b/>
          <w:color w:val="auto"/>
          <w:szCs w:val="21"/>
        </w:rPr>
        <w:t xml:space="preserve">25.1                                 </w:t>
      </w:r>
    </w:p>
    <w:p>
      <w:pPr>
        <w:tabs>
          <w:tab w:val="left" w:pos="540"/>
          <w:tab w:val="left" w:pos="720"/>
        </w:tabs>
        <w:spacing w:line="360" w:lineRule="auto"/>
        <w:ind w:left="1619" w:leftChars="771"/>
        <w:rPr>
          <w:rFonts w:ascii="宋体" w:hAnsi="宋体" w:cs="宋体"/>
          <w:color w:val="auto"/>
          <w:kern w:val="0"/>
          <w:szCs w:val="21"/>
        </w:rPr>
      </w:pPr>
      <w:r>
        <w:rPr>
          <w:rFonts w:ascii="宋体" w:hAnsi="宋体" w:cs="宋体"/>
          <w:color w:val="auto"/>
          <w:kern w:val="0"/>
          <w:szCs w:val="21"/>
        </w:rPr>
        <mc:AlternateContent>
          <mc:Choice Requires="wps">
            <w:drawing>
              <wp:anchor distT="0" distB="0" distL="114300" distR="114300" simplePos="0" relativeHeight="251789312" behindDoc="0" locked="0" layoutInCell="1" allowOverlap="1">
                <wp:simplePos x="0" y="0"/>
                <wp:positionH relativeFrom="column">
                  <wp:posOffset>-114300</wp:posOffset>
                </wp:positionH>
                <wp:positionV relativeFrom="paragraph">
                  <wp:posOffset>0</wp:posOffset>
                </wp:positionV>
                <wp:extent cx="914400" cy="419100"/>
                <wp:effectExtent l="0" t="0" r="0" b="0"/>
                <wp:wrapNone/>
                <wp:docPr id="320" name="文本框 320"/>
                <wp:cNvGraphicFramePr/>
                <a:graphic xmlns:a="http://schemas.openxmlformats.org/drawingml/2006/main">
                  <a:graphicData uri="http://schemas.microsoft.com/office/word/2010/wordprocessingShape">
                    <wps:wsp>
                      <wps:cNvSpPr txBox="1">
                        <a:spLocks noChangeArrowheads="1"/>
                      </wps:cNvSpPr>
                      <wps:spPr bwMode="auto">
                        <a:xfrm>
                          <a:off x="0" y="0"/>
                          <a:ext cx="914400" cy="41910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承包人对其代表授权</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33pt;width:72pt;z-index:251789312;mso-width-relative:page;mso-height-relative:page;" filled="f" stroked="f" coordsize="21600,21600" o:gfxdata="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GlzqsjUAAAABwEAAA8AAAAAAAAAAQAgAAAAIgAAAGRycy9kb3ducmV2Lnht&#10;bFBLAQIUABQAAAAIAIdO4kDInsF+/QEAANgDAAAOAAAAAAAAAAEAIAAAACMBAABkcnMvZTJvRG9j&#10;LnhtbFBLBQYAAAAABgAGAFkBAACS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承包人对其代表授权</w:t>
                      </w:r>
                    </w:p>
                  </w:txbxContent>
                </v:textbox>
              </v:shape>
            </w:pict>
          </mc:Fallback>
        </mc:AlternateContent>
      </w:r>
      <w:r>
        <w:rPr>
          <w:rFonts w:hint="eastAsia" w:ascii="宋体" w:hAnsi="宋体" w:cs="宋体"/>
          <w:color w:val="auto"/>
          <w:kern w:val="0"/>
          <w:szCs w:val="21"/>
        </w:rPr>
        <w:t>承包人应依据第21.2款规定在专用条款中写明承包人代表具体人选，同时在开工前将承包人代表任命书以书面形式通知发包人，授予其代表承包人履行合同规定职责所需的一切权力。</w:t>
      </w:r>
    </w:p>
    <w:p>
      <w:pPr>
        <w:tabs>
          <w:tab w:val="left" w:pos="540"/>
          <w:tab w:val="left" w:pos="720"/>
          <w:tab w:val="left" w:pos="1260"/>
          <w:tab w:val="left" w:pos="1440"/>
        </w:tabs>
        <w:spacing w:line="360" w:lineRule="auto"/>
        <w:rPr>
          <w:rFonts w:ascii="宋体" w:hAnsi="宋体" w:cs="宋体"/>
          <w:b/>
          <w:color w:val="auto"/>
          <w:szCs w:val="21"/>
        </w:rPr>
      </w:pPr>
      <w:r>
        <w:rPr>
          <w:rFonts w:hint="eastAsia" w:ascii="宋体" w:hAnsi="宋体" w:cs="宋体"/>
          <w:b/>
          <w:color w:val="auto"/>
          <w:szCs w:val="21"/>
        </w:rPr>
        <w:t xml:space="preserve">25.2  </w:t>
      </w:r>
      <w:r>
        <w:rPr>
          <w:rFonts w:hint="eastAsia" w:ascii="宋体" w:hAnsi="宋体" w:cs="宋体"/>
          <w:b/>
          <w:color w:val="auto"/>
          <w:szCs w:val="21"/>
          <w:u w:val="dotted"/>
        </w:rPr>
        <w:t xml:space="preserve">                                                                                                        </w:t>
      </w:r>
    </w:p>
    <w:p>
      <w:pPr>
        <w:tabs>
          <w:tab w:val="left" w:pos="540"/>
          <w:tab w:val="left" w:pos="720"/>
          <w:tab w:val="left" w:pos="1260"/>
          <w:tab w:val="left" w:pos="1440"/>
        </w:tabs>
        <w:spacing w:line="360" w:lineRule="auto"/>
        <w:ind w:left="1619" w:leftChars="771" w:firstLine="2"/>
        <w:rPr>
          <w:rFonts w:ascii="宋体" w:hAnsi="宋体" w:cs="宋体"/>
          <w:color w:val="auto"/>
          <w:szCs w:val="21"/>
        </w:rPr>
      </w:pPr>
      <w:r>
        <w:rPr>
          <w:rFonts w:ascii="宋体" w:hAnsi="宋体" w:cs="宋体"/>
          <w:color w:val="auto"/>
          <w:szCs w:val="21"/>
        </w:rPr>
        <mc:AlternateContent>
          <mc:Choice Requires="wps">
            <w:drawing>
              <wp:anchor distT="0" distB="0" distL="114300" distR="114300" simplePos="0" relativeHeight="251790336" behindDoc="0" locked="0" layoutInCell="1" allowOverlap="1">
                <wp:simplePos x="0" y="0"/>
                <wp:positionH relativeFrom="column">
                  <wp:posOffset>-114300</wp:posOffset>
                </wp:positionH>
                <wp:positionV relativeFrom="paragraph">
                  <wp:posOffset>7620</wp:posOffset>
                </wp:positionV>
                <wp:extent cx="1028700" cy="396240"/>
                <wp:effectExtent l="0" t="0" r="0" b="0"/>
                <wp:wrapNone/>
                <wp:docPr id="319" name="文本框 319"/>
                <wp:cNvGraphicFramePr/>
                <a:graphic xmlns:a="http://schemas.openxmlformats.org/drawingml/2006/main">
                  <a:graphicData uri="http://schemas.microsoft.com/office/word/2010/wordprocessingShape">
                    <wps:wsp>
                      <wps:cNvSpPr txBox="1">
                        <a:spLocks noChangeArrowheads="1"/>
                      </wps:cNvSpPr>
                      <wps:spPr bwMode="auto">
                        <a:xfrm>
                          <a:off x="0" y="0"/>
                          <a:ext cx="1028700" cy="39624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承包人代表职</w:t>
                            </w:r>
                          </w:p>
                          <w:p>
                            <w:pPr>
                              <w:spacing w:line="240" w:lineRule="exact"/>
                              <w:rPr>
                                <w:rFonts w:ascii="宋体" w:hAnsi="宋体"/>
                                <w:sz w:val="18"/>
                                <w:szCs w:val="18"/>
                              </w:rPr>
                            </w:pPr>
                            <w:r>
                              <w:rPr>
                                <w:rFonts w:hint="eastAsia" w:ascii="楷体_GB2312" w:hAnsi="宋体"/>
                                <w:b/>
                                <w:color w:val="000000"/>
                                <w:sz w:val="18"/>
                                <w:szCs w:val="18"/>
                              </w:rPr>
                              <w:t>权</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6pt;height:31.2pt;width:81pt;z-index:251790336;mso-width-relative:page;mso-height-relative:page;" filled="f" stroked="f" coordsize="21600,21600" o:gfxdata="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4yfBG1QAAAAgBAAAPAAAAAAAAAAEAIAAAACIAAABkcnMvZG93&#10;bnJldi54bWxQSwECFAAUAAAACACHTuJAnmXnjQMCAADZAwAADgAAAAAAAAABACAAAAAkAQAAZHJz&#10;L2Uyb0RvYy54bWxQSwUGAAAAAAYABgBZAQAAmQ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承包人代表职</w:t>
                      </w:r>
                    </w:p>
                    <w:p>
                      <w:pPr>
                        <w:spacing w:line="240" w:lineRule="exact"/>
                        <w:rPr>
                          <w:rFonts w:ascii="宋体" w:hAnsi="宋体"/>
                          <w:sz w:val="18"/>
                          <w:szCs w:val="18"/>
                        </w:rPr>
                      </w:pPr>
                      <w:r>
                        <w:rPr>
                          <w:rFonts w:hint="eastAsia" w:ascii="楷体_GB2312" w:hAnsi="宋体"/>
                          <w:b/>
                          <w:color w:val="000000"/>
                          <w:sz w:val="18"/>
                          <w:szCs w:val="18"/>
                        </w:rPr>
                        <w:t>权</w:t>
                      </w:r>
                    </w:p>
                  </w:txbxContent>
                </v:textbox>
              </v:shape>
            </w:pict>
          </mc:Fallback>
        </mc:AlternateContent>
      </w:r>
      <w:r>
        <w:rPr>
          <w:rFonts w:hint="eastAsia" w:ascii="宋体" w:hAnsi="宋体" w:cs="宋体"/>
          <w:color w:val="auto"/>
          <w:szCs w:val="21"/>
        </w:rPr>
        <w:t>承包人代表应代表承包人履行合同规定的职责、行使合同明文约定或必然隐含的权力，对承包人负责。承包人代表在承包人授予职权范围内的工作，承包人应予认可。</w:t>
      </w:r>
    </w:p>
    <w:p>
      <w:pPr>
        <w:spacing w:line="360" w:lineRule="auto"/>
        <w:rPr>
          <w:rFonts w:ascii="宋体" w:hAnsi="宋体" w:cs="宋体"/>
          <w:b/>
          <w:color w:val="auto"/>
          <w:szCs w:val="21"/>
        </w:rPr>
      </w:pPr>
      <w:r>
        <w:rPr>
          <w:rFonts w:hint="eastAsia" w:ascii="宋体" w:hAnsi="宋体" w:cs="宋体"/>
          <w:b/>
          <w:color w:val="auto"/>
          <w:szCs w:val="21"/>
        </w:rPr>
        <w:t xml:space="preserve">25.3  </w:t>
      </w:r>
      <w:r>
        <w:rPr>
          <w:rFonts w:hint="eastAsia" w:ascii="宋体" w:hAnsi="宋体" w:cs="宋体"/>
          <w:b/>
          <w:color w:val="auto"/>
          <w:szCs w:val="21"/>
          <w:u w:val="dotted"/>
        </w:rPr>
        <w:t xml:space="preserve">                                                                                                        </w:t>
      </w:r>
    </w:p>
    <w:p>
      <w:pPr>
        <w:spacing w:line="360" w:lineRule="auto"/>
        <w:ind w:left="1619" w:leftChars="771"/>
        <w:rPr>
          <w:rFonts w:ascii="宋体" w:hAnsi="宋体" w:cs="宋体"/>
          <w:color w:val="auto"/>
          <w:szCs w:val="21"/>
        </w:rPr>
      </w:pPr>
      <w:r>
        <w:rPr>
          <w:rFonts w:ascii="宋体" w:hAnsi="宋体" w:cs="宋体"/>
          <w:color w:val="auto"/>
          <w:szCs w:val="21"/>
        </w:rPr>
        <mc:AlternateContent>
          <mc:Choice Requires="wps">
            <w:drawing>
              <wp:anchor distT="0" distB="0" distL="114300" distR="114300" simplePos="0" relativeHeight="251791360" behindDoc="0" locked="0" layoutInCell="1" allowOverlap="1">
                <wp:simplePos x="0" y="0"/>
                <wp:positionH relativeFrom="column">
                  <wp:posOffset>-114300</wp:posOffset>
                </wp:positionH>
                <wp:positionV relativeFrom="paragraph">
                  <wp:posOffset>0</wp:posOffset>
                </wp:positionV>
                <wp:extent cx="914400" cy="487680"/>
                <wp:effectExtent l="0" t="0" r="0" b="0"/>
                <wp:wrapNone/>
                <wp:docPr id="318" name="文本框 318"/>
                <wp:cNvGraphicFramePr/>
                <a:graphic xmlns:a="http://schemas.openxmlformats.org/drawingml/2006/main">
                  <a:graphicData uri="http://schemas.microsoft.com/office/word/2010/wordprocessingShape">
                    <wps:wsp>
                      <wps:cNvSpPr txBox="1">
                        <a:spLocks noChangeArrowheads="1"/>
                      </wps:cNvSpPr>
                      <wps:spPr bwMode="auto">
                        <a:xfrm>
                          <a:off x="0" y="0"/>
                          <a:ext cx="914400" cy="48768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承包人代表临时任命人职权</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38.4pt;width:72pt;z-index:251791360;mso-width-relative:page;mso-height-relative:page;" filled="f" stroked="f" coordsize="21600,21600" o:gfxdata="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cu3RXtUAAAAHAQAADwAAAAAAAAABACAAAAAiAAAAZHJzL2Rvd25y&#10;ZXYueG1sUEsBAhQAFAAAAAgAh07iQAbazj4BAgAA2AMAAA4AAAAAAAAAAQAgAAAAJAEAAGRycy9l&#10;Mm9Eb2MueG1sUEsFBgAAAAAGAAYAWQEAAJcF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承包人代表临时任命人职权</w:t>
                      </w:r>
                    </w:p>
                  </w:txbxContent>
                </v:textbox>
              </v:shape>
            </w:pict>
          </mc:Fallback>
        </mc:AlternateContent>
      </w:r>
      <w:r>
        <w:rPr>
          <w:rFonts w:hint="eastAsia" w:ascii="宋体" w:hAnsi="宋体" w:cs="宋体"/>
          <w:color w:val="auto"/>
          <w:szCs w:val="21"/>
        </w:rPr>
        <w:t>如果承包人代表在合同履行期间确需暂离现场，则应在监理工程师同意下，按照第21.4款规定授权给其任命的合格人选，亦可将其授权撤回。任命的人选行使承包人代表授予的职权，对承包人代表负责。该人选在承包人代表授予职权范围内的工作，承包人代表应予认可，但承包人代表保留因该人选未曾对实施、完成合同工程工作错误加以反对的失误而否定该工作，并发出纠正通知的权力。未按照第21.4款规定，任何此类任命或撤回均为无效。</w:t>
      </w:r>
    </w:p>
    <w:p>
      <w:pPr>
        <w:spacing w:line="360" w:lineRule="auto"/>
        <w:rPr>
          <w:rFonts w:ascii="宋体" w:hAnsi="宋体" w:cs="宋体"/>
          <w:b/>
          <w:color w:val="auto"/>
          <w:szCs w:val="21"/>
        </w:rPr>
      </w:pPr>
      <w:r>
        <w:rPr>
          <w:rFonts w:hint="eastAsia" w:ascii="宋体" w:hAnsi="宋体" w:cs="宋体"/>
          <w:b/>
          <w:color w:val="auto"/>
          <w:szCs w:val="21"/>
        </w:rPr>
        <w:t xml:space="preserve">25.4  </w:t>
      </w:r>
      <w:r>
        <w:rPr>
          <w:rFonts w:hint="eastAsia" w:ascii="宋体" w:hAnsi="宋体" w:cs="宋体"/>
          <w:b/>
          <w:color w:val="auto"/>
          <w:szCs w:val="21"/>
          <w:u w:val="dotted"/>
        </w:rPr>
        <w:t xml:space="preserve">                                                                                                        </w:t>
      </w:r>
    </w:p>
    <w:p>
      <w:pPr>
        <w:spacing w:line="360" w:lineRule="auto"/>
        <w:ind w:left="1619" w:leftChars="771"/>
        <w:rPr>
          <w:rFonts w:ascii="宋体" w:hAnsi="宋体" w:cs="宋体"/>
          <w:color w:val="auto"/>
          <w:szCs w:val="21"/>
        </w:rPr>
      </w:pPr>
      <w:r>
        <w:rPr>
          <w:rFonts w:ascii="宋体" w:hAnsi="宋体" w:cs="宋体"/>
          <w:color w:val="auto"/>
          <w:szCs w:val="21"/>
        </w:rPr>
        <mc:AlternateContent>
          <mc:Choice Requires="wps">
            <w:drawing>
              <wp:anchor distT="0" distB="0" distL="114300" distR="114300" simplePos="0" relativeHeight="251792384" behindDoc="0" locked="0" layoutInCell="1" allowOverlap="1">
                <wp:simplePos x="0" y="0"/>
                <wp:positionH relativeFrom="column">
                  <wp:posOffset>-114300</wp:posOffset>
                </wp:positionH>
                <wp:positionV relativeFrom="paragraph">
                  <wp:posOffset>0</wp:posOffset>
                </wp:positionV>
                <wp:extent cx="914400" cy="762000"/>
                <wp:effectExtent l="0" t="0" r="0" b="0"/>
                <wp:wrapNone/>
                <wp:docPr id="317" name="文本框 317"/>
                <wp:cNvGraphicFramePr/>
                <a:graphic xmlns:a="http://schemas.openxmlformats.org/drawingml/2006/main">
                  <a:graphicData uri="http://schemas.microsoft.com/office/word/2010/wordprocessingShape">
                    <wps:wsp>
                      <wps:cNvSpPr txBox="1">
                        <a:spLocks noChangeArrowheads="1"/>
                      </wps:cNvSpPr>
                      <wps:spPr bwMode="auto">
                        <a:xfrm>
                          <a:off x="0" y="0"/>
                          <a:ext cx="914400" cy="76200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紧急情况时承包人代表采取措施及双方责任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60pt;width:72pt;z-index:251792384;mso-width-relative:page;mso-height-relative:page;" filled="f" stroked="f" coordsize="21600,21600" o:gfxdata="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Pa72VvUAAAACAEAAA8AAAAAAAAAAQAgAAAAIgAAAGRycy9kb3ducmV2&#10;LnhtbFBLAQIUABQAAAAIAIdO4kCaXstmAAIAANgDAAAOAAAAAAAAAAEAIAAAACMBAABkcnMvZTJv&#10;RG9jLnhtbFBLBQYAAAAABgAGAFkBAACV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紧急情况时承包人代表采取措施及双方责任</w:t>
                      </w:r>
                    </w:p>
                  </w:txbxContent>
                </v:textbox>
              </v:shape>
            </w:pict>
          </mc:Fallback>
        </mc:AlternateContent>
      </w:r>
      <w:r>
        <w:rPr>
          <w:rFonts w:hint="eastAsia" w:ascii="宋体" w:hAnsi="宋体" w:cs="宋体"/>
          <w:color w:val="auto"/>
          <w:szCs w:val="21"/>
        </w:rPr>
        <w:t>承包人代表按照经发包人认可的施工组织设计和监理工程师发出的指令组织施工。在紧急情况下，且无法与监理工程师取得联系时，承包人代表应立即采取保证人员生命和工程、财产安全的有效措施，并在采取措施后48小时内向监理工程师提交书面报告，通知发包人。属于发包人或第三方责任的，其发生的费用和（或）延误的工期由发包人承担，并支付承包人合理利润；属于承包人责任的，其发生的费用和（或）延误的工期由承包人承担。</w:t>
      </w:r>
    </w:p>
    <w:p>
      <w:pPr>
        <w:tabs>
          <w:tab w:val="left" w:pos="540"/>
        </w:tabs>
        <w:adjustRightInd w:val="0"/>
        <w:snapToGrid w:val="0"/>
        <w:spacing w:line="360" w:lineRule="auto"/>
        <w:ind w:right="-240"/>
        <w:rPr>
          <w:rFonts w:ascii="宋体" w:hAnsi="宋体" w:cs="宋体"/>
          <w:b/>
          <w:color w:val="auto"/>
          <w:kern w:val="0"/>
          <w:szCs w:val="21"/>
          <w:u w:val="single"/>
        </w:rPr>
      </w:pPr>
      <w:bookmarkStart w:id="300" w:name="_Toc468936969"/>
      <w:r>
        <w:rPr>
          <w:rFonts w:hint="eastAsia" w:ascii="宋体" w:hAnsi="宋体" w:cs="宋体"/>
          <w:b/>
          <w:color w:val="auto"/>
          <w:kern w:val="0"/>
          <w:szCs w:val="21"/>
          <w:u w:val="single"/>
        </w:rPr>
        <w:t xml:space="preserve">                                                                                                             </w:t>
      </w:r>
    </w:p>
    <w:p>
      <w:pPr>
        <w:tabs>
          <w:tab w:val="left" w:pos="540"/>
        </w:tabs>
        <w:adjustRightInd w:val="0"/>
        <w:snapToGrid w:val="0"/>
        <w:spacing w:beforeLines="100"/>
        <w:ind w:right="-238"/>
        <w:rPr>
          <w:rFonts w:ascii="宋体" w:hAnsi="宋体" w:cs="宋体"/>
          <w:b/>
          <w:color w:val="auto"/>
          <w:kern w:val="0"/>
          <w:szCs w:val="21"/>
        </w:rPr>
      </w:pPr>
    </w:p>
    <w:p>
      <w:pPr>
        <w:tabs>
          <w:tab w:val="left" w:pos="540"/>
        </w:tabs>
        <w:adjustRightInd w:val="0"/>
        <w:snapToGrid w:val="0"/>
        <w:ind w:right="-240"/>
        <w:rPr>
          <w:rFonts w:ascii="宋体" w:hAnsi="宋体" w:cs="宋体"/>
          <w:b/>
          <w:color w:val="auto"/>
          <w:kern w:val="0"/>
          <w:szCs w:val="21"/>
        </w:rPr>
      </w:pPr>
      <w:r>
        <w:rPr>
          <w:rFonts w:hint="eastAsia" w:ascii="宋体" w:hAnsi="宋体" w:cs="宋体"/>
          <w:b/>
          <w:color w:val="auto"/>
          <w:kern w:val="0"/>
          <w:szCs w:val="21"/>
        </w:rPr>
        <w:t>26  指定分包</w:t>
      </w:r>
      <w:bookmarkEnd w:id="300"/>
      <w:r>
        <w:rPr>
          <w:rFonts w:hint="eastAsia" w:ascii="宋体" w:hAnsi="宋体" w:cs="宋体"/>
          <w:b/>
          <w:color w:val="auto"/>
          <w:kern w:val="0"/>
          <w:szCs w:val="21"/>
        </w:rPr>
        <w:t>人</w:t>
      </w:r>
    </w:p>
    <w:p>
      <w:pPr>
        <w:spacing w:line="360" w:lineRule="auto"/>
        <w:rPr>
          <w:rFonts w:ascii="宋体" w:hAnsi="宋体" w:cs="宋体"/>
          <w:b/>
          <w:color w:val="auto"/>
          <w:szCs w:val="21"/>
        </w:rPr>
      </w:pPr>
      <w:r>
        <w:rPr>
          <w:rFonts w:hint="eastAsia" w:ascii="宋体" w:hAnsi="宋体" w:cs="宋体"/>
          <w:b/>
          <w:color w:val="auto"/>
          <w:szCs w:val="21"/>
        </w:rPr>
        <w:t xml:space="preserve">26.1 </w:t>
      </w:r>
    </w:p>
    <w:p>
      <w:pPr>
        <w:adjustRightInd w:val="0"/>
        <w:snapToGrid w:val="0"/>
        <w:spacing w:line="360" w:lineRule="auto"/>
        <w:ind w:left="1978" w:leftChars="942"/>
        <w:rPr>
          <w:rFonts w:ascii="宋体" w:hAnsi="宋体" w:cs="宋体"/>
          <w:color w:val="auto"/>
          <w:kern w:val="0"/>
          <w:szCs w:val="21"/>
        </w:rPr>
      </w:pPr>
      <w:r>
        <w:rPr>
          <w:rFonts w:ascii="宋体" w:hAnsi="宋体" w:cs="宋体"/>
          <w:color w:val="auto"/>
          <w:kern w:val="0"/>
          <w:szCs w:val="21"/>
        </w:rPr>
        <mc:AlternateContent>
          <mc:Choice Requires="wps">
            <w:drawing>
              <wp:anchor distT="0" distB="0" distL="114300" distR="114300" simplePos="0" relativeHeight="251899904" behindDoc="0" locked="0" layoutInCell="1" allowOverlap="1">
                <wp:simplePos x="0" y="0"/>
                <wp:positionH relativeFrom="column">
                  <wp:posOffset>-114300</wp:posOffset>
                </wp:positionH>
                <wp:positionV relativeFrom="paragraph">
                  <wp:posOffset>60325</wp:posOffset>
                </wp:positionV>
                <wp:extent cx="914400" cy="693420"/>
                <wp:effectExtent l="0" t="0" r="0" b="0"/>
                <wp:wrapNone/>
                <wp:docPr id="316" name="文本框 316"/>
                <wp:cNvGraphicFramePr/>
                <a:graphic xmlns:a="http://schemas.openxmlformats.org/drawingml/2006/main">
                  <a:graphicData uri="http://schemas.microsoft.com/office/word/2010/wordprocessingShape">
                    <wps:wsp>
                      <wps:cNvSpPr txBox="1">
                        <a:spLocks noChangeArrowheads="1"/>
                      </wps:cNvSpPr>
                      <wps:spPr bwMode="auto">
                        <a:xfrm>
                          <a:off x="0" y="0"/>
                          <a:ext cx="914400" cy="69342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指定分包人工作</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4.75pt;height:54.6pt;width:72pt;z-index:251899904;mso-width-relative:page;mso-height-relative:page;" filled="f" stroked="f" coordsize="21600,21600" o:gfxdata="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Rey6tdYAAAAJAQAADwAAAAAAAAABACAAAAAiAAAAZHJzL2Rvd25y&#10;ZXYueG1sUEsBAhQAFAAAAAgAh07iQEJm9pUAAgAA2AMAAA4AAAAAAAAAAQAgAAAAJQEAAGRycy9l&#10;Mm9Eb2MueG1sUEsFBgAAAAAGAAYAWQEAAJcF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指定分包人工作</w:t>
                      </w:r>
                    </w:p>
                  </w:txbxContent>
                </v:textbox>
              </v:shape>
            </w:pict>
          </mc:Fallback>
        </mc:AlternateContent>
      </w:r>
      <w:r>
        <w:rPr>
          <w:rFonts w:hint="eastAsia" w:ascii="宋体" w:hAnsi="宋体" w:cs="宋体"/>
          <w:color w:val="auto"/>
          <w:kern w:val="0"/>
          <w:szCs w:val="21"/>
        </w:rPr>
        <w:t>指定分包人是指发包人事先指定的从事下列工作之一的分包人：</w:t>
      </w:r>
    </w:p>
    <w:p>
      <w:pPr>
        <w:widowControl/>
        <w:adjustRightInd w:val="0"/>
        <w:snapToGrid w:val="0"/>
        <w:spacing w:line="360" w:lineRule="auto"/>
        <w:ind w:left="1978"/>
        <w:jc w:val="left"/>
        <w:rPr>
          <w:rFonts w:ascii="宋体" w:hAnsi="宋体" w:cs="宋体"/>
          <w:color w:val="auto"/>
          <w:kern w:val="0"/>
          <w:szCs w:val="21"/>
        </w:rPr>
      </w:pPr>
      <w:r>
        <w:rPr>
          <w:rFonts w:hint="eastAsia" w:ascii="宋体" w:hAnsi="宋体" w:cs="宋体"/>
          <w:color w:val="auto"/>
          <w:kern w:val="0"/>
          <w:szCs w:val="21"/>
        </w:rPr>
        <w:t>（1）根据专用条款的约定，发包人依法事先指定的实施、完成部分永久工程的分包人；</w:t>
      </w:r>
    </w:p>
    <w:p>
      <w:pPr>
        <w:widowControl/>
        <w:adjustRightInd w:val="0"/>
        <w:snapToGrid w:val="0"/>
        <w:spacing w:line="360" w:lineRule="auto"/>
        <w:ind w:left="1978" w:leftChars="942" w:firstLine="14" w:firstLineChars="7"/>
        <w:jc w:val="left"/>
        <w:rPr>
          <w:rFonts w:ascii="宋体" w:hAnsi="宋体" w:cs="宋体"/>
          <w:color w:val="auto"/>
          <w:kern w:val="0"/>
          <w:szCs w:val="21"/>
        </w:rPr>
      </w:pPr>
      <w:r>
        <w:rPr>
          <w:rFonts w:hint="eastAsia" w:ascii="宋体" w:hAnsi="宋体" w:cs="宋体"/>
          <w:color w:val="auto"/>
          <w:kern w:val="0"/>
          <w:szCs w:val="21"/>
        </w:rPr>
        <w:t>（2）根据专用条款的约定，发包人选定的提供合同工程材料、工程设备和服务的分包人。</w:t>
      </w:r>
    </w:p>
    <w:p>
      <w:pPr>
        <w:spacing w:line="360" w:lineRule="auto"/>
        <w:rPr>
          <w:rFonts w:ascii="宋体" w:hAnsi="宋体" w:cs="宋体"/>
          <w:b/>
          <w:color w:val="auto"/>
          <w:szCs w:val="21"/>
        </w:rPr>
      </w:pPr>
      <w:r>
        <w:rPr>
          <w:rFonts w:hint="eastAsia" w:ascii="宋体" w:hAnsi="宋体" w:cs="宋体"/>
          <w:b/>
          <w:color w:val="auto"/>
          <w:szCs w:val="21"/>
        </w:rPr>
        <w:t xml:space="preserve">26.2  </w:t>
      </w:r>
      <w:r>
        <w:rPr>
          <w:rFonts w:hint="eastAsia" w:ascii="宋体" w:hAnsi="宋体" w:cs="宋体"/>
          <w:b/>
          <w:color w:val="auto"/>
          <w:szCs w:val="21"/>
          <w:u w:val="dotted"/>
        </w:rPr>
        <w:t xml:space="preserve">                                                                             </w:t>
      </w:r>
    </w:p>
    <w:p>
      <w:pPr>
        <w:widowControl/>
        <w:adjustRightInd w:val="0"/>
        <w:snapToGrid w:val="0"/>
        <w:spacing w:line="360" w:lineRule="auto"/>
        <w:ind w:left="1978" w:leftChars="942" w:firstLine="2" w:firstLineChars="1"/>
        <w:jc w:val="left"/>
        <w:rPr>
          <w:rFonts w:ascii="宋体" w:hAnsi="宋体" w:cs="宋体"/>
          <w:color w:val="auto"/>
          <w:kern w:val="0"/>
          <w:szCs w:val="21"/>
        </w:rPr>
      </w:pPr>
      <w:r>
        <w:rPr>
          <w:rFonts w:ascii="宋体" w:hAnsi="宋体" w:cs="宋体"/>
          <w:color w:val="auto"/>
          <w:kern w:val="0"/>
          <w:szCs w:val="21"/>
        </w:rPr>
        <mc:AlternateContent>
          <mc:Choice Requires="wps">
            <w:drawing>
              <wp:anchor distT="0" distB="0" distL="114300" distR="114300" simplePos="0" relativeHeight="251901952" behindDoc="0" locked="0" layoutInCell="1" allowOverlap="1">
                <wp:simplePos x="0" y="0"/>
                <wp:positionH relativeFrom="column">
                  <wp:posOffset>-114300</wp:posOffset>
                </wp:positionH>
                <wp:positionV relativeFrom="paragraph">
                  <wp:posOffset>0</wp:posOffset>
                </wp:positionV>
                <wp:extent cx="1028700" cy="627380"/>
                <wp:effectExtent l="0" t="0" r="0" b="0"/>
                <wp:wrapNone/>
                <wp:docPr id="315" name="文本框 315"/>
                <wp:cNvGraphicFramePr/>
                <a:graphic xmlns:a="http://schemas.openxmlformats.org/drawingml/2006/main">
                  <a:graphicData uri="http://schemas.microsoft.com/office/word/2010/wordprocessingShape">
                    <wps:wsp>
                      <wps:cNvSpPr txBox="1">
                        <a:spLocks noChangeArrowheads="1"/>
                      </wps:cNvSpPr>
                      <wps:spPr bwMode="auto">
                        <a:xfrm>
                          <a:off x="0" y="0"/>
                          <a:ext cx="1028700" cy="62738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承包人对指定分包人的接受</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49.4pt;width:81pt;z-index:251901952;mso-width-relative:page;mso-height-relative:page;" filled="f" stroked="f" coordsize="21600,21600" o:gfxdata="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AaA7AbUAAAABwEAAA8AAAAAAAAAAQAgAAAAIgAAAGRycy9kb3du&#10;cmV2LnhtbFBLAQIUABQAAAAIAIdO4kDAqMmRAwIAANkDAAAOAAAAAAAAAAEAIAAAACMBAABkcnMv&#10;ZTJvRG9jLnhtbFBLBQYAAAAABgAGAFkBAACY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承包人对指定分包人的接受</w:t>
                      </w:r>
                    </w:p>
                  </w:txbxContent>
                </v:textbox>
              </v:shape>
            </w:pict>
          </mc:Fallback>
        </mc:AlternateContent>
      </w:r>
      <w:r>
        <w:rPr>
          <w:rFonts w:hint="eastAsia" w:ascii="宋体" w:hAnsi="宋体" w:cs="宋体"/>
          <w:color w:val="auto"/>
          <w:kern w:val="0"/>
          <w:szCs w:val="21"/>
        </w:rPr>
        <w:t>指定分包人属于承包人的分包人，发包人不应要求承包人有义务接受承包人有理由反对的任何指定分包人。</w:t>
      </w:r>
    </w:p>
    <w:p>
      <w:pPr>
        <w:spacing w:line="360" w:lineRule="auto"/>
        <w:rPr>
          <w:rFonts w:ascii="宋体" w:hAnsi="宋体" w:cs="宋体"/>
          <w:b/>
          <w:color w:val="auto"/>
          <w:szCs w:val="21"/>
        </w:rPr>
      </w:pPr>
    </w:p>
    <w:p>
      <w:pPr>
        <w:spacing w:line="360" w:lineRule="auto"/>
        <w:rPr>
          <w:rFonts w:ascii="宋体" w:hAnsi="宋体" w:cs="宋体"/>
          <w:b/>
          <w:color w:val="auto"/>
          <w:szCs w:val="21"/>
        </w:rPr>
      </w:pPr>
    </w:p>
    <w:p>
      <w:pPr>
        <w:spacing w:line="360" w:lineRule="auto"/>
        <w:rPr>
          <w:rFonts w:ascii="宋体" w:hAnsi="宋体" w:cs="宋体"/>
          <w:b/>
          <w:color w:val="auto"/>
          <w:szCs w:val="21"/>
          <w:u w:val="dotted"/>
        </w:rPr>
      </w:pPr>
      <w:r>
        <w:rPr>
          <w:rFonts w:ascii="宋体" w:hAnsi="宋体" w:cs="宋体"/>
          <w:color w:val="auto"/>
          <w:szCs w:val="21"/>
        </w:rPr>
        <mc:AlternateContent>
          <mc:Choice Requires="wps">
            <w:drawing>
              <wp:anchor distT="0" distB="0" distL="114300" distR="114300" simplePos="0" relativeHeight="251902976" behindDoc="0" locked="0" layoutInCell="1" allowOverlap="1">
                <wp:simplePos x="0" y="0"/>
                <wp:positionH relativeFrom="column">
                  <wp:posOffset>-114300</wp:posOffset>
                </wp:positionH>
                <wp:positionV relativeFrom="paragraph">
                  <wp:posOffset>237490</wp:posOffset>
                </wp:positionV>
                <wp:extent cx="1028700" cy="699135"/>
                <wp:effectExtent l="0" t="0" r="0" b="0"/>
                <wp:wrapNone/>
                <wp:docPr id="314" name="文本框 314"/>
                <wp:cNvGraphicFramePr/>
                <a:graphic xmlns:a="http://schemas.openxmlformats.org/drawingml/2006/main">
                  <a:graphicData uri="http://schemas.microsoft.com/office/word/2010/wordprocessingShape">
                    <wps:wsp>
                      <wps:cNvSpPr txBox="1">
                        <a:spLocks noChangeArrowheads="1"/>
                      </wps:cNvSpPr>
                      <wps:spPr bwMode="auto">
                        <a:xfrm>
                          <a:off x="0" y="0"/>
                          <a:ext cx="1028700" cy="69913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指定分包工程款结算与支付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8.7pt;height:55.05pt;width:81pt;z-index:251902976;mso-width-relative:page;mso-height-relative:page;" filled="f" stroked="f" coordsize="21600,21600" o:gfxdata="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7ywcu2AAAAAoBAAAPAAAAAAAAAAEAIAAAACIAAABkcnMv&#10;ZG93bnJldi54bWxQSwECFAAUAAAACACHTuJAa/4P2wMCAADZAwAADgAAAAAAAAABACAAAAAnAQAA&#10;ZHJzL2Uyb0RvYy54bWxQSwUGAAAAAAYABgBZAQAAnA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指定分包工程款结算与支付</w:t>
                      </w:r>
                    </w:p>
                  </w:txbxContent>
                </v:textbox>
              </v:shape>
            </w:pict>
          </mc:Fallback>
        </mc:AlternateContent>
      </w:r>
      <w:r>
        <w:rPr>
          <w:rFonts w:hint="eastAsia" w:ascii="宋体" w:hAnsi="宋体" w:cs="宋体"/>
          <w:b/>
          <w:color w:val="auto"/>
          <w:szCs w:val="21"/>
        </w:rPr>
        <w:t xml:space="preserve">26.3  </w:t>
      </w:r>
      <w:r>
        <w:rPr>
          <w:rFonts w:hint="eastAsia" w:ascii="宋体" w:hAnsi="宋体" w:cs="宋体"/>
          <w:b/>
          <w:color w:val="auto"/>
          <w:szCs w:val="21"/>
          <w:u w:val="dotted"/>
        </w:rPr>
        <w:t xml:space="preserve">                                                                              </w:t>
      </w:r>
    </w:p>
    <w:p>
      <w:pPr>
        <w:widowControl/>
        <w:adjustRightInd w:val="0"/>
        <w:snapToGrid w:val="0"/>
        <w:spacing w:line="360" w:lineRule="auto"/>
        <w:ind w:firstLine="1680" w:firstLineChars="800"/>
        <w:jc w:val="left"/>
        <w:rPr>
          <w:rFonts w:ascii="宋体" w:hAnsi="宋体" w:cs="宋体"/>
          <w:color w:val="auto"/>
          <w:kern w:val="0"/>
          <w:szCs w:val="21"/>
        </w:rPr>
      </w:pPr>
      <w:r>
        <w:rPr>
          <w:rFonts w:hint="eastAsia" w:ascii="宋体" w:hAnsi="宋体" w:cs="宋体"/>
          <w:color w:val="auto"/>
          <w:kern w:val="0"/>
          <w:szCs w:val="21"/>
        </w:rPr>
        <w:t>发包人应按照合同的约定向承包人支付指定分包人的分包工程配合费。</w:t>
      </w:r>
    </w:p>
    <w:p>
      <w:pPr>
        <w:widowControl/>
        <w:adjustRightInd w:val="0"/>
        <w:snapToGrid w:val="0"/>
        <w:spacing w:line="360" w:lineRule="auto"/>
        <w:ind w:left="1978"/>
        <w:jc w:val="left"/>
        <w:rPr>
          <w:rFonts w:ascii="宋体" w:hAnsi="宋体" w:cs="宋体"/>
          <w:color w:val="auto"/>
          <w:kern w:val="0"/>
          <w:szCs w:val="21"/>
        </w:rPr>
      </w:pPr>
      <w:r>
        <w:rPr>
          <w:rFonts w:hint="eastAsia" w:ascii="宋体" w:hAnsi="宋体" w:cs="宋体"/>
          <w:color w:val="auto"/>
          <w:kern w:val="0"/>
          <w:szCs w:val="21"/>
        </w:rPr>
        <w:t>指定分包工程款的结算与支付，按照第7.4款办理。</w:t>
      </w:r>
    </w:p>
    <w:p>
      <w:pPr>
        <w:spacing w:line="360" w:lineRule="auto"/>
        <w:rPr>
          <w:rFonts w:ascii="宋体" w:hAnsi="宋体" w:cs="宋体"/>
          <w:b/>
          <w:color w:val="auto"/>
          <w:szCs w:val="21"/>
          <w:u w:val="dotted"/>
        </w:rPr>
      </w:pPr>
      <w:r>
        <w:rPr>
          <w:rFonts w:ascii="宋体" w:hAnsi="宋体" w:cs="宋体"/>
          <w:color w:val="auto"/>
          <w:szCs w:val="21"/>
        </w:rPr>
        <mc:AlternateContent>
          <mc:Choice Requires="wps">
            <w:drawing>
              <wp:anchor distT="0" distB="0" distL="114300" distR="114300" simplePos="0" relativeHeight="251900928" behindDoc="0" locked="0" layoutInCell="1" allowOverlap="1">
                <wp:simplePos x="0" y="0"/>
                <wp:positionH relativeFrom="column">
                  <wp:posOffset>-66675</wp:posOffset>
                </wp:positionH>
                <wp:positionV relativeFrom="paragraph">
                  <wp:posOffset>199390</wp:posOffset>
                </wp:positionV>
                <wp:extent cx="1133475" cy="791845"/>
                <wp:effectExtent l="0" t="0" r="0" b="0"/>
                <wp:wrapNone/>
                <wp:docPr id="313" name="文本框 313"/>
                <wp:cNvGraphicFramePr/>
                <a:graphic xmlns:a="http://schemas.openxmlformats.org/drawingml/2006/main">
                  <a:graphicData uri="http://schemas.microsoft.com/office/word/2010/wordprocessingShape">
                    <wps:wsp>
                      <wps:cNvSpPr txBox="1">
                        <a:spLocks noChangeArrowheads="1"/>
                      </wps:cNvSpPr>
                      <wps:spPr bwMode="auto">
                        <a:xfrm>
                          <a:off x="0" y="0"/>
                          <a:ext cx="1133475" cy="79184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承包人对指定</w:t>
                            </w:r>
                          </w:p>
                          <w:p>
                            <w:pPr>
                              <w:spacing w:line="240" w:lineRule="exact"/>
                              <w:rPr>
                                <w:rFonts w:ascii="楷体_GB2312" w:hAnsi="宋体"/>
                                <w:b/>
                                <w:color w:val="000000"/>
                                <w:sz w:val="18"/>
                                <w:szCs w:val="18"/>
                              </w:rPr>
                            </w:pPr>
                            <w:r>
                              <w:rPr>
                                <w:rFonts w:hint="eastAsia" w:ascii="楷体_GB2312" w:hAnsi="宋体"/>
                                <w:b/>
                                <w:color w:val="000000"/>
                                <w:sz w:val="18"/>
                                <w:szCs w:val="18"/>
                              </w:rPr>
                              <w:t>分包工程的义</w:t>
                            </w:r>
                          </w:p>
                          <w:p>
                            <w:pPr>
                              <w:spacing w:line="240" w:lineRule="exact"/>
                              <w:rPr>
                                <w:rFonts w:ascii="楷体_GB2312" w:hAnsi="宋体"/>
                                <w:b/>
                                <w:color w:val="000000"/>
                                <w:sz w:val="18"/>
                                <w:szCs w:val="18"/>
                              </w:rPr>
                            </w:pPr>
                            <w:r>
                              <w:rPr>
                                <w:rFonts w:hint="eastAsia" w:ascii="楷体_GB2312" w:hAnsi="宋体"/>
                                <w:b/>
                                <w:color w:val="000000"/>
                                <w:sz w:val="18"/>
                                <w:szCs w:val="18"/>
                              </w:rPr>
                              <w:t>务</w:t>
                            </w:r>
                          </w:p>
                          <w:p>
                            <w:pPr>
                              <w:rPr>
                                <w:rFonts w:ascii="楷体_GB2312" w:hAnsi="宋体"/>
                                <w:b/>
                                <w:color w:val="000000"/>
                              </w:rPr>
                            </w:pPr>
                          </w:p>
                          <w:p/>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25pt;margin-top:15.7pt;height:62.35pt;width:89.25pt;z-index:251900928;mso-width-relative:page;mso-height-relative:page;" filled="f" stroked="f" coordsize="21600,21600" o:gfxdata="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JTIIv1wAAAAoBAAAPAAAAAAAAAAEAIAAAACIAAABkcnMv&#10;ZG93bnJldi54bWxQSwECFAAUAAAACACHTuJAbk545QQCAADZAwAADgAAAAAAAAABACAAAAAmAQAA&#10;ZHJzL2Uyb0RvYy54bWxQSwUGAAAAAAYABgBZAQAAnA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承包人对指定</w:t>
                      </w:r>
                    </w:p>
                    <w:p>
                      <w:pPr>
                        <w:spacing w:line="240" w:lineRule="exact"/>
                        <w:rPr>
                          <w:rFonts w:ascii="楷体_GB2312" w:hAnsi="宋体"/>
                          <w:b/>
                          <w:color w:val="000000"/>
                          <w:sz w:val="18"/>
                          <w:szCs w:val="18"/>
                        </w:rPr>
                      </w:pPr>
                      <w:r>
                        <w:rPr>
                          <w:rFonts w:hint="eastAsia" w:ascii="楷体_GB2312" w:hAnsi="宋体"/>
                          <w:b/>
                          <w:color w:val="000000"/>
                          <w:sz w:val="18"/>
                          <w:szCs w:val="18"/>
                        </w:rPr>
                        <w:t>分包工程的义</w:t>
                      </w:r>
                    </w:p>
                    <w:p>
                      <w:pPr>
                        <w:spacing w:line="240" w:lineRule="exact"/>
                        <w:rPr>
                          <w:rFonts w:ascii="楷体_GB2312" w:hAnsi="宋体"/>
                          <w:b/>
                          <w:color w:val="000000"/>
                          <w:sz w:val="18"/>
                          <w:szCs w:val="18"/>
                        </w:rPr>
                      </w:pPr>
                      <w:r>
                        <w:rPr>
                          <w:rFonts w:hint="eastAsia" w:ascii="楷体_GB2312" w:hAnsi="宋体"/>
                          <w:b/>
                          <w:color w:val="000000"/>
                          <w:sz w:val="18"/>
                          <w:szCs w:val="18"/>
                        </w:rPr>
                        <w:t>务</w:t>
                      </w:r>
                    </w:p>
                    <w:p>
                      <w:pPr>
                        <w:rPr>
                          <w:rFonts w:ascii="楷体_GB2312" w:hAnsi="宋体"/>
                          <w:b/>
                          <w:color w:val="000000"/>
                        </w:rPr>
                      </w:pPr>
                    </w:p>
                    <w:p/>
                    <w:p/>
                  </w:txbxContent>
                </v:textbox>
              </v:shape>
            </w:pict>
          </mc:Fallback>
        </mc:AlternateContent>
      </w:r>
      <w:r>
        <w:rPr>
          <w:rFonts w:hint="eastAsia" w:ascii="宋体" w:hAnsi="宋体" w:cs="宋体"/>
          <w:b/>
          <w:color w:val="auto"/>
          <w:szCs w:val="21"/>
        </w:rPr>
        <w:t>26.4</w:t>
      </w:r>
      <w:r>
        <w:rPr>
          <w:rFonts w:hint="eastAsia" w:ascii="宋体" w:hAnsi="宋体" w:cs="宋体"/>
          <w:b/>
          <w:color w:val="auto"/>
          <w:szCs w:val="21"/>
          <w:u w:val="dotted"/>
        </w:rPr>
        <w:t xml:space="preserve">                                                                               </w:t>
      </w:r>
    </w:p>
    <w:p>
      <w:pPr>
        <w:widowControl/>
        <w:tabs>
          <w:tab w:val="left" w:pos="1260"/>
        </w:tabs>
        <w:adjustRightInd w:val="0"/>
        <w:snapToGrid w:val="0"/>
        <w:spacing w:line="360" w:lineRule="auto"/>
        <w:ind w:left="1978" w:leftChars="942" w:firstLine="1"/>
        <w:jc w:val="left"/>
        <w:rPr>
          <w:rFonts w:ascii="宋体" w:hAnsi="宋体" w:cs="宋体"/>
          <w:color w:val="auto"/>
          <w:kern w:val="0"/>
          <w:szCs w:val="21"/>
        </w:rPr>
      </w:pPr>
      <w:r>
        <w:rPr>
          <w:rFonts w:hint="eastAsia" w:ascii="宋体" w:hAnsi="宋体" w:cs="宋体"/>
          <w:color w:val="auto"/>
          <w:kern w:val="0"/>
          <w:szCs w:val="21"/>
        </w:rPr>
        <w:t>指定分包人应按照分包合同的约定对承包人负责。承包人有义务协助、配合指定分包人实施分包工程。</w:t>
      </w:r>
    </w:p>
    <w:p>
      <w:pPr>
        <w:spacing w:line="360" w:lineRule="auto"/>
        <w:rPr>
          <w:rFonts w:ascii="宋体" w:hAnsi="宋体" w:cs="宋体"/>
          <w:b/>
          <w:color w:val="auto"/>
          <w:szCs w:val="21"/>
          <w:u w:val="single"/>
        </w:rPr>
      </w:pPr>
      <w:r>
        <w:rPr>
          <w:rFonts w:hint="eastAsia" w:ascii="宋体" w:hAnsi="宋体" w:cs="宋体"/>
          <w:b/>
          <w:color w:val="auto"/>
          <w:szCs w:val="21"/>
          <w:u w:val="single"/>
        </w:rPr>
        <w:t xml:space="preserve">                                                                                                             </w:t>
      </w:r>
    </w:p>
    <w:p>
      <w:pPr>
        <w:tabs>
          <w:tab w:val="left" w:pos="1620"/>
        </w:tabs>
        <w:rPr>
          <w:rFonts w:ascii="宋体" w:hAnsi="宋体" w:cs="宋体"/>
          <w:b/>
          <w:color w:val="auto"/>
          <w:szCs w:val="21"/>
        </w:rPr>
      </w:pPr>
    </w:p>
    <w:p>
      <w:pPr>
        <w:tabs>
          <w:tab w:val="left" w:pos="540"/>
        </w:tabs>
        <w:adjustRightInd w:val="0"/>
        <w:snapToGrid w:val="0"/>
        <w:spacing w:beforeLines="100"/>
        <w:ind w:right="-238"/>
        <w:rPr>
          <w:rFonts w:ascii="宋体" w:hAnsi="宋体" w:cs="宋体"/>
          <w:b/>
          <w:color w:val="auto"/>
          <w:kern w:val="0"/>
          <w:szCs w:val="21"/>
        </w:rPr>
      </w:pPr>
      <w:r>
        <w:rPr>
          <w:rFonts w:hint="eastAsia" w:ascii="宋体" w:hAnsi="宋体" w:cs="宋体"/>
          <w:b/>
          <w:color w:val="auto"/>
          <w:kern w:val="0"/>
          <w:szCs w:val="21"/>
        </w:rPr>
        <w:t>27  承包人劳务</w:t>
      </w:r>
    </w:p>
    <w:p>
      <w:pPr>
        <w:spacing w:line="360" w:lineRule="auto"/>
        <w:rPr>
          <w:rFonts w:ascii="宋体" w:hAnsi="宋体" w:cs="宋体"/>
          <w:b/>
          <w:color w:val="auto"/>
          <w:szCs w:val="21"/>
        </w:rPr>
      </w:pPr>
      <w:r>
        <w:rPr>
          <w:rFonts w:hint="eastAsia" w:ascii="宋体" w:hAnsi="宋体" w:cs="宋体"/>
          <w:b/>
          <w:color w:val="auto"/>
          <w:szCs w:val="21"/>
        </w:rPr>
        <w:t xml:space="preserve">27.1   </w:t>
      </w:r>
    </w:p>
    <w:p>
      <w:pPr>
        <w:widowControl/>
        <w:spacing w:line="360" w:lineRule="auto"/>
        <w:ind w:left="1619" w:leftChars="771"/>
        <w:rPr>
          <w:rFonts w:ascii="宋体" w:hAnsi="宋体" w:cs="宋体"/>
          <w:color w:val="auto"/>
          <w:szCs w:val="21"/>
        </w:rPr>
      </w:pPr>
      <w:r>
        <w:rPr>
          <w:rFonts w:ascii="宋体" w:hAnsi="宋体" w:cs="宋体"/>
          <w:color w:val="auto"/>
          <w:szCs w:val="21"/>
        </w:rPr>
        <mc:AlternateContent>
          <mc:Choice Requires="wps">
            <w:drawing>
              <wp:anchor distT="0" distB="0" distL="114300" distR="114300" simplePos="0" relativeHeight="251935744" behindDoc="0" locked="0" layoutInCell="1" allowOverlap="1">
                <wp:simplePos x="0" y="0"/>
                <wp:positionH relativeFrom="column">
                  <wp:posOffset>-114300</wp:posOffset>
                </wp:positionH>
                <wp:positionV relativeFrom="paragraph">
                  <wp:posOffset>8255</wp:posOffset>
                </wp:positionV>
                <wp:extent cx="914400" cy="692150"/>
                <wp:effectExtent l="0" t="0" r="0" b="0"/>
                <wp:wrapNone/>
                <wp:docPr id="312" name="文本框 312"/>
                <wp:cNvGraphicFramePr/>
                <a:graphic xmlns:a="http://schemas.openxmlformats.org/drawingml/2006/main">
                  <a:graphicData uri="http://schemas.microsoft.com/office/word/2010/wordprocessingShape">
                    <wps:wsp>
                      <wps:cNvSpPr txBox="1">
                        <a:spLocks noChangeArrowheads="1"/>
                      </wps:cNvSpPr>
                      <wps:spPr bwMode="auto">
                        <a:xfrm>
                          <a:off x="0" y="0"/>
                          <a:ext cx="914400" cy="69215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承包人提交施工机构安排报告</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65pt;height:54.5pt;width:72pt;z-index:251935744;mso-width-relative:page;mso-height-relative:page;" filled="f" stroked="f" coordsize="21600,21600" o:gfxdata="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Ds6rC1QAAAAkBAAAPAAAAAAAAAAEAIAAAACIAAABkcnMvZG93bnJl&#10;di54bWxQSwECFAAUAAAACACHTuJAfjsWAQACAADYAwAADgAAAAAAAAABACAAAAAkAQAAZHJzL2Uy&#10;b0RvYy54bWxQSwUGAAAAAAYABgBZAQAAlg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承包人提交施工机构安排报告</w:t>
                      </w:r>
                    </w:p>
                  </w:txbxContent>
                </v:textbox>
              </v:shape>
            </w:pict>
          </mc:Fallback>
        </mc:AlternateContent>
      </w:r>
      <w:r>
        <w:rPr>
          <w:rFonts w:hint="eastAsia" w:ascii="宋体" w:hAnsi="宋体" w:cs="宋体"/>
          <w:color w:val="auto"/>
          <w:szCs w:val="21"/>
        </w:rPr>
        <w:t>承包人应在接到开工令后28天内，向监理工程师提交承包人在施工场地的管理机构以及人员安排报告，并附上响应文件中的“主要人员一览表”。报告内容应包括管理机构的设置、各主要岗位的技术和管理人员名单及其资格，以及各工种技术工人的安排情况等。</w:t>
      </w:r>
    </w:p>
    <w:p>
      <w:pPr>
        <w:spacing w:line="360" w:lineRule="auto"/>
        <w:rPr>
          <w:rFonts w:ascii="宋体" w:hAnsi="宋体" w:cs="宋体"/>
          <w:b/>
          <w:color w:val="auto"/>
          <w:szCs w:val="21"/>
        </w:rPr>
      </w:pPr>
      <w:r>
        <w:rPr>
          <w:rFonts w:hint="eastAsia" w:ascii="宋体" w:hAnsi="宋体" w:cs="宋体"/>
          <w:b/>
          <w:color w:val="auto"/>
          <w:szCs w:val="21"/>
        </w:rPr>
        <w:t xml:space="preserve">27.2 </w:t>
      </w:r>
      <w:r>
        <w:rPr>
          <w:rFonts w:hint="eastAsia" w:ascii="宋体" w:hAnsi="宋体" w:cs="宋体"/>
          <w:b/>
          <w:color w:val="auto"/>
          <w:szCs w:val="21"/>
          <w:u w:val="dotted"/>
        </w:rPr>
        <w:t xml:space="preserve">                                                                                 </w:t>
      </w:r>
      <w:r>
        <w:rPr>
          <w:rFonts w:hint="eastAsia" w:ascii="宋体" w:hAnsi="宋体" w:cs="宋体"/>
          <w:b/>
          <w:color w:val="auto"/>
          <w:szCs w:val="21"/>
        </w:rPr>
        <w:t xml:space="preserve">   </w:t>
      </w:r>
    </w:p>
    <w:p>
      <w:pPr>
        <w:widowControl/>
        <w:spacing w:line="360" w:lineRule="auto"/>
        <w:ind w:left="1619" w:leftChars="771"/>
        <w:rPr>
          <w:rFonts w:ascii="宋体" w:hAnsi="宋体" w:cs="宋体"/>
          <w:color w:val="auto"/>
          <w:szCs w:val="21"/>
        </w:rPr>
      </w:pPr>
      <w:r>
        <w:rPr>
          <w:rFonts w:ascii="宋体" w:hAnsi="宋体" w:cs="宋体"/>
          <w:color w:val="auto"/>
          <w:szCs w:val="21"/>
        </w:rPr>
        <mc:AlternateContent>
          <mc:Choice Requires="wps">
            <w:drawing>
              <wp:anchor distT="0" distB="0" distL="114300" distR="114300" simplePos="0" relativeHeight="251793408" behindDoc="0" locked="0" layoutInCell="1" allowOverlap="1">
                <wp:simplePos x="0" y="0"/>
                <wp:positionH relativeFrom="column">
                  <wp:posOffset>-114300</wp:posOffset>
                </wp:positionH>
                <wp:positionV relativeFrom="paragraph">
                  <wp:posOffset>8255</wp:posOffset>
                </wp:positionV>
                <wp:extent cx="914400" cy="396240"/>
                <wp:effectExtent l="0" t="0" r="0" b="0"/>
                <wp:wrapNone/>
                <wp:docPr id="311" name="文本框 311"/>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承包人人员的雇佣</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65pt;height:31.2pt;width:72pt;z-index:251793408;mso-width-relative:page;mso-height-relative:page;" filled="f" stroked="f" coordsize="21600,21600" o:gfxdata="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Wt2iW1QAAAAgBAAAPAAAAAAAAAAEAIAAAACIAAABkcnMvZG93bnJl&#10;di54bWxQSwECFAAUAAAACACHTuJAlFyQbgACAADYAwAADgAAAAAAAAABACAAAAAkAQAAZHJzL2Uy&#10;b0RvYy54bWxQSwUGAAAAAAYABgBZAQAAlg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承包人人员的雇佣</w:t>
                      </w:r>
                    </w:p>
                  </w:txbxContent>
                </v:textbox>
              </v:shape>
            </w:pict>
          </mc:Fallback>
        </mc:AlternateContent>
      </w:r>
      <w:r>
        <w:rPr>
          <w:rFonts w:hint="eastAsia" w:ascii="宋体" w:hAnsi="宋体" w:cs="宋体"/>
          <w:color w:val="auto"/>
          <w:szCs w:val="21"/>
        </w:rPr>
        <w:t>承包人除应雇佣响应文件中“主要人员一览表”中指明的人员外，也可以雇佣经监理工程师批准的其他人员，但不得从发包人或服务于发包人的人员中雇佣人员。</w:t>
      </w:r>
    </w:p>
    <w:p>
      <w:pPr>
        <w:tabs>
          <w:tab w:val="left" w:pos="1620"/>
        </w:tabs>
        <w:spacing w:line="360" w:lineRule="auto"/>
        <w:rPr>
          <w:rFonts w:ascii="宋体" w:hAnsi="宋体" w:cs="宋体"/>
          <w:b/>
          <w:color w:val="auto"/>
          <w:szCs w:val="21"/>
        </w:rPr>
      </w:pPr>
      <w:r>
        <w:rPr>
          <w:rFonts w:hint="eastAsia" w:ascii="宋体" w:hAnsi="宋体" w:cs="宋体"/>
          <w:b/>
          <w:color w:val="auto"/>
          <w:szCs w:val="21"/>
        </w:rPr>
        <w:t xml:space="preserve">27.3  </w:t>
      </w:r>
      <w:r>
        <w:rPr>
          <w:rFonts w:hint="eastAsia" w:ascii="宋体" w:hAnsi="宋体" w:cs="宋体"/>
          <w:b/>
          <w:color w:val="auto"/>
          <w:szCs w:val="21"/>
          <w:u w:val="dotted"/>
        </w:rPr>
        <w:t xml:space="preserve">                                                                                                        </w:t>
      </w:r>
    </w:p>
    <w:p>
      <w:pPr>
        <w:spacing w:line="360" w:lineRule="auto"/>
        <w:ind w:left="1619" w:leftChars="771"/>
        <w:rPr>
          <w:rFonts w:ascii="宋体" w:hAnsi="宋体" w:cs="宋体"/>
          <w:color w:val="auto"/>
          <w:szCs w:val="21"/>
        </w:rPr>
      </w:pPr>
      <w:r>
        <w:rPr>
          <w:rFonts w:ascii="宋体" w:hAnsi="宋体" w:cs="宋体"/>
          <w:color w:val="auto"/>
          <w:szCs w:val="21"/>
        </w:rPr>
        <mc:AlternateContent>
          <mc:Choice Requires="wps">
            <w:drawing>
              <wp:anchor distT="0" distB="0" distL="114300" distR="114300" simplePos="0" relativeHeight="251794432" behindDoc="0" locked="0" layoutInCell="1" allowOverlap="1">
                <wp:simplePos x="0" y="0"/>
                <wp:positionH relativeFrom="column">
                  <wp:posOffset>-114300</wp:posOffset>
                </wp:positionH>
                <wp:positionV relativeFrom="paragraph">
                  <wp:posOffset>59690</wp:posOffset>
                </wp:positionV>
                <wp:extent cx="914400" cy="495300"/>
                <wp:effectExtent l="0" t="0" r="0" b="0"/>
                <wp:wrapNone/>
                <wp:docPr id="310" name="文本框 310"/>
                <wp:cNvGraphicFramePr/>
                <a:graphic xmlns:a="http://schemas.openxmlformats.org/drawingml/2006/main">
                  <a:graphicData uri="http://schemas.microsoft.com/office/word/2010/wordprocessingShape">
                    <wps:wsp>
                      <wps:cNvSpPr txBox="1">
                        <a:spLocks noChangeArrowheads="1"/>
                      </wps:cNvSpPr>
                      <wps:spPr bwMode="auto">
                        <a:xfrm>
                          <a:off x="0" y="0"/>
                          <a:ext cx="914400" cy="49530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承包人对雇员应做的工作</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4.7pt;height:39pt;width:72pt;z-index:251794432;mso-width-relative:page;mso-height-relative:page;" filled="f" stroked="f" coordsize="21600,21600" o:gfxdata="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wVgKKNUAAAAIAQAADwAAAAAAAAABACAAAAAiAAAAZHJzL2Rvd25yZXYu&#10;eG1sUEsBAhQAFAAAAAgAh07iQLY493D+AQAA2AMAAA4AAAAAAAAAAQAgAAAAJAEAAGRycy9lMm9E&#10;b2MueG1sUEsFBgAAAAAGAAYAWQEAAJQF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承包人对雇员应做的工作</w:t>
                      </w:r>
                    </w:p>
                  </w:txbxContent>
                </v:textbox>
              </v:shape>
            </w:pict>
          </mc:Fallback>
        </mc:AlternateContent>
      </w:r>
      <w:r>
        <w:rPr>
          <w:rFonts w:hint="eastAsia" w:ascii="宋体" w:hAnsi="宋体" w:cs="宋体"/>
          <w:color w:val="auto"/>
          <w:szCs w:val="21"/>
        </w:rPr>
        <w:t>承包人应完善雇员的劳务注册手续，并与雇员订立劳动合同，明确双方的权利和义务。雇佣期间，承包人应做好下列工作：</w:t>
      </w:r>
    </w:p>
    <w:p>
      <w:pPr>
        <w:tabs>
          <w:tab w:val="left" w:pos="1080"/>
          <w:tab w:val="left" w:pos="2160"/>
        </w:tabs>
        <w:spacing w:line="360" w:lineRule="auto"/>
        <w:ind w:left="1619"/>
        <w:rPr>
          <w:rFonts w:ascii="宋体" w:hAnsi="宋体" w:cs="宋体"/>
          <w:color w:val="auto"/>
          <w:szCs w:val="21"/>
        </w:rPr>
      </w:pPr>
      <w:r>
        <w:rPr>
          <w:rFonts w:hint="eastAsia" w:ascii="宋体" w:hAnsi="宋体" w:cs="宋体"/>
          <w:color w:val="auto"/>
          <w:szCs w:val="21"/>
        </w:rPr>
        <w:t>(1)负责为雇员提供必要的食宿及各种生活设施，采取合理的卫生、劳动保护和安全防护措施，保证雇员的健康和安全；</w:t>
      </w:r>
    </w:p>
    <w:p>
      <w:pPr>
        <w:tabs>
          <w:tab w:val="left" w:pos="1080"/>
          <w:tab w:val="left" w:pos="2160"/>
        </w:tabs>
        <w:spacing w:line="360" w:lineRule="auto"/>
        <w:ind w:left="1680" w:leftChars="800"/>
        <w:rPr>
          <w:rFonts w:ascii="宋体" w:hAnsi="宋体" w:cs="宋体"/>
          <w:color w:val="auto"/>
          <w:szCs w:val="21"/>
        </w:rPr>
      </w:pPr>
      <w:r>
        <w:rPr>
          <w:rFonts w:hint="eastAsia" w:ascii="宋体" w:hAnsi="宋体" w:cs="宋体"/>
          <w:color w:val="auto"/>
          <w:szCs w:val="21"/>
        </w:rPr>
        <w:t>(2)保障雇员的合法权利和人身安全，及时采取有效措施抢救和治疗施工中受伤害的雇员；</w:t>
      </w:r>
    </w:p>
    <w:p>
      <w:pPr>
        <w:tabs>
          <w:tab w:val="left" w:pos="2160"/>
        </w:tabs>
        <w:spacing w:line="360" w:lineRule="auto"/>
        <w:ind w:left="1617"/>
        <w:rPr>
          <w:rFonts w:ascii="宋体" w:hAnsi="宋体" w:cs="宋体"/>
          <w:color w:val="auto"/>
          <w:szCs w:val="21"/>
        </w:rPr>
      </w:pPr>
      <w:r>
        <w:rPr>
          <w:rFonts w:hint="eastAsia" w:ascii="宋体" w:hAnsi="宋体" w:cs="宋体"/>
          <w:color w:val="auto"/>
          <w:szCs w:val="21"/>
        </w:rPr>
        <w:t>(3)充分考虑和保障雇员的休息时间和法定节假日休假时间，尊重雇员的宗教信仰和风俗习惯；</w:t>
      </w:r>
    </w:p>
    <w:p>
      <w:pPr>
        <w:tabs>
          <w:tab w:val="left" w:pos="1080"/>
          <w:tab w:val="left" w:pos="2160"/>
        </w:tabs>
        <w:spacing w:line="360" w:lineRule="auto"/>
        <w:ind w:left="1617"/>
        <w:rPr>
          <w:rFonts w:ascii="宋体" w:hAnsi="宋体" w:cs="宋体"/>
          <w:color w:val="auto"/>
          <w:szCs w:val="21"/>
        </w:rPr>
      </w:pPr>
      <w:r>
        <w:rPr>
          <w:rFonts w:hint="eastAsia" w:ascii="宋体" w:hAnsi="宋体" w:cs="宋体"/>
          <w:color w:val="auto"/>
          <w:szCs w:val="21"/>
        </w:rPr>
        <w:t>(4)在施工现场主要出入口处设榜公布雇员工资发放时间和投诉电话，以及合同工程中标价格、进度款支付情况。</w:t>
      </w:r>
    </w:p>
    <w:p>
      <w:pPr>
        <w:tabs>
          <w:tab w:val="left" w:pos="1080"/>
          <w:tab w:val="left" w:pos="2160"/>
        </w:tabs>
        <w:spacing w:line="360" w:lineRule="auto"/>
        <w:ind w:left="1617"/>
        <w:rPr>
          <w:rFonts w:ascii="宋体" w:hAnsi="宋体" w:cs="宋体"/>
          <w:color w:val="auto"/>
          <w:szCs w:val="21"/>
        </w:rPr>
      </w:pPr>
      <w:r>
        <w:rPr>
          <w:rFonts w:hint="eastAsia" w:ascii="宋体" w:hAnsi="宋体" w:cs="宋体"/>
          <w:color w:val="auto"/>
          <w:szCs w:val="21"/>
        </w:rPr>
        <w:t>(5)督促雇员和发包人现场人员应佩戴由合同双方当事人共同盖章、签发的工作证上岗；</w:t>
      </w:r>
    </w:p>
    <w:p>
      <w:pPr>
        <w:tabs>
          <w:tab w:val="left" w:pos="1080"/>
          <w:tab w:val="left" w:pos="2160"/>
        </w:tabs>
        <w:spacing w:line="360" w:lineRule="auto"/>
        <w:ind w:left="1619"/>
        <w:rPr>
          <w:rFonts w:ascii="宋体" w:hAnsi="宋体" w:cs="宋体"/>
          <w:color w:val="auto"/>
          <w:szCs w:val="21"/>
        </w:rPr>
      </w:pPr>
      <w:r>
        <w:rPr>
          <w:rFonts w:hint="eastAsia" w:ascii="宋体" w:hAnsi="宋体" w:cs="宋体"/>
          <w:color w:val="auto"/>
          <w:szCs w:val="21"/>
        </w:rPr>
        <w:t>(6)办理雇员的意外伤害等一切保险，处理雇员因工伤亡事故的善后事宜。</w:t>
      </w:r>
    </w:p>
    <w:p>
      <w:pPr>
        <w:spacing w:line="360" w:lineRule="auto"/>
        <w:rPr>
          <w:rFonts w:ascii="宋体" w:hAnsi="宋体" w:cs="宋体"/>
          <w:b/>
          <w:color w:val="auto"/>
          <w:szCs w:val="21"/>
        </w:rPr>
      </w:pPr>
      <w:r>
        <w:rPr>
          <w:rFonts w:hint="eastAsia" w:ascii="宋体" w:hAnsi="宋体" w:cs="宋体"/>
          <w:b/>
          <w:color w:val="auto"/>
          <w:szCs w:val="21"/>
        </w:rPr>
        <w:t xml:space="preserve">27.4  </w:t>
      </w:r>
      <w:r>
        <w:rPr>
          <w:rFonts w:hint="eastAsia" w:ascii="宋体" w:hAnsi="宋体" w:cs="宋体"/>
          <w:b/>
          <w:color w:val="auto"/>
          <w:szCs w:val="21"/>
          <w:u w:val="dotted"/>
        </w:rPr>
        <w:t xml:space="preserve">                                                                                                        </w:t>
      </w:r>
    </w:p>
    <w:p>
      <w:pPr>
        <w:spacing w:line="360" w:lineRule="auto"/>
        <w:ind w:left="1619" w:leftChars="771"/>
        <w:rPr>
          <w:rFonts w:ascii="宋体" w:hAnsi="宋体" w:cs="宋体"/>
          <w:color w:val="auto"/>
          <w:kern w:val="0"/>
          <w:szCs w:val="21"/>
        </w:rPr>
      </w:pPr>
      <w:r>
        <w:rPr>
          <w:rFonts w:ascii="宋体" w:hAnsi="宋体" w:cs="宋体"/>
          <w:color w:val="auto"/>
          <w:kern w:val="0"/>
          <w:szCs w:val="21"/>
        </w:rPr>
        <mc:AlternateContent>
          <mc:Choice Requires="wps">
            <w:drawing>
              <wp:anchor distT="0" distB="0" distL="114300" distR="114300" simplePos="0" relativeHeight="251795456" behindDoc="0" locked="0" layoutInCell="1" allowOverlap="1">
                <wp:simplePos x="0" y="0"/>
                <wp:positionH relativeFrom="column">
                  <wp:posOffset>-114300</wp:posOffset>
                </wp:positionH>
                <wp:positionV relativeFrom="paragraph">
                  <wp:posOffset>0</wp:posOffset>
                </wp:positionV>
                <wp:extent cx="914400" cy="693420"/>
                <wp:effectExtent l="0" t="0" r="0" b="0"/>
                <wp:wrapNone/>
                <wp:docPr id="309" name="文本框 309"/>
                <wp:cNvGraphicFramePr/>
                <a:graphic xmlns:a="http://schemas.openxmlformats.org/drawingml/2006/main">
                  <a:graphicData uri="http://schemas.microsoft.com/office/word/2010/wordprocessingShape">
                    <wps:wsp>
                      <wps:cNvSpPr txBox="1">
                        <a:spLocks noChangeArrowheads="1"/>
                      </wps:cNvSpPr>
                      <wps:spPr bwMode="auto">
                        <a:xfrm>
                          <a:off x="0" y="0"/>
                          <a:ext cx="914400" cy="69342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承包人特殊时间施工的批准</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54.6pt;width:72pt;z-index:251795456;mso-width-relative:page;mso-height-relative:page;" filled="f" stroked="f" coordsize="21600,21600" o:gfxdata="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I5RFTPUAAAACAEAAA8AAAAAAAAAAQAgAAAAIgAAAGRycy9kb3ducmV2&#10;LnhtbFBLAQIUABQAAAAIAIdO4kAYdJ5FAAIAANgDAAAOAAAAAAAAAAEAIAAAACMBAABkcnMvZTJv&#10;RG9jLnhtbFBLBQYAAAAABgAGAFkBAACV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承包人特殊时间施工的批准</w:t>
                      </w:r>
                    </w:p>
                  </w:txbxContent>
                </v:textbox>
              </v:shape>
            </w:pict>
          </mc:Fallback>
        </mc:AlternateContent>
      </w:r>
      <w:r>
        <w:rPr>
          <w:rFonts w:hint="eastAsia" w:ascii="宋体" w:hAnsi="宋体" w:cs="宋体"/>
          <w:color w:val="auto"/>
          <w:kern w:val="0"/>
          <w:szCs w:val="21"/>
        </w:rPr>
        <w:t>承包人如需在法定节假日施工，应经监理工程师同意；如需在夜间施工，除应经监理工程师同意外，还应经有关部门批准。此类情况，均不得超过法律规定的限度，并应按照法律规定给予雇员补休或付酬。如无特殊原因，只要在不影响工程质量、施工安全、周围环境的情况下，监理工程师应予同意。但为抢救生命、保护财产，或为工程安全、质量而不可避免的作业，则无需事先经监理工程师同意。</w:t>
      </w:r>
    </w:p>
    <w:p>
      <w:pPr>
        <w:spacing w:line="360" w:lineRule="auto"/>
        <w:rPr>
          <w:rFonts w:ascii="宋体" w:hAnsi="宋体" w:cs="宋体"/>
          <w:b/>
          <w:color w:val="auto"/>
          <w:szCs w:val="21"/>
        </w:rPr>
      </w:pPr>
      <w:r>
        <w:rPr>
          <w:rFonts w:hint="eastAsia" w:ascii="宋体" w:hAnsi="宋体" w:cs="宋体"/>
          <w:b/>
          <w:color w:val="auto"/>
          <w:szCs w:val="21"/>
        </w:rPr>
        <w:t xml:space="preserve">27.5  </w:t>
      </w:r>
      <w:r>
        <w:rPr>
          <w:rFonts w:hint="eastAsia" w:ascii="宋体" w:hAnsi="宋体" w:cs="宋体"/>
          <w:b/>
          <w:color w:val="auto"/>
          <w:szCs w:val="21"/>
          <w:u w:val="dotted"/>
        </w:rPr>
        <w:t xml:space="preserve">                                                                                                        </w:t>
      </w:r>
    </w:p>
    <w:p>
      <w:pPr>
        <w:spacing w:line="360" w:lineRule="auto"/>
        <w:ind w:left="1619" w:leftChars="771"/>
        <w:rPr>
          <w:rFonts w:ascii="宋体" w:hAnsi="宋体" w:cs="宋体"/>
          <w:color w:val="auto"/>
          <w:kern w:val="0"/>
          <w:szCs w:val="21"/>
        </w:rPr>
      </w:pPr>
      <w:r>
        <w:rPr>
          <w:rFonts w:ascii="宋体" w:hAnsi="宋体" w:cs="宋体"/>
          <w:color w:val="auto"/>
          <w:kern w:val="0"/>
          <w:szCs w:val="21"/>
        </w:rPr>
        <mc:AlternateContent>
          <mc:Choice Requires="wps">
            <w:drawing>
              <wp:anchor distT="0" distB="0" distL="114300" distR="114300" simplePos="0" relativeHeight="251796480" behindDoc="0" locked="0" layoutInCell="1" allowOverlap="1">
                <wp:simplePos x="0" y="0"/>
                <wp:positionH relativeFrom="column">
                  <wp:posOffset>-114300</wp:posOffset>
                </wp:positionH>
                <wp:positionV relativeFrom="paragraph">
                  <wp:posOffset>0</wp:posOffset>
                </wp:positionV>
                <wp:extent cx="914400" cy="480695"/>
                <wp:effectExtent l="0" t="0" r="0" b="0"/>
                <wp:wrapNone/>
                <wp:docPr id="308" name="文本框 308"/>
                <wp:cNvGraphicFramePr/>
                <a:graphic xmlns:a="http://schemas.openxmlformats.org/drawingml/2006/main">
                  <a:graphicData uri="http://schemas.microsoft.com/office/word/2010/wordprocessingShape">
                    <wps:wsp>
                      <wps:cNvSpPr txBox="1">
                        <a:spLocks noChangeArrowheads="1"/>
                      </wps:cNvSpPr>
                      <wps:spPr bwMode="auto">
                        <a:xfrm>
                          <a:off x="0" y="0"/>
                          <a:ext cx="914400" cy="48069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承包人向雇员支付劳务工资</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37.85pt;width:72pt;z-index:251796480;mso-width-relative:page;mso-height-relative:page;" filled="f" stroked="f" coordsize="21600,21600" o:gfxdata="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2Nuey1QAAAAcBAAAPAAAAAAAAAAEAIAAAACIAAABkcnMvZG93bnJl&#10;di54bWxQSwECFAAUAAAACACHTuJATT1gOgACAADYAwAADgAAAAAAAAABACAAAAAkAQAAZHJzL2Uy&#10;b0RvYy54bWxQSwUGAAAAAAYABgBZAQAAlg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承包人向雇员支付劳务工资</w:t>
                      </w:r>
                    </w:p>
                  </w:txbxContent>
                </v:textbox>
              </v:shape>
            </w:pict>
          </mc:Fallback>
        </mc:AlternateContent>
      </w:r>
      <w:r>
        <w:rPr>
          <w:rFonts w:hint="eastAsia" w:ascii="宋体" w:hAnsi="宋体" w:cs="宋体"/>
          <w:color w:val="auto"/>
          <w:kern w:val="0"/>
          <w:szCs w:val="21"/>
        </w:rPr>
        <w:t>承包人应按照时足额向雇员支付劳务工资，并不低于当地最低工资标准。因承包人拖欠其雇员工资而造成群体性示威、游行等一切后果，由承包人承担。对发包人造成损失和（或）导致工期延误的，应赔偿发包人的损失，工期不予顺延。</w:t>
      </w:r>
    </w:p>
    <w:p>
      <w:pPr>
        <w:spacing w:line="360" w:lineRule="auto"/>
        <w:rPr>
          <w:rFonts w:ascii="宋体" w:hAnsi="宋体" w:cs="宋体"/>
          <w:b/>
          <w:color w:val="auto"/>
          <w:szCs w:val="21"/>
        </w:rPr>
      </w:pPr>
      <w:r>
        <w:rPr>
          <w:rFonts w:hint="eastAsia" w:ascii="宋体" w:hAnsi="宋体" w:cs="宋体"/>
          <w:b/>
          <w:color w:val="auto"/>
          <w:szCs w:val="21"/>
        </w:rPr>
        <w:t xml:space="preserve">27.6  </w:t>
      </w:r>
      <w:r>
        <w:rPr>
          <w:rFonts w:hint="eastAsia" w:ascii="宋体" w:hAnsi="宋体" w:cs="宋体"/>
          <w:b/>
          <w:color w:val="auto"/>
          <w:szCs w:val="21"/>
          <w:u w:val="dotted"/>
        </w:rPr>
        <w:t xml:space="preserve">                                                                                                        </w:t>
      </w:r>
    </w:p>
    <w:p>
      <w:pPr>
        <w:spacing w:line="360" w:lineRule="auto"/>
        <w:ind w:left="1619" w:leftChars="771"/>
        <w:rPr>
          <w:rFonts w:ascii="宋体" w:hAnsi="宋体" w:cs="宋体"/>
          <w:color w:val="auto"/>
          <w:szCs w:val="21"/>
        </w:rPr>
      </w:pPr>
      <w:r>
        <w:rPr>
          <w:rFonts w:ascii="宋体" w:hAnsi="宋体" w:cs="宋体"/>
          <w:color w:val="auto"/>
          <w:szCs w:val="21"/>
        </w:rPr>
        <mc:AlternateContent>
          <mc:Choice Requires="wps">
            <w:drawing>
              <wp:anchor distT="0" distB="0" distL="114300" distR="114300" simplePos="0" relativeHeight="251797504" behindDoc="0" locked="0" layoutInCell="1" allowOverlap="1">
                <wp:simplePos x="0" y="0"/>
                <wp:positionH relativeFrom="column">
                  <wp:posOffset>-114300</wp:posOffset>
                </wp:positionH>
                <wp:positionV relativeFrom="paragraph">
                  <wp:posOffset>0</wp:posOffset>
                </wp:positionV>
                <wp:extent cx="914400" cy="891540"/>
                <wp:effectExtent l="0" t="0" r="0" b="0"/>
                <wp:wrapNone/>
                <wp:docPr id="307" name="文本框 307"/>
                <wp:cNvGraphicFramePr/>
                <a:graphic xmlns:a="http://schemas.openxmlformats.org/drawingml/2006/main">
                  <a:graphicData uri="http://schemas.microsoft.com/office/word/2010/wordprocessingShape">
                    <wps:wsp>
                      <wps:cNvSpPr txBox="1">
                        <a:spLocks noChangeArrowheads="1"/>
                      </wps:cNvSpPr>
                      <wps:spPr bwMode="auto">
                        <a:xfrm>
                          <a:off x="0" y="0"/>
                          <a:ext cx="914400" cy="89154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承包人向工地派遣雇员的要求</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70.2pt;width:72pt;z-index:251797504;mso-width-relative:page;mso-height-relative:page;" filled="f" stroked="f" coordsize="21600,21600" o:gfxdata="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Ss4xE1AAAAAgBAAAPAAAAAAAAAAEAIAAAACIAAABkcnMvZG93bnJl&#10;di54bWxQSwECFAAUAAAACACHTuJAl+wBxAECAADYAwAADgAAAAAAAAABACAAAAAjAQAAZHJzL2Uy&#10;b0RvYy54bWxQSwUGAAAAAAYABgBZAQAAlg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承包人向工地派遣雇员的要求</w:t>
                      </w:r>
                    </w:p>
                  </w:txbxContent>
                </v:textbox>
              </v:shape>
            </w:pict>
          </mc:Fallback>
        </mc:AlternateContent>
      </w:r>
      <w:r>
        <w:rPr>
          <w:rFonts w:hint="eastAsia" w:ascii="宋体" w:hAnsi="宋体" w:cs="宋体"/>
          <w:color w:val="auto"/>
          <w:szCs w:val="21"/>
        </w:rPr>
        <w:t>承包人的雇员应是在行业或职业内具有相应资格、技能和经验的人员。承包人应向施工场地派遣足够数量的下列雇员：</w:t>
      </w:r>
    </w:p>
    <w:p>
      <w:pPr>
        <w:numPr>
          <w:ilvl w:val="1"/>
          <w:numId w:val="11"/>
        </w:numPr>
        <w:tabs>
          <w:tab w:val="left" w:pos="2160"/>
          <w:tab w:val="left" w:pos="2340"/>
        </w:tabs>
        <w:spacing w:line="360" w:lineRule="auto"/>
        <w:ind w:left="1619" w:leftChars="771"/>
        <w:rPr>
          <w:rFonts w:ascii="宋体" w:hAnsi="宋体" w:cs="宋体"/>
          <w:color w:val="auto"/>
          <w:szCs w:val="21"/>
        </w:rPr>
      </w:pPr>
      <w:r>
        <w:rPr>
          <w:rFonts w:hint="eastAsia" w:ascii="宋体" w:hAnsi="宋体" w:cs="宋体"/>
          <w:color w:val="auto"/>
          <w:szCs w:val="21"/>
        </w:rPr>
        <w:t xml:space="preserve">具有相应资格的专业技工和合格的普工； </w:t>
      </w:r>
    </w:p>
    <w:p>
      <w:pPr>
        <w:numPr>
          <w:ilvl w:val="1"/>
          <w:numId w:val="11"/>
        </w:numPr>
        <w:tabs>
          <w:tab w:val="left" w:pos="2160"/>
          <w:tab w:val="left" w:pos="2340"/>
        </w:tabs>
        <w:spacing w:line="360" w:lineRule="auto"/>
        <w:ind w:left="1619" w:leftChars="771"/>
        <w:rPr>
          <w:rFonts w:ascii="宋体" w:hAnsi="宋体" w:cs="宋体"/>
          <w:color w:val="auto"/>
          <w:szCs w:val="21"/>
        </w:rPr>
      </w:pPr>
      <w:r>
        <w:rPr>
          <w:rFonts w:hint="eastAsia" w:ascii="宋体" w:hAnsi="宋体" w:cs="宋体"/>
          <w:color w:val="auto"/>
          <w:szCs w:val="21"/>
        </w:rPr>
        <w:t>具有相应施工经验的技术人员；</w:t>
      </w:r>
    </w:p>
    <w:p>
      <w:pPr>
        <w:numPr>
          <w:ilvl w:val="1"/>
          <w:numId w:val="11"/>
        </w:numPr>
        <w:tabs>
          <w:tab w:val="left" w:pos="2160"/>
          <w:tab w:val="left" w:pos="2340"/>
        </w:tabs>
        <w:spacing w:line="360" w:lineRule="auto"/>
        <w:ind w:left="1619" w:leftChars="771"/>
        <w:rPr>
          <w:rFonts w:ascii="宋体" w:hAnsi="宋体" w:cs="宋体"/>
          <w:color w:val="auto"/>
          <w:szCs w:val="21"/>
        </w:rPr>
      </w:pPr>
      <w:r>
        <w:rPr>
          <w:rFonts w:hint="eastAsia" w:ascii="宋体" w:hAnsi="宋体" w:cs="宋体"/>
          <w:color w:val="auto"/>
          <w:szCs w:val="21"/>
        </w:rPr>
        <w:t>具有相应岗位资格的各级管理人员。</w:t>
      </w:r>
    </w:p>
    <w:p>
      <w:pPr>
        <w:spacing w:line="360" w:lineRule="auto"/>
        <w:rPr>
          <w:rFonts w:ascii="宋体" w:hAnsi="宋体" w:cs="宋体"/>
          <w:b/>
          <w:color w:val="auto"/>
          <w:szCs w:val="21"/>
        </w:rPr>
      </w:pPr>
      <w:r>
        <w:rPr>
          <w:rFonts w:hint="eastAsia" w:ascii="宋体" w:hAnsi="宋体" w:cs="宋体"/>
          <w:b/>
          <w:color w:val="auto"/>
          <w:szCs w:val="21"/>
        </w:rPr>
        <w:t xml:space="preserve">27.7  </w:t>
      </w:r>
      <w:r>
        <w:rPr>
          <w:rFonts w:hint="eastAsia" w:ascii="宋体" w:hAnsi="宋体" w:cs="宋体"/>
          <w:b/>
          <w:color w:val="auto"/>
          <w:szCs w:val="21"/>
          <w:u w:val="dotted"/>
        </w:rPr>
        <w:t xml:space="preserve">                                                                                                        </w:t>
      </w:r>
    </w:p>
    <w:p>
      <w:pPr>
        <w:spacing w:line="360" w:lineRule="auto"/>
        <w:ind w:left="1619" w:leftChars="771"/>
        <w:rPr>
          <w:rFonts w:ascii="宋体" w:hAnsi="宋体" w:cs="宋体"/>
          <w:color w:val="auto"/>
          <w:szCs w:val="21"/>
        </w:rPr>
      </w:pPr>
      <w:r>
        <w:rPr>
          <w:rFonts w:ascii="宋体" w:hAnsi="宋体" w:cs="宋体"/>
          <w:color w:val="auto"/>
          <w:szCs w:val="21"/>
        </w:rPr>
        <mc:AlternateContent>
          <mc:Choice Requires="wps">
            <w:drawing>
              <wp:anchor distT="0" distB="0" distL="114300" distR="114300" simplePos="0" relativeHeight="251936768" behindDoc="0" locked="0" layoutInCell="1" allowOverlap="1">
                <wp:simplePos x="0" y="0"/>
                <wp:positionH relativeFrom="column">
                  <wp:posOffset>-114300</wp:posOffset>
                </wp:positionH>
                <wp:positionV relativeFrom="paragraph">
                  <wp:posOffset>0</wp:posOffset>
                </wp:positionV>
                <wp:extent cx="914400" cy="511175"/>
                <wp:effectExtent l="0" t="0" r="0" b="0"/>
                <wp:wrapNone/>
                <wp:docPr id="306" name="文本框 306"/>
                <wp:cNvGraphicFramePr/>
                <a:graphic xmlns:a="http://schemas.openxmlformats.org/drawingml/2006/main">
                  <a:graphicData uri="http://schemas.microsoft.com/office/word/2010/wordprocessingShape">
                    <wps:wsp>
                      <wps:cNvSpPr txBox="1">
                        <a:spLocks noChangeArrowheads="1"/>
                      </wps:cNvSpPr>
                      <wps:spPr bwMode="auto">
                        <a:xfrm>
                          <a:off x="0" y="0"/>
                          <a:ext cx="914400" cy="51117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承包人雇员安排和撤换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40.25pt;width:72pt;z-index:251936768;mso-width-relative:page;mso-height-relative:page;" filled="f" stroked="f" coordsize="21600,21600" o:gfxdata="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ZvzKHUAAAABwEAAA8AAAAAAAAAAQAgAAAAIgAAAGRycy9kb3ducmV2&#10;LnhtbFBLAQIUABQAAAAIAIdO4kDWCHnkAAIAANgDAAAOAAAAAAAAAAEAIAAAACMBAABkcnMvZTJv&#10;RG9jLnhtbFBLBQYAAAAABgAGAFkBAACV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承包人雇员安排和撤换</w:t>
                      </w:r>
                    </w:p>
                  </w:txbxContent>
                </v:textbox>
              </v:shape>
            </w:pict>
          </mc:Fallback>
        </mc:AlternateContent>
      </w:r>
      <w:r>
        <w:rPr>
          <w:rFonts w:hint="eastAsia" w:ascii="宋体" w:hAnsi="宋体" w:cs="宋体"/>
          <w:color w:val="auto"/>
          <w:szCs w:val="21"/>
        </w:rPr>
        <w:t>承包人安排在施工场地的雇员应保持相对稳定，但有下列行为的任何承包人雇员，监理工程师可要求承包人将其撤换：</w:t>
      </w:r>
    </w:p>
    <w:p>
      <w:pPr>
        <w:numPr>
          <w:ilvl w:val="0"/>
          <w:numId w:val="16"/>
        </w:numPr>
        <w:tabs>
          <w:tab w:val="left" w:pos="2160"/>
        </w:tabs>
        <w:spacing w:line="360" w:lineRule="auto"/>
        <w:rPr>
          <w:rFonts w:ascii="宋体" w:hAnsi="宋体" w:cs="宋体"/>
          <w:color w:val="auto"/>
          <w:szCs w:val="21"/>
        </w:rPr>
      </w:pPr>
      <w:r>
        <w:rPr>
          <w:rFonts w:hint="eastAsia" w:ascii="宋体" w:hAnsi="宋体" w:cs="宋体"/>
          <w:color w:val="auto"/>
          <w:szCs w:val="21"/>
        </w:rPr>
        <w:t>经常行为不当，或工作漫不经心；</w:t>
      </w:r>
    </w:p>
    <w:p>
      <w:pPr>
        <w:numPr>
          <w:ilvl w:val="0"/>
          <w:numId w:val="16"/>
        </w:numPr>
        <w:tabs>
          <w:tab w:val="left" w:pos="2160"/>
        </w:tabs>
        <w:spacing w:line="360" w:lineRule="auto"/>
        <w:rPr>
          <w:rFonts w:ascii="宋体" w:hAnsi="宋体" w:cs="宋体"/>
          <w:color w:val="auto"/>
          <w:szCs w:val="21"/>
        </w:rPr>
      </w:pPr>
      <w:r>
        <w:rPr>
          <w:rFonts w:hint="eastAsia" w:ascii="宋体" w:hAnsi="宋体" w:cs="宋体"/>
          <w:color w:val="auto"/>
          <w:szCs w:val="21"/>
        </w:rPr>
        <w:t>无能力履行义务或玩忽职守；</w:t>
      </w:r>
    </w:p>
    <w:p>
      <w:pPr>
        <w:numPr>
          <w:ilvl w:val="0"/>
          <w:numId w:val="16"/>
        </w:numPr>
        <w:tabs>
          <w:tab w:val="left" w:pos="2160"/>
        </w:tabs>
        <w:spacing w:line="360" w:lineRule="auto"/>
        <w:rPr>
          <w:rFonts w:ascii="宋体" w:hAnsi="宋体" w:cs="宋体"/>
          <w:color w:val="auto"/>
          <w:szCs w:val="21"/>
        </w:rPr>
      </w:pPr>
      <w:r>
        <w:rPr>
          <w:rFonts w:hint="eastAsia" w:ascii="宋体" w:hAnsi="宋体" w:cs="宋体"/>
          <w:color w:val="auto"/>
          <w:szCs w:val="21"/>
        </w:rPr>
        <w:t>不遵守合同的约定；</w:t>
      </w:r>
    </w:p>
    <w:p>
      <w:pPr>
        <w:numPr>
          <w:ilvl w:val="0"/>
          <w:numId w:val="16"/>
        </w:numPr>
        <w:tabs>
          <w:tab w:val="left" w:pos="2160"/>
        </w:tabs>
        <w:spacing w:line="360" w:lineRule="auto"/>
        <w:rPr>
          <w:rFonts w:ascii="宋体" w:hAnsi="宋体" w:cs="宋体"/>
          <w:color w:val="auto"/>
          <w:szCs w:val="21"/>
        </w:rPr>
      </w:pPr>
      <w:r>
        <w:rPr>
          <w:rFonts w:hint="eastAsia" w:ascii="宋体" w:hAnsi="宋体" w:cs="宋体"/>
          <w:color w:val="auto"/>
          <w:szCs w:val="21"/>
        </w:rPr>
        <w:t>有损安全、健康和不利于环境保护的行为。</w:t>
      </w:r>
    </w:p>
    <w:p>
      <w:pPr>
        <w:spacing w:line="360" w:lineRule="auto"/>
        <w:rPr>
          <w:rFonts w:ascii="宋体" w:hAnsi="宋体" w:cs="宋体"/>
          <w:b/>
          <w:color w:val="auto"/>
          <w:szCs w:val="21"/>
        </w:rPr>
      </w:pPr>
      <w:r>
        <w:rPr>
          <w:rFonts w:hint="eastAsia" w:ascii="宋体" w:hAnsi="宋体" w:cs="宋体"/>
          <w:b/>
          <w:color w:val="auto"/>
          <w:szCs w:val="21"/>
        </w:rPr>
        <w:t xml:space="preserve">27.8  </w:t>
      </w:r>
      <w:r>
        <w:rPr>
          <w:rFonts w:hint="eastAsia" w:ascii="宋体" w:hAnsi="宋体" w:cs="宋体"/>
          <w:b/>
          <w:color w:val="auto"/>
          <w:szCs w:val="21"/>
          <w:u w:val="dotted"/>
        </w:rPr>
        <w:t xml:space="preserve">                                                                                                        </w:t>
      </w:r>
    </w:p>
    <w:p>
      <w:pPr>
        <w:spacing w:line="360" w:lineRule="auto"/>
        <w:ind w:left="1619" w:leftChars="771"/>
        <w:rPr>
          <w:rFonts w:ascii="宋体" w:hAnsi="宋体" w:cs="宋体"/>
          <w:color w:val="auto"/>
          <w:kern w:val="0"/>
          <w:szCs w:val="21"/>
        </w:rPr>
      </w:pPr>
      <w:r>
        <w:rPr>
          <w:rFonts w:ascii="宋体" w:hAnsi="宋体" w:cs="宋体"/>
          <w:color w:val="auto"/>
          <w:kern w:val="0"/>
          <w:szCs w:val="21"/>
        </w:rPr>
        <mc:AlternateContent>
          <mc:Choice Requires="wps">
            <w:drawing>
              <wp:anchor distT="0" distB="0" distL="114300" distR="114300" simplePos="0" relativeHeight="251798528" behindDoc="0" locked="0" layoutInCell="1" allowOverlap="1">
                <wp:simplePos x="0" y="0"/>
                <wp:positionH relativeFrom="column">
                  <wp:posOffset>-114300</wp:posOffset>
                </wp:positionH>
                <wp:positionV relativeFrom="paragraph">
                  <wp:posOffset>0</wp:posOffset>
                </wp:positionV>
                <wp:extent cx="914400" cy="434975"/>
                <wp:effectExtent l="0" t="0" r="0" b="0"/>
                <wp:wrapNone/>
                <wp:docPr id="305" name="文本框 305"/>
                <wp:cNvGraphicFramePr/>
                <a:graphic xmlns:a="http://schemas.openxmlformats.org/drawingml/2006/main">
                  <a:graphicData uri="http://schemas.microsoft.com/office/word/2010/wordprocessingShape">
                    <wps:wsp>
                      <wps:cNvSpPr txBox="1">
                        <a:spLocks noChangeArrowheads="1"/>
                      </wps:cNvSpPr>
                      <wps:spPr bwMode="auto">
                        <a:xfrm>
                          <a:off x="0" y="0"/>
                          <a:ext cx="914400" cy="43497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承包人对雇员的保护</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34.25pt;width:72pt;z-index:251798528;mso-width-relative:page;mso-height-relative:page;" filled="f" stroked="f" coordsize="21600,21600" o:gfxdata="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tLXY79UAAAAHAQAADwAAAAAAAAABACAAAAAiAAAAZHJzL2Rvd25y&#10;ZXYueG1sUEsBAhQAFAAAAAgAh07iQAB8xRkBAgAA2AMAAA4AAAAAAAAAAQAgAAAAJAEAAGRycy9l&#10;Mm9Eb2MueG1sUEsFBgAAAAAGAAYAWQEAAJcF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承包人对雇员的保护</w:t>
                      </w:r>
                    </w:p>
                  </w:txbxContent>
                </v:textbox>
              </v:shape>
            </w:pict>
          </mc:Fallback>
        </mc:AlternateContent>
      </w:r>
      <w:r>
        <w:rPr>
          <w:rFonts w:hint="eastAsia" w:ascii="宋体" w:hAnsi="宋体" w:cs="宋体"/>
          <w:color w:val="auto"/>
          <w:kern w:val="0"/>
          <w:szCs w:val="21"/>
        </w:rPr>
        <w:t>承包人应自始至终采取各种合理的预防措施，防止雇员内部发生打斗和任何无序、非法的不良行为，以确保现场安定和保护现场及邻近人员的生命、财产安全。</w:t>
      </w:r>
    </w:p>
    <w:p>
      <w:pPr>
        <w:spacing w:line="360" w:lineRule="auto"/>
        <w:rPr>
          <w:rFonts w:ascii="宋体" w:hAnsi="宋体" w:cs="宋体"/>
          <w:b/>
          <w:color w:val="auto"/>
          <w:sz w:val="24"/>
          <w:szCs w:val="18"/>
        </w:rPr>
      </w:pPr>
      <w:r>
        <w:rPr>
          <w:rFonts w:hint="eastAsia" w:ascii="宋体" w:hAnsi="宋体" w:cs="宋体"/>
          <w:b/>
          <w:color w:val="auto"/>
          <w:szCs w:val="21"/>
          <w:u w:val="single"/>
        </w:rPr>
        <w:t xml:space="preserve">                                                                                   </w:t>
      </w:r>
      <w:r>
        <w:rPr>
          <w:rFonts w:hint="eastAsia" w:ascii="宋体" w:hAnsi="宋体" w:cs="宋体"/>
          <w:b/>
          <w:color w:val="auto"/>
          <w:sz w:val="24"/>
          <w:szCs w:val="18"/>
          <w:u w:val="single"/>
        </w:rPr>
        <w:t xml:space="preserve">                           </w:t>
      </w:r>
    </w:p>
    <w:p>
      <w:pPr>
        <w:adjustRightInd w:val="0"/>
        <w:snapToGrid w:val="0"/>
        <w:spacing w:line="360" w:lineRule="auto"/>
        <w:ind w:right="-238"/>
        <w:outlineLvl w:val="1"/>
        <w:rPr>
          <w:rFonts w:ascii="宋体" w:hAnsi="宋体" w:cs="宋体"/>
          <w:b/>
          <w:color w:val="auto"/>
          <w:kern w:val="0"/>
          <w:sz w:val="32"/>
          <w:szCs w:val="28"/>
        </w:rPr>
      </w:pPr>
    </w:p>
    <w:p>
      <w:pPr>
        <w:adjustRightInd w:val="0"/>
        <w:snapToGrid w:val="0"/>
        <w:spacing w:line="360" w:lineRule="auto"/>
        <w:ind w:right="-238"/>
        <w:jc w:val="center"/>
        <w:outlineLvl w:val="1"/>
        <w:rPr>
          <w:rFonts w:ascii="宋体" w:hAnsi="宋体" w:cs="宋体"/>
          <w:b/>
          <w:color w:val="auto"/>
          <w:kern w:val="0"/>
          <w:sz w:val="32"/>
          <w:szCs w:val="28"/>
        </w:rPr>
      </w:pPr>
      <w:r>
        <w:rPr>
          <w:rFonts w:hint="eastAsia" w:ascii="宋体" w:hAnsi="宋体" w:cs="宋体"/>
          <w:b/>
          <w:color w:val="auto"/>
          <w:kern w:val="0"/>
          <w:sz w:val="32"/>
          <w:szCs w:val="28"/>
        </w:rPr>
        <w:t>三、担保、保险与风险</w:t>
      </w:r>
    </w:p>
    <w:p>
      <w:pPr>
        <w:tabs>
          <w:tab w:val="left" w:pos="540"/>
        </w:tabs>
        <w:adjustRightInd w:val="0"/>
        <w:snapToGrid w:val="0"/>
        <w:spacing w:beforeLines="100" w:line="360" w:lineRule="auto"/>
        <w:ind w:right="-238"/>
        <w:rPr>
          <w:rFonts w:ascii="宋体" w:hAnsi="宋体" w:cs="宋体"/>
          <w:b/>
          <w:color w:val="auto"/>
          <w:kern w:val="0"/>
          <w:szCs w:val="21"/>
        </w:rPr>
      </w:pPr>
      <w:r>
        <w:rPr>
          <w:rFonts w:hint="eastAsia" w:ascii="宋体" w:hAnsi="宋体" w:cs="宋体"/>
          <w:b/>
          <w:color w:val="auto"/>
          <w:kern w:val="0"/>
          <w:szCs w:val="21"/>
        </w:rPr>
        <w:t>28  工程担保</w:t>
      </w:r>
    </w:p>
    <w:p>
      <w:pPr>
        <w:tabs>
          <w:tab w:val="left" w:pos="1320"/>
        </w:tabs>
        <w:adjustRightInd w:val="0"/>
        <w:snapToGrid w:val="0"/>
        <w:spacing w:line="360" w:lineRule="auto"/>
        <w:ind w:right="-240"/>
        <w:rPr>
          <w:rFonts w:ascii="宋体" w:hAnsi="宋体" w:cs="宋体"/>
          <w:b/>
          <w:color w:val="auto"/>
          <w:kern w:val="0"/>
          <w:szCs w:val="21"/>
        </w:rPr>
      </w:pPr>
      <w:r>
        <w:rPr>
          <w:rFonts w:ascii="宋体" w:hAnsi="宋体" w:cs="宋体"/>
          <w:color w:val="auto"/>
          <w:kern w:val="0"/>
          <w:szCs w:val="21"/>
        </w:rPr>
        <mc:AlternateContent>
          <mc:Choice Requires="wps">
            <w:drawing>
              <wp:anchor distT="0" distB="0" distL="114300" distR="114300" simplePos="0" relativeHeight="251799552" behindDoc="0" locked="0" layoutInCell="1" allowOverlap="1">
                <wp:simplePos x="0" y="0"/>
                <wp:positionH relativeFrom="column">
                  <wp:posOffset>-114300</wp:posOffset>
                </wp:positionH>
                <wp:positionV relativeFrom="paragraph">
                  <wp:posOffset>243840</wp:posOffset>
                </wp:positionV>
                <wp:extent cx="914400" cy="396240"/>
                <wp:effectExtent l="0" t="0" r="0" b="0"/>
                <wp:wrapNone/>
                <wp:docPr id="304" name="文本框 304"/>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承包人提供履约担保</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2pt;height:31.2pt;width:72pt;z-index:251799552;mso-width-relative:page;mso-height-relative:page;" filled="f" stroked="f" coordsize="21600,21600" o:gfxdata="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O4G5QTXAAAACgEAAA8AAAAAAAAAAQAgAAAAIgAAAGRycy9kb3du&#10;cmV2LnhtbFBLAQIUABQAAAAIAIdO4kDmDSmSAAIAANgDAAAOAAAAAAAAAAEAIAAAACYBAABkcnMv&#10;ZTJvRG9jLnhtbFBLBQYAAAAABgAGAFkBAACY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承包人提供履约担保</w:t>
                      </w:r>
                    </w:p>
                  </w:txbxContent>
                </v:textbox>
              </v:shape>
            </w:pict>
          </mc:Fallback>
        </mc:AlternateContent>
      </w:r>
      <w:r>
        <w:rPr>
          <w:rFonts w:hint="eastAsia" w:ascii="宋体" w:hAnsi="宋体" w:cs="宋体"/>
          <w:b/>
          <w:color w:val="auto"/>
          <w:kern w:val="0"/>
          <w:szCs w:val="21"/>
        </w:rPr>
        <w:t xml:space="preserve">28.1       </w:t>
      </w:r>
    </w:p>
    <w:p>
      <w:pPr>
        <w:adjustRightInd w:val="0"/>
        <w:snapToGrid w:val="0"/>
        <w:spacing w:line="360" w:lineRule="auto"/>
        <w:ind w:left="1619" w:leftChars="771" w:right="-238"/>
        <w:rPr>
          <w:rFonts w:ascii="宋体" w:hAnsi="宋体" w:cs="宋体"/>
          <w:color w:val="auto"/>
          <w:kern w:val="0"/>
          <w:szCs w:val="21"/>
        </w:rPr>
      </w:pPr>
      <w:r>
        <w:rPr>
          <w:rFonts w:hint="eastAsia" w:ascii="宋体" w:hAnsi="宋体" w:cs="宋体"/>
          <w:color w:val="auto"/>
          <w:kern w:val="0"/>
          <w:szCs w:val="21"/>
        </w:rPr>
        <w:t>为正确履行本合同，发包人应在招标文件中或在签订合同前明确履约担保的有关要求，承包人应按照合同约定时间向发包人提供履约担保。履约担保采用银行保函的形式，提供履约保函所发生的费用由承包人承担。</w:t>
      </w:r>
    </w:p>
    <w:p>
      <w:pPr>
        <w:tabs>
          <w:tab w:val="left" w:pos="1320"/>
        </w:tabs>
        <w:adjustRightInd w:val="0"/>
        <w:snapToGrid w:val="0"/>
        <w:spacing w:line="360" w:lineRule="auto"/>
        <w:ind w:right="-240"/>
        <w:rPr>
          <w:rFonts w:ascii="宋体" w:hAnsi="宋体" w:cs="宋体"/>
          <w:b/>
          <w:color w:val="auto"/>
          <w:kern w:val="0"/>
          <w:szCs w:val="21"/>
        </w:rPr>
      </w:pPr>
      <w:r>
        <w:rPr>
          <w:rFonts w:ascii="宋体" w:hAnsi="宋体" w:cs="宋体"/>
          <w:color w:val="auto"/>
          <w:kern w:val="0"/>
          <w:szCs w:val="21"/>
        </w:rPr>
        <mc:AlternateContent>
          <mc:Choice Requires="wps">
            <w:drawing>
              <wp:anchor distT="0" distB="0" distL="114300" distR="114300" simplePos="0" relativeHeight="251800576" behindDoc="0" locked="0" layoutInCell="1" allowOverlap="1">
                <wp:simplePos x="0" y="0"/>
                <wp:positionH relativeFrom="column">
                  <wp:posOffset>-114300</wp:posOffset>
                </wp:positionH>
                <wp:positionV relativeFrom="paragraph">
                  <wp:posOffset>255905</wp:posOffset>
                </wp:positionV>
                <wp:extent cx="914400" cy="394970"/>
                <wp:effectExtent l="0" t="0" r="0" b="0"/>
                <wp:wrapNone/>
                <wp:docPr id="303" name="文本框 303"/>
                <wp:cNvGraphicFramePr/>
                <a:graphic xmlns:a="http://schemas.openxmlformats.org/drawingml/2006/main">
                  <a:graphicData uri="http://schemas.microsoft.com/office/word/2010/wordprocessingShape">
                    <wps:wsp>
                      <wps:cNvSpPr txBox="1">
                        <a:spLocks noChangeArrowheads="1"/>
                      </wps:cNvSpPr>
                      <wps:spPr bwMode="auto">
                        <a:xfrm>
                          <a:off x="0" y="0"/>
                          <a:ext cx="914400" cy="39497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履约担保期限和退还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0.15pt;height:31.1pt;width:72pt;z-index:251800576;mso-width-relative:page;mso-height-relative:page;" filled="f" stroked="f" coordsize="21600,21600" o:gfxdata="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ApHnUjXAAAACgEAAA8AAAAAAAAAAQAgAAAAIgAAAGRycy9kb3du&#10;cmV2LnhtbFBLAQIUABQAAAAIAIdO4kCbRrsqAAIAANgDAAAOAAAAAAAAAAEAIAAAACYBAABkcnMv&#10;ZTJvRG9jLnhtbFBLBQYAAAAABgAGAFkBAACY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履约担保期限和退还</w:t>
                      </w:r>
                    </w:p>
                  </w:txbxContent>
                </v:textbox>
              </v:shape>
            </w:pict>
          </mc:Fallback>
        </mc:AlternateContent>
      </w:r>
      <w:r>
        <w:rPr>
          <w:rFonts w:hint="eastAsia" w:ascii="宋体" w:hAnsi="宋体" w:cs="宋体"/>
          <w:b/>
          <w:color w:val="auto"/>
          <w:kern w:val="0"/>
          <w:szCs w:val="21"/>
        </w:rPr>
        <w:t xml:space="preserve">28.2  </w:t>
      </w:r>
      <w:r>
        <w:rPr>
          <w:rFonts w:hint="eastAsia" w:ascii="宋体" w:hAnsi="宋体" w:cs="宋体"/>
          <w:b/>
          <w:color w:val="auto"/>
          <w:kern w:val="0"/>
          <w:szCs w:val="21"/>
          <w:u w:val="dotted"/>
        </w:rPr>
        <w:t xml:space="preserve">                                                                             </w:t>
      </w:r>
    </w:p>
    <w:p>
      <w:pPr>
        <w:adjustRightInd w:val="0"/>
        <w:snapToGrid w:val="0"/>
        <w:spacing w:line="360" w:lineRule="auto"/>
        <w:ind w:left="1619" w:leftChars="771" w:right="-238"/>
        <w:rPr>
          <w:rFonts w:ascii="宋体" w:hAnsi="宋体" w:cs="宋体"/>
          <w:color w:val="auto"/>
          <w:kern w:val="0"/>
          <w:szCs w:val="21"/>
        </w:rPr>
      </w:pPr>
      <w:r>
        <w:rPr>
          <w:rFonts w:hint="eastAsia" w:ascii="宋体" w:hAnsi="宋体" w:cs="宋体"/>
          <w:color w:val="auto"/>
          <w:kern w:val="0"/>
          <w:szCs w:val="21"/>
        </w:rPr>
        <w:t>履约担保的有效期，是从提供履约担保之日起至合同工程竣工验收合格之日止。发包人应在担保有效期满后的14 天内将此担保退还给承包人。</w:t>
      </w:r>
    </w:p>
    <w:p>
      <w:pPr>
        <w:tabs>
          <w:tab w:val="left" w:pos="1320"/>
        </w:tabs>
        <w:adjustRightInd w:val="0"/>
        <w:snapToGrid w:val="0"/>
        <w:spacing w:line="360" w:lineRule="auto"/>
        <w:ind w:right="-238"/>
        <w:rPr>
          <w:rFonts w:ascii="宋体" w:hAnsi="宋体" w:cs="宋体"/>
          <w:b/>
          <w:color w:val="auto"/>
          <w:kern w:val="0"/>
          <w:szCs w:val="21"/>
        </w:rPr>
      </w:pPr>
      <w:r>
        <w:rPr>
          <w:rFonts w:ascii="宋体" w:hAnsi="宋体" w:cs="宋体"/>
          <w:color w:val="auto"/>
          <w:kern w:val="0"/>
          <w:szCs w:val="21"/>
        </w:rPr>
        <mc:AlternateContent>
          <mc:Choice Requires="wps">
            <w:drawing>
              <wp:anchor distT="0" distB="0" distL="114300" distR="114300" simplePos="0" relativeHeight="251801600" behindDoc="0" locked="0" layoutInCell="1" allowOverlap="1">
                <wp:simplePos x="0" y="0"/>
                <wp:positionH relativeFrom="column">
                  <wp:posOffset>-114300</wp:posOffset>
                </wp:positionH>
                <wp:positionV relativeFrom="paragraph">
                  <wp:posOffset>248920</wp:posOffset>
                </wp:positionV>
                <wp:extent cx="914400" cy="495300"/>
                <wp:effectExtent l="0" t="0" r="0" b="0"/>
                <wp:wrapNone/>
                <wp:docPr id="302" name="文本框 302"/>
                <wp:cNvGraphicFramePr/>
                <a:graphic xmlns:a="http://schemas.openxmlformats.org/drawingml/2006/main">
                  <a:graphicData uri="http://schemas.microsoft.com/office/word/2010/wordprocessingShape">
                    <wps:wsp>
                      <wps:cNvSpPr txBox="1">
                        <a:spLocks noChangeArrowheads="1"/>
                      </wps:cNvSpPr>
                      <wps:spPr bwMode="auto">
                        <a:xfrm>
                          <a:off x="0" y="0"/>
                          <a:ext cx="914400" cy="49530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向发包人支付索赔款项</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6pt;height:39pt;width:72pt;z-index:251801600;mso-width-relative:page;mso-height-relative:page;" filled="f" stroked="f" coordsize="21600,21600" o:gfxdata="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LW7JD7YAAAACgEAAA8AAAAAAAAAAQAgAAAAIgAAAGRycy9kb3du&#10;cmV2LnhtbFBLAQIUABQAAAAIAIdO4kBYd0mT/wEAANgDAAAOAAAAAAAAAAEAIAAAACcBAABkcnMv&#10;ZTJvRG9jLnhtbFBLBQYAAAAABgAGAFkBAACY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向发包人支付索赔款项</w:t>
                      </w:r>
                    </w:p>
                  </w:txbxContent>
                </v:textbox>
              </v:shape>
            </w:pict>
          </mc:Fallback>
        </mc:AlternateContent>
      </w:r>
      <w:r>
        <w:rPr>
          <w:rFonts w:hint="eastAsia" w:ascii="宋体" w:hAnsi="宋体" w:cs="宋体"/>
          <w:b/>
          <w:color w:val="auto"/>
          <w:kern w:val="0"/>
          <w:szCs w:val="21"/>
        </w:rPr>
        <w:t xml:space="preserve">28.3  </w:t>
      </w:r>
      <w:r>
        <w:rPr>
          <w:rFonts w:hint="eastAsia" w:ascii="宋体" w:hAnsi="宋体" w:cs="宋体"/>
          <w:b/>
          <w:color w:val="auto"/>
          <w:kern w:val="0"/>
          <w:szCs w:val="21"/>
          <w:u w:val="dotted"/>
        </w:rPr>
        <w:t xml:space="preserve">                                                                             </w:t>
      </w:r>
    </w:p>
    <w:p>
      <w:pPr>
        <w:adjustRightInd w:val="0"/>
        <w:snapToGrid w:val="0"/>
        <w:spacing w:line="360" w:lineRule="auto"/>
        <w:ind w:left="1619" w:leftChars="771" w:right="-238"/>
        <w:rPr>
          <w:rFonts w:ascii="宋体" w:hAnsi="宋体" w:cs="宋体"/>
          <w:b/>
          <w:color w:val="auto"/>
          <w:kern w:val="0"/>
          <w:szCs w:val="21"/>
        </w:rPr>
      </w:pPr>
      <w:r>
        <w:rPr>
          <w:rFonts w:hint="eastAsia" w:ascii="宋体" w:hAnsi="宋体" w:cs="宋体"/>
          <w:color w:val="auto"/>
          <w:kern w:val="0"/>
          <w:szCs w:val="21"/>
        </w:rPr>
        <w:t>发包人在对履约担保提出索赔要求之前，应书面通知承包人，说明导致此项索赔的原因，并及时向担保人提出索赔文件。担保人根据担保合同的约定在担保范围内承担担保责任，并无须征得承包人的同意，直接向发包人支付索赔价款。</w:t>
      </w:r>
    </w:p>
    <w:p>
      <w:pPr>
        <w:tabs>
          <w:tab w:val="left" w:pos="540"/>
          <w:tab w:val="left" w:pos="720"/>
        </w:tabs>
        <w:adjustRightInd w:val="0"/>
        <w:snapToGrid w:val="0"/>
        <w:spacing w:line="360" w:lineRule="auto"/>
        <w:ind w:right="-238"/>
        <w:rPr>
          <w:rFonts w:ascii="宋体" w:hAnsi="宋体" w:cs="宋体"/>
          <w:b/>
          <w:color w:val="auto"/>
          <w:kern w:val="0"/>
          <w:szCs w:val="21"/>
        </w:rPr>
      </w:pPr>
      <w:r>
        <w:rPr>
          <w:rFonts w:ascii="宋体" w:hAnsi="宋体" w:cs="宋体"/>
          <w:color w:val="auto"/>
          <w:kern w:val="0"/>
          <w:szCs w:val="21"/>
        </w:rPr>
        <mc:AlternateContent>
          <mc:Choice Requires="wps">
            <w:drawing>
              <wp:anchor distT="0" distB="0" distL="114300" distR="114300" simplePos="0" relativeHeight="251802624" behindDoc="0" locked="0" layoutInCell="1" allowOverlap="1">
                <wp:simplePos x="0" y="0"/>
                <wp:positionH relativeFrom="column">
                  <wp:posOffset>-114300</wp:posOffset>
                </wp:positionH>
                <wp:positionV relativeFrom="paragraph">
                  <wp:posOffset>251460</wp:posOffset>
                </wp:positionV>
                <wp:extent cx="914400" cy="417830"/>
                <wp:effectExtent l="0" t="0" r="0" b="0"/>
                <wp:wrapNone/>
                <wp:docPr id="301" name="文本框 301"/>
                <wp:cNvGraphicFramePr/>
                <a:graphic xmlns:a="http://schemas.openxmlformats.org/drawingml/2006/main">
                  <a:graphicData uri="http://schemas.microsoft.com/office/word/2010/wordprocessingShape">
                    <wps:wsp>
                      <wps:cNvSpPr txBox="1">
                        <a:spLocks noChangeArrowheads="1"/>
                      </wps:cNvSpPr>
                      <wps:spPr bwMode="auto">
                        <a:xfrm>
                          <a:off x="0" y="0"/>
                          <a:ext cx="914400" cy="41783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发包人提供支付担保</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8pt;height:32.9pt;width:72pt;z-index:251802624;mso-width-relative:page;mso-height-relative:page;" filled="f" stroked="f" coordsize="21600,21600" o:gfxdata="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LE7+Y2AAAAAoBAAAPAAAAAAAAAAEAIAAAACIAAABkcnMvZG93&#10;bnJldi54bWxQSwECFAAUAAAACACHTuJAv3uQQQACAADYAwAADgAAAAAAAAABACAAAAAnAQAAZHJz&#10;L2Uyb0RvYy54bWxQSwUGAAAAAAYABgBZAQAAmQ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发包人提供支付担保</w:t>
                      </w:r>
                    </w:p>
                  </w:txbxContent>
                </v:textbox>
              </v:shape>
            </w:pict>
          </mc:Fallback>
        </mc:AlternateContent>
      </w:r>
      <w:r>
        <w:rPr>
          <w:rFonts w:hint="eastAsia" w:ascii="宋体" w:hAnsi="宋体" w:cs="宋体"/>
          <w:b/>
          <w:color w:val="auto"/>
          <w:kern w:val="0"/>
          <w:szCs w:val="21"/>
        </w:rPr>
        <w:t xml:space="preserve">28.4  </w:t>
      </w:r>
      <w:r>
        <w:rPr>
          <w:rFonts w:hint="eastAsia" w:ascii="宋体" w:hAnsi="宋体" w:cs="宋体"/>
          <w:b/>
          <w:color w:val="auto"/>
          <w:kern w:val="0"/>
          <w:szCs w:val="21"/>
          <w:u w:val="dotted"/>
        </w:rPr>
        <w:t xml:space="preserve">                                                                             </w:t>
      </w:r>
    </w:p>
    <w:p>
      <w:pPr>
        <w:adjustRightInd w:val="0"/>
        <w:snapToGrid w:val="0"/>
        <w:spacing w:line="360" w:lineRule="auto"/>
        <w:ind w:left="1619" w:leftChars="771" w:right="-238"/>
        <w:rPr>
          <w:rFonts w:ascii="宋体" w:hAnsi="宋体" w:cs="宋体"/>
          <w:color w:val="auto"/>
          <w:kern w:val="0"/>
          <w:szCs w:val="21"/>
        </w:rPr>
      </w:pPr>
      <w:r>
        <w:rPr>
          <w:rFonts w:hint="eastAsia" w:ascii="宋体" w:hAnsi="宋体" w:cs="宋体"/>
          <w:color w:val="auto"/>
          <w:kern w:val="0"/>
          <w:szCs w:val="21"/>
        </w:rPr>
        <w:t>承包人按照第28.1款的要求提交了履约担保，发包人应按照合同约定时间向承包人提交与履约担保等值的支付担保。支付担保采用银行保函的形式，提供支付保函所发生的费用由发包人承担。</w:t>
      </w:r>
    </w:p>
    <w:p>
      <w:pPr>
        <w:tabs>
          <w:tab w:val="left" w:pos="1320"/>
        </w:tabs>
        <w:adjustRightInd w:val="0"/>
        <w:snapToGrid w:val="0"/>
        <w:spacing w:line="360" w:lineRule="auto"/>
        <w:ind w:right="-238"/>
        <w:rPr>
          <w:rFonts w:ascii="宋体" w:hAnsi="宋体" w:cs="宋体"/>
          <w:b/>
          <w:color w:val="auto"/>
          <w:kern w:val="0"/>
          <w:szCs w:val="21"/>
        </w:rPr>
      </w:pPr>
      <w:r>
        <w:rPr>
          <w:rFonts w:ascii="宋体" w:hAnsi="宋体" w:cs="宋体"/>
          <w:color w:val="auto"/>
          <w:kern w:val="0"/>
          <w:szCs w:val="21"/>
        </w:rPr>
        <mc:AlternateContent>
          <mc:Choice Requires="wps">
            <w:drawing>
              <wp:anchor distT="0" distB="0" distL="114300" distR="114300" simplePos="0" relativeHeight="251803648" behindDoc="0" locked="0" layoutInCell="1" allowOverlap="1">
                <wp:simplePos x="0" y="0"/>
                <wp:positionH relativeFrom="column">
                  <wp:posOffset>-114300</wp:posOffset>
                </wp:positionH>
                <wp:positionV relativeFrom="paragraph">
                  <wp:posOffset>238125</wp:posOffset>
                </wp:positionV>
                <wp:extent cx="914400" cy="412750"/>
                <wp:effectExtent l="0" t="0" r="0" b="0"/>
                <wp:wrapNone/>
                <wp:docPr id="300" name="文本框 300"/>
                <wp:cNvGraphicFramePr/>
                <a:graphic xmlns:a="http://schemas.openxmlformats.org/drawingml/2006/main">
                  <a:graphicData uri="http://schemas.microsoft.com/office/word/2010/wordprocessingShape">
                    <wps:wsp>
                      <wps:cNvSpPr txBox="1">
                        <a:spLocks noChangeArrowheads="1"/>
                      </wps:cNvSpPr>
                      <wps:spPr bwMode="auto">
                        <a:xfrm>
                          <a:off x="0" y="0"/>
                          <a:ext cx="914400" cy="41275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支付担保期限和退还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8.75pt;height:32.5pt;width:72pt;z-index:251803648;mso-width-relative:page;mso-height-relative:page;" filled="f" stroked="f" coordsize="21600,21600" o:gfxdata="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PjwydjYAAAACgEAAA8AAAAAAAAAAQAgAAAAIgAAAGRycy9kb3du&#10;cmV2LnhtbFBLAQIUABQAAAAIAIdO4kA+Lefb/wEAANgDAAAOAAAAAAAAAAEAIAAAACcBAABkcnMv&#10;ZTJvRG9jLnhtbFBLBQYAAAAABgAGAFkBAACY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支付担保期限和退还</w:t>
                      </w:r>
                    </w:p>
                  </w:txbxContent>
                </v:textbox>
              </v:shape>
            </w:pict>
          </mc:Fallback>
        </mc:AlternateContent>
      </w:r>
      <w:r>
        <w:rPr>
          <w:rFonts w:hint="eastAsia" w:ascii="宋体" w:hAnsi="宋体" w:cs="宋体"/>
          <w:b/>
          <w:color w:val="auto"/>
          <w:kern w:val="0"/>
          <w:szCs w:val="21"/>
        </w:rPr>
        <w:t xml:space="preserve">28.5  </w:t>
      </w:r>
      <w:r>
        <w:rPr>
          <w:rFonts w:hint="eastAsia" w:ascii="宋体" w:hAnsi="宋体" w:cs="宋体"/>
          <w:b/>
          <w:color w:val="auto"/>
          <w:kern w:val="0"/>
          <w:szCs w:val="21"/>
          <w:u w:val="dotted"/>
        </w:rPr>
        <w:t xml:space="preserve">                                                                             </w:t>
      </w:r>
    </w:p>
    <w:p>
      <w:pPr>
        <w:adjustRightInd w:val="0"/>
        <w:snapToGrid w:val="0"/>
        <w:spacing w:line="360" w:lineRule="auto"/>
        <w:ind w:left="1619" w:leftChars="771" w:right="-238"/>
        <w:rPr>
          <w:rFonts w:ascii="宋体" w:hAnsi="宋体" w:cs="宋体"/>
          <w:color w:val="auto"/>
          <w:kern w:val="0"/>
          <w:szCs w:val="21"/>
        </w:rPr>
      </w:pPr>
      <w:r>
        <w:rPr>
          <w:rFonts w:hint="eastAsia" w:ascii="宋体" w:hAnsi="宋体" w:cs="宋体"/>
          <w:color w:val="auto"/>
          <w:kern w:val="0"/>
          <w:szCs w:val="21"/>
        </w:rPr>
        <w:t>支付担保的有效期，是从提供支付担保之日起至发包人根据本合同约定支付完除质量保证金以外的全部款项之日止。承包人应在担保有效期满后的14天内将此担保退还给发包人。</w:t>
      </w:r>
    </w:p>
    <w:p>
      <w:pPr>
        <w:tabs>
          <w:tab w:val="left" w:pos="1320"/>
        </w:tabs>
        <w:adjustRightInd w:val="0"/>
        <w:snapToGrid w:val="0"/>
        <w:spacing w:line="360" w:lineRule="auto"/>
        <w:ind w:right="-238"/>
        <w:rPr>
          <w:rFonts w:ascii="宋体" w:hAnsi="宋体" w:cs="宋体"/>
          <w:b/>
          <w:color w:val="auto"/>
          <w:kern w:val="0"/>
          <w:szCs w:val="21"/>
        </w:rPr>
      </w:pPr>
      <w:r>
        <w:rPr>
          <w:rFonts w:ascii="宋体" w:hAnsi="宋体" w:cs="宋体"/>
          <w:color w:val="auto"/>
          <w:kern w:val="0"/>
          <w:szCs w:val="21"/>
        </w:rPr>
        <mc:AlternateContent>
          <mc:Choice Requires="wps">
            <w:drawing>
              <wp:anchor distT="0" distB="0" distL="114300" distR="114300" simplePos="0" relativeHeight="251804672" behindDoc="0" locked="0" layoutInCell="1" allowOverlap="1">
                <wp:simplePos x="0" y="0"/>
                <wp:positionH relativeFrom="column">
                  <wp:posOffset>-114300</wp:posOffset>
                </wp:positionH>
                <wp:positionV relativeFrom="paragraph">
                  <wp:posOffset>247650</wp:posOffset>
                </wp:positionV>
                <wp:extent cx="914400" cy="396240"/>
                <wp:effectExtent l="0" t="0" r="0" b="0"/>
                <wp:wrapNone/>
                <wp:docPr id="299" name="文本框 299"/>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向承包人支付索赔款项</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5pt;height:31.2pt;width:72pt;z-index:251804672;mso-width-relative:page;mso-height-relative:page;" filled="f" stroked="f" coordsize="21600,21600" o:gfxdata="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koaQYtYAAAAKAQAADwAAAAAAAAABACAAAAAiAAAAZHJzL2Rvd25y&#10;ZXYueG1sUEsBAhQAFAAAAAgAh07iQD2o5jkAAgAA2AMAAA4AAAAAAAAAAQAgAAAAJQEAAGRycy9l&#10;Mm9Eb2MueG1sUEsFBgAAAAAGAAYAWQEAAJcF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向承包人支付索赔款项</w:t>
                      </w:r>
                    </w:p>
                  </w:txbxContent>
                </v:textbox>
              </v:shape>
            </w:pict>
          </mc:Fallback>
        </mc:AlternateContent>
      </w:r>
      <w:r>
        <w:rPr>
          <w:rFonts w:hint="eastAsia" w:ascii="宋体" w:hAnsi="宋体" w:cs="宋体"/>
          <w:b/>
          <w:color w:val="auto"/>
          <w:kern w:val="0"/>
          <w:szCs w:val="21"/>
        </w:rPr>
        <w:t xml:space="preserve">28.6  </w:t>
      </w:r>
      <w:r>
        <w:rPr>
          <w:rFonts w:hint="eastAsia" w:ascii="宋体" w:hAnsi="宋体" w:cs="宋体"/>
          <w:b/>
          <w:color w:val="auto"/>
          <w:kern w:val="0"/>
          <w:szCs w:val="21"/>
          <w:u w:val="dotted"/>
        </w:rPr>
        <w:t xml:space="preserve">                                                                             </w:t>
      </w:r>
    </w:p>
    <w:p>
      <w:pPr>
        <w:adjustRightInd w:val="0"/>
        <w:snapToGrid w:val="0"/>
        <w:spacing w:line="360" w:lineRule="auto"/>
        <w:ind w:left="1619" w:leftChars="771" w:right="-238"/>
        <w:rPr>
          <w:rFonts w:ascii="宋体" w:hAnsi="宋体" w:cs="宋体"/>
          <w:color w:val="auto"/>
          <w:kern w:val="0"/>
          <w:szCs w:val="21"/>
        </w:rPr>
      </w:pPr>
      <w:r>
        <w:rPr>
          <w:rFonts w:hint="eastAsia" w:ascii="宋体" w:hAnsi="宋体" w:cs="宋体"/>
          <w:color w:val="auto"/>
          <w:kern w:val="0"/>
          <w:szCs w:val="21"/>
        </w:rPr>
        <w:t>承包人在对支付担保提出索赔要求之前，应书面通知发包人和造价工程师，说明导致此项索赔的原因，并及时向担保人提出索赔文件。担保人根据担保合同的约定在担保范围内承担担保责任，并无须征得发包人的同意，直接向承包人支付索赔款额。</w:t>
      </w:r>
    </w:p>
    <w:p>
      <w:pPr>
        <w:tabs>
          <w:tab w:val="left" w:pos="1320"/>
        </w:tabs>
        <w:adjustRightInd w:val="0"/>
        <w:snapToGrid w:val="0"/>
        <w:spacing w:line="360" w:lineRule="auto"/>
        <w:ind w:right="-238"/>
        <w:rPr>
          <w:rFonts w:ascii="宋体" w:hAnsi="宋体" w:cs="宋体"/>
          <w:b/>
          <w:color w:val="auto"/>
          <w:kern w:val="0"/>
          <w:szCs w:val="21"/>
        </w:rPr>
      </w:pPr>
      <w:r>
        <w:rPr>
          <w:rFonts w:ascii="宋体" w:hAnsi="宋体" w:cs="宋体"/>
          <w:color w:val="auto"/>
          <w:kern w:val="0"/>
          <w:szCs w:val="21"/>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243205</wp:posOffset>
                </wp:positionV>
                <wp:extent cx="914400" cy="422910"/>
                <wp:effectExtent l="0" t="0" r="0" b="0"/>
                <wp:wrapNone/>
                <wp:docPr id="298" name="文本框 298"/>
                <wp:cNvGraphicFramePr/>
                <a:graphic xmlns:a="http://schemas.openxmlformats.org/drawingml/2006/main">
                  <a:graphicData uri="http://schemas.microsoft.com/office/word/2010/wordprocessingShape">
                    <wps:wsp>
                      <wps:cNvSpPr txBox="1">
                        <a:spLocks noChangeArrowheads="1"/>
                      </wps:cNvSpPr>
                      <wps:spPr bwMode="auto">
                        <a:xfrm>
                          <a:off x="0" y="0"/>
                          <a:ext cx="914400" cy="42291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双方延长担保期限</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15pt;height:33.3pt;width:72pt;z-index:251659264;mso-width-relative:page;mso-height-relative:page;" filled="f" stroked="f" coordsize="21600,21600" o:gfxdata="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MATYqdcAAAAKAQAADwAAAAAAAAABACAAAAAiAAAAZHJzL2Rvd25y&#10;ZXYueG1sUEsBAhQAFAAAAAgAh07iQEQbO/v/AQAA2AMAAA4AAAAAAAAAAQAgAAAAJgEAAGRycy9l&#10;Mm9Eb2MueG1sUEsFBgAAAAAGAAYAWQEAAJcF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双方延长担保期限</w:t>
                      </w:r>
                    </w:p>
                  </w:txbxContent>
                </v:textbox>
              </v:shape>
            </w:pict>
          </mc:Fallback>
        </mc:AlternateContent>
      </w:r>
      <w:r>
        <w:rPr>
          <w:rFonts w:hint="eastAsia" w:ascii="宋体" w:hAnsi="宋体" w:cs="宋体"/>
          <w:b/>
          <w:color w:val="auto"/>
          <w:kern w:val="0"/>
          <w:szCs w:val="21"/>
        </w:rPr>
        <w:t xml:space="preserve">28.7  </w:t>
      </w:r>
      <w:r>
        <w:rPr>
          <w:rFonts w:hint="eastAsia" w:ascii="宋体" w:hAnsi="宋体" w:cs="宋体"/>
          <w:b/>
          <w:color w:val="auto"/>
          <w:kern w:val="0"/>
          <w:szCs w:val="21"/>
          <w:u w:val="dotted"/>
        </w:rPr>
        <w:t xml:space="preserve">                                                                             </w:t>
      </w:r>
    </w:p>
    <w:p>
      <w:pPr>
        <w:adjustRightInd w:val="0"/>
        <w:snapToGrid w:val="0"/>
        <w:spacing w:line="360" w:lineRule="auto"/>
        <w:ind w:left="1619" w:leftChars="771" w:right="-238"/>
        <w:rPr>
          <w:rFonts w:ascii="宋体" w:hAnsi="宋体" w:cs="宋体"/>
          <w:color w:val="auto"/>
          <w:kern w:val="0"/>
          <w:szCs w:val="21"/>
        </w:rPr>
      </w:pPr>
      <w:r>
        <w:rPr>
          <w:rFonts w:hint="eastAsia" w:ascii="宋体" w:hAnsi="宋体" w:cs="宋体"/>
          <w:color w:val="auto"/>
          <w:kern w:val="0"/>
          <w:szCs w:val="21"/>
        </w:rPr>
        <w:t>合同双方当事人均应确保合同工程担保有效期符合工期合理顺延的要求。若合同一方当事人未能保证延长担保有效期，另一方当事人可向其索赔担保的全部金额。</w:t>
      </w:r>
    </w:p>
    <w:p>
      <w:pPr>
        <w:tabs>
          <w:tab w:val="left" w:pos="1320"/>
        </w:tabs>
        <w:adjustRightInd w:val="0"/>
        <w:snapToGrid w:val="0"/>
        <w:spacing w:line="360" w:lineRule="auto"/>
        <w:ind w:right="-238"/>
        <w:rPr>
          <w:rFonts w:ascii="宋体" w:hAnsi="宋体" w:cs="宋体"/>
          <w:b/>
          <w:color w:val="auto"/>
          <w:kern w:val="0"/>
          <w:szCs w:val="21"/>
        </w:rPr>
      </w:pPr>
      <w:r>
        <w:rPr>
          <w:rFonts w:ascii="宋体" w:hAnsi="宋体" w:cs="宋体"/>
          <w:color w:val="auto"/>
          <w:kern w:val="0"/>
          <w:szCs w:val="21"/>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255270</wp:posOffset>
                </wp:positionV>
                <wp:extent cx="914400" cy="339090"/>
                <wp:effectExtent l="0" t="0" r="0" b="0"/>
                <wp:wrapNone/>
                <wp:docPr id="297" name="文本框 297"/>
                <wp:cNvGraphicFramePr/>
                <a:graphic xmlns:a="http://schemas.openxmlformats.org/drawingml/2006/main">
                  <a:graphicData uri="http://schemas.microsoft.com/office/word/2010/wordprocessingShape">
                    <wps:wsp>
                      <wps:cNvSpPr txBox="1">
                        <a:spLocks noChangeArrowheads="1"/>
                      </wps:cNvSpPr>
                      <wps:spPr bwMode="auto">
                        <a:xfrm>
                          <a:off x="0" y="0"/>
                          <a:ext cx="914400" cy="33909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约定担保事项</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0.1pt;height:26.7pt;width:72pt;z-index:251660288;mso-width-relative:page;mso-height-relative:page;" filled="f" stroked="f" coordsize="21600,21600" o:gfxdata="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FxIfdXXAAAACQEAAA8AAAAAAAAAAQAgAAAAIgAAAGRycy9kb3du&#10;cmV2LnhtbFBLAQIUABQAAAAIAIdO4kDo6rSRAAIAANgDAAAOAAAAAAAAAAEAIAAAACYBAABkcnMv&#10;ZTJvRG9jLnhtbFBLBQYAAAAABgAGAFkBAACY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约定担保事项</w:t>
                      </w:r>
                    </w:p>
                  </w:txbxContent>
                </v:textbox>
              </v:shape>
            </w:pict>
          </mc:Fallback>
        </mc:AlternateContent>
      </w:r>
      <w:r>
        <w:rPr>
          <w:rFonts w:hint="eastAsia" w:ascii="宋体" w:hAnsi="宋体" w:cs="宋体"/>
          <w:b/>
          <w:color w:val="auto"/>
          <w:kern w:val="0"/>
          <w:szCs w:val="21"/>
        </w:rPr>
        <w:t xml:space="preserve">28.8  </w:t>
      </w:r>
      <w:r>
        <w:rPr>
          <w:rFonts w:hint="eastAsia" w:ascii="宋体" w:hAnsi="宋体" w:cs="宋体"/>
          <w:b/>
          <w:color w:val="auto"/>
          <w:kern w:val="0"/>
          <w:szCs w:val="21"/>
          <w:u w:val="dotted"/>
        </w:rPr>
        <w:t xml:space="preserve">                                                                             </w:t>
      </w:r>
    </w:p>
    <w:p>
      <w:pPr>
        <w:adjustRightInd w:val="0"/>
        <w:snapToGrid w:val="0"/>
        <w:spacing w:line="360" w:lineRule="auto"/>
        <w:ind w:left="1619" w:leftChars="771" w:right="-238"/>
        <w:rPr>
          <w:rFonts w:ascii="宋体" w:hAnsi="宋体" w:cs="宋体"/>
          <w:color w:val="auto"/>
          <w:kern w:val="0"/>
          <w:szCs w:val="21"/>
        </w:rPr>
      </w:pPr>
      <w:r>
        <w:rPr>
          <w:rFonts w:hint="eastAsia" w:ascii="宋体" w:hAnsi="宋体" w:cs="宋体"/>
          <w:color w:val="auto"/>
          <w:kern w:val="0"/>
          <w:szCs w:val="21"/>
        </w:rPr>
        <w:t>合同双方当事人在专用条款中约定担保内容、方式和责任等事项，并签订担保合同，作为本合同附件。</w:t>
      </w:r>
    </w:p>
    <w:p>
      <w:pPr>
        <w:adjustRightInd w:val="0"/>
        <w:snapToGrid w:val="0"/>
        <w:ind w:right="-240"/>
        <w:rPr>
          <w:rFonts w:ascii="宋体" w:hAnsi="宋体" w:cs="宋体"/>
          <w:b/>
          <w:color w:val="auto"/>
          <w:kern w:val="0"/>
          <w:szCs w:val="21"/>
          <w:u w:val="single"/>
        </w:rPr>
      </w:pPr>
      <w:r>
        <w:rPr>
          <w:rFonts w:hint="eastAsia" w:ascii="宋体" w:hAnsi="宋体" w:cs="宋体"/>
          <w:b/>
          <w:color w:val="auto"/>
          <w:kern w:val="0"/>
          <w:szCs w:val="21"/>
          <w:u w:val="single"/>
        </w:rPr>
        <w:t xml:space="preserve">                                                                                                              </w:t>
      </w:r>
    </w:p>
    <w:p>
      <w:pPr>
        <w:tabs>
          <w:tab w:val="left" w:pos="1620"/>
        </w:tabs>
        <w:rPr>
          <w:rFonts w:ascii="宋体" w:hAnsi="宋体" w:cs="宋体"/>
          <w:color w:val="auto"/>
          <w:szCs w:val="21"/>
        </w:rPr>
      </w:pPr>
    </w:p>
    <w:p>
      <w:pPr>
        <w:tabs>
          <w:tab w:val="left" w:pos="540"/>
        </w:tabs>
        <w:adjustRightInd w:val="0"/>
        <w:snapToGrid w:val="0"/>
        <w:spacing w:beforeLines="100" w:line="360" w:lineRule="auto"/>
        <w:ind w:right="-238"/>
        <w:rPr>
          <w:rFonts w:ascii="宋体" w:hAnsi="宋体" w:cs="宋体"/>
          <w:b/>
          <w:color w:val="auto"/>
          <w:kern w:val="0"/>
          <w:szCs w:val="21"/>
        </w:rPr>
      </w:pPr>
      <w:r>
        <w:rPr>
          <w:rFonts w:hint="eastAsia" w:ascii="宋体" w:hAnsi="宋体" w:cs="宋体"/>
          <w:b/>
          <w:color w:val="auto"/>
          <w:kern w:val="0"/>
          <w:szCs w:val="21"/>
        </w:rPr>
        <w:t>29  发包人风险</w:t>
      </w:r>
    </w:p>
    <w:p>
      <w:pPr>
        <w:adjustRightInd w:val="0"/>
        <w:snapToGrid w:val="0"/>
        <w:spacing w:line="360" w:lineRule="auto"/>
        <w:ind w:right="-240"/>
        <w:rPr>
          <w:rFonts w:ascii="宋体" w:hAnsi="宋体" w:cs="宋体"/>
          <w:b/>
          <w:color w:val="auto"/>
          <w:kern w:val="0"/>
          <w:szCs w:val="21"/>
        </w:rPr>
      </w:pPr>
      <w:r>
        <w:rPr>
          <w:rFonts w:ascii="宋体" w:hAnsi="宋体" w:cs="宋体"/>
          <w:color w:val="auto"/>
          <w:kern w:val="0"/>
          <w:szCs w:val="21"/>
        </w:rPr>
        <mc:AlternateContent>
          <mc:Choice Requires="wps">
            <w:drawing>
              <wp:anchor distT="0" distB="0" distL="114300" distR="114300" simplePos="0" relativeHeight="251661312" behindDoc="0" locked="0" layoutInCell="1" allowOverlap="1">
                <wp:simplePos x="0" y="0"/>
                <wp:positionH relativeFrom="column">
                  <wp:posOffset>-114300</wp:posOffset>
                </wp:positionH>
                <wp:positionV relativeFrom="paragraph">
                  <wp:posOffset>226695</wp:posOffset>
                </wp:positionV>
                <wp:extent cx="914400" cy="396240"/>
                <wp:effectExtent l="0" t="0" r="0" b="0"/>
                <wp:wrapNone/>
                <wp:docPr id="296" name="文本框 296"/>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发包人承担风险</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7.85pt;height:31.2pt;width:72pt;z-index:251661312;mso-width-relative:page;mso-height-relative:page;" filled="f" stroked="f" coordsize="21600,21600" o:gfxdata="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OFo6vjXAAAACQEAAA8AAAAAAAAAAQAgAAAAIgAAAGRycy9kb3du&#10;cmV2LnhtbFBLAQIUABQAAAAIAIdO4kCBSl8DAAIAANgDAAAOAAAAAAAAAAEAIAAAACYBAABkcnMv&#10;ZTJvRG9jLnhtbFBLBQYAAAAABgAGAFkBAACY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发包人承担风险</w:t>
                      </w:r>
                    </w:p>
                  </w:txbxContent>
                </v:textbox>
              </v:shape>
            </w:pict>
          </mc:Fallback>
        </mc:AlternateContent>
      </w:r>
      <w:r>
        <w:rPr>
          <w:rFonts w:hint="eastAsia" w:ascii="宋体" w:hAnsi="宋体" w:cs="宋体"/>
          <w:b/>
          <w:color w:val="auto"/>
          <w:kern w:val="0"/>
          <w:szCs w:val="21"/>
        </w:rPr>
        <w:t xml:space="preserve">29.1     </w:t>
      </w:r>
    </w:p>
    <w:p>
      <w:pPr>
        <w:adjustRightInd w:val="0"/>
        <w:snapToGrid w:val="0"/>
        <w:spacing w:line="360" w:lineRule="auto"/>
        <w:ind w:left="1619" w:leftChars="771" w:right="-240"/>
        <w:rPr>
          <w:rFonts w:ascii="宋体" w:hAnsi="宋体" w:cs="宋体"/>
          <w:color w:val="auto"/>
          <w:kern w:val="0"/>
          <w:szCs w:val="21"/>
        </w:rPr>
      </w:pPr>
      <w:r>
        <w:rPr>
          <w:rFonts w:hint="eastAsia" w:ascii="宋体" w:hAnsi="宋体" w:cs="宋体"/>
          <w:color w:val="auto"/>
          <w:kern w:val="0"/>
          <w:szCs w:val="21"/>
        </w:rPr>
        <w:t>发包人应承担本合同中规定应由发包人承担的风险。</w:t>
      </w:r>
    </w:p>
    <w:p>
      <w:pPr>
        <w:adjustRightInd w:val="0"/>
        <w:snapToGrid w:val="0"/>
        <w:spacing w:line="480" w:lineRule="auto"/>
        <w:ind w:right="-240"/>
        <w:rPr>
          <w:rFonts w:ascii="宋体" w:hAnsi="宋体" w:cs="宋体"/>
          <w:b/>
          <w:color w:val="auto"/>
          <w:kern w:val="0"/>
          <w:szCs w:val="21"/>
        </w:rPr>
      </w:pPr>
      <w:r>
        <w:rPr>
          <w:rFonts w:hint="eastAsia" w:ascii="宋体" w:hAnsi="宋体" w:cs="宋体"/>
          <w:b/>
          <w:color w:val="auto"/>
          <w:kern w:val="0"/>
          <w:szCs w:val="21"/>
        </w:rPr>
        <w:t xml:space="preserve">29.2  </w:t>
      </w:r>
      <w:r>
        <w:rPr>
          <w:rFonts w:hint="eastAsia" w:ascii="宋体" w:hAnsi="宋体" w:cs="宋体"/>
          <w:b/>
          <w:color w:val="auto"/>
          <w:kern w:val="0"/>
          <w:szCs w:val="21"/>
          <w:u w:val="dotted"/>
        </w:rPr>
        <w:t xml:space="preserve">                                                                             </w:t>
      </w:r>
    </w:p>
    <w:p>
      <w:pPr>
        <w:adjustRightInd w:val="0"/>
        <w:snapToGrid w:val="0"/>
        <w:spacing w:line="360" w:lineRule="auto"/>
        <w:ind w:right="-240" w:firstLine="1417" w:firstLineChars="675"/>
        <w:rPr>
          <w:rFonts w:ascii="宋体" w:hAnsi="宋体" w:cs="宋体"/>
          <w:color w:val="auto"/>
          <w:kern w:val="0"/>
          <w:szCs w:val="21"/>
        </w:rPr>
      </w:pPr>
      <w:r>
        <w:rPr>
          <w:rFonts w:ascii="宋体" w:hAnsi="宋体" w:cs="宋体"/>
          <w:color w:val="auto"/>
          <w:kern w:val="0"/>
          <w:szCs w:val="21"/>
        </w:rPr>
        <mc:AlternateContent>
          <mc:Choice Requires="wps">
            <w:drawing>
              <wp:anchor distT="0" distB="0" distL="114300" distR="114300" simplePos="0" relativeHeight="251662336" behindDoc="0" locked="0" layoutInCell="1" allowOverlap="1">
                <wp:simplePos x="0" y="0"/>
                <wp:positionH relativeFrom="column">
                  <wp:posOffset>-114300</wp:posOffset>
                </wp:positionH>
                <wp:positionV relativeFrom="paragraph">
                  <wp:posOffset>10795</wp:posOffset>
                </wp:positionV>
                <wp:extent cx="914400" cy="356235"/>
                <wp:effectExtent l="0" t="0" r="0" b="0"/>
                <wp:wrapNone/>
                <wp:docPr id="295" name="文本框 295"/>
                <wp:cNvGraphicFramePr/>
                <a:graphic xmlns:a="http://schemas.openxmlformats.org/drawingml/2006/main">
                  <a:graphicData uri="http://schemas.microsoft.com/office/word/2010/wordprocessingShape">
                    <wps:wsp>
                      <wps:cNvSpPr txBox="1">
                        <a:spLocks noChangeArrowheads="1"/>
                      </wps:cNvSpPr>
                      <wps:spPr bwMode="auto">
                        <a:xfrm>
                          <a:off x="0" y="0"/>
                          <a:ext cx="914400" cy="35623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发包人风险</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85pt;height:28.05pt;width:72pt;z-index:251662336;mso-width-relative:page;mso-height-relative:page;" filled="f" stroked="f" coordsize="21600,21600" o:gfxdata="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dRBU2NUAAAAIAQAADwAAAAAAAAABACAAAAAiAAAAZHJzL2Rvd25y&#10;ZXYueG1sUEsBAhQAFAAAAAgAh07iQDnK2/cBAgAA2AMAAA4AAAAAAAAAAQAgAAAAJAEAAGRycy9l&#10;Mm9Eb2MueG1sUEsFBgAAAAAGAAYAWQEAAJcF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发包人风险</w:t>
                      </w:r>
                    </w:p>
                  </w:txbxContent>
                </v:textbox>
              </v:shape>
            </w:pict>
          </mc:Fallback>
        </mc:AlternateContent>
      </w:r>
      <w:r>
        <w:rPr>
          <w:rFonts w:hint="eastAsia" w:ascii="宋体" w:hAnsi="宋体" w:cs="宋体"/>
          <w:color w:val="auto"/>
          <w:kern w:val="0"/>
          <w:szCs w:val="21"/>
        </w:rPr>
        <w:t>自开工之日起至颁发工程接收证书之日止，发包人风险包括但不限于：</w:t>
      </w:r>
    </w:p>
    <w:p>
      <w:pPr>
        <w:numPr>
          <w:ilvl w:val="0"/>
          <w:numId w:val="17"/>
        </w:numPr>
        <w:tabs>
          <w:tab w:val="left" w:pos="1080"/>
        </w:tabs>
        <w:adjustRightInd w:val="0"/>
        <w:snapToGrid w:val="0"/>
        <w:spacing w:line="360" w:lineRule="auto"/>
        <w:ind w:left="1619" w:leftChars="771" w:firstLine="1"/>
        <w:rPr>
          <w:rFonts w:ascii="宋体" w:hAnsi="宋体" w:cs="宋体"/>
          <w:color w:val="auto"/>
          <w:kern w:val="0"/>
          <w:szCs w:val="21"/>
        </w:rPr>
      </w:pPr>
      <w:r>
        <w:rPr>
          <w:rFonts w:hint="eastAsia" w:ascii="宋体" w:hAnsi="宋体" w:cs="宋体"/>
          <w:color w:val="auto"/>
          <w:kern w:val="0"/>
          <w:szCs w:val="21"/>
        </w:rPr>
        <w:t>由于永久工程本身或施工而不可避免造成的财产（除工程本身、材料和工程设备和施工设备外）损失或损坏；</w:t>
      </w:r>
    </w:p>
    <w:p>
      <w:pPr>
        <w:numPr>
          <w:ilvl w:val="0"/>
          <w:numId w:val="17"/>
        </w:numPr>
        <w:tabs>
          <w:tab w:val="left" w:pos="1080"/>
        </w:tabs>
        <w:adjustRightInd w:val="0"/>
        <w:snapToGrid w:val="0"/>
        <w:spacing w:line="360" w:lineRule="auto"/>
        <w:ind w:left="1619" w:leftChars="771" w:firstLine="1"/>
        <w:rPr>
          <w:rFonts w:ascii="宋体" w:hAnsi="宋体" w:cs="宋体"/>
          <w:color w:val="auto"/>
          <w:kern w:val="0"/>
          <w:szCs w:val="21"/>
        </w:rPr>
      </w:pPr>
      <w:r>
        <w:rPr>
          <w:rFonts w:hint="eastAsia" w:ascii="宋体" w:hAnsi="宋体" w:cs="宋体"/>
          <w:color w:val="auto"/>
          <w:kern w:val="0"/>
          <w:szCs w:val="21"/>
        </w:rPr>
        <w:t>由于发包人工作人员及其相关人员（除承包人外）的疏忽或违规造成的人员伤亡、财产损失或损坏；</w:t>
      </w:r>
    </w:p>
    <w:p>
      <w:pPr>
        <w:numPr>
          <w:ilvl w:val="0"/>
          <w:numId w:val="17"/>
        </w:numPr>
        <w:tabs>
          <w:tab w:val="left" w:pos="1080"/>
        </w:tabs>
        <w:adjustRightInd w:val="0"/>
        <w:snapToGrid w:val="0"/>
        <w:spacing w:line="360" w:lineRule="auto"/>
        <w:ind w:left="2036" w:leftChars="772" w:hanging="415" w:hangingChars="198"/>
        <w:rPr>
          <w:rFonts w:ascii="宋体" w:hAnsi="宋体" w:cs="宋体"/>
          <w:color w:val="auto"/>
          <w:kern w:val="0"/>
          <w:szCs w:val="21"/>
        </w:rPr>
      </w:pPr>
      <w:r>
        <w:rPr>
          <w:rFonts w:hint="eastAsia" w:ascii="宋体" w:hAnsi="宋体" w:cs="宋体"/>
          <w:color w:val="auto"/>
          <w:kern w:val="0"/>
          <w:szCs w:val="21"/>
        </w:rPr>
        <w:t>由于发包人提前使用或占用永久工程或其部分造成的损失或损坏；</w:t>
      </w:r>
    </w:p>
    <w:p>
      <w:pPr>
        <w:numPr>
          <w:ilvl w:val="0"/>
          <w:numId w:val="17"/>
        </w:numPr>
        <w:tabs>
          <w:tab w:val="left" w:pos="1080"/>
        </w:tabs>
        <w:adjustRightInd w:val="0"/>
        <w:snapToGrid w:val="0"/>
        <w:spacing w:line="360" w:lineRule="auto"/>
        <w:ind w:left="1619" w:leftChars="771" w:firstLine="1"/>
        <w:rPr>
          <w:rFonts w:ascii="宋体" w:hAnsi="宋体" w:cs="宋体"/>
          <w:color w:val="auto"/>
          <w:kern w:val="0"/>
          <w:szCs w:val="21"/>
        </w:rPr>
      </w:pPr>
      <w:r>
        <w:rPr>
          <w:rFonts w:hint="eastAsia" w:ascii="宋体" w:hAnsi="宋体" w:cs="宋体"/>
          <w:color w:val="auto"/>
          <w:kern w:val="0"/>
          <w:szCs w:val="21"/>
        </w:rPr>
        <w:t>由于发包人提供或发包人负责的设计造成的对永久工程、材料和工程设备和施工设备的损失或损害；</w:t>
      </w:r>
    </w:p>
    <w:p>
      <w:pPr>
        <w:numPr>
          <w:ilvl w:val="0"/>
          <w:numId w:val="17"/>
        </w:numPr>
        <w:tabs>
          <w:tab w:val="left" w:pos="1080"/>
        </w:tabs>
        <w:adjustRightInd w:val="0"/>
        <w:snapToGrid w:val="0"/>
        <w:spacing w:line="360" w:lineRule="auto"/>
        <w:ind w:left="1619" w:leftChars="771" w:firstLine="1"/>
        <w:rPr>
          <w:rFonts w:ascii="宋体" w:hAnsi="宋体" w:cs="宋体"/>
          <w:color w:val="auto"/>
          <w:kern w:val="0"/>
          <w:szCs w:val="21"/>
        </w:rPr>
      </w:pPr>
      <w:r>
        <w:rPr>
          <w:rFonts w:hint="eastAsia" w:ascii="宋体" w:hAnsi="宋体" w:cs="宋体"/>
          <w:color w:val="auto"/>
          <w:kern w:val="0"/>
          <w:szCs w:val="21"/>
        </w:rPr>
        <w:t>由于地质、邻近建筑物、古树名木和物价上涨等非承包人原因造成施工过程中费用的增加。</w:t>
      </w:r>
    </w:p>
    <w:p>
      <w:pPr>
        <w:adjustRightInd w:val="0"/>
        <w:snapToGrid w:val="0"/>
        <w:spacing w:line="360" w:lineRule="auto"/>
        <w:ind w:right="-240"/>
        <w:rPr>
          <w:rFonts w:ascii="宋体" w:hAnsi="宋体" w:cs="宋体"/>
          <w:color w:val="auto"/>
          <w:kern w:val="0"/>
          <w:szCs w:val="21"/>
          <w:u w:val="single"/>
        </w:rPr>
      </w:pPr>
      <w:r>
        <w:rPr>
          <w:rFonts w:hint="eastAsia" w:ascii="宋体" w:hAnsi="宋体" w:cs="宋体"/>
          <w:color w:val="auto"/>
          <w:kern w:val="0"/>
          <w:szCs w:val="21"/>
          <w:u w:val="single"/>
        </w:rPr>
        <w:t xml:space="preserve">                                                                                                             </w:t>
      </w:r>
    </w:p>
    <w:p>
      <w:pPr>
        <w:adjustRightInd w:val="0"/>
        <w:snapToGrid w:val="0"/>
        <w:spacing w:line="360" w:lineRule="auto"/>
        <w:ind w:right="-240"/>
        <w:rPr>
          <w:rFonts w:ascii="宋体" w:hAnsi="宋体" w:cs="宋体"/>
          <w:b/>
          <w:color w:val="auto"/>
          <w:kern w:val="0"/>
          <w:szCs w:val="21"/>
        </w:rPr>
      </w:pPr>
    </w:p>
    <w:p>
      <w:pPr>
        <w:adjustRightInd w:val="0"/>
        <w:snapToGrid w:val="0"/>
        <w:spacing w:line="360" w:lineRule="auto"/>
        <w:ind w:right="-240"/>
        <w:rPr>
          <w:rFonts w:ascii="宋体" w:hAnsi="宋体" w:cs="宋体"/>
          <w:b/>
          <w:color w:val="auto"/>
          <w:kern w:val="0"/>
          <w:szCs w:val="21"/>
        </w:rPr>
      </w:pPr>
      <w:r>
        <w:rPr>
          <w:rFonts w:hint="eastAsia" w:ascii="宋体" w:hAnsi="宋体" w:cs="宋体"/>
          <w:b/>
          <w:color w:val="auto"/>
          <w:kern w:val="0"/>
          <w:szCs w:val="21"/>
        </w:rPr>
        <w:t>30  承包人风险</w:t>
      </w:r>
    </w:p>
    <w:p>
      <w:pPr>
        <w:tabs>
          <w:tab w:val="left" w:pos="1320"/>
          <w:tab w:val="left" w:pos="1440"/>
        </w:tabs>
        <w:adjustRightInd w:val="0"/>
        <w:snapToGrid w:val="0"/>
        <w:spacing w:line="360" w:lineRule="auto"/>
        <w:rPr>
          <w:rFonts w:ascii="宋体" w:hAnsi="宋体" w:cs="宋体"/>
          <w:b/>
          <w:color w:val="auto"/>
          <w:kern w:val="0"/>
          <w:szCs w:val="21"/>
        </w:rPr>
      </w:pPr>
      <w:r>
        <w:rPr>
          <w:rFonts w:ascii="宋体" w:hAnsi="宋体" w:cs="宋体"/>
          <w:color w:val="auto"/>
          <w:kern w:val="0"/>
          <w:szCs w:val="21"/>
        </w:rPr>
        <mc:AlternateContent>
          <mc:Choice Requires="wps">
            <w:drawing>
              <wp:anchor distT="0" distB="0" distL="114300" distR="114300" simplePos="0" relativeHeight="251663360" behindDoc="0" locked="0" layoutInCell="1" allowOverlap="1">
                <wp:simplePos x="0" y="0"/>
                <wp:positionH relativeFrom="column">
                  <wp:posOffset>-133350</wp:posOffset>
                </wp:positionH>
                <wp:positionV relativeFrom="paragraph">
                  <wp:posOffset>254635</wp:posOffset>
                </wp:positionV>
                <wp:extent cx="1028700" cy="427355"/>
                <wp:effectExtent l="0" t="0" r="0" b="0"/>
                <wp:wrapNone/>
                <wp:docPr id="294" name="文本框 294"/>
                <wp:cNvGraphicFramePr/>
                <a:graphic xmlns:a="http://schemas.openxmlformats.org/drawingml/2006/main">
                  <a:graphicData uri="http://schemas.microsoft.com/office/word/2010/wordprocessingShape">
                    <wps:wsp>
                      <wps:cNvSpPr txBox="1">
                        <a:spLocks noChangeArrowheads="1"/>
                      </wps:cNvSpPr>
                      <wps:spPr bwMode="auto">
                        <a:xfrm>
                          <a:off x="0" y="0"/>
                          <a:ext cx="1028700" cy="42735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承包人承担风</w:t>
                            </w:r>
                          </w:p>
                          <w:p>
                            <w:pPr>
                              <w:spacing w:line="240" w:lineRule="exact"/>
                              <w:rPr>
                                <w:rFonts w:ascii="楷体_GB2312" w:hAnsi="宋体"/>
                                <w:b/>
                                <w:color w:val="000000"/>
                                <w:sz w:val="18"/>
                                <w:szCs w:val="18"/>
                              </w:rPr>
                            </w:pPr>
                            <w:r>
                              <w:rPr>
                                <w:rFonts w:hint="eastAsia" w:ascii="楷体_GB2312" w:hAnsi="宋体"/>
                                <w:b/>
                                <w:color w:val="000000"/>
                                <w:sz w:val="18"/>
                                <w:szCs w:val="18"/>
                              </w:rPr>
                              <w:t>险</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0.5pt;margin-top:20.05pt;height:33.65pt;width:81pt;z-index:251663360;mso-width-relative:page;mso-height-relative:page;" filled="f" stroked="f" coordsize="21600,21600" o:gfxdata="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ZKqyZ1gAAAAoBAAAPAAAAAAAAAAEAIAAAACIAAABkcnMvZG93&#10;bnJldi54bWxQSwECFAAUAAAACACHTuJA24klvwICAADZAwAADgAAAAAAAAABACAAAAAlAQAAZHJz&#10;L2Uyb0RvYy54bWxQSwUGAAAAAAYABgBZAQAAmQ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承包人承担风</w:t>
                      </w:r>
                    </w:p>
                    <w:p>
                      <w:pPr>
                        <w:spacing w:line="240" w:lineRule="exact"/>
                        <w:rPr>
                          <w:rFonts w:ascii="楷体_GB2312" w:hAnsi="宋体"/>
                          <w:b/>
                          <w:color w:val="000000"/>
                          <w:sz w:val="18"/>
                          <w:szCs w:val="18"/>
                        </w:rPr>
                      </w:pPr>
                      <w:r>
                        <w:rPr>
                          <w:rFonts w:hint="eastAsia" w:ascii="楷体_GB2312" w:hAnsi="宋体"/>
                          <w:b/>
                          <w:color w:val="000000"/>
                          <w:sz w:val="18"/>
                          <w:szCs w:val="18"/>
                        </w:rPr>
                        <w:t>险</w:t>
                      </w:r>
                    </w:p>
                  </w:txbxContent>
                </v:textbox>
              </v:shape>
            </w:pict>
          </mc:Fallback>
        </mc:AlternateContent>
      </w:r>
      <w:r>
        <w:rPr>
          <w:rFonts w:hint="eastAsia" w:ascii="宋体" w:hAnsi="宋体" w:cs="宋体"/>
          <w:b/>
          <w:color w:val="auto"/>
          <w:kern w:val="0"/>
          <w:szCs w:val="21"/>
        </w:rPr>
        <w:t xml:space="preserve">30.1      </w:t>
      </w:r>
    </w:p>
    <w:p>
      <w:pPr>
        <w:tabs>
          <w:tab w:val="left" w:pos="1440"/>
        </w:tabs>
        <w:adjustRightInd w:val="0"/>
        <w:snapToGrid w:val="0"/>
        <w:spacing w:line="360" w:lineRule="auto"/>
        <w:ind w:firstLine="1417" w:firstLineChars="675"/>
        <w:rPr>
          <w:rFonts w:ascii="宋体" w:hAnsi="宋体" w:cs="宋体"/>
          <w:color w:val="auto"/>
          <w:kern w:val="0"/>
          <w:szCs w:val="21"/>
        </w:rPr>
      </w:pPr>
      <w:r>
        <w:rPr>
          <w:rFonts w:hint="eastAsia" w:ascii="宋体" w:hAnsi="宋体" w:cs="宋体"/>
          <w:color w:val="auto"/>
          <w:kern w:val="0"/>
          <w:szCs w:val="21"/>
        </w:rPr>
        <w:t>承包人应承担本合同中规定应由承包人承担的风险。</w:t>
      </w:r>
    </w:p>
    <w:p>
      <w:pPr>
        <w:tabs>
          <w:tab w:val="left" w:pos="1320"/>
          <w:tab w:val="left" w:pos="1440"/>
        </w:tabs>
        <w:adjustRightInd w:val="0"/>
        <w:snapToGrid w:val="0"/>
        <w:spacing w:line="360" w:lineRule="auto"/>
        <w:rPr>
          <w:rFonts w:ascii="宋体" w:hAnsi="宋体" w:cs="宋体"/>
          <w:b/>
          <w:color w:val="auto"/>
          <w:kern w:val="0"/>
          <w:szCs w:val="21"/>
        </w:rPr>
      </w:pPr>
      <w:r>
        <w:rPr>
          <w:rFonts w:ascii="宋体" w:hAnsi="宋体" w:cs="宋体"/>
          <w:color w:val="auto"/>
          <w:kern w:val="0"/>
          <w:szCs w:val="21"/>
        </w:rPr>
        <mc:AlternateContent>
          <mc:Choice Requires="wps">
            <w:drawing>
              <wp:anchor distT="0" distB="0" distL="114300" distR="114300" simplePos="0" relativeHeight="251664384" behindDoc="0" locked="0" layoutInCell="1" allowOverlap="1">
                <wp:simplePos x="0" y="0"/>
                <wp:positionH relativeFrom="column">
                  <wp:posOffset>-114300</wp:posOffset>
                </wp:positionH>
                <wp:positionV relativeFrom="paragraph">
                  <wp:posOffset>262255</wp:posOffset>
                </wp:positionV>
                <wp:extent cx="914400" cy="307975"/>
                <wp:effectExtent l="0" t="0" r="0" b="0"/>
                <wp:wrapNone/>
                <wp:docPr id="293" name="文本框 293"/>
                <wp:cNvGraphicFramePr/>
                <a:graphic xmlns:a="http://schemas.openxmlformats.org/drawingml/2006/main">
                  <a:graphicData uri="http://schemas.microsoft.com/office/word/2010/wordprocessingShape">
                    <wps:wsp>
                      <wps:cNvSpPr txBox="1">
                        <a:spLocks noChangeArrowheads="1"/>
                      </wps:cNvSpPr>
                      <wps:spPr bwMode="auto">
                        <a:xfrm>
                          <a:off x="0" y="0"/>
                          <a:ext cx="914400" cy="30797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承包人风险</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0.65pt;height:24.25pt;width:72pt;z-index:251664384;mso-width-relative:page;mso-height-relative:page;" filled="f" stroked="f" coordsize="21600,21600" o:gfxdata="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gvk+c1wAAAAkBAAAPAAAAAAAAAAEAIAAAACIAAABkcnMvZG93&#10;bnJldi54bWxQSwECFAAUAAAACACHTuJAJZ0G9AECAADYAwAADgAAAAAAAAABACAAAAAmAQAAZHJz&#10;L2Uyb0RvYy54bWxQSwUGAAAAAAYABgBZAQAAmQ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承包人风险</w:t>
                      </w:r>
                    </w:p>
                  </w:txbxContent>
                </v:textbox>
              </v:shape>
            </w:pict>
          </mc:Fallback>
        </mc:AlternateContent>
      </w:r>
      <w:r>
        <w:rPr>
          <w:rFonts w:hint="eastAsia" w:ascii="宋体" w:hAnsi="宋体" w:cs="宋体"/>
          <w:b/>
          <w:color w:val="auto"/>
          <w:kern w:val="0"/>
          <w:szCs w:val="21"/>
        </w:rPr>
        <w:t xml:space="preserve">30.2  </w:t>
      </w:r>
      <w:r>
        <w:rPr>
          <w:rFonts w:hint="eastAsia" w:ascii="宋体" w:hAnsi="宋体" w:cs="宋体"/>
          <w:b/>
          <w:color w:val="auto"/>
          <w:kern w:val="0"/>
          <w:szCs w:val="21"/>
          <w:u w:val="dotted"/>
        </w:rPr>
        <w:t xml:space="preserve">                                                                                                                </w:t>
      </w:r>
      <w:r>
        <w:rPr>
          <w:rFonts w:hint="eastAsia" w:ascii="宋体" w:hAnsi="宋体" w:cs="宋体"/>
          <w:b/>
          <w:color w:val="auto"/>
          <w:kern w:val="0"/>
          <w:szCs w:val="21"/>
        </w:rPr>
        <w:t xml:space="preserve">                                                                                     </w:t>
      </w:r>
    </w:p>
    <w:p>
      <w:pPr>
        <w:tabs>
          <w:tab w:val="left" w:pos="1440"/>
        </w:tabs>
        <w:adjustRightInd w:val="0"/>
        <w:snapToGrid w:val="0"/>
        <w:spacing w:line="360" w:lineRule="auto"/>
        <w:ind w:left="1619" w:leftChars="771" w:firstLine="2"/>
        <w:rPr>
          <w:rFonts w:ascii="宋体" w:hAnsi="宋体" w:cs="宋体"/>
          <w:color w:val="auto"/>
          <w:kern w:val="0"/>
          <w:szCs w:val="21"/>
        </w:rPr>
      </w:pPr>
      <w:r>
        <w:rPr>
          <w:rFonts w:hint="eastAsia" w:ascii="宋体" w:hAnsi="宋体" w:cs="宋体"/>
          <w:color w:val="auto"/>
          <w:kern w:val="0"/>
          <w:szCs w:val="21"/>
        </w:rPr>
        <w:t>自开工之日起直到颁发工程接收证书之日止，承包人风险为：除第29条和第31条以外的人员伤亡以及财产（包括但不限于合同工程、材料、工程设</w:t>
      </w:r>
      <w:r>
        <w:rPr>
          <w:rFonts w:hint="eastAsia" w:ascii="宋体" w:hAnsi="宋体" w:cs="宋体"/>
          <w:color w:val="auto"/>
          <w:kern w:val="0"/>
          <w:szCs w:val="21"/>
          <w:u w:val="single"/>
        </w:rPr>
        <w:t xml:space="preserve">       </w:t>
      </w:r>
      <w:r>
        <w:rPr>
          <w:rFonts w:hint="eastAsia" w:ascii="宋体" w:hAnsi="宋体" w:cs="宋体"/>
          <w:color w:val="auto"/>
          <w:kern w:val="0"/>
          <w:szCs w:val="21"/>
        </w:rPr>
        <w:t>备和施工设备）的损失或损坏。</w:t>
      </w:r>
    </w:p>
    <w:p>
      <w:pPr>
        <w:adjustRightInd w:val="0"/>
        <w:snapToGrid w:val="0"/>
        <w:spacing w:line="360" w:lineRule="auto"/>
        <w:ind w:right="-240"/>
        <w:rPr>
          <w:rFonts w:ascii="宋体" w:hAnsi="宋体" w:cs="宋体"/>
          <w:b/>
          <w:color w:val="auto"/>
          <w:kern w:val="0"/>
          <w:szCs w:val="21"/>
          <w:u w:val="single"/>
        </w:rPr>
      </w:pPr>
      <w:r>
        <w:rPr>
          <w:rFonts w:hint="eastAsia" w:ascii="宋体" w:hAnsi="宋体" w:cs="宋体"/>
          <w:b/>
          <w:color w:val="auto"/>
          <w:kern w:val="0"/>
          <w:szCs w:val="21"/>
          <w:u w:val="single"/>
        </w:rPr>
        <w:t xml:space="preserve">                                                                                                       </w:t>
      </w:r>
    </w:p>
    <w:p>
      <w:pPr>
        <w:adjustRightInd w:val="0"/>
        <w:snapToGrid w:val="0"/>
        <w:spacing w:line="360" w:lineRule="auto"/>
        <w:ind w:right="-240"/>
        <w:rPr>
          <w:rFonts w:ascii="宋体" w:hAnsi="宋体" w:cs="宋体"/>
          <w:color w:val="auto"/>
          <w:kern w:val="0"/>
          <w:szCs w:val="21"/>
          <w:u w:val="single"/>
        </w:rPr>
      </w:pPr>
    </w:p>
    <w:p>
      <w:pPr>
        <w:adjustRightInd w:val="0"/>
        <w:snapToGrid w:val="0"/>
        <w:spacing w:line="360" w:lineRule="auto"/>
        <w:ind w:right="-240"/>
        <w:rPr>
          <w:rFonts w:ascii="宋体" w:hAnsi="宋体" w:cs="宋体"/>
          <w:b/>
          <w:color w:val="auto"/>
          <w:kern w:val="0"/>
          <w:szCs w:val="21"/>
        </w:rPr>
      </w:pPr>
      <w:r>
        <w:rPr>
          <w:rFonts w:hint="eastAsia" w:ascii="宋体" w:hAnsi="宋体" w:cs="宋体"/>
          <w:b/>
          <w:color w:val="auto"/>
          <w:kern w:val="0"/>
          <w:szCs w:val="21"/>
        </w:rPr>
        <w:t>31  不可抗力</w:t>
      </w:r>
    </w:p>
    <w:p>
      <w:pPr>
        <w:adjustRightInd w:val="0"/>
        <w:snapToGrid w:val="0"/>
        <w:spacing w:line="360" w:lineRule="auto"/>
        <w:rPr>
          <w:rFonts w:ascii="宋体" w:hAnsi="宋体" w:cs="宋体"/>
          <w:b/>
          <w:color w:val="auto"/>
          <w:kern w:val="0"/>
          <w:szCs w:val="21"/>
        </w:rPr>
      </w:pPr>
      <w:r>
        <w:rPr>
          <w:rFonts w:hint="eastAsia" w:ascii="宋体" w:hAnsi="宋体" w:cs="宋体"/>
          <w:b/>
          <w:color w:val="auto"/>
          <w:kern w:val="0"/>
          <w:szCs w:val="21"/>
        </w:rPr>
        <w:t xml:space="preserve">31.1      </w:t>
      </w:r>
    </w:p>
    <w:p>
      <w:pPr>
        <w:tabs>
          <w:tab w:val="left" w:pos="1620"/>
        </w:tabs>
        <w:adjustRightInd w:val="0"/>
        <w:snapToGrid w:val="0"/>
        <w:spacing w:line="360" w:lineRule="auto"/>
        <w:ind w:left="1619" w:leftChars="771"/>
        <w:rPr>
          <w:rFonts w:ascii="宋体" w:hAnsi="宋体" w:cs="宋体"/>
          <w:color w:val="auto"/>
          <w:kern w:val="0"/>
          <w:szCs w:val="21"/>
        </w:rPr>
      </w:pPr>
      <w:r>
        <w:rPr>
          <w:rFonts w:ascii="宋体" w:hAnsi="宋体" w:cs="宋体"/>
          <w:color w:val="auto"/>
          <w:kern w:val="0"/>
          <w:szCs w:val="21"/>
        </w:rPr>
        <mc:AlternateContent>
          <mc:Choice Requires="wps">
            <w:drawing>
              <wp:anchor distT="0" distB="0" distL="114300" distR="114300" simplePos="0" relativeHeight="251665408" behindDoc="0" locked="0" layoutInCell="1" allowOverlap="1">
                <wp:simplePos x="0" y="0"/>
                <wp:positionH relativeFrom="column">
                  <wp:posOffset>-114300</wp:posOffset>
                </wp:positionH>
                <wp:positionV relativeFrom="paragraph">
                  <wp:posOffset>0</wp:posOffset>
                </wp:positionV>
                <wp:extent cx="1028700" cy="360680"/>
                <wp:effectExtent l="0" t="0" r="0" b="0"/>
                <wp:wrapNone/>
                <wp:docPr id="292" name="文本框 292"/>
                <wp:cNvGraphicFramePr/>
                <a:graphic xmlns:a="http://schemas.openxmlformats.org/drawingml/2006/main">
                  <a:graphicData uri="http://schemas.microsoft.com/office/word/2010/wordprocessingShape">
                    <wps:wsp>
                      <wps:cNvSpPr txBox="1">
                        <a:spLocks noChangeArrowheads="1"/>
                      </wps:cNvSpPr>
                      <wps:spPr bwMode="auto">
                        <a:xfrm>
                          <a:off x="0" y="0"/>
                          <a:ext cx="1028700" cy="36068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不可抗力因素</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28.4pt;width:81pt;z-index:251665408;mso-width-relative:page;mso-height-relative:page;" filled="f" stroked="f" coordsize="21600,21600" o:gfxdata="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KzGHyjVAAAABwEAAA8AAAAAAAAAAQAgAAAAIgAAAGRycy9kb3du&#10;cmV2LnhtbFBLAQIUABQAAAAIAIdO4kDjlWytAgIAANkDAAAOAAAAAAAAAAEAIAAAACQBAABkcnMv&#10;ZTJvRG9jLnhtbFBLBQYAAAAABgAGAFkBAACY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不可抗力因素</w:t>
                      </w:r>
                    </w:p>
                  </w:txbxContent>
                </v:textbox>
              </v:shape>
            </w:pict>
          </mc:Fallback>
        </mc:AlternateContent>
      </w:r>
      <w:r>
        <w:rPr>
          <w:rFonts w:hint="eastAsia" w:ascii="宋体" w:hAnsi="宋体" w:cs="宋体"/>
          <w:color w:val="auto"/>
          <w:kern w:val="0"/>
          <w:szCs w:val="21"/>
        </w:rPr>
        <w:t>不可抗力包括因战争、敌对行动（无论是否宣战）、入侵、外敌行为、军事政变、恐怖主义、骚乱、暴动、空中飞行物坠落或其他非合同双方当事人责任或原因造成的罢工、停工、爆炸、火灾等，以及：</w:t>
      </w:r>
    </w:p>
    <w:p>
      <w:pPr>
        <w:numPr>
          <w:ilvl w:val="0"/>
          <w:numId w:val="18"/>
        </w:numPr>
        <w:adjustRightInd w:val="0"/>
        <w:snapToGrid w:val="0"/>
        <w:spacing w:line="360" w:lineRule="auto"/>
        <w:ind w:left="1619" w:leftChars="771" w:firstLine="1"/>
        <w:rPr>
          <w:rFonts w:ascii="宋体" w:hAnsi="宋体" w:cs="宋体"/>
          <w:color w:val="auto"/>
          <w:kern w:val="0"/>
          <w:szCs w:val="21"/>
        </w:rPr>
      </w:pPr>
      <w:r>
        <w:rPr>
          <w:rFonts w:hint="eastAsia" w:ascii="宋体" w:hAnsi="宋体" w:cs="宋体"/>
          <w:color w:val="auto"/>
          <w:kern w:val="0"/>
          <w:szCs w:val="21"/>
        </w:rPr>
        <w:t xml:space="preserve">当地气象部门规定的情形； </w:t>
      </w:r>
    </w:p>
    <w:p>
      <w:pPr>
        <w:numPr>
          <w:ilvl w:val="0"/>
          <w:numId w:val="18"/>
        </w:numPr>
        <w:adjustRightInd w:val="0"/>
        <w:snapToGrid w:val="0"/>
        <w:spacing w:line="360" w:lineRule="auto"/>
        <w:ind w:left="1619" w:leftChars="771" w:firstLine="1"/>
        <w:rPr>
          <w:rFonts w:ascii="宋体" w:hAnsi="宋体" w:cs="宋体"/>
          <w:color w:val="auto"/>
          <w:kern w:val="0"/>
          <w:szCs w:val="21"/>
        </w:rPr>
      </w:pPr>
      <w:r>
        <w:rPr>
          <w:rFonts w:hint="eastAsia" w:ascii="宋体" w:hAnsi="宋体" w:cs="宋体"/>
          <w:color w:val="auto"/>
          <w:kern w:val="0"/>
          <w:szCs w:val="21"/>
        </w:rPr>
        <w:t>当地地震部门规定的情形；</w:t>
      </w:r>
    </w:p>
    <w:p>
      <w:pPr>
        <w:numPr>
          <w:ilvl w:val="0"/>
          <w:numId w:val="18"/>
        </w:numPr>
        <w:adjustRightInd w:val="0"/>
        <w:snapToGrid w:val="0"/>
        <w:spacing w:line="360" w:lineRule="auto"/>
        <w:ind w:left="1619" w:leftChars="771" w:firstLine="1"/>
        <w:rPr>
          <w:rFonts w:ascii="宋体" w:hAnsi="宋体" w:cs="宋体"/>
          <w:color w:val="auto"/>
          <w:kern w:val="0"/>
          <w:szCs w:val="21"/>
        </w:rPr>
      </w:pPr>
      <w:r>
        <w:rPr>
          <w:rFonts w:hint="eastAsia" w:ascii="宋体" w:hAnsi="宋体" w:cs="宋体"/>
          <w:color w:val="auto"/>
          <w:kern w:val="0"/>
          <w:szCs w:val="21"/>
        </w:rPr>
        <w:t>当地卫生部门规定的情形；</w:t>
      </w:r>
    </w:p>
    <w:p>
      <w:pPr>
        <w:numPr>
          <w:ilvl w:val="0"/>
          <w:numId w:val="18"/>
        </w:numPr>
        <w:adjustRightInd w:val="0"/>
        <w:snapToGrid w:val="0"/>
        <w:spacing w:line="360" w:lineRule="auto"/>
        <w:ind w:left="1619" w:leftChars="771" w:firstLine="1"/>
        <w:rPr>
          <w:rFonts w:ascii="宋体" w:hAnsi="宋体" w:cs="宋体"/>
          <w:b/>
          <w:color w:val="auto"/>
          <w:kern w:val="0"/>
          <w:szCs w:val="21"/>
        </w:rPr>
      </w:pPr>
      <w:r>
        <w:rPr>
          <w:rFonts w:hint="eastAsia" w:ascii="宋体" w:hAnsi="宋体" w:cs="宋体"/>
          <w:color w:val="auto"/>
          <w:kern w:val="0"/>
          <w:szCs w:val="21"/>
        </w:rPr>
        <w:t>专用条款约定的其他情形。</w:t>
      </w:r>
    </w:p>
    <w:p>
      <w:pPr>
        <w:adjustRightInd w:val="0"/>
        <w:snapToGrid w:val="0"/>
        <w:spacing w:line="360" w:lineRule="auto"/>
        <w:rPr>
          <w:rFonts w:ascii="宋体" w:hAnsi="宋体" w:cs="宋体"/>
          <w:b/>
          <w:color w:val="auto"/>
          <w:kern w:val="0"/>
          <w:szCs w:val="21"/>
        </w:rPr>
      </w:pPr>
      <w:r>
        <w:rPr>
          <w:rFonts w:hint="eastAsia" w:ascii="宋体" w:hAnsi="宋体" w:cs="宋体"/>
          <w:b/>
          <w:color w:val="auto"/>
          <w:kern w:val="0"/>
          <w:szCs w:val="21"/>
        </w:rPr>
        <w:t xml:space="preserve">31.2  </w:t>
      </w:r>
      <w:r>
        <w:rPr>
          <w:rFonts w:hint="eastAsia" w:ascii="宋体" w:hAnsi="宋体" w:cs="宋体"/>
          <w:b/>
          <w:color w:val="auto"/>
          <w:kern w:val="0"/>
          <w:szCs w:val="21"/>
          <w:u w:val="dotted"/>
        </w:rPr>
        <w:t xml:space="preserve">                                                                                                       </w:t>
      </w:r>
    </w:p>
    <w:p>
      <w:pPr>
        <w:adjustRightInd w:val="0"/>
        <w:snapToGrid w:val="0"/>
        <w:spacing w:line="360" w:lineRule="auto"/>
        <w:ind w:left="1619" w:leftChars="771"/>
        <w:rPr>
          <w:rFonts w:ascii="宋体" w:hAnsi="宋体" w:cs="宋体"/>
          <w:color w:val="auto"/>
          <w:kern w:val="0"/>
          <w:szCs w:val="21"/>
        </w:rPr>
      </w:pPr>
      <w:r>
        <w:rPr>
          <w:rFonts w:ascii="宋体" w:hAnsi="宋体" w:cs="宋体"/>
          <w:color w:val="auto"/>
          <w:kern w:val="0"/>
          <w:szCs w:val="21"/>
        </w:rPr>
        <mc:AlternateContent>
          <mc:Choice Requires="wps">
            <w:drawing>
              <wp:anchor distT="0" distB="0" distL="114300" distR="114300" simplePos="0" relativeHeight="251666432" behindDoc="0" locked="0" layoutInCell="1" allowOverlap="1">
                <wp:simplePos x="0" y="0"/>
                <wp:positionH relativeFrom="column">
                  <wp:posOffset>-114300</wp:posOffset>
                </wp:positionH>
                <wp:positionV relativeFrom="paragraph">
                  <wp:posOffset>7620</wp:posOffset>
                </wp:positionV>
                <wp:extent cx="914400" cy="492760"/>
                <wp:effectExtent l="0" t="0" r="0" b="0"/>
                <wp:wrapNone/>
                <wp:docPr id="291" name="文本框 291"/>
                <wp:cNvGraphicFramePr/>
                <a:graphic xmlns:a="http://schemas.openxmlformats.org/drawingml/2006/main">
                  <a:graphicData uri="http://schemas.microsoft.com/office/word/2010/wordprocessingShape">
                    <wps:wsp>
                      <wps:cNvSpPr txBox="1">
                        <a:spLocks noChangeArrowheads="1"/>
                      </wps:cNvSpPr>
                      <wps:spPr bwMode="auto">
                        <a:xfrm>
                          <a:off x="0" y="0"/>
                          <a:ext cx="914400" cy="49276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不可抗力处理程序</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6pt;height:38.8pt;width:72pt;z-index:251666432;mso-width-relative:page;mso-height-relative:page;" filled="f" stroked="f" coordsize="21600,21600" o:gfxdata="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r7S/t1QAAAAgBAAAPAAAAAAAAAAEAIAAAACIAAABkcnMvZG93bnJl&#10;di54bWxQSwECFAAUAAAACACHTuJAi1QmxAACAADYAwAADgAAAAAAAAABACAAAAAkAQAAZHJzL2Uy&#10;b0RvYy54bWxQSwUGAAAAAAYABgBZAQAAlg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不可抗力处理程序</w:t>
                      </w:r>
                    </w:p>
                  </w:txbxContent>
                </v:textbox>
              </v:shape>
            </w:pict>
          </mc:Fallback>
        </mc:AlternateContent>
      </w:r>
      <w:r>
        <w:rPr>
          <w:rFonts w:hint="eastAsia" w:ascii="宋体" w:hAnsi="宋体" w:cs="宋体"/>
          <w:color w:val="auto"/>
          <w:kern w:val="0"/>
          <w:szCs w:val="21"/>
        </w:rPr>
        <w:t>不可抗力事件发生后，承包人应立即书面通知发包人和监理工程师，并在力所能及的条件下迅速采取措施，尽力减少损失，发包人应协助承包人采取相应措施。监理工程师认为应当暂停施工的，承包人应暂停施工。不可抗力事件结束后的7天内，承包人向监理工程师通报受害情况和损失情况，并预计清理和修复的费用，抄送造价工程师。不可抗力事件持续发生，承包人应每隔7天向监理工程师和造价工程师报告一次受害情况。不可抗力事件结束后的28天内，承包人应分别按照第36条、第74条规定索赔工期、费用。</w:t>
      </w:r>
    </w:p>
    <w:p>
      <w:pPr>
        <w:adjustRightInd w:val="0"/>
        <w:snapToGrid w:val="0"/>
        <w:spacing w:line="360" w:lineRule="auto"/>
        <w:rPr>
          <w:rFonts w:ascii="宋体" w:hAnsi="宋体" w:cs="宋体"/>
          <w:b/>
          <w:color w:val="auto"/>
          <w:kern w:val="0"/>
          <w:szCs w:val="21"/>
        </w:rPr>
      </w:pPr>
      <w:r>
        <w:rPr>
          <w:rFonts w:hint="eastAsia" w:ascii="宋体" w:hAnsi="宋体" w:cs="宋体"/>
          <w:b/>
          <w:color w:val="auto"/>
          <w:kern w:val="0"/>
          <w:szCs w:val="21"/>
        </w:rPr>
        <w:t xml:space="preserve">31.3  </w:t>
      </w:r>
      <w:r>
        <w:rPr>
          <w:rFonts w:hint="eastAsia" w:ascii="宋体" w:hAnsi="宋体" w:cs="宋体"/>
          <w:b/>
          <w:color w:val="auto"/>
          <w:kern w:val="0"/>
          <w:szCs w:val="21"/>
          <w:u w:val="dotted"/>
        </w:rPr>
        <w:t xml:space="preserve">                                                                                                       </w:t>
      </w:r>
    </w:p>
    <w:p>
      <w:pPr>
        <w:adjustRightInd w:val="0"/>
        <w:snapToGrid w:val="0"/>
        <w:spacing w:line="360" w:lineRule="auto"/>
        <w:ind w:left="1619" w:leftChars="771" w:firstLine="1"/>
        <w:rPr>
          <w:rFonts w:ascii="宋体" w:hAnsi="宋体" w:cs="宋体"/>
          <w:color w:val="auto"/>
          <w:kern w:val="0"/>
          <w:szCs w:val="21"/>
        </w:rPr>
      </w:pPr>
      <w:r>
        <w:rPr>
          <w:rFonts w:ascii="宋体" w:hAnsi="宋体" w:cs="宋体"/>
          <w:color w:val="auto"/>
          <w:kern w:val="0"/>
          <w:szCs w:val="21"/>
        </w:rPr>
        <mc:AlternateContent>
          <mc:Choice Requires="wps">
            <w:drawing>
              <wp:anchor distT="0" distB="0" distL="114300" distR="114300" simplePos="0" relativeHeight="251667456" behindDoc="0" locked="0" layoutInCell="1" allowOverlap="1">
                <wp:simplePos x="0" y="0"/>
                <wp:positionH relativeFrom="column">
                  <wp:posOffset>-114300</wp:posOffset>
                </wp:positionH>
                <wp:positionV relativeFrom="paragraph">
                  <wp:posOffset>22225</wp:posOffset>
                </wp:positionV>
                <wp:extent cx="914400" cy="693420"/>
                <wp:effectExtent l="0" t="0" r="0" b="0"/>
                <wp:wrapNone/>
                <wp:docPr id="290" name="文本框 290"/>
                <wp:cNvGraphicFramePr/>
                <a:graphic xmlns:a="http://schemas.openxmlformats.org/drawingml/2006/main">
                  <a:graphicData uri="http://schemas.microsoft.com/office/word/2010/wordprocessingShape">
                    <wps:wsp>
                      <wps:cNvSpPr txBox="1">
                        <a:spLocks noChangeArrowheads="1"/>
                      </wps:cNvSpPr>
                      <wps:spPr bwMode="auto">
                        <a:xfrm>
                          <a:off x="0" y="0"/>
                          <a:ext cx="914400" cy="69342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不可抗力引起费用的承担</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75pt;height:54.6pt;width:72pt;z-index:251667456;mso-width-relative:page;mso-height-relative:page;" filled="f" stroked="f" coordsize="21600,21600" o:gfxdata="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hLrpXXAAAACQEAAA8AAAAAAAAAAQAgAAAAIgAAAGRycy9kb3du&#10;cmV2LnhtbFBLAQIUABQAAAAIAIdO4kDTr478AAIAANgDAAAOAAAAAAAAAAEAIAAAACYBAABkcnMv&#10;ZTJvRG9jLnhtbFBLBQYAAAAABgAGAFkBAACY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不可抗力引起费用的承担</w:t>
                      </w:r>
                    </w:p>
                  </w:txbxContent>
                </v:textbox>
              </v:shape>
            </w:pict>
          </mc:Fallback>
        </mc:AlternateContent>
      </w:r>
      <w:r>
        <w:rPr>
          <w:rFonts w:hint="eastAsia" w:ascii="宋体" w:hAnsi="宋体" w:cs="宋体"/>
          <w:color w:val="auto"/>
          <w:kern w:val="0"/>
          <w:szCs w:val="21"/>
        </w:rPr>
        <w:t>因不可抗力事件导致的费用，由合同双方当事人按照下列规定承担，并相应调整合同价款：</w:t>
      </w:r>
    </w:p>
    <w:p>
      <w:pPr>
        <w:numPr>
          <w:ilvl w:val="0"/>
          <w:numId w:val="19"/>
        </w:numPr>
        <w:tabs>
          <w:tab w:val="left" w:pos="1080"/>
        </w:tabs>
        <w:adjustRightInd w:val="0"/>
        <w:snapToGrid w:val="0"/>
        <w:spacing w:line="360" w:lineRule="auto"/>
        <w:ind w:left="1619" w:leftChars="771" w:firstLine="1"/>
        <w:rPr>
          <w:rFonts w:ascii="宋体" w:hAnsi="宋体" w:cs="宋体"/>
          <w:color w:val="auto"/>
          <w:kern w:val="0"/>
          <w:szCs w:val="21"/>
        </w:rPr>
      </w:pPr>
      <w:r>
        <w:rPr>
          <w:rFonts w:hint="eastAsia" w:ascii="宋体" w:hAnsi="宋体" w:cs="宋体"/>
          <w:color w:val="auto"/>
          <w:kern w:val="0"/>
          <w:szCs w:val="21"/>
        </w:rPr>
        <w:t>永久工程本身的损害、已运至施工场地的材料和工程设备的损害，以及因工程损害导致第三者人员伤亡和财产损失，由发包人承担；</w:t>
      </w:r>
    </w:p>
    <w:p>
      <w:pPr>
        <w:numPr>
          <w:ilvl w:val="0"/>
          <w:numId w:val="19"/>
        </w:numPr>
        <w:tabs>
          <w:tab w:val="left" w:pos="1080"/>
        </w:tabs>
        <w:adjustRightInd w:val="0"/>
        <w:snapToGrid w:val="0"/>
        <w:spacing w:line="360" w:lineRule="auto"/>
        <w:ind w:left="1619" w:leftChars="771" w:firstLine="1"/>
        <w:rPr>
          <w:rFonts w:ascii="宋体" w:hAnsi="宋体" w:cs="宋体"/>
          <w:color w:val="auto"/>
          <w:kern w:val="0"/>
          <w:szCs w:val="21"/>
        </w:rPr>
      </w:pPr>
      <w:r>
        <w:rPr>
          <w:rFonts w:hint="eastAsia" w:ascii="宋体" w:hAnsi="宋体" w:cs="宋体"/>
          <w:color w:val="auto"/>
          <w:kern w:val="0"/>
          <w:szCs w:val="21"/>
        </w:rPr>
        <w:t>承包人施工设备和用于合同工程的周转材料损坏以及停工损失，由承包人承担；发包人提供的施工设备损坏，由发包人承担；</w:t>
      </w:r>
    </w:p>
    <w:p>
      <w:pPr>
        <w:numPr>
          <w:ilvl w:val="0"/>
          <w:numId w:val="19"/>
        </w:numPr>
        <w:tabs>
          <w:tab w:val="left" w:pos="1080"/>
        </w:tabs>
        <w:adjustRightInd w:val="0"/>
        <w:snapToGrid w:val="0"/>
        <w:spacing w:line="360" w:lineRule="auto"/>
        <w:ind w:left="1619" w:leftChars="771"/>
        <w:rPr>
          <w:rFonts w:ascii="宋体" w:hAnsi="宋体" w:cs="宋体"/>
          <w:color w:val="auto"/>
          <w:kern w:val="0"/>
          <w:szCs w:val="21"/>
        </w:rPr>
      </w:pPr>
      <w:r>
        <w:rPr>
          <w:rFonts w:hint="eastAsia" w:ascii="宋体" w:hAnsi="宋体" w:cs="宋体"/>
          <w:color w:val="auto"/>
          <w:kern w:val="0"/>
          <w:szCs w:val="21"/>
        </w:rPr>
        <w:t>施工场地内的人员伤亡和本款第(1)点、第(2)点以外财产损失及其相关费用，由合同双方当事人各自承担；</w:t>
      </w:r>
    </w:p>
    <w:p>
      <w:pPr>
        <w:numPr>
          <w:ilvl w:val="0"/>
          <w:numId w:val="19"/>
        </w:numPr>
        <w:tabs>
          <w:tab w:val="left" w:pos="1080"/>
        </w:tabs>
        <w:adjustRightInd w:val="0"/>
        <w:snapToGrid w:val="0"/>
        <w:spacing w:line="360" w:lineRule="auto"/>
        <w:ind w:left="1619" w:leftChars="771" w:firstLine="1"/>
        <w:rPr>
          <w:rFonts w:ascii="宋体" w:hAnsi="宋体" w:cs="宋体"/>
          <w:color w:val="auto"/>
          <w:kern w:val="0"/>
          <w:szCs w:val="21"/>
        </w:rPr>
      </w:pPr>
      <w:r>
        <w:rPr>
          <w:rFonts w:hint="eastAsia" w:ascii="宋体" w:hAnsi="宋体" w:cs="宋体"/>
          <w:color w:val="auto"/>
          <w:kern w:val="0"/>
          <w:szCs w:val="21"/>
        </w:rPr>
        <w:t>停工期间，承包人应监理工程师要求照管工程的费用，由发包人承担；</w:t>
      </w:r>
    </w:p>
    <w:p>
      <w:pPr>
        <w:numPr>
          <w:ilvl w:val="0"/>
          <w:numId w:val="19"/>
        </w:numPr>
        <w:tabs>
          <w:tab w:val="left" w:pos="1080"/>
        </w:tabs>
        <w:adjustRightInd w:val="0"/>
        <w:snapToGrid w:val="0"/>
        <w:spacing w:line="360" w:lineRule="auto"/>
        <w:ind w:left="2036" w:leftChars="772" w:hanging="415" w:hangingChars="198"/>
        <w:rPr>
          <w:rFonts w:ascii="宋体" w:hAnsi="宋体" w:cs="宋体"/>
          <w:color w:val="auto"/>
          <w:kern w:val="0"/>
          <w:szCs w:val="21"/>
        </w:rPr>
      </w:pPr>
      <w:r>
        <w:rPr>
          <w:rFonts w:hint="eastAsia" w:ascii="宋体" w:hAnsi="宋体" w:cs="宋体"/>
          <w:color w:val="auto"/>
          <w:kern w:val="0"/>
          <w:szCs w:val="21"/>
        </w:rPr>
        <w:t>工程所需的清理、修复费用，由发包人承担。</w:t>
      </w:r>
    </w:p>
    <w:p>
      <w:pPr>
        <w:adjustRightInd w:val="0"/>
        <w:snapToGrid w:val="0"/>
        <w:spacing w:line="360" w:lineRule="auto"/>
        <w:rPr>
          <w:rFonts w:ascii="宋体" w:hAnsi="宋体" w:cs="宋体"/>
          <w:b/>
          <w:color w:val="auto"/>
          <w:kern w:val="0"/>
          <w:szCs w:val="21"/>
        </w:rPr>
      </w:pPr>
      <w:r>
        <w:rPr>
          <w:rFonts w:ascii="宋体" w:hAnsi="宋体" w:cs="宋体"/>
          <w:color w:val="auto"/>
          <w:kern w:val="0"/>
          <w:szCs w:val="21"/>
        </w:rPr>
        <mc:AlternateContent>
          <mc:Choice Requires="wps">
            <w:drawing>
              <wp:anchor distT="0" distB="0" distL="114300" distR="114300" simplePos="0" relativeHeight="251894784" behindDoc="0" locked="0" layoutInCell="1" allowOverlap="1">
                <wp:simplePos x="0" y="0"/>
                <wp:positionH relativeFrom="column">
                  <wp:posOffset>-114300</wp:posOffset>
                </wp:positionH>
                <wp:positionV relativeFrom="paragraph">
                  <wp:posOffset>247650</wp:posOffset>
                </wp:positionV>
                <wp:extent cx="914400" cy="563245"/>
                <wp:effectExtent l="0" t="0" r="0" b="0"/>
                <wp:wrapNone/>
                <wp:docPr id="289" name="文本框 289"/>
                <wp:cNvGraphicFramePr/>
                <a:graphic xmlns:a="http://schemas.openxmlformats.org/drawingml/2006/main">
                  <a:graphicData uri="http://schemas.microsoft.com/office/word/2010/wordprocessingShape">
                    <wps:wsp>
                      <wps:cNvSpPr txBox="1">
                        <a:spLocks noChangeArrowheads="1"/>
                      </wps:cNvSpPr>
                      <wps:spPr bwMode="auto">
                        <a:xfrm>
                          <a:off x="0" y="0"/>
                          <a:ext cx="914400" cy="563245"/>
                        </a:xfrm>
                        <a:prstGeom prst="rect">
                          <a:avLst/>
                        </a:prstGeom>
                        <a:noFill/>
                        <a:ln>
                          <a:noFill/>
                        </a:ln>
                        <a:effectLst/>
                      </wps:spPr>
                      <wps:txbx>
                        <w:txbxContent>
                          <w:p>
                            <w:pPr>
                              <w:spacing w:line="240" w:lineRule="exact"/>
                              <w:rPr>
                                <w:rFonts w:ascii="宋体" w:hAnsi="宋体"/>
                                <w:sz w:val="18"/>
                                <w:szCs w:val="18"/>
                              </w:rPr>
                            </w:pPr>
                            <w:r>
                              <w:rPr>
                                <w:rFonts w:hint="eastAsia" w:ascii="楷体_GB2312" w:hAnsi="宋体"/>
                                <w:b/>
                                <w:color w:val="000000"/>
                                <w:sz w:val="18"/>
                                <w:szCs w:val="18"/>
                              </w:rPr>
                              <w:t>不可抗力引起工期的处理</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5pt;height:44.35pt;width:72pt;z-index:251894784;mso-width-relative:page;mso-height-relative:page;" filled="f" stroked="f" coordsize="21600,21600" o:gfxdata="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JOcIaHXAAAACgEAAA8AAAAAAAAAAQAgAAAAIgAAAGRycy9kb3du&#10;cmV2LnhtbFBLAQIUABQAAAAIAIdO4kCpNVNEAAIAANgDAAAOAAAAAAAAAAEAIAAAACYBAABkcnMv&#10;ZTJvRG9jLnhtbFBLBQYAAAAABgAGAFkBAACYBQAAAAA=&#10;">
                <v:fill on="f" focussize="0,0"/>
                <v:stroke on="f"/>
                <v:imagedata o:title=""/>
                <o:lock v:ext="edit" aspectratio="f"/>
                <v:textbox>
                  <w:txbxContent>
                    <w:p>
                      <w:pPr>
                        <w:spacing w:line="240" w:lineRule="exact"/>
                        <w:rPr>
                          <w:rFonts w:ascii="宋体" w:hAnsi="宋体"/>
                          <w:sz w:val="18"/>
                          <w:szCs w:val="18"/>
                        </w:rPr>
                      </w:pPr>
                      <w:r>
                        <w:rPr>
                          <w:rFonts w:hint="eastAsia" w:ascii="楷体_GB2312" w:hAnsi="宋体"/>
                          <w:b/>
                          <w:color w:val="000000"/>
                          <w:sz w:val="18"/>
                          <w:szCs w:val="18"/>
                        </w:rPr>
                        <w:t>不可抗力引起工期的处理</w:t>
                      </w:r>
                    </w:p>
                  </w:txbxContent>
                </v:textbox>
              </v:shape>
            </w:pict>
          </mc:Fallback>
        </mc:AlternateContent>
      </w:r>
      <w:r>
        <w:rPr>
          <w:rFonts w:hint="eastAsia" w:ascii="宋体" w:hAnsi="宋体" w:cs="宋体"/>
          <w:b/>
          <w:color w:val="auto"/>
          <w:kern w:val="0"/>
          <w:szCs w:val="21"/>
        </w:rPr>
        <w:t xml:space="preserve">31.4  </w:t>
      </w:r>
      <w:r>
        <w:rPr>
          <w:rFonts w:hint="eastAsia" w:ascii="宋体" w:hAnsi="宋体" w:cs="宋体"/>
          <w:b/>
          <w:color w:val="auto"/>
          <w:kern w:val="0"/>
          <w:szCs w:val="21"/>
          <w:u w:val="dotted"/>
        </w:rPr>
        <w:t xml:space="preserve">                                                                                                        </w:t>
      </w:r>
    </w:p>
    <w:p>
      <w:pPr>
        <w:adjustRightInd w:val="0"/>
        <w:snapToGrid w:val="0"/>
        <w:spacing w:line="360" w:lineRule="auto"/>
        <w:ind w:left="1619" w:leftChars="771"/>
        <w:rPr>
          <w:rFonts w:ascii="宋体" w:hAnsi="宋体" w:cs="宋体"/>
          <w:dstrike/>
          <w:color w:val="auto"/>
          <w:kern w:val="0"/>
          <w:szCs w:val="21"/>
        </w:rPr>
      </w:pPr>
      <w:r>
        <w:rPr>
          <w:rFonts w:hint="eastAsia" w:ascii="宋体" w:hAnsi="宋体" w:cs="宋体"/>
          <w:color w:val="auto"/>
          <w:kern w:val="0"/>
          <w:szCs w:val="21"/>
        </w:rPr>
        <w:t>因发生不可抗力事件导致工期延误的，工期相应顺延；不能按期竣工的，承包人无需为此支付任何误期赔偿费。发包人要求赶工的，承包人应采取赶工措施，赶工费用由发包人支付。</w:t>
      </w:r>
    </w:p>
    <w:p>
      <w:pPr>
        <w:adjustRightInd w:val="0"/>
        <w:snapToGrid w:val="0"/>
        <w:spacing w:line="360" w:lineRule="auto"/>
        <w:rPr>
          <w:rFonts w:ascii="宋体" w:hAnsi="宋体" w:cs="宋体"/>
          <w:b/>
          <w:color w:val="auto"/>
          <w:kern w:val="0"/>
          <w:szCs w:val="21"/>
        </w:rPr>
      </w:pPr>
      <w:r>
        <w:rPr>
          <w:rFonts w:ascii="宋体" w:hAnsi="宋体" w:cs="宋体"/>
          <w:color w:val="auto"/>
          <w:kern w:val="0"/>
          <w:szCs w:val="21"/>
        </w:rPr>
        <mc:AlternateContent>
          <mc:Choice Requires="wps">
            <w:drawing>
              <wp:anchor distT="0" distB="0" distL="114300" distR="114300" simplePos="0" relativeHeight="251668480" behindDoc="0" locked="0" layoutInCell="1" allowOverlap="1">
                <wp:simplePos x="0" y="0"/>
                <wp:positionH relativeFrom="column">
                  <wp:posOffset>-114300</wp:posOffset>
                </wp:positionH>
                <wp:positionV relativeFrom="paragraph">
                  <wp:posOffset>247650</wp:posOffset>
                </wp:positionV>
                <wp:extent cx="914400" cy="563245"/>
                <wp:effectExtent l="0" t="0" r="0" b="0"/>
                <wp:wrapNone/>
                <wp:docPr id="288" name="文本框 288"/>
                <wp:cNvGraphicFramePr/>
                <a:graphic xmlns:a="http://schemas.openxmlformats.org/drawingml/2006/main">
                  <a:graphicData uri="http://schemas.microsoft.com/office/word/2010/wordprocessingShape">
                    <wps:wsp>
                      <wps:cNvSpPr txBox="1">
                        <a:spLocks noChangeArrowheads="1"/>
                      </wps:cNvSpPr>
                      <wps:spPr bwMode="auto">
                        <a:xfrm>
                          <a:off x="0" y="0"/>
                          <a:ext cx="914400" cy="56324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延迟履约发生不可抗力的责任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5pt;height:44.35pt;width:72pt;z-index:251668480;mso-width-relative:page;mso-height-relative:page;" filled="f" stroked="f" coordsize="21600,21600" o:gfxdata="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JOcIaHXAAAACgEAAA8AAAAAAAAAAQAgAAAAIgAAAGRycy9kb3du&#10;cmV2LnhtbFBLAQIUABQAAAAIAIdO4kAt6uRAAAIAANgDAAAOAAAAAAAAAAEAIAAAACYBAABkcnMv&#10;ZTJvRG9jLnhtbFBLBQYAAAAABgAGAFkBAACY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延迟履约发生不可抗力的责任</w:t>
                      </w:r>
                    </w:p>
                  </w:txbxContent>
                </v:textbox>
              </v:shape>
            </w:pict>
          </mc:Fallback>
        </mc:AlternateContent>
      </w:r>
      <w:r>
        <w:rPr>
          <w:rFonts w:hint="eastAsia" w:ascii="宋体" w:hAnsi="宋体" w:cs="宋体"/>
          <w:b/>
          <w:color w:val="auto"/>
          <w:kern w:val="0"/>
          <w:szCs w:val="21"/>
        </w:rPr>
        <w:t xml:space="preserve">31.5 </w:t>
      </w:r>
      <w:r>
        <w:rPr>
          <w:rFonts w:hint="eastAsia" w:ascii="宋体" w:hAnsi="宋体" w:cs="宋体"/>
          <w:b/>
          <w:color w:val="auto"/>
          <w:kern w:val="0"/>
          <w:szCs w:val="21"/>
          <w:u w:val="dotted"/>
        </w:rPr>
        <w:t xml:space="preserve">                                                                                                        </w:t>
      </w:r>
    </w:p>
    <w:p>
      <w:pPr>
        <w:adjustRightInd w:val="0"/>
        <w:snapToGrid w:val="0"/>
        <w:spacing w:line="360" w:lineRule="auto"/>
        <w:ind w:left="1619" w:leftChars="771"/>
        <w:rPr>
          <w:rFonts w:ascii="宋体" w:hAnsi="宋体" w:cs="宋体"/>
          <w:color w:val="auto"/>
          <w:kern w:val="0"/>
          <w:szCs w:val="21"/>
        </w:rPr>
      </w:pPr>
      <w:r>
        <w:rPr>
          <w:rFonts w:hint="eastAsia" w:ascii="宋体" w:hAnsi="宋体" w:cs="宋体"/>
          <w:color w:val="auto"/>
          <w:kern w:val="0"/>
          <w:szCs w:val="21"/>
        </w:rPr>
        <w:t>合同任何一方当事人延迟履行合同后发生不可抗力事件的，不能免除另一方当事人因不可抗力造成损失的责任。</w:t>
      </w:r>
    </w:p>
    <w:p>
      <w:pPr>
        <w:adjustRightInd w:val="0"/>
        <w:snapToGrid w:val="0"/>
        <w:spacing w:line="480" w:lineRule="auto"/>
        <w:rPr>
          <w:rFonts w:ascii="宋体" w:hAnsi="宋体" w:cs="宋体"/>
          <w:b/>
          <w:color w:val="auto"/>
          <w:kern w:val="0"/>
          <w:szCs w:val="21"/>
        </w:rPr>
      </w:pPr>
      <w:r>
        <w:rPr>
          <w:rFonts w:ascii="宋体" w:hAnsi="宋体" w:cs="宋体"/>
          <w:color w:val="auto"/>
          <w:kern w:val="0"/>
          <w:szCs w:val="21"/>
        </w:rPr>
        <mc:AlternateContent>
          <mc:Choice Requires="wps">
            <w:drawing>
              <wp:anchor distT="0" distB="0" distL="114300" distR="114300" simplePos="0" relativeHeight="252055552" behindDoc="0" locked="0" layoutInCell="1" allowOverlap="1">
                <wp:simplePos x="0" y="0"/>
                <wp:positionH relativeFrom="column">
                  <wp:posOffset>-114300</wp:posOffset>
                </wp:positionH>
                <wp:positionV relativeFrom="paragraph">
                  <wp:posOffset>247650</wp:posOffset>
                </wp:positionV>
                <wp:extent cx="914400" cy="563245"/>
                <wp:effectExtent l="0" t="0" r="0" b="0"/>
                <wp:wrapNone/>
                <wp:docPr id="287" name="文本框 287"/>
                <wp:cNvGraphicFramePr/>
                <a:graphic xmlns:a="http://schemas.openxmlformats.org/drawingml/2006/main">
                  <a:graphicData uri="http://schemas.microsoft.com/office/word/2010/wordprocessingShape">
                    <wps:wsp>
                      <wps:cNvSpPr txBox="1">
                        <a:spLocks noChangeArrowheads="1"/>
                      </wps:cNvSpPr>
                      <wps:spPr bwMode="auto">
                        <a:xfrm>
                          <a:off x="0" y="0"/>
                          <a:ext cx="914400" cy="56324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避免和减少不可抗力的损失</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5pt;height:44.35pt;width:72pt;z-index:252055552;mso-width-relative:page;mso-height-relative:page;" filled="f" stroked="f" coordsize="21600,21600" o:gfxdata="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JOcIaHXAAAACgEAAA8AAAAAAAAAAQAgAAAAIgAAAGRycy9kb3du&#10;cmV2LnhtbFBLAQIUABQAAAAIAIdO4kCRCF16AAIAANgDAAAOAAAAAAAAAAEAIAAAACYBAABkcnMv&#10;ZTJvRG9jLnhtbFBLBQYAAAAABgAGAFkBAACY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避免和减少不可抗力的损失</w:t>
                      </w:r>
                    </w:p>
                  </w:txbxContent>
                </v:textbox>
              </v:shape>
            </w:pict>
          </mc:Fallback>
        </mc:AlternateContent>
      </w:r>
      <w:r>
        <w:rPr>
          <w:rFonts w:hint="eastAsia" w:ascii="宋体" w:hAnsi="宋体" w:cs="宋体"/>
          <w:b/>
          <w:color w:val="auto"/>
          <w:kern w:val="0"/>
          <w:szCs w:val="21"/>
        </w:rPr>
        <w:t xml:space="preserve">31.6 </w:t>
      </w:r>
      <w:r>
        <w:rPr>
          <w:rFonts w:hint="eastAsia" w:ascii="宋体" w:hAnsi="宋体" w:cs="宋体"/>
          <w:b/>
          <w:color w:val="auto"/>
          <w:kern w:val="0"/>
          <w:szCs w:val="21"/>
          <w:u w:val="dotted"/>
        </w:rPr>
        <w:t xml:space="preserve">                                                                                                        </w:t>
      </w:r>
    </w:p>
    <w:p>
      <w:pPr>
        <w:adjustRightInd w:val="0"/>
        <w:snapToGrid w:val="0"/>
        <w:spacing w:line="360" w:lineRule="auto"/>
        <w:ind w:left="1619" w:leftChars="771"/>
        <w:rPr>
          <w:rFonts w:ascii="宋体" w:hAnsi="宋体" w:cs="宋体"/>
          <w:color w:val="auto"/>
          <w:kern w:val="0"/>
          <w:szCs w:val="21"/>
        </w:rPr>
      </w:pPr>
      <w:r>
        <w:rPr>
          <w:rFonts w:hint="eastAsia" w:ascii="宋体" w:hAnsi="宋体" w:cs="宋体"/>
          <w:color w:val="auto"/>
          <w:kern w:val="0"/>
          <w:szCs w:val="21"/>
        </w:rPr>
        <w:t>不可抗力事件发生后，合同双方当事人应采取措施尽量避免和减少由此发生的损失。因合同任何一方当事人没有采取有效措施而导致损失扩大的，则损失扩大部分由其自身承担。</w:t>
      </w:r>
    </w:p>
    <w:p>
      <w:pPr>
        <w:adjustRightInd w:val="0"/>
        <w:snapToGrid w:val="0"/>
        <w:spacing w:line="480" w:lineRule="auto"/>
        <w:rPr>
          <w:rFonts w:ascii="宋体" w:hAnsi="宋体" w:cs="宋体"/>
          <w:color w:val="auto"/>
          <w:kern w:val="0"/>
          <w:szCs w:val="21"/>
          <w:u w:val="single"/>
        </w:rPr>
      </w:pPr>
      <w:r>
        <w:rPr>
          <w:rFonts w:hint="eastAsia" w:ascii="宋体" w:hAnsi="宋体" w:cs="宋体"/>
          <w:b/>
          <w:color w:val="auto"/>
          <w:kern w:val="0"/>
          <w:szCs w:val="21"/>
          <w:u w:val="single"/>
        </w:rPr>
        <w:t xml:space="preserve">                                                                                    </w:t>
      </w:r>
      <w:r>
        <w:rPr>
          <w:rFonts w:hint="eastAsia" w:ascii="宋体" w:hAnsi="宋体" w:cs="宋体"/>
          <w:color w:val="auto"/>
          <w:kern w:val="0"/>
          <w:szCs w:val="21"/>
          <w:u w:val="single"/>
        </w:rPr>
        <w:t xml:space="preserve">        </w:t>
      </w:r>
    </w:p>
    <w:p>
      <w:pPr>
        <w:tabs>
          <w:tab w:val="left" w:pos="1620"/>
        </w:tabs>
        <w:spacing w:line="240" w:lineRule="exact"/>
        <w:rPr>
          <w:rFonts w:ascii="宋体" w:hAnsi="宋体" w:cs="宋体"/>
          <w:color w:val="auto"/>
          <w:szCs w:val="21"/>
        </w:rPr>
      </w:pPr>
    </w:p>
    <w:p>
      <w:pPr>
        <w:tabs>
          <w:tab w:val="left" w:pos="540"/>
        </w:tabs>
        <w:adjustRightInd w:val="0"/>
        <w:snapToGrid w:val="0"/>
        <w:spacing w:beforeLines="100" w:line="360" w:lineRule="auto"/>
        <w:ind w:right="-238"/>
        <w:rPr>
          <w:rFonts w:ascii="宋体" w:hAnsi="宋体" w:cs="宋体"/>
          <w:b/>
          <w:color w:val="auto"/>
          <w:kern w:val="0"/>
          <w:szCs w:val="21"/>
        </w:rPr>
      </w:pPr>
      <w:r>
        <w:rPr>
          <w:rFonts w:hint="eastAsia" w:ascii="宋体" w:hAnsi="宋体" w:cs="宋体"/>
          <w:b/>
          <w:color w:val="auto"/>
          <w:kern w:val="0"/>
          <w:szCs w:val="21"/>
        </w:rPr>
        <w:t>32  保险</w:t>
      </w:r>
    </w:p>
    <w:p>
      <w:pPr>
        <w:tabs>
          <w:tab w:val="left" w:pos="1320"/>
        </w:tabs>
        <w:adjustRightInd w:val="0"/>
        <w:snapToGrid w:val="0"/>
        <w:spacing w:line="360" w:lineRule="auto"/>
        <w:rPr>
          <w:rFonts w:ascii="宋体" w:hAnsi="宋体" w:cs="宋体"/>
          <w:b/>
          <w:color w:val="auto"/>
          <w:kern w:val="0"/>
          <w:szCs w:val="21"/>
        </w:rPr>
      </w:pPr>
      <w:r>
        <w:rPr>
          <w:rFonts w:hint="eastAsia" w:ascii="宋体" w:hAnsi="宋体" w:cs="宋体"/>
          <w:b/>
          <w:color w:val="auto"/>
          <w:kern w:val="0"/>
          <w:szCs w:val="21"/>
        </w:rPr>
        <w:t xml:space="preserve">32.1      </w:t>
      </w:r>
    </w:p>
    <w:p>
      <w:pPr>
        <w:adjustRightInd w:val="0"/>
        <w:snapToGrid w:val="0"/>
        <w:spacing w:line="360" w:lineRule="auto"/>
        <w:ind w:firstLine="1417" w:firstLineChars="675"/>
        <w:rPr>
          <w:rFonts w:ascii="宋体" w:hAnsi="宋体" w:cs="宋体"/>
          <w:color w:val="auto"/>
          <w:kern w:val="0"/>
          <w:szCs w:val="21"/>
        </w:rPr>
      </w:pPr>
      <w:r>
        <w:rPr>
          <w:rFonts w:ascii="宋体" w:hAnsi="宋体" w:cs="宋体"/>
          <w:color w:val="auto"/>
          <w:kern w:val="0"/>
          <w:szCs w:val="21"/>
        </w:rPr>
        <mc:AlternateContent>
          <mc:Choice Requires="wps">
            <w:drawing>
              <wp:anchor distT="0" distB="0" distL="114300" distR="114300" simplePos="0" relativeHeight="251669504" behindDoc="0" locked="0" layoutInCell="1" allowOverlap="1">
                <wp:simplePos x="0" y="0"/>
                <wp:positionH relativeFrom="column">
                  <wp:posOffset>-114300</wp:posOffset>
                </wp:positionH>
                <wp:positionV relativeFrom="paragraph">
                  <wp:posOffset>7620</wp:posOffset>
                </wp:positionV>
                <wp:extent cx="1028700" cy="396240"/>
                <wp:effectExtent l="0" t="0" r="0" b="0"/>
                <wp:wrapNone/>
                <wp:docPr id="286" name="文本框 286"/>
                <wp:cNvGraphicFramePr/>
                <a:graphic xmlns:a="http://schemas.openxmlformats.org/drawingml/2006/main">
                  <a:graphicData uri="http://schemas.microsoft.com/office/word/2010/wordprocessingShape">
                    <wps:wsp>
                      <wps:cNvSpPr txBox="1">
                        <a:spLocks noChangeArrowheads="1"/>
                      </wps:cNvSpPr>
                      <wps:spPr bwMode="auto">
                        <a:xfrm>
                          <a:off x="0" y="0"/>
                          <a:ext cx="1028700" cy="39624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发包人办理保</w:t>
                            </w:r>
                          </w:p>
                          <w:p>
                            <w:pPr>
                              <w:spacing w:line="240" w:lineRule="exact"/>
                              <w:rPr>
                                <w:rFonts w:ascii="楷体_GB2312" w:hAnsi="宋体"/>
                                <w:b/>
                                <w:color w:val="000000"/>
                                <w:sz w:val="18"/>
                                <w:szCs w:val="18"/>
                              </w:rPr>
                            </w:pPr>
                            <w:r>
                              <w:rPr>
                                <w:rFonts w:hint="eastAsia" w:ascii="楷体_GB2312" w:hAnsi="宋体"/>
                                <w:b/>
                                <w:color w:val="000000"/>
                                <w:sz w:val="18"/>
                                <w:szCs w:val="18"/>
                              </w:rPr>
                              <w:t>险</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6pt;height:31.2pt;width:81pt;z-index:251669504;mso-width-relative:page;mso-height-relative:page;" filled="f" stroked="f" coordsize="21600,21600" o:gfxdata="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4yfBG1QAAAAgBAAAPAAAAAAAAAAEAIAAAACIAAABkcnMvZG93&#10;bnJldi54bWxQSwECFAAUAAAACACHTuJA6kafkgMCAADZAwAADgAAAAAAAAABACAAAAAkAQAAZHJz&#10;L2Uyb0RvYy54bWxQSwUGAAAAAAYABgBZAQAAmQ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发包人办理保</w:t>
                      </w:r>
                    </w:p>
                    <w:p>
                      <w:pPr>
                        <w:spacing w:line="240" w:lineRule="exact"/>
                        <w:rPr>
                          <w:rFonts w:ascii="楷体_GB2312" w:hAnsi="宋体"/>
                          <w:b/>
                          <w:color w:val="000000"/>
                          <w:sz w:val="18"/>
                          <w:szCs w:val="18"/>
                        </w:rPr>
                      </w:pPr>
                      <w:r>
                        <w:rPr>
                          <w:rFonts w:hint="eastAsia" w:ascii="楷体_GB2312" w:hAnsi="宋体"/>
                          <w:b/>
                          <w:color w:val="000000"/>
                          <w:sz w:val="18"/>
                          <w:szCs w:val="18"/>
                        </w:rPr>
                        <w:t>险</w:t>
                      </w:r>
                    </w:p>
                  </w:txbxContent>
                </v:textbox>
              </v:shape>
            </w:pict>
          </mc:Fallback>
        </mc:AlternateContent>
      </w:r>
      <w:r>
        <w:rPr>
          <w:rFonts w:hint="eastAsia" w:ascii="宋体" w:hAnsi="宋体" w:cs="宋体"/>
          <w:color w:val="auto"/>
          <w:kern w:val="0"/>
          <w:szCs w:val="21"/>
        </w:rPr>
        <w:t>发包人应按照下列规定办理保险，并支付保险费：</w:t>
      </w:r>
    </w:p>
    <w:p>
      <w:pPr>
        <w:numPr>
          <w:ilvl w:val="0"/>
          <w:numId w:val="20"/>
        </w:numPr>
        <w:tabs>
          <w:tab w:val="left" w:pos="1980"/>
        </w:tabs>
        <w:adjustRightInd w:val="0"/>
        <w:snapToGrid w:val="0"/>
        <w:spacing w:line="360" w:lineRule="auto"/>
        <w:ind w:left="1620"/>
        <w:rPr>
          <w:rFonts w:ascii="宋体" w:hAnsi="宋体" w:cs="宋体"/>
          <w:color w:val="auto"/>
          <w:kern w:val="0"/>
          <w:szCs w:val="21"/>
        </w:rPr>
      </w:pPr>
      <w:r>
        <w:rPr>
          <w:rFonts w:hint="eastAsia" w:ascii="宋体" w:hAnsi="宋体" w:cs="宋体"/>
          <w:color w:val="auto"/>
          <w:kern w:val="0"/>
          <w:szCs w:val="21"/>
        </w:rPr>
        <w:t>工程开工前，为合同工程办理建筑工程一切险、安装工程一切险；</w:t>
      </w:r>
    </w:p>
    <w:p>
      <w:pPr>
        <w:numPr>
          <w:ilvl w:val="0"/>
          <w:numId w:val="20"/>
        </w:numPr>
        <w:tabs>
          <w:tab w:val="left" w:pos="540"/>
          <w:tab w:val="left" w:pos="1980"/>
        </w:tabs>
        <w:adjustRightInd w:val="0"/>
        <w:snapToGrid w:val="0"/>
        <w:spacing w:line="360" w:lineRule="auto"/>
        <w:ind w:left="1617" w:leftChars="770"/>
        <w:rPr>
          <w:rFonts w:ascii="宋体" w:hAnsi="宋体" w:cs="宋体"/>
          <w:color w:val="auto"/>
          <w:kern w:val="0"/>
          <w:szCs w:val="21"/>
        </w:rPr>
      </w:pPr>
      <w:r>
        <w:rPr>
          <w:rFonts w:hint="eastAsia" w:ascii="宋体" w:hAnsi="宋体" w:cs="宋体"/>
          <w:color w:val="auto"/>
          <w:kern w:val="0"/>
          <w:szCs w:val="21"/>
        </w:rPr>
        <w:t>工程开工前，为施工场地内的自有人员（包括监理工程师、造价工程师在内）办理工伤保险、意外伤害保险；</w:t>
      </w:r>
    </w:p>
    <w:p>
      <w:pPr>
        <w:numPr>
          <w:ilvl w:val="0"/>
          <w:numId w:val="20"/>
        </w:numPr>
        <w:tabs>
          <w:tab w:val="left" w:pos="540"/>
          <w:tab w:val="left" w:pos="1980"/>
        </w:tabs>
        <w:adjustRightInd w:val="0"/>
        <w:snapToGrid w:val="0"/>
        <w:spacing w:line="360" w:lineRule="auto"/>
        <w:ind w:left="2039" w:leftChars="771" w:hanging="420" w:hangingChars="200"/>
        <w:rPr>
          <w:rFonts w:ascii="宋体" w:hAnsi="宋体" w:cs="宋体"/>
          <w:color w:val="auto"/>
          <w:kern w:val="0"/>
          <w:szCs w:val="21"/>
        </w:rPr>
      </w:pPr>
      <w:r>
        <w:rPr>
          <w:rFonts w:hint="eastAsia" w:ascii="宋体" w:hAnsi="宋体" w:cs="宋体"/>
          <w:color w:val="auto"/>
          <w:kern w:val="0"/>
          <w:szCs w:val="21"/>
        </w:rPr>
        <w:t>为第三者办理第三者责任险；</w:t>
      </w:r>
    </w:p>
    <w:p>
      <w:pPr>
        <w:numPr>
          <w:ilvl w:val="0"/>
          <w:numId w:val="20"/>
        </w:numPr>
        <w:tabs>
          <w:tab w:val="left" w:pos="1980"/>
        </w:tabs>
        <w:adjustRightInd w:val="0"/>
        <w:snapToGrid w:val="0"/>
        <w:spacing w:line="360" w:lineRule="auto"/>
        <w:ind w:left="1620"/>
        <w:rPr>
          <w:rFonts w:ascii="宋体" w:hAnsi="宋体" w:cs="宋体"/>
          <w:color w:val="auto"/>
          <w:kern w:val="0"/>
          <w:szCs w:val="21"/>
        </w:rPr>
      </w:pPr>
      <w:r>
        <w:rPr>
          <w:rFonts w:hint="eastAsia" w:ascii="宋体" w:hAnsi="宋体" w:cs="宋体"/>
          <w:color w:val="auto"/>
          <w:kern w:val="0"/>
          <w:szCs w:val="21"/>
        </w:rPr>
        <w:t>为运至施工场地内用于永久工程的材料和待安装工程设备办理保险。</w:t>
      </w:r>
    </w:p>
    <w:p>
      <w:pPr>
        <w:tabs>
          <w:tab w:val="left" w:pos="1080"/>
        </w:tabs>
        <w:adjustRightInd w:val="0"/>
        <w:snapToGrid w:val="0"/>
        <w:spacing w:line="360" w:lineRule="auto"/>
        <w:ind w:left="1620"/>
        <w:rPr>
          <w:rFonts w:ascii="宋体" w:hAnsi="宋体" w:cs="宋体"/>
          <w:color w:val="auto"/>
          <w:kern w:val="0"/>
          <w:szCs w:val="21"/>
        </w:rPr>
      </w:pPr>
      <w:r>
        <w:rPr>
          <w:rFonts w:hint="eastAsia" w:ascii="宋体" w:hAnsi="宋体" w:cs="宋体"/>
          <w:color w:val="auto"/>
          <w:kern w:val="0"/>
          <w:szCs w:val="21"/>
        </w:rPr>
        <w:t>保险期从办理保险之日起至工程竣工验收合格之日止。</w:t>
      </w:r>
    </w:p>
    <w:p>
      <w:pPr>
        <w:tabs>
          <w:tab w:val="left" w:pos="1080"/>
        </w:tabs>
        <w:adjustRightInd w:val="0"/>
        <w:snapToGrid w:val="0"/>
        <w:spacing w:line="360" w:lineRule="auto"/>
        <w:ind w:left="1620"/>
        <w:rPr>
          <w:rFonts w:ascii="宋体" w:hAnsi="宋体" w:cs="宋体"/>
          <w:color w:val="auto"/>
          <w:kern w:val="0"/>
          <w:szCs w:val="21"/>
        </w:rPr>
      </w:pPr>
      <w:r>
        <w:rPr>
          <w:rFonts w:hint="eastAsia" w:ascii="宋体" w:hAnsi="宋体" w:cs="宋体"/>
          <w:color w:val="auto"/>
          <w:kern w:val="0"/>
          <w:szCs w:val="21"/>
        </w:rPr>
        <w:t>发包人可将其中部分事项委托给承包人办理，具体由合同双方当事人在专用条款中约定。除合同价款已包括外，由发包人承担所需保险费用，并向承包人支付合理利润。</w:t>
      </w:r>
    </w:p>
    <w:p>
      <w:pPr>
        <w:tabs>
          <w:tab w:val="left" w:pos="1320"/>
        </w:tabs>
        <w:adjustRightInd w:val="0"/>
        <w:snapToGrid w:val="0"/>
        <w:spacing w:line="480" w:lineRule="auto"/>
        <w:rPr>
          <w:rFonts w:ascii="宋体" w:hAnsi="宋体" w:cs="宋体"/>
          <w:b/>
          <w:color w:val="auto"/>
          <w:kern w:val="0"/>
          <w:szCs w:val="21"/>
          <w:u w:val="dotted"/>
        </w:rPr>
      </w:pPr>
      <w:r>
        <w:rPr>
          <w:rFonts w:hint="eastAsia" w:ascii="宋体" w:hAnsi="宋体" w:cs="宋体"/>
          <w:b/>
          <w:color w:val="auto"/>
          <w:kern w:val="0"/>
          <w:szCs w:val="21"/>
        </w:rPr>
        <w:t xml:space="preserve">32.2  </w:t>
      </w:r>
      <w:r>
        <w:rPr>
          <w:rFonts w:hint="eastAsia" w:ascii="宋体" w:hAnsi="宋体" w:cs="宋体"/>
          <w:b/>
          <w:color w:val="auto"/>
          <w:kern w:val="0"/>
          <w:szCs w:val="21"/>
          <w:u w:val="dotted"/>
        </w:rPr>
        <w:t xml:space="preserve">                                                                                                        </w:t>
      </w:r>
    </w:p>
    <w:p>
      <w:pPr>
        <w:adjustRightInd w:val="0"/>
        <w:snapToGrid w:val="0"/>
        <w:spacing w:line="360" w:lineRule="auto"/>
        <w:ind w:left="1619" w:leftChars="771"/>
        <w:rPr>
          <w:rFonts w:ascii="宋体" w:hAnsi="宋体" w:cs="宋体"/>
          <w:color w:val="auto"/>
          <w:kern w:val="0"/>
          <w:szCs w:val="21"/>
        </w:rPr>
      </w:pPr>
      <w:r>
        <w:rPr>
          <w:rFonts w:ascii="宋体" w:hAnsi="宋体" w:cs="宋体"/>
          <w:color w:val="auto"/>
          <w:kern w:val="0"/>
          <w:szCs w:val="21"/>
        </w:rPr>
        <mc:AlternateContent>
          <mc:Choice Requires="wps">
            <w:drawing>
              <wp:anchor distT="0" distB="0" distL="114300" distR="114300" simplePos="0" relativeHeight="251670528" behindDoc="0" locked="0" layoutInCell="1" allowOverlap="1">
                <wp:simplePos x="0" y="0"/>
                <wp:positionH relativeFrom="column">
                  <wp:posOffset>-114300</wp:posOffset>
                </wp:positionH>
                <wp:positionV relativeFrom="paragraph">
                  <wp:posOffset>635</wp:posOffset>
                </wp:positionV>
                <wp:extent cx="1028700" cy="478155"/>
                <wp:effectExtent l="0" t="0" r="0" b="0"/>
                <wp:wrapNone/>
                <wp:docPr id="285" name="文本框 285"/>
                <wp:cNvGraphicFramePr/>
                <a:graphic xmlns:a="http://schemas.openxmlformats.org/drawingml/2006/main">
                  <a:graphicData uri="http://schemas.microsoft.com/office/word/2010/wordprocessingShape">
                    <wps:wsp>
                      <wps:cNvSpPr txBox="1">
                        <a:spLocks noChangeArrowheads="1"/>
                      </wps:cNvSpPr>
                      <wps:spPr bwMode="auto">
                        <a:xfrm>
                          <a:off x="0" y="0"/>
                          <a:ext cx="1028700" cy="47815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承包人办理保</w:t>
                            </w:r>
                          </w:p>
                          <w:p>
                            <w:pPr>
                              <w:spacing w:line="240" w:lineRule="exact"/>
                              <w:rPr>
                                <w:rFonts w:ascii="楷体_GB2312" w:hAnsi="宋体"/>
                                <w:b/>
                                <w:color w:val="000000"/>
                                <w:sz w:val="18"/>
                                <w:szCs w:val="18"/>
                              </w:rPr>
                            </w:pPr>
                            <w:r>
                              <w:rPr>
                                <w:rFonts w:hint="eastAsia" w:ascii="楷体_GB2312" w:hAnsi="宋体"/>
                                <w:b/>
                                <w:color w:val="000000"/>
                                <w:sz w:val="18"/>
                                <w:szCs w:val="18"/>
                              </w:rPr>
                              <w:t>险</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05pt;height:37.65pt;width:81pt;z-index:251670528;mso-width-relative:page;mso-height-relative:page;" filled="f" stroked="f" coordsize="21600,21600" o:gfxdata="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6U7LFtQAAAAHAQAADwAAAAAAAAABACAAAAAiAAAAZHJzL2Rvd25y&#10;ZXYueG1sUEsBAhQAFAAAAAgAh07iQGCy0P0CAgAA2QMAAA4AAAAAAAAAAQAgAAAAIwEAAGRycy9l&#10;Mm9Eb2MueG1sUEsFBgAAAAAGAAYAWQEAAJcF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承包人办理保</w:t>
                      </w:r>
                    </w:p>
                    <w:p>
                      <w:pPr>
                        <w:spacing w:line="240" w:lineRule="exact"/>
                        <w:rPr>
                          <w:rFonts w:ascii="楷体_GB2312" w:hAnsi="宋体"/>
                          <w:b/>
                          <w:color w:val="000000"/>
                          <w:sz w:val="18"/>
                          <w:szCs w:val="18"/>
                        </w:rPr>
                      </w:pPr>
                      <w:r>
                        <w:rPr>
                          <w:rFonts w:hint="eastAsia" w:ascii="楷体_GB2312" w:hAnsi="宋体"/>
                          <w:b/>
                          <w:color w:val="000000"/>
                          <w:sz w:val="18"/>
                          <w:szCs w:val="18"/>
                        </w:rPr>
                        <w:t>险</w:t>
                      </w:r>
                    </w:p>
                  </w:txbxContent>
                </v:textbox>
              </v:shape>
            </w:pict>
          </mc:Fallback>
        </mc:AlternateContent>
      </w:r>
      <w:r>
        <w:rPr>
          <w:rFonts w:hint="eastAsia" w:ascii="宋体" w:hAnsi="宋体" w:cs="宋体"/>
          <w:color w:val="auto"/>
          <w:kern w:val="0"/>
          <w:szCs w:val="21"/>
        </w:rPr>
        <w:t>承包人应按照下列规定办理保险，并支付保险费：</w:t>
      </w:r>
    </w:p>
    <w:p>
      <w:pPr>
        <w:adjustRightInd w:val="0"/>
        <w:snapToGrid w:val="0"/>
        <w:spacing w:line="360" w:lineRule="auto"/>
        <w:ind w:left="1617" w:leftChars="770" w:firstLine="1"/>
        <w:rPr>
          <w:rFonts w:ascii="宋体" w:hAnsi="宋体" w:cs="宋体"/>
          <w:color w:val="auto"/>
          <w:kern w:val="0"/>
          <w:szCs w:val="21"/>
        </w:rPr>
      </w:pPr>
      <w:r>
        <w:rPr>
          <w:rFonts w:hint="eastAsia" w:ascii="宋体" w:hAnsi="宋体" w:cs="宋体"/>
          <w:color w:val="auto"/>
          <w:kern w:val="0"/>
          <w:szCs w:val="21"/>
        </w:rPr>
        <w:t>(1)工程开工前，为施工场地内自有人员（包括分包人在内）办理工伤保险、意外伤害保险；</w:t>
      </w:r>
    </w:p>
    <w:p>
      <w:pPr>
        <w:adjustRightInd w:val="0"/>
        <w:snapToGrid w:val="0"/>
        <w:spacing w:line="360" w:lineRule="auto"/>
        <w:ind w:left="1676" w:leftChars="798"/>
        <w:rPr>
          <w:rFonts w:ascii="宋体" w:hAnsi="宋体" w:cs="宋体"/>
          <w:color w:val="auto"/>
          <w:kern w:val="0"/>
          <w:szCs w:val="21"/>
        </w:rPr>
      </w:pPr>
      <w:r>
        <w:rPr>
          <w:rFonts w:hint="eastAsia" w:ascii="宋体" w:hAnsi="宋体" w:cs="宋体"/>
          <w:color w:val="auto"/>
          <w:kern w:val="0"/>
          <w:szCs w:val="21"/>
        </w:rPr>
        <w:t>(2)为施工场地内的自有施工设备、第32.1款第(4)点以外采购进场的材料和工程设备等办理保险。</w:t>
      </w:r>
    </w:p>
    <w:p>
      <w:pPr>
        <w:tabs>
          <w:tab w:val="left" w:pos="1080"/>
        </w:tabs>
        <w:adjustRightInd w:val="0"/>
        <w:snapToGrid w:val="0"/>
        <w:spacing w:line="360" w:lineRule="auto"/>
        <w:ind w:left="1680" w:leftChars="800"/>
        <w:rPr>
          <w:rFonts w:ascii="宋体" w:hAnsi="宋体" w:cs="宋体"/>
          <w:color w:val="auto"/>
          <w:kern w:val="0"/>
          <w:szCs w:val="21"/>
        </w:rPr>
      </w:pPr>
      <w:r>
        <w:rPr>
          <w:rFonts w:hint="eastAsia" w:ascii="宋体" w:hAnsi="宋体" w:cs="宋体"/>
          <w:color w:val="auto"/>
          <w:kern w:val="0"/>
          <w:szCs w:val="21"/>
        </w:rPr>
        <w:t>保险期从开工之日起至工程竣工验收合格之日止。</w:t>
      </w:r>
    </w:p>
    <w:p>
      <w:pPr>
        <w:tabs>
          <w:tab w:val="left" w:pos="1080"/>
        </w:tabs>
        <w:adjustRightInd w:val="0"/>
        <w:snapToGrid w:val="0"/>
        <w:spacing w:line="360" w:lineRule="auto"/>
        <w:rPr>
          <w:rFonts w:ascii="宋体" w:hAnsi="宋体" w:cs="宋体"/>
          <w:b/>
          <w:color w:val="auto"/>
          <w:kern w:val="0"/>
          <w:szCs w:val="21"/>
          <w:u w:val="dotted"/>
        </w:rPr>
      </w:pPr>
      <w:r>
        <w:rPr>
          <w:rFonts w:ascii="宋体" w:hAnsi="宋体" w:cs="宋体"/>
          <w:color w:val="auto"/>
          <w:kern w:val="0"/>
          <w:szCs w:val="21"/>
        </w:rPr>
        <mc:AlternateContent>
          <mc:Choice Requires="wps">
            <w:drawing>
              <wp:anchor distT="0" distB="0" distL="114300" distR="114300" simplePos="0" relativeHeight="251671552" behindDoc="0" locked="0" layoutInCell="1" allowOverlap="1">
                <wp:simplePos x="0" y="0"/>
                <wp:positionH relativeFrom="column">
                  <wp:posOffset>-114300</wp:posOffset>
                </wp:positionH>
                <wp:positionV relativeFrom="paragraph">
                  <wp:posOffset>287020</wp:posOffset>
                </wp:positionV>
                <wp:extent cx="914400" cy="541020"/>
                <wp:effectExtent l="0" t="0" r="0" b="0"/>
                <wp:wrapNone/>
                <wp:docPr id="284" name="文本框 284"/>
                <wp:cNvGraphicFramePr/>
                <a:graphic xmlns:a="http://schemas.openxmlformats.org/drawingml/2006/main">
                  <a:graphicData uri="http://schemas.microsoft.com/office/word/2010/wordprocessingShape">
                    <wps:wsp>
                      <wps:cNvSpPr txBox="1">
                        <a:spLocks noChangeArrowheads="1"/>
                      </wps:cNvSpPr>
                      <wps:spPr bwMode="auto">
                        <a:xfrm>
                          <a:off x="0" y="0"/>
                          <a:ext cx="914400" cy="54102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双方提供保险单和凭证</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2.6pt;height:42.6pt;width:72pt;z-index:251671552;mso-width-relative:page;mso-height-relative:page;" filled="f" stroked="f" coordsize="21600,21600" o:gfxdata="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IskZ3jYAAAACgEAAA8AAAAAAAAAAQAgAAAAIgAAAGRycy9kb3du&#10;cmV2LnhtbFBLAQIUABQAAAAIAIdO4kC2Qba1/wEAANgDAAAOAAAAAAAAAAEAIAAAACcBAABkcnMv&#10;ZTJvRG9jLnhtbFBLBQYAAAAABgAGAFkBAACY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双方提供保险单和凭证</w:t>
                      </w:r>
                    </w:p>
                  </w:txbxContent>
                </v:textbox>
              </v:shape>
            </w:pict>
          </mc:Fallback>
        </mc:AlternateContent>
      </w:r>
      <w:r>
        <w:rPr>
          <w:rFonts w:hint="eastAsia" w:ascii="宋体" w:hAnsi="宋体" w:cs="宋体"/>
          <w:b/>
          <w:color w:val="auto"/>
          <w:kern w:val="0"/>
          <w:szCs w:val="21"/>
        </w:rPr>
        <w:t xml:space="preserve">32.3  </w:t>
      </w:r>
      <w:r>
        <w:rPr>
          <w:rFonts w:hint="eastAsia" w:ascii="宋体" w:hAnsi="宋体" w:cs="宋体"/>
          <w:b/>
          <w:color w:val="auto"/>
          <w:kern w:val="0"/>
          <w:szCs w:val="21"/>
          <w:u w:val="dotted"/>
        </w:rPr>
        <w:t xml:space="preserve">                                                                                                        </w:t>
      </w:r>
    </w:p>
    <w:p>
      <w:pPr>
        <w:adjustRightInd w:val="0"/>
        <w:snapToGrid w:val="0"/>
        <w:spacing w:line="360" w:lineRule="auto"/>
        <w:ind w:left="1619" w:leftChars="771"/>
        <w:rPr>
          <w:rFonts w:ascii="宋体" w:hAnsi="宋体" w:cs="宋体"/>
          <w:color w:val="auto"/>
          <w:kern w:val="0"/>
          <w:szCs w:val="21"/>
        </w:rPr>
      </w:pPr>
      <w:r>
        <w:rPr>
          <w:rFonts w:hint="eastAsia" w:ascii="宋体" w:hAnsi="宋体" w:cs="宋体"/>
          <w:color w:val="auto"/>
          <w:kern w:val="0"/>
          <w:szCs w:val="21"/>
        </w:rPr>
        <w:t>合同一方当事人应按照本合同要求向另一方当事人提供有效的投保保险单和保险凭证。</w:t>
      </w:r>
    </w:p>
    <w:p>
      <w:pPr>
        <w:tabs>
          <w:tab w:val="left" w:pos="1320"/>
        </w:tabs>
        <w:adjustRightInd w:val="0"/>
        <w:snapToGrid w:val="0"/>
        <w:spacing w:line="360" w:lineRule="auto"/>
        <w:rPr>
          <w:rFonts w:ascii="宋体" w:hAnsi="宋体" w:cs="宋体"/>
          <w:b/>
          <w:color w:val="auto"/>
          <w:kern w:val="0"/>
          <w:szCs w:val="21"/>
          <w:u w:val="dotted"/>
        </w:rPr>
      </w:pPr>
      <w:r>
        <w:rPr>
          <w:rFonts w:ascii="宋体" w:hAnsi="宋体" w:cs="宋体"/>
          <w:color w:val="auto"/>
          <w:kern w:val="0"/>
          <w:szCs w:val="21"/>
        </w:rPr>
        <mc:AlternateContent>
          <mc:Choice Requires="wps">
            <w:drawing>
              <wp:anchor distT="0" distB="0" distL="114300" distR="114300" simplePos="0" relativeHeight="251672576" behindDoc="0" locked="0" layoutInCell="1" allowOverlap="1">
                <wp:simplePos x="0" y="0"/>
                <wp:positionH relativeFrom="column">
                  <wp:posOffset>-114300</wp:posOffset>
                </wp:positionH>
                <wp:positionV relativeFrom="paragraph">
                  <wp:posOffset>236855</wp:posOffset>
                </wp:positionV>
                <wp:extent cx="914400" cy="396240"/>
                <wp:effectExtent l="0" t="0" r="0" b="0"/>
                <wp:wrapNone/>
                <wp:docPr id="283" name="文本框 283"/>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pPr>
                              <w:spacing w:line="240" w:lineRule="exact"/>
                              <w:rPr>
                                <w:rFonts w:ascii="宋体" w:hAnsi="宋体"/>
                                <w:sz w:val="18"/>
                                <w:szCs w:val="18"/>
                              </w:rPr>
                            </w:pPr>
                            <w:r>
                              <w:rPr>
                                <w:rFonts w:hint="eastAsia" w:ascii="楷体_GB2312" w:hAnsi="宋体"/>
                                <w:b/>
                                <w:color w:val="000000"/>
                                <w:sz w:val="18"/>
                                <w:szCs w:val="18"/>
                              </w:rPr>
                              <w:t>未按规定投保的补救</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8.65pt;height:31.2pt;width:72pt;z-index:251672576;mso-width-relative:page;mso-height-relative:page;" filled="f" stroked="f" coordsize="21600,21600" o:gfxdata="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cKJDi1wAAAAkBAAAPAAAAAAAAAAEAIAAAACIAAABkcnMvZG93&#10;bnJldi54bWxQSwECFAAUAAAACACHTuJA8xvm/wECAADYAwAADgAAAAAAAAABACAAAAAmAQAAZHJz&#10;L2Uyb0RvYy54bWxQSwUGAAAAAAYABgBZAQAAmQUAAAAA&#10;">
                <v:fill on="f" focussize="0,0"/>
                <v:stroke on="f"/>
                <v:imagedata o:title=""/>
                <o:lock v:ext="edit" aspectratio="f"/>
                <v:textbox>
                  <w:txbxContent>
                    <w:p>
                      <w:pPr>
                        <w:spacing w:line="240" w:lineRule="exact"/>
                        <w:rPr>
                          <w:rFonts w:ascii="宋体" w:hAnsi="宋体"/>
                          <w:sz w:val="18"/>
                          <w:szCs w:val="18"/>
                        </w:rPr>
                      </w:pPr>
                      <w:r>
                        <w:rPr>
                          <w:rFonts w:hint="eastAsia" w:ascii="楷体_GB2312" w:hAnsi="宋体"/>
                          <w:b/>
                          <w:color w:val="000000"/>
                          <w:sz w:val="18"/>
                          <w:szCs w:val="18"/>
                        </w:rPr>
                        <w:t>未按规定投保的补救</w:t>
                      </w:r>
                    </w:p>
                  </w:txbxContent>
                </v:textbox>
              </v:shape>
            </w:pict>
          </mc:Fallback>
        </mc:AlternateContent>
      </w:r>
      <w:r>
        <w:rPr>
          <w:rFonts w:hint="eastAsia" w:ascii="宋体" w:hAnsi="宋体" w:cs="宋体"/>
          <w:b/>
          <w:color w:val="auto"/>
          <w:kern w:val="0"/>
          <w:szCs w:val="21"/>
        </w:rPr>
        <w:t xml:space="preserve">32.4  </w:t>
      </w:r>
      <w:r>
        <w:rPr>
          <w:rFonts w:hint="eastAsia" w:ascii="宋体" w:hAnsi="宋体" w:cs="宋体"/>
          <w:b/>
          <w:color w:val="auto"/>
          <w:kern w:val="0"/>
          <w:szCs w:val="21"/>
          <w:u w:val="dotted"/>
        </w:rPr>
        <w:t xml:space="preserve">                                                                                                        </w:t>
      </w:r>
    </w:p>
    <w:p>
      <w:pPr>
        <w:adjustRightInd w:val="0"/>
        <w:snapToGrid w:val="0"/>
        <w:spacing w:line="360" w:lineRule="auto"/>
        <w:ind w:left="1619" w:leftChars="771"/>
        <w:rPr>
          <w:rFonts w:ascii="宋体" w:hAnsi="宋体" w:cs="宋体"/>
          <w:color w:val="auto"/>
          <w:kern w:val="0"/>
          <w:szCs w:val="21"/>
        </w:rPr>
      </w:pPr>
      <w:r>
        <w:rPr>
          <w:rFonts w:hint="eastAsia" w:ascii="宋体" w:hAnsi="宋体" w:cs="宋体"/>
          <w:color w:val="auto"/>
          <w:kern w:val="0"/>
          <w:szCs w:val="21"/>
        </w:rPr>
        <w:t>合同双方当事人应遵守本条规定办理有关保险事项。如果未按规定投保的，应按下列规定补偿：</w:t>
      </w:r>
    </w:p>
    <w:p>
      <w:pPr>
        <w:adjustRightInd w:val="0"/>
        <w:snapToGrid w:val="0"/>
        <w:spacing w:line="360" w:lineRule="auto"/>
        <w:ind w:left="1617" w:leftChars="770" w:firstLine="1"/>
        <w:rPr>
          <w:rFonts w:ascii="宋体" w:hAnsi="宋体" w:cs="宋体"/>
          <w:color w:val="auto"/>
          <w:kern w:val="0"/>
          <w:szCs w:val="21"/>
        </w:rPr>
      </w:pPr>
      <w:r>
        <w:rPr>
          <w:rFonts w:hint="eastAsia" w:ascii="宋体" w:hAnsi="宋体" w:cs="宋体"/>
          <w:color w:val="auto"/>
          <w:kern w:val="0"/>
          <w:szCs w:val="21"/>
        </w:rPr>
        <w:t>(1)由于负有投保义务的合同一方当事人未按合同约定办理保险，或未能使保险持续有效的，则另一方当事人可代为办理，所需费用由对方当事人承担；</w:t>
      </w:r>
    </w:p>
    <w:p>
      <w:pPr>
        <w:adjustRightInd w:val="0"/>
        <w:snapToGrid w:val="0"/>
        <w:spacing w:line="360" w:lineRule="auto"/>
        <w:ind w:left="1617" w:leftChars="770" w:firstLine="1"/>
        <w:rPr>
          <w:rFonts w:ascii="宋体" w:hAnsi="宋体" w:cs="宋体"/>
          <w:color w:val="auto"/>
          <w:kern w:val="0"/>
          <w:szCs w:val="21"/>
        </w:rPr>
      </w:pPr>
      <w:r>
        <w:rPr>
          <w:rFonts w:hint="eastAsia" w:ascii="宋体" w:hAnsi="宋体" w:cs="宋体"/>
          <w:color w:val="auto"/>
          <w:kern w:val="0"/>
          <w:szCs w:val="21"/>
        </w:rPr>
        <w:t>(2)由于负有投保义务的合同一方当事人未按合同约定办理某项保险，导致受益人未能得到保险人的赔偿，则该项保险金应由负有投保义务的一方当事人支付。</w:t>
      </w:r>
    </w:p>
    <w:p>
      <w:pPr>
        <w:adjustRightInd w:val="0"/>
        <w:snapToGrid w:val="0"/>
        <w:spacing w:line="360" w:lineRule="auto"/>
        <w:rPr>
          <w:rFonts w:ascii="宋体" w:hAnsi="宋体" w:cs="宋体"/>
          <w:color w:val="auto"/>
          <w:kern w:val="0"/>
          <w:szCs w:val="21"/>
          <w:u w:val="dotted"/>
        </w:rPr>
      </w:pPr>
      <w:r>
        <w:rPr>
          <w:rFonts w:ascii="宋体" w:hAnsi="宋体" w:cs="宋体"/>
          <w:color w:val="auto"/>
          <w:kern w:val="0"/>
          <w:szCs w:val="21"/>
        </w:rPr>
        <mc:AlternateContent>
          <mc:Choice Requires="wps">
            <w:drawing>
              <wp:anchor distT="0" distB="0" distL="114300" distR="114300" simplePos="0" relativeHeight="251673600" behindDoc="0" locked="0" layoutInCell="1" allowOverlap="1">
                <wp:simplePos x="0" y="0"/>
                <wp:positionH relativeFrom="column">
                  <wp:posOffset>-114300</wp:posOffset>
                </wp:positionH>
                <wp:positionV relativeFrom="paragraph">
                  <wp:posOffset>292100</wp:posOffset>
                </wp:positionV>
                <wp:extent cx="914400" cy="541020"/>
                <wp:effectExtent l="0" t="0" r="0" b="0"/>
                <wp:wrapNone/>
                <wp:docPr id="282" name="文本框 282"/>
                <wp:cNvGraphicFramePr/>
                <a:graphic xmlns:a="http://schemas.openxmlformats.org/drawingml/2006/main">
                  <a:graphicData uri="http://schemas.microsoft.com/office/word/2010/wordprocessingShape">
                    <wps:wsp>
                      <wps:cNvSpPr txBox="1">
                        <a:spLocks noChangeArrowheads="1"/>
                      </wps:cNvSpPr>
                      <wps:spPr bwMode="auto">
                        <a:xfrm>
                          <a:off x="0" y="0"/>
                          <a:ext cx="914400" cy="54102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发生保险事故双方应尽的责任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3pt;height:42.6pt;width:72pt;z-index:251673600;mso-width-relative:page;mso-height-relative:page;" filled="f" stroked="f" coordsize="21600,21600" o:gfxdata="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xjylF9cAAAAKAQAADwAAAAAAAAABACAAAAAiAAAAZHJzL2Rvd25y&#10;ZXYueG1sUEsBAhQAFAAAAAgAh07iQK6ABq7/AQAA2AMAAA4AAAAAAAAAAQAgAAAAJgEAAGRycy9l&#10;Mm9Eb2MueG1sUEsFBgAAAAAGAAYAWQEAAJcF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发生保险事故双方应尽的责任</w:t>
                      </w:r>
                    </w:p>
                  </w:txbxContent>
                </v:textbox>
              </v:shape>
            </w:pict>
          </mc:Fallback>
        </mc:AlternateContent>
      </w:r>
      <w:r>
        <w:rPr>
          <w:rFonts w:hint="eastAsia" w:ascii="宋体" w:hAnsi="宋体" w:cs="宋体"/>
          <w:b/>
          <w:color w:val="auto"/>
          <w:kern w:val="0"/>
          <w:szCs w:val="21"/>
        </w:rPr>
        <w:t xml:space="preserve">32.5 </w:t>
      </w:r>
      <w:r>
        <w:rPr>
          <w:rFonts w:hint="eastAsia" w:ascii="宋体" w:hAnsi="宋体" w:cs="宋体"/>
          <w:color w:val="auto"/>
          <w:kern w:val="0"/>
          <w:szCs w:val="21"/>
        </w:rPr>
        <w:t xml:space="preserve"> </w:t>
      </w:r>
      <w:r>
        <w:rPr>
          <w:rFonts w:hint="eastAsia" w:ascii="宋体" w:hAnsi="宋体" w:cs="宋体"/>
          <w:color w:val="auto"/>
          <w:kern w:val="0"/>
          <w:szCs w:val="21"/>
          <w:u w:val="dotted"/>
        </w:rPr>
        <w:t xml:space="preserve">                                                                                                        </w:t>
      </w:r>
    </w:p>
    <w:p>
      <w:pPr>
        <w:adjustRightInd w:val="0"/>
        <w:snapToGrid w:val="0"/>
        <w:spacing w:line="360" w:lineRule="auto"/>
        <w:ind w:left="1619" w:leftChars="771"/>
        <w:rPr>
          <w:rFonts w:ascii="宋体" w:hAnsi="宋体" w:cs="宋体"/>
          <w:color w:val="auto"/>
          <w:kern w:val="0"/>
          <w:szCs w:val="21"/>
        </w:rPr>
      </w:pPr>
      <w:r>
        <w:rPr>
          <w:rFonts w:hint="eastAsia" w:ascii="宋体" w:hAnsi="宋体" w:cs="宋体"/>
          <w:color w:val="auto"/>
          <w:kern w:val="0"/>
          <w:szCs w:val="21"/>
        </w:rPr>
        <w:t>当合同工程发生保险事故时,被保险人应及时通知保险人，并提供有关资料。合同双方当事人有责任采取合理有效措施防止或减少损失，并应相互协助做好向保险人的报告和理赔工作。</w:t>
      </w:r>
    </w:p>
    <w:p>
      <w:pPr>
        <w:tabs>
          <w:tab w:val="left" w:pos="1320"/>
          <w:tab w:val="left" w:pos="1620"/>
        </w:tabs>
        <w:adjustRightInd w:val="0"/>
        <w:snapToGrid w:val="0"/>
        <w:spacing w:line="360" w:lineRule="auto"/>
        <w:rPr>
          <w:rFonts w:ascii="宋体" w:hAnsi="宋体" w:cs="宋体"/>
          <w:b/>
          <w:color w:val="auto"/>
          <w:kern w:val="0"/>
          <w:szCs w:val="21"/>
          <w:u w:val="dotted"/>
        </w:rPr>
      </w:pPr>
      <w:r>
        <w:rPr>
          <w:rFonts w:hint="eastAsia" w:ascii="宋体" w:hAnsi="宋体" w:cs="宋体"/>
          <w:b/>
          <w:color w:val="auto"/>
          <w:kern w:val="0"/>
          <w:szCs w:val="21"/>
        </w:rPr>
        <w:t xml:space="preserve">32.6  </w:t>
      </w:r>
      <w:r>
        <w:rPr>
          <w:rFonts w:hint="eastAsia" w:ascii="宋体" w:hAnsi="宋体" w:cs="宋体"/>
          <w:b/>
          <w:color w:val="auto"/>
          <w:kern w:val="0"/>
          <w:szCs w:val="21"/>
          <w:u w:val="dotted"/>
        </w:rPr>
        <w:t xml:space="preserve">                                                                                                        </w:t>
      </w:r>
    </w:p>
    <w:p>
      <w:pPr>
        <w:adjustRightInd w:val="0"/>
        <w:snapToGrid w:val="0"/>
        <w:spacing w:line="360" w:lineRule="auto"/>
        <w:ind w:left="1619" w:leftChars="771"/>
        <w:rPr>
          <w:rFonts w:ascii="宋体" w:hAnsi="宋体" w:cs="宋体"/>
          <w:color w:val="auto"/>
          <w:kern w:val="0"/>
          <w:szCs w:val="21"/>
        </w:rPr>
      </w:pPr>
      <w:r>
        <w:rPr>
          <w:rFonts w:ascii="宋体" w:hAnsi="宋体" w:cs="宋体"/>
          <w:color w:val="auto"/>
          <w:kern w:val="0"/>
          <w:szCs w:val="21"/>
        </w:rPr>
        <mc:AlternateContent>
          <mc:Choice Requires="wps">
            <w:drawing>
              <wp:anchor distT="0" distB="0" distL="114300" distR="114300" simplePos="0" relativeHeight="251674624" behindDoc="0" locked="0" layoutInCell="1" allowOverlap="1">
                <wp:simplePos x="0" y="0"/>
                <wp:positionH relativeFrom="column">
                  <wp:posOffset>-114300</wp:posOffset>
                </wp:positionH>
                <wp:positionV relativeFrom="paragraph">
                  <wp:posOffset>0</wp:posOffset>
                </wp:positionV>
                <wp:extent cx="914400" cy="552450"/>
                <wp:effectExtent l="0" t="0" r="0" b="0"/>
                <wp:wrapNone/>
                <wp:docPr id="281" name="文本框 281"/>
                <wp:cNvGraphicFramePr/>
                <a:graphic xmlns:a="http://schemas.openxmlformats.org/drawingml/2006/main">
                  <a:graphicData uri="http://schemas.microsoft.com/office/word/2010/wordprocessingShape">
                    <wps:wsp>
                      <wps:cNvSpPr txBox="1">
                        <a:spLocks noChangeArrowheads="1"/>
                      </wps:cNvSpPr>
                      <wps:spPr bwMode="auto">
                        <a:xfrm>
                          <a:off x="0" y="0"/>
                          <a:ext cx="914400" cy="55245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工程变更被保险人应尽的责任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43.5pt;width:72pt;z-index:251674624;mso-width-relative:page;mso-height-relative:page;" filled="f" stroked="f" coordsize="21600,21600" o:gfxdata="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J9EAn7UAAAABwEAAA8AAAAAAAAAAQAgAAAAIgAAAGRycy9kb3ducmV2&#10;LnhtbFBLAQIUABQAAAAIAIdO4kDkVj+xAAIAANgDAAAOAAAAAAAAAAEAIAAAACMBAABkcnMvZTJv&#10;RG9jLnhtbFBLBQYAAAAABgAGAFkBAACV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工程变更被保险人应尽的责任</w:t>
                      </w:r>
                    </w:p>
                  </w:txbxContent>
                </v:textbox>
              </v:shape>
            </w:pict>
          </mc:Fallback>
        </mc:AlternateContent>
      </w:r>
      <w:r>
        <w:rPr>
          <w:rFonts w:hint="eastAsia" w:ascii="宋体" w:hAnsi="宋体" w:cs="宋体"/>
          <w:color w:val="auto"/>
          <w:kern w:val="0"/>
          <w:szCs w:val="21"/>
        </w:rPr>
        <w:t>当合同工程的性质、规模或计划发生变更时，被保险人应及时通知保险人，并在合同履行期间按照本条规定保证足够的保险额，由此造成的费用由责任方承担。</w:t>
      </w:r>
    </w:p>
    <w:p>
      <w:pPr>
        <w:tabs>
          <w:tab w:val="left" w:pos="1320"/>
        </w:tabs>
        <w:adjustRightInd w:val="0"/>
        <w:snapToGrid w:val="0"/>
        <w:spacing w:line="360" w:lineRule="auto"/>
        <w:rPr>
          <w:rFonts w:ascii="宋体" w:hAnsi="宋体" w:cs="宋体"/>
          <w:b/>
          <w:color w:val="auto"/>
          <w:kern w:val="0"/>
          <w:szCs w:val="21"/>
          <w:u w:val="dotted"/>
        </w:rPr>
      </w:pPr>
      <w:r>
        <w:rPr>
          <w:rFonts w:hint="eastAsia" w:ascii="宋体" w:hAnsi="宋体" w:cs="宋体"/>
          <w:b/>
          <w:color w:val="auto"/>
          <w:kern w:val="0"/>
          <w:szCs w:val="21"/>
        </w:rPr>
        <w:t xml:space="preserve">32.7  </w:t>
      </w:r>
      <w:r>
        <w:rPr>
          <w:rFonts w:hint="eastAsia" w:ascii="宋体" w:hAnsi="宋体" w:cs="宋体"/>
          <w:b/>
          <w:color w:val="auto"/>
          <w:kern w:val="0"/>
          <w:szCs w:val="21"/>
          <w:u w:val="dotted"/>
        </w:rPr>
        <w:t xml:space="preserve">                                                                                                        </w:t>
      </w:r>
    </w:p>
    <w:p>
      <w:pPr>
        <w:tabs>
          <w:tab w:val="left" w:pos="1320"/>
        </w:tabs>
        <w:adjustRightInd w:val="0"/>
        <w:snapToGrid w:val="0"/>
        <w:spacing w:line="360" w:lineRule="auto"/>
        <w:ind w:left="1575" w:leftChars="750"/>
        <w:rPr>
          <w:rFonts w:ascii="宋体" w:hAnsi="宋体" w:cs="宋体"/>
          <w:b/>
          <w:color w:val="auto"/>
          <w:kern w:val="0"/>
          <w:szCs w:val="21"/>
        </w:rPr>
      </w:pPr>
      <w:r>
        <w:rPr>
          <w:rFonts w:ascii="宋体" w:hAnsi="宋体" w:cs="宋体"/>
          <w:color w:val="auto"/>
          <w:kern w:val="0"/>
          <w:szCs w:val="21"/>
        </w:rPr>
        <mc:AlternateContent>
          <mc:Choice Requires="wps">
            <w:drawing>
              <wp:anchor distT="0" distB="0" distL="114300" distR="114300" simplePos="0" relativeHeight="251675648" behindDoc="0" locked="0" layoutInCell="1" allowOverlap="1">
                <wp:simplePos x="0" y="0"/>
                <wp:positionH relativeFrom="column">
                  <wp:posOffset>-66675</wp:posOffset>
                </wp:positionH>
                <wp:positionV relativeFrom="paragraph">
                  <wp:posOffset>13970</wp:posOffset>
                </wp:positionV>
                <wp:extent cx="914400" cy="425450"/>
                <wp:effectExtent l="0" t="0" r="0" b="0"/>
                <wp:wrapNone/>
                <wp:docPr id="280" name="文本框 280"/>
                <wp:cNvGraphicFramePr/>
                <a:graphic xmlns:a="http://schemas.openxmlformats.org/drawingml/2006/main">
                  <a:graphicData uri="http://schemas.microsoft.com/office/word/2010/wordprocessingShape">
                    <wps:wsp>
                      <wps:cNvSpPr txBox="1">
                        <a:spLocks noChangeArrowheads="1"/>
                      </wps:cNvSpPr>
                      <wps:spPr bwMode="auto">
                        <a:xfrm>
                          <a:off x="0" y="0"/>
                          <a:ext cx="914400" cy="42545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保险赔偿金的用途</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25pt;margin-top:1.1pt;height:33.5pt;width:72pt;z-index:251675648;mso-width-relative:page;mso-height-relative:page;" filled="f" stroked="f" coordsize="21600,21600" o:gfxdata="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Kk/U1HVAAAACAEAAA8AAAAAAAAAAQAgAAAAIgAAAGRycy9kb3ducmV2&#10;LnhtbFBLAQIUABQAAAAIAIdO4kDBmEPd/wEAANgDAAAOAAAAAAAAAAEAIAAAACQBAABkcnMvZTJv&#10;RG9jLnhtbFBLBQYAAAAABgAGAFkBAACV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保险赔偿金的用途</w:t>
                      </w:r>
                    </w:p>
                  </w:txbxContent>
                </v:textbox>
              </v:shape>
            </w:pict>
          </mc:Fallback>
        </mc:AlternateContent>
      </w:r>
      <w:r>
        <w:rPr>
          <w:rFonts w:hint="eastAsia" w:ascii="宋体" w:hAnsi="宋体" w:cs="宋体"/>
          <w:color w:val="auto"/>
          <w:kern w:val="0"/>
          <w:szCs w:val="21"/>
        </w:rPr>
        <w:t>从保险人收到的因合同工程本身损失或损坏的保险金,应专项用于修复合同工程的损失或损坏，或作为对未能修复合同工程这些损失或损坏的补偿。</w:t>
      </w:r>
    </w:p>
    <w:p>
      <w:pPr>
        <w:tabs>
          <w:tab w:val="left" w:pos="1320"/>
        </w:tabs>
        <w:adjustRightInd w:val="0"/>
        <w:snapToGrid w:val="0"/>
        <w:spacing w:line="360" w:lineRule="auto"/>
        <w:rPr>
          <w:rFonts w:ascii="宋体" w:hAnsi="宋体" w:cs="宋体"/>
          <w:b/>
          <w:color w:val="auto"/>
          <w:kern w:val="0"/>
          <w:szCs w:val="21"/>
          <w:u w:val="dotted"/>
        </w:rPr>
      </w:pPr>
      <w:r>
        <w:rPr>
          <w:rFonts w:ascii="宋体" w:hAnsi="宋体" w:cs="宋体"/>
          <w:color w:val="auto"/>
          <w:kern w:val="0"/>
          <w:szCs w:val="21"/>
        </w:rPr>
        <mc:AlternateContent>
          <mc:Choice Requires="wps">
            <w:drawing>
              <wp:anchor distT="0" distB="0" distL="114300" distR="114300" simplePos="0" relativeHeight="251676672" behindDoc="0" locked="0" layoutInCell="1" allowOverlap="1">
                <wp:simplePos x="0" y="0"/>
                <wp:positionH relativeFrom="column">
                  <wp:posOffset>-114300</wp:posOffset>
                </wp:positionH>
                <wp:positionV relativeFrom="paragraph">
                  <wp:posOffset>227330</wp:posOffset>
                </wp:positionV>
                <wp:extent cx="914400" cy="407035"/>
                <wp:effectExtent l="0" t="0" r="0" b="0"/>
                <wp:wrapNone/>
                <wp:docPr id="279" name="文本框 279"/>
                <wp:cNvGraphicFramePr/>
                <a:graphic xmlns:a="http://schemas.openxmlformats.org/drawingml/2006/main">
                  <a:graphicData uri="http://schemas.microsoft.com/office/word/2010/wordprocessingShape">
                    <wps:wsp>
                      <wps:cNvSpPr txBox="1">
                        <a:spLocks noChangeArrowheads="1"/>
                      </wps:cNvSpPr>
                      <wps:spPr bwMode="auto">
                        <a:xfrm>
                          <a:off x="0" y="0"/>
                          <a:ext cx="914400" cy="407035"/>
                        </a:xfrm>
                        <a:prstGeom prst="rect">
                          <a:avLst/>
                        </a:prstGeom>
                        <a:noFill/>
                        <a:ln>
                          <a:noFill/>
                        </a:ln>
                        <a:effectLst/>
                      </wps:spPr>
                      <wps:txbx>
                        <w:txbxContent>
                          <w:p>
                            <w:pPr>
                              <w:spacing w:line="240" w:lineRule="exact"/>
                              <w:rPr>
                                <w:rFonts w:ascii="宋体" w:hAnsi="宋体"/>
                                <w:sz w:val="18"/>
                                <w:szCs w:val="18"/>
                              </w:rPr>
                            </w:pPr>
                            <w:r>
                              <w:rPr>
                                <w:rFonts w:hint="eastAsia" w:ascii="楷体_GB2312" w:hAnsi="宋体"/>
                                <w:b/>
                                <w:color w:val="000000"/>
                                <w:sz w:val="18"/>
                                <w:szCs w:val="18"/>
                              </w:rPr>
                              <w:t>约定投保事项</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7.9pt;height:32.05pt;width:72pt;z-index:251676672;mso-width-relative:page;mso-height-relative:page;" filled="f" stroked="f" coordsize="21600,21600" o:gfxdata="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Zdw8uNYAAAAJAQAADwAAAAAAAAABACAAAAAiAAAAZHJzL2Rvd25y&#10;ZXYueG1sUEsBAhQAFAAAAAgAh07iQJ4JbiUAAgAA2AMAAA4AAAAAAAAAAQAgAAAAJQEAAGRycy9l&#10;Mm9Eb2MueG1sUEsFBgAAAAAGAAYAWQEAAJcFAAAAAA==&#10;">
                <v:fill on="f" focussize="0,0"/>
                <v:stroke on="f"/>
                <v:imagedata o:title=""/>
                <o:lock v:ext="edit" aspectratio="f"/>
                <v:textbox>
                  <w:txbxContent>
                    <w:p>
                      <w:pPr>
                        <w:spacing w:line="240" w:lineRule="exact"/>
                        <w:rPr>
                          <w:rFonts w:ascii="宋体" w:hAnsi="宋体"/>
                          <w:sz w:val="18"/>
                          <w:szCs w:val="18"/>
                        </w:rPr>
                      </w:pPr>
                      <w:r>
                        <w:rPr>
                          <w:rFonts w:hint="eastAsia" w:ascii="楷体_GB2312" w:hAnsi="宋体"/>
                          <w:b/>
                          <w:color w:val="000000"/>
                          <w:sz w:val="18"/>
                          <w:szCs w:val="18"/>
                        </w:rPr>
                        <w:t>约定投保事项</w:t>
                      </w:r>
                    </w:p>
                  </w:txbxContent>
                </v:textbox>
              </v:shape>
            </w:pict>
          </mc:Fallback>
        </mc:AlternateContent>
      </w:r>
      <w:r>
        <w:rPr>
          <w:rFonts w:hint="eastAsia" w:ascii="宋体" w:hAnsi="宋体" w:cs="宋体"/>
          <w:b/>
          <w:color w:val="auto"/>
          <w:kern w:val="0"/>
          <w:szCs w:val="21"/>
        </w:rPr>
        <w:t xml:space="preserve">32.8  </w:t>
      </w:r>
      <w:r>
        <w:rPr>
          <w:rFonts w:hint="eastAsia" w:ascii="宋体" w:hAnsi="宋体" w:cs="宋体"/>
          <w:b/>
          <w:color w:val="auto"/>
          <w:kern w:val="0"/>
          <w:szCs w:val="21"/>
          <w:u w:val="dotted"/>
        </w:rPr>
        <w:t xml:space="preserve">                                                                                                        </w:t>
      </w:r>
    </w:p>
    <w:p>
      <w:pPr>
        <w:adjustRightInd w:val="0"/>
        <w:snapToGrid w:val="0"/>
        <w:spacing w:line="360" w:lineRule="auto"/>
        <w:ind w:left="1619" w:leftChars="771"/>
        <w:rPr>
          <w:rFonts w:ascii="宋体" w:hAnsi="宋体" w:cs="宋体"/>
          <w:color w:val="auto"/>
          <w:kern w:val="0"/>
          <w:szCs w:val="21"/>
        </w:rPr>
      </w:pPr>
      <w:r>
        <w:rPr>
          <w:rFonts w:hint="eastAsia" w:ascii="宋体" w:hAnsi="宋体" w:cs="宋体"/>
          <w:color w:val="auto"/>
          <w:kern w:val="0"/>
          <w:szCs w:val="21"/>
        </w:rPr>
        <w:t>具体投保内容、保险金、保险期限及相关责任等事项，合同双方当事人应在专用条款中约定。</w:t>
      </w:r>
    </w:p>
    <w:p>
      <w:pPr>
        <w:adjustRightInd w:val="0"/>
        <w:snapToGrid w:val="0"/>
        <w:spacing w:line="360" w:lineRule="auto"/>
        <w:ind w:right="-238"/>
        <w:outlineLvl w:val="1"/>
        <w:rPr>
          <w:rFonts w:ascii="宋体" w:hAnsi="宋体" w:cs="宋体"/>
          <w:b/>
          <w:bCs/>
          <w:color w:val="auto"/>
          <w:kern w:val="0"/>
          <w:sz w:val="32"/>
          <w:szCs w:val="28"/>
        </w:rPr>
      </w:pPr>
      <w:r>
        <w:rPr>
          <w:rFonts w:hint="eastAsia" w:ascii="宋体" w:hAnsi="宋体" w:cs="宋体"/>
          <w:b/>
          <w:bCs/>
          <w:color w:val="auto"/>
          <w:kern w:val="0"/>
          <w:szCs w:val="21"/>
          <w:u w:val="single"/>
        </w:rPr>
        <w:t xml:space="preserve">                                                                                       </w:t>
      </w:r>
      <w:r>
        <w:rPr>
          <w:rFonts w:hint="eastAsia" w:ascii="宋体" w:hAnsi="宋体" w:cs="宋体"/>
          <w:b/>
          <w:bCs/>
          <w:color w:val="auto"/>
          <w:kern w:val="0"/>
          <w:sz w:val="24"/>
          <w:szCs w:val="18"/>
          <w:u w:val="single"/>
        </w:rPr>
        <w:t xml:space="preserve">                       </w:t>
      </w:r>
    </w:p>
    <w:p>
      <w:pPr>
        <w:adjustRightInd w:val="0"/>
        <w:snapToGrid w:val="0"/>
        <w:spacing w:line="360" w:lineRule="auto"/>
        <w:ind w:right="-238"/>
        <w:jc w:val="center"/>
        <w:outlineLvl w:val="1"/>
        <w:rPr>
          <w:rFonts w:ascii="宋体" w:hAnsi="宋体" w:cs="宋体"/>
          <w:b/>
          <w:bCs/>
          <w:color w:val="auto"/>
          <w:kern w:val="0"/>
          <w:sz w:val="32"/>
          <w:szCs w:val="28"/>
        </w:rPr>
      </w:pPr>
      <w:r>
        <w:rPr>
          <w:rFonts w:hint="eastAsia" w:ascii="宋体" w:hAnsi="宋体" w:cs="宋体"/>
          <w:b/>
          <w:bCs/>
          <w:color w:val="auto"/>
          <w:kern w:val="0"/>
          <w:sz w:val="32"/>
          <w:szCs w:val="28"/>
        </w:rPr>
        <w:t>四、工  期</w:t>
      </w:r>
    </w:p>
    <w:p>
      <w:pPr>
        <w:adjustRightInd w:val="0"/>
        <w:snapToGrid w:val="0"/>
        <w:spacing w:line="360" w:lineRule="auto"/>
        <w:ind w:right="-238"/>
        <w:jc w:val="center"/>
        <w:outlineLvl w:val="1"/>
        <w:rPr>
          <w:rFonts w:ascii="宋体" w:hAnsi="宋体" w:cs="宋体"/>
          <w:b/>
          <w:bCs/>
          <w:color w:val="auto"/>
          <w:kern w:val="0"/>
          <w:sz w:val="32"/>
          <w:szCs w:val="28"/>
        </w:rPr>
      </w:pPr>
    </w:p>
    <w:p>
      <w:pPr>
        <w:tabs>
          <w:tab w:val="left" w:pos="540"/>
        </w:tabs>
        <w:adjustRightInd w:val="0"/>
        <w:snapToGrid w:val="0"/>
        <w:spacing w:beforeLines="100" w:line="360" w:lineRule="auto"/>
        <w:ind w:right="-238"/>
        <w:rPr>
          <w:rFonts w:ascii="宋体" w:hAnsi="宋体" w:cs="宋体"/>
          <w:b/>
          <w:color w:val="auto"/>
          <w:kern w:val="0"/>
          <w:szCs w:val="21"/>
        </w:rPr>
      </w:pPr>
      <w:r>
        <w:rPr>
          <w:rFonts w:hint="eastAsia" w:ascii="宋体" w:hAnsi="宋体" w:cs="宋体"/>
          <w:b/>
          <w:color w:val="auto"/>
          <w:kern w:val="0"/>
          <w:szCs w:val="21"/>
        </w:rPr>
        <w:t>33  进度计划和报告</w:t>
      </w:r>
    </w:p>
    <w:p>
      <w:pPr>
        <w:tabs>
          <w:tab w:val="left" w:pos="1620"/>
        </w:tabs>
        <w:adjustRightInd w:val="0"/>
        <w:snapToGrid w:val="0"/>
        <w:spacing w:line="360" w:lineRule="auto"/>
        <w:rPr>
          <w:rFonts w:ascii="宋体" w:hAnsi="宋体" w:cs="宋体"/>
          <w:b/>
          <w:color w:val="auto"/>
          <w:kern w:val="0"/>
          <w:szCs w:val="21"/>
        </w:rPr>
      </w:pPr>
      <w:r>
        <w:rPr>
          <w:rFonts w:ascii="宋体" w:hAnsi="宋体" w:cs="宋体"/>
          <w:color w:val="auto"/>
          <w:kern w:val="0"/>
          <w:szCs w:val="21"/>
        </w:rPr>
        <mc:AlternateContent>
          <mc:Choice Requires="wps">
            <w:drawing>
              <wp:anchor distT="0" distB="0" distL="114300" distR="114300" simplePos="0" relativeHeight="251677696" behindDoc="0" locked="0" layoutInCell="1" allowOverlap="1">
                <wp:simplePos x="0" y="0"/>
                <wp:positionH relativeFrom="column">
                  <wp:posOffset>-114300</wp:posOffset>
                </wp:positionH>
                <wp:positionV relativeFrom="paragraph">
                  <wp:posOffset>283845</wp:posOffset>
                </wp:positionV>
                <wp:extent cx="914400" cy="412750"/>
                <wp:effectExtent l="0" t="0" r="0" b="0"/>
                <wp:wrapNone/>
                <wp:docPr id="278" name="文本框 278"/>
                <wp:cNvGraphicFramePr/>
                <a:graphic xmlns:a="http://schemas.openxmlformats.org/drawingml/2006/main">
                  <a:graphicData uri="http://schemas.microsoft.com/office/word/2010/wordprocessingShape">
                    <wps:wsp>
                      <wps:cNvSpPr txBox="1">
                        <a:spLocks noChangeArrowheads="1"/>
                      </wps:cNvSpPr>
                      <wps:spPr bwMode="auto">
                        <a:xfrm>
                          <a:off x="0" y="0"/>
                          <a:ext cx="914400" cy="412750"/>
                        </a:xfrm>
                        <a:prstGeom prst="rect">
                          <a:avLst/>
                        </a:prstGeom>
                        <a:noFill/>
                        <a:ln>
                          <a:noFill/>
                        </a:ln>
                        <a:effectLst/>
                      </wps:spPr>
                      <wps:txbx>
                        <w:txbxContent>
                          <w:p>
                            <w:pPr>
                              <w:spacing w:line="240" w:lineRule="exact"/>
                              <w:rPr>
                                <w:rFonts w:ascii="楷体_GB2312" w:hAnsi="宋体"/>
                                <w:sz w:val="18"/>
                                <w:szCs w:val="18"/>
                              </w:rPr>
                            </w:pPr>
                            <w:r>
                              <w:rPr>
                                <w:rFonts w:hint="eastAsia" w:ascii="楷体_GB2312" w:hAnsi="宋体"/>
                                <w:b/>
                                <w:color w:val="000000"/>
                                <w:sz w:val="18"/>
                                <w:szCs w:val="18"/>
                              </w:rPr>
                              <w:t>提交工程进度计划</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2.35pt;height:32.5pt;width:72pt;z-index:251677696;mso-width-relative:page;mso-height-relative:page;" filled="f" stroked="f" coordsize="21600,21600" o:gfxdata="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3cbg72AAAAAoBAAAPAAAAAAAAAAEAIAAAACIAAABkcnMvZG93&#10;bnJldi54bWxQSwECFAAUAAAACACHTuJA0p98TgACAADYAwAADgAAAAAAAAABACAAAAAnAQAAZHJz&#10;L2Uyb0RvYy54bWxQSwUGAAAAAAYABgBZAQAAmQUAAAAA&#10;">
                <v:fill on="f" focussize="0,0"/>
                <v:stroke on="f"/>
                <v:imagedata o:title=""/>
                <o:lock v:ext="edit" aspectratio="f"/>
                <v:textbox>
                  <w:txbxContent>
                    <w:p>
                      <w:pPr>
                        <w:spacing w:line="240" w:lineRule="exact"/>
                        <w:rPr>
                          <w:rFonts w:ascii="楷体_GB2312" w:hAnsi="宋体"/>
                          <w:sz w:val="18"/>
                          <w:szCs w:val="18"/>
                        </w:rPr>
                      </w:pPr>
                      <w:r>
                        <w:rPr>
                          <w:rFonts w:hint="eastAsia" w:ascii="楷体_GB2312" w:hAnsi="宋体"/>
                          <w:b/>
                          <w:color w:val="000000"/>
                          <w:sz w:val="18"/>
                          <w:szCs w:val="18"/>
                        </w:rPr>
                        <w:t>提交工程进度计划</w:t>
                      </w:r>
                    </w:p>
                  </w:txbxContent>
                </v:textbox>
              </v:shape>
            </w:pict>
          </mc:Fallback>
        </mc:AlternateContent>
      </w:r>
      <w:r>
        <w:rPr>
          <w:rFonts w:hint="eastAsia" w:ascii="宋体" w:hAnsi="宋体" w:cs="宋体"/>
          <w:b/>
          <w:color w:val="auto"/>
          <w:kern w:val="0"/>
          <w:szCs w:val="21"/>
        </w:rPr>
        <w:t xml:space="preserve">33.1      </w:t>
      </w:r>
    </w:p>
    <w:p>
      <w:pPr>
        <w:adjustRightInd w:val="0"/>
        <w:snapToGrid w:val="0"/>
        <w:spacing w:line="360" w:lineRule="auto"/>
        <w:ind w:left="1619" w:leftChars="771"/>
        <w:rPr>
          <w:rFonts w:ascii="宋体" w:hAnsi="宋体" w:cs="宋体"/>
          <w:color w:val="auto"/>
          <w:kern w:val="0"/>
          <w:szCs w:val="21"/>
        </w:rPr>
      </w:pPr>
      <w:r>
        <w:rPr>
          <w:rFonts w:hint="eastAsia" w:ascii="宋体" w:hAnsi="宋体" w:cs="宋体"/>
          <w:color w:val="auto"/>
          <w:kern w:val="0"/>
          <w:szCs w:val="21"/>
        </w:rPr>
        <w:t>承包人应在签订本合同后的31天内，向监理工程师提交一式两份施工组织设计和合同工程进度计划。经发包人批准后，监理工程师应在收到该设计和计划后的7天内予以确认或提出修改意见，逾期不确认也不提出书面意见的，视为同意。工程进度计划，应对合同工程的全部施工作业提出总体上的施工方法、施工安排、作业顺序和时间表。合同约定有单位工程的，承包人还应编制单位工程进度计划。</w:t>
      </w:r>
    </w:p>
    <w:p>
      <w:pPr>
        <w:tabs>
          <w:tab w:val="left" w:pos="1620"/>
        </w:tabs>
        <w:adjustRightInd w:val="0"/>
        <w:snapToGrid w:val="0"/>
        <w:spacing w:line="360" w:lineRule="auto"/>
        <w:rPr>
          <w:rFonts w:ascii="宋体" w:hAnsi="宋体" w:cs="宋体"/>
          <w:b/>
          <w:color w:val="auto"/>
          <w:kern w:val="0"/>
          <w:szCs w:val="21"/>
          <w:u w:val="dotted"/>
        </w:rPr>
      </w:pPr>
      <w:r>
        <w:rPr>
          <w:rFonts w:ascii="宋体" w:hAnsi="宋体" w:cs="宋体"/>
          <w:color w:val="auto"/>
          <w:kern w:val="0"/>
          <w:szCs w:val="21"/>
        </w:rPr>
        <mc:AlternateContent>
          <mc:Choice Requires="wps">
            <w:drawing>
              <wp:anchor distT="0" distB="0" distL="114300" distR="114300" simplePos="0" relativeHeight="251678720" behindDoc="0" locked="0" layoutInCell="1" allowOverlap="1">
                <wp:simplePos x="0" y="0"/>
                <wp:positionH relativeFrom="column">
                  <wp:posOffset>-114300</wp:posOffset>
                </wp:positionH>
                <wp:positionV relativeFrom="paragraph">
                  <wp:posOffset>281305</wp:posOffset>
                </wp:positionV>
                <wp:extent cx="914400" cy="471805"/>
                <wp:effectExtent l="0" t="0" r="0" b="0"/>
                <wp:wrapNone/>
                <wp:docPr id="277" name="文本框 277"/>
                <wp:cNvGraphicFramePr/>
                <a:graphic xmlns:a="http://schemas.openxmlformats.org/drawingml/2006/main">
                  <a:graphicData uri="http://schemas.microsoft.com/office/word/2010/wordprocessingShape">
                    <wps:wsp>
                      <wps:cNvSpPr txBox="1">
                        <a:spLocks noChangeArrowheads="1"/>
                      </wps:cNvSpPr>
                      <wps:spPr bwMode="auto">
                        <a:xfrm>
                          <a:off x="0" y="0"/>
                          <a:ext cx="914400" cy="47180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工程进度的监督和检查</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2.15pt;height:37.15pt;width:72pt;z-index:251678720;mso-width-relative:page;mso-height-relative:page;" filled="f" stroked="f" coordsize="21600,21600" o:gfxdata="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EgftHjXAAAACgEAAA8AAAAAAAAAAQAgAAAAIgAAAGRycy9kb3du&#10;cmV2LnhtbFBLAQIUABQAAAAIAIdO4kDvz1HCAAIAANgDAAAOAAAAAAAAAAEAIAAAACYBAABkcnMv&#10;ZTJvRG9jLnhtbFBLBQYAAAAABgAGAFkBAACY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工程进度的监督和检查</w:t>
                      </w:r>
                    </w:p>
                  </w:txbxContent>
                </v:textbox>
              </v:shape>
            </w:pict>
          </mc:Fallback>
        </mc:AlternateContent>
      </w:r>
      <w:r>
        <w:rPr>
          <w:rFonts w:hint="eastAsia" w:ascii="宋体" w:hAnsi="宋体" w:cs="宋体"/>
          <w:b/>
          <w:color w:val="auto"/>
          <w:kern w:val="0"/>
          <w:szCs w:val="21"/>
        </w:rPr>
        <w:t xml:space="preserve">33.2  </w:t>
      </w:r>
      <w:r>
        <w:rPr>
          <w:rFonts w:hint="eastAsia" w:ascii="宋体" w:hAnsi="宋体" w:cs="宋体"/>
          <w:b/>
          <w:color w:val="auto"/>
          <w:kern w:val="0"/>
          <w:szCs w:val="21"/>
          <w:u w:val="dotted"/>
        </w:rPr>
        <w:t xml:space="preserve">                                                                                                        </w:t>
      </w:r>
    </w:p>
    <w:p>
      <w:pPr>
        <w:adjustRightInd w:val="0"/>
        <w:snapToGrid w:val="0"/>
        <w:spacing w:line="360" w:lineRule="auto"/>
        <w:ind w:left="1619" w:leftChars="771"/>
        <w:rPr>
          <w:rFonts w:ascii="宋体" w:hAnsi="宋体" w:cs="宋体"/>
          <w:color w:val="auto"/>
          <w:kern w:val="0"/>
          <w:szCs w:val="21"/>
        </w:rPr>
      </w:pPr>
      <w:r>
        <w:rPr>
          <w:rFonts w:hint="eastAsia" w:ascii="宋体" w:hAnsi="宋体" w:cs="宋体"/>
          <w:color w:val="auto"/>
          <w:kern w:val="0"/>
          <w:szCs w:val="21"/>
        </w:rPr>
        <w:t>承包人应按照经监理工程师确认并由其报发包人批准的进度计划组织施工，接受监理工程师对工程进度的监督和检查。</w:t>
      </w:r>
    </w:p>
    <w:p>
      <w:pPr>
        <w:tabs>
          <w:tab w:val="left" w:pos="1620"/>
        </w:tabs>
        <w:adjustRightInd w:val="0"/>
        <w:snapToGrid w:val="0"/>
        <w:spacing w:line="360" w:lineRule="auto"/>
        <w:rPr>
          <w:rFonts w:ascii="宋体" w:hAnsi="宋体" w:cs="宋体"/>
          <w:b/>
          <w:color w:val="auto"/>
          <w:kern w:val="0"/>
          <w:szCs w:val="21"/>
          <w:u w:val="dotted"/>
        </w:rPr>
      </w:pPr>
      <w:r>
        <w:rPr>
          <w:rFonts w:ascii="宋体" w:hAnsi="宋体" w:cs="宋体"/>
          <w:color w:val="auto"/>
          <w:kern w:val="0"/>
          <w:szCs w:val="21"/>
        </w:rPr>
        <mc:AlternateContent>
          <mc:Choice Requires="wps">
            <w:drawing>
              <wp:anchor distT="0" distB="0" distL="114300" distR="114300" simplePos="0" relativeHeight="251679744" behindDoc="0" locked="0" layoutInCell="1" allowOverlap="1">
                <wp:simplePos x="0" y="0"/>
                <wp:positionH relativeFrom="column">
                  <wp:posOffset>-114300</wp:posOffset>
                </wp:positionH>
                <wp:positionV relativeFrom="paragraph">
                  <wp:posOffset>265430</wp:posOffset>
                </wp:positionV>
                <wp:extent cx="914400" cy="555625"/>
                <wp:effectExtent l="0" t="0" r="0" b="0"/>
                <wp:wrapNone/>
                <wp:docPr id="276" name="文本框 276"/>
                <wp:cNvGraphicFramePr/>
                <a:graphic xmlns:a="http://schemas.openxmlformats.org/drawingml/2006/main">
                  <a:graphicData uri="http://schemas.microsoft.com/office/word/2010/wordprocessingShape">
                    <wps:wsp>
                      <wps:cNvSpPr txBox="1">
                        <a:spLocks noChangeArrowheads="1"/>
                      </wps:cNvSpPr>
                      <wps:spPr bwMode="auto">
                        <a:xfrm>
                          <a:off x="0" y="0"/>
                          <a:ext cx="914400" cy="55562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提交施工进度报告和修订进度计划</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0.9pt;height:43.75pt;width:72pt;z-index:251679744;mso-width-relative:page;mso-height-relative:page;" filled="f" stroked="f" coordsize="21600,21600" o:gfxdata="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OC5uAjXAAAACgEAAA8AAAAAAAAAAQAgAAAAIgAAAGRycy9kb3du&#10;cmV2LnhtbFBLAQIUABQAAAAIAIdO4kCKZITmAAIAANgDAAAOAAAAAAAAAAEAIAAAACYBAABkcnMv&#10;ZTJvRG9jLnhtbFBLBQYAAAAABgAGAFkBAACY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提交施工进度报告和修订进度计划</w:t>
                      </w:r>
                    </w:p>
                  </w:txbxContent>
                </v:textbox>
              </v:shape>
            </w:pict>
          </mc:Fallback>
        </mc:AlternateContent>
      </w:r>
      <w:r>
        <w:rPr>
          <w:rFonts w:hint="eastAsia" w:ascii="宋体" w:hAnsi="宋体" w:cs="宋体"/>
          <w:b/>
          <w:color w:val="auto"/>
          <w:kern w:val="0"/>
          <w:szCs w:val="21"/>
        </w:rPr>
        <w:t xml:space="preserve">33.3  </w:t>
      </w:r>
      <w:r>
        <w:rPr>
          <w:rFonts w:hint="eastAsia" w:ascii="宋体" w:hAnsi="宋体" w:cs="宋体"/>
          <w:b/>
          <w:color w:val="auto"/>
          <w:kern w:val="0"/>
          <w:szCs w:val="21"/>
          <w:u w:val="dotted"/>
        </w:rPr>
        <w:t xml:space="preserve">                                                                                                        </w:t>
      </w:r>
    </w:p>
    <w:p>
      <w:pPr>
        <w:adjustRightInd w:val="0"/>
        <w:snapToGrid w:val="0"/>
        <w:spacing w:line="360" w:lineRule="auto"/>
        <w:ind w:left="1619" w:leftChars="771"/>
        <w:rPr>
          <w:rFonts w:ascii="宋体" w:hAnsi="宋体" w:cs="宋体"/>
          <w:color w:val="auto"/>
          <w:kern w:val="0"/>
          <w:szCs w:val="21"/>
        </w:rPr>
      </w:pPr>
      <w:r>
        <w:rPr>
          <w:rFonts w:hint="eastAsia" w:ascii="宋体" w:hAnsi="宋体" w:cs="宋体"/>
          <w:color w:val="auto"/>
          <w:kern w:val="0"/>
          <w:szCs w:val="21"/>
        </w:rPr>
        <w:t>除专用条款另有约定外，承包人应编制每月施工进度报告，同时每季对进度计划修订一次，并在每月或季结束后的7天内向监理理工程师提交上述报告和修订计划一式两份。月施工进度报告的内容至少应包括：</w:t>
      </w:r>
    </w:p>
    <w:p>
      <w:pPr>
        <w:adjustRightInd w:val="0"/>
        <w:snapToGrid w:val="0"/>
        <w:spacing w:line="360" w:lineRule="auto"/>
        <w:ind w:firstLine="1365" w:firstLineChars="650"/>
        <w:rPr>
          <w:rFonts w:ascii="宋体" w:hAnsi="宋体" w:cs="宋体"/>
          <w:color w:val="auto"/>
          <w:kern w:val="0"/>
          <w:szCs w:val="21"/>
        </w:rPr>
      </w:pPr>
      <w:r>
        <w:rPr>
          <w:rFonts w:hint="eastAsia" w:ascii="宋体" w:hAnsi="宋体" w:cs="宋体"/>
          <w:color w:val="auto"/>
          <w:kern w:val="0"/>
          <w:szCs w:val="21"/>
        </w:rPr>
        <w:t>（1）施工、安装、试验以及其他发包人工作等进展情况的图表和说明；</w:t>
      </w:r>
    </w:p>
    <w:p>
      <w:pPr>
        <w:adjustRightInd w:val="0"/>
        <w:snapToGrid w:val="0"/>
        <w:spacing w:line="360" w:lineRule="auto"/>
        <w:ind w:firstLine="1365" w:firstLineChars="650"/>
        <w:rPr>
          <w:rFonts w:ascii="宋体" w:hAnsi="宋体" w:cs="宋体"/>
          <w:color w:val="auto"/>
          <w:kern w:val="0"/>
          <w:szCs w:val="21"/>
        </w:rPr>
      </w:pPr>
      <w:r>
        <w:rPr>
          <w:rFonts w:hint="eastAsia" w:ascii="宋体" w:hAnsi="宋体" w:cs="宋体"/>
          <w:color w:val="auto"/>
          <w:kern w:val="0"/>
          <w:szCs w:val="21"/>
        </w:rPr>
        <w:t>（2）材料、设备、货物的采购和制造商名称、地点以及进入现场情况；</w:t>
      </w:r>
    </w:p>
    <w:p>
      <w:pPr>
        <w:adjustRightInd w:val="0"/>
        <w:snapToGrid w:val="0"/>
        <w:spacing w:line="360" w:lineRule="auto"/>
        <w:ind w:firstLine="1365" w:firstLineChars="650"/>
        <w:rPr>
          <w:rFonts w:ascii="宋体" w:hAnsi="宋体" w:cs="宋体"/>
          <w:color w:val="auto"/>
          <w:kern w:val="0"/>
          <w:szCs w:val="21"/>
        </w:rPr>
      </w:pPr>
      <w:r>
        <w:rPr>
          <w:rFonts w:hint="eastAsia" w:ascii="宋体" w:hAnsi="宋体" w:cs="宋体"/>
          <w:color w:val="auto"/>
          <w:kern w:val="0"/>
          <w:szCs w:val="21"/>
        </w:rPr>
        <w:t>（3）索赔情况和安全统计；</w:t>
      </w:r>
    </w:p>
    <w:p>
      <w:pPr>
        <w:adjustRightInd w:val="0"/>
        <w:snapToGrid w:val="0"/>
        <w:spacing w:line="360" w:lineRule="auto"/>
        <w:ind w:left="1558" w:leftChars="742"/>
        <w:rPr>
          <w:rFonts w:ascii="宋体" w:hAnsi="宋体" w:cs="宋体"/>
          <w:color w:val="auto"/>
          <w:kern w:val="0"/>
          <w:szCs w:val="21"/>
        </w:rPr>
      </w:pPr>
      <w:r>
        <w:rPr>
          <w:rFonts w:hint="eastAsia" w:ascii="宋体" w:hAnsi="宋体" w:cs="宋体"/>
          <w:color w:val="auto"/>
          <w:kern w:val="0"/>
          <w:szCs w:val="21"/>
        </w:rPr>
        <w:t>（4）实际进度与计划进度的对比，以及为消除延误正在或准备采取的措施。</w:t>
      </w:r>
    </w:p>
    <w:p>
      <w:pPr>
        <w:tabs>
          <w:tab w:val="left" w:pos="1620"/>
        </w:tabs>
        <w:adjustRightInd w:val="0"/>
        <w:snapToGrid w:val="0"/>
        <w:spacing w:line="480" w:lineRule="auto"/>
        <w:rPr>
          <w:rFonts w:ascii="宋体" w:hAnsi="宋体" w:cs="宋体"/>
          <w:color w:val="auto"/>
          <w:kern w:val="0"/>
          <w:szCs w:val="21"/>
          <w:u w:val="dotted"/>
        </w:rPr>
      </w:pPr>
      <w:r>
        <w:rPr>
          <w:rFonts w:ascii="宋体" w:hAnsi="宋体" w:cs="宋体"/>
          <w:color w:val="auto"/>
          <w:kern w:val="0"/>
          <w:szCs w:val="21"/>
        </w:rPr>
        <mc:AlternateContent>
          <mc:Choice Requires="wps">
            <w:drawing>
              <wp:anchor distT="0" distB="0" distL="114300" distR="114300" simplePos="0" relativeHeight="251680768" behindDoc="0" locked="0" layoutInCell="1" allowOverlap="1">
                <wp:simplePos x="0" y="0"/>
                <wp:positionH relativeFrom="column">
                  <wp:posOffset>-114300</wp:posOffset>
                </wp:positionH>
                <wp:positionV relativeFrom="paragraph">
                  <wp:posOffset>243840</wp:posOffset>
                </wp:positionV>
                <wp:extent cx="914400" cy="644525"/>
                <wp:effectExtent l="0" t="0" r="0" b="0"/>
                <wp:wrapNone/>
                <wp:docPr id="275" name="文本框 275"/>
                <wp:cNvGraphicFramePr/>
                <a:graphic xmlns:a="http://schemas.openxmlformats.org/drawingml/2006/main">
                  <a:graphicData uri="http://schemas.microsoft.com/office/word/2010/wordprocessingShape">
                    <wps:wsp>
                      <wps:cNvSpPr txBox="1">
                        <a:spLocks noChangeArrowheads="1"/>
                      </wps:cNvSpPr>
                      <wps:spPr bwMode="auto">
                        <a:xfrm>
                          <a:off x="0" y="0"/>
                          <a:ext cx="914400" cy="64452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实际进度与进度计划不符时的处理</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2pt;height:50.75pt;width:72pt;z-index:251680768;mso-width-relative:page;mso-height-relative:page;" filled="f" stroked="f" coordsize="21600,21600" o:gfxdata="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oemlUNgAAAAKAQAADwAAAAAAAAABACAAAAAiAAAAZHJzL2Rv&#10;d25yZXYueG1sUEsBAhQAFAAAAAgAh07iQI3KIDgBAgAA2AMAAA4AAAAAAAAAAQAgAAAAJwEAAGRy&#10;cy9lMm9Eb2MueG1sUEsFBgAAAAAGAAYAWQEAAJoF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实际进度与进度计划不符时的处理</w:t>
                      </w:r>
                    </w:p>
                  </w:txbxContent>
                </v:textbox>
              </v:shape>
            </w:pict>
          </mc:Fallback>
        </mc:AlternateContent>
      </w:r>
      <w:r>
        <w:rPr>
          <w:rFonts w:hint="eastAsia" w:ascii="宋体" w:hAnsi="宋体" w:cs="宋体"/>
          <w:b/>
          <w:color w:val="auto"/>
          <w:kern w:val="0"/>
          <w:szCs w:val="21"/>
        </w:rPr>
        <w:t xml:space="preserve">33.4  </w:t>
      </w:r>
      <w:r>
        <w:rPr>
          <w:rFonts w:hint="eastAsia" w:ascii="宋体" w:hAnsi="宋体" w:cs="宋体"/>
          <w:color w:val="auto"/>
          <w:kern w:val="0"/>
          <w:szCs w:val="21"/>
          <w:u w:val="dotted"/>
        </w:rPr>
        <w:t xml:space="preserve">                                                                                                        </w:t>
      </w:r>
    </w:p>
    <w:p>
      <w:pPr>
        <w:adjustRightInd w:val="0"/>
        <w:snapToGrid w:val="0"/>
        <w:spacing w:line="360" w:lineRule="auto"/>
        <w:ind w:left="1619" w:leftChars="771"/>
        <w:rPr>
          <w:rFonts w:ascii="宋体" w:hAnsi="宋体" w:cs="宋体"/>
          <w:color w:val="auto"/>
          <w:kern w:val="0"/>
          <w:szCs w:val="21"/>
        </w:rPr>
      </w:pPr>
      <w:r>
        <w:rPr>
          <w:rFonts w:hint="eastAsia" w:ascii="宋体" w:hAnsi="宋体" w:cs="宋体"/>
          <w:color w:val="auto"/>
          <w:kern w:val="0"/>
          <w:szCs w:val="21"/>
        </w:rPr>
        <w:t>如果监理工程师指出承包人的实际进度和经确认的计划进度不符时，承包人应按照监理工程师的要求提出改进措施，经监理工程师确认后执行。因承包人的原因导致实际进度迟于计划进度的，承包人不但无权就改进措施要求发包人支付任何附加费用，而且应按照第66.2款规定向发包人支付由此产生的误期赔偿费。工程进度计划即使经监理工程师确认，也不能免除承包人按照合同约定应承担的任何责任和应履行的任何义务。</w:t>
      </w:r>
    </w:p>
    <w:p>
      <w:pPr>
        <w:adjustRightInd w:val="0"/>
        <w:snapToGrid w:val="0"/>
        <w:spacing w:line="360" w:lineRule="auto"/>
        <w:ind w:right="-238"/>
        <w:rPr>
          <w:rFonts w:ascii="宋体" w:hAnsi="宋体" w:cs="宋体"/>
          <w:b/>
          <w:color w:val="auto"/>
          <w:kern w:val="0"/>
          <w:szCs w:val="21"/>
        </w:rPr>
      </w:pPr>
      <w:r>
        <w:rPr>
          <w:rFonts w:hint="eastAsia" w:ascii="宋体" w:hAnsi="宋体" w:cs="宋体"/>
          <w:b/>
          <w:color w:val="auto"/>
          <w:kern w:val="0"/>
          <w:szCs w:val="21"/>
          <w:u w:val="single"/>
        </w:rPr>
        <w:t xml:space="preserve">                                                                                                             </w:t>
      </w:r>
    </w:p>
    <w:p>
      <w:pPr>
        <w:adjustRightInd w:val="0"/>
        <w:snapToGrid w:val="0"/>
        <w:spacing w:line="360" w:lineRule="auto"/>
        <w:ind w:right="-238" w:firstLine="480"/>
        <w:rPr>
          <w:rFonts w:ascii="宋体" w:hAnsi="宋体" w:cs="宋体"/>
          <w:color w:val="auto"/>
          <w:kern w:val="0"/>
          <w:szCs w:val="21"/>
        </w:rPr>
      </w:pPr>
    </w:p>
    <w:p>
      <w:pPr>
        <w:adjustRightInd w:val="0"/>
        <w:snapToGrid w:val="0"/>
        <w:spacing w:line="360" w:lineRule="auto"/>
        <w:ind w:right="-238"/>
        <w:rPr>
          <w:rFonts w:ascii="宋体" w:hAnsi="宋体" w:cs="宋体"/>
          <w:b/>
          <w:color w:val="auto"/>
          <w:kern w:val="0"/>
          <w:szCs w:val="21"/>
        </w:rPr>
      </w:pPr>
      <w:r>
        <w:rPr>
          <w:rFonts w:hint="eastAsia" w:ascii="宋体" w:hAnsi="宋体" w:cs="宋体"/>
          <w:b/>
          <w:color w:val="auto"/>
          <w:kern w:val="0"/>
          <w:szCs w:val="21"/>
        </w:rPr>
        <w:t>34  开工</w:t>
      </w:r>
    </w:p>
    <w:p>
      <w:pPr>
        <w:tabs>
          <w:tab w:val="left" w:pos="1320"/>
        </w:tabs>
        <w:adjustRightInd w:val="0"/>
        <w:snapToGrid w:val="0"/>
        <w:spacing w:line="360" w:lineRule="auto"/>
        <w:ind w:right="3"/>
        <w:rPr>
          <w:rFonts w:ascii="宋体" w:hAnsi="宋体" w:cs="宋体"/>
          <w:b/>
          <w:color w:val="auto"/>
          <w:kern w:val="0"/>
          <w:szCs w:val="21"/>
        </w:rPr>
      </w:pPr>
      <w:r>
        <w:rPr>
          <w:rFonts w:ascii="宋体" w:hAnsi="宋体" w:cs="宋体"/>
          <w:color w:val="auto"/>
          <w:kern w:val="0"/>
          <w:szCs w:val="21"/>
        </w:rPr>
        <mc:AlternateContent>
          <mc:Choice Requires="wps">
            <w:drawing>
              <wp:anchor distT="0" distB="0" distL="114300" distR="114300" simplePos="0" relativeHeight="251681792" behindDoc="0" locked="0" layoutInCell="1" allowOverlap="1">
                <wp:simplePos x="0" y="0"/>
                <wp:positionH relativeFrom="column">
                  <wp:posOffset>-114300</wp:posOffset>
                </wp:positionH>
                <wp:positionV relativeFrom="paragraph">
                  <wp:posOffset>247015</wp:posOffset>
                </wp:positionV>
                <wp:extent cx="800100" cy="310515"/>
                <wp:effectExtent l="0" t="0" r="0" b="0"/>
                <wp:wrapNone/>
                <wp:docPr id="274" name="文本框 274"/>
                <wp:cNvGraphicFramePr/>
                <a:graphic xmlns:a="http://schemas.openxmlformats.org/drawingml/2006/main">
                  <a:graphicData uri="http://schemas.microsoft.com/office/word/2010/wordprocessingShape">
                    <wps:wsp>
                      <wps:cNvSpPr txBox="1">
                        <a:spLocks noChangeArrowheads="1"/>
                      </wps:cNvSpPr>
                      <wps:spPr bwMode="auto">
                        <a:xfrm>
                          <a:off x="0" y="0"/>
                          <a:ext cx="800100" cy="31051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开工条件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45pt;height:24.45pt;width:63pt;z-index:251681792;mso-width-relative:page;mso-height-relative:page;" filled="f" stroked="f" coordsize="21600,21600" o:gfxdata="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YfiVgNUAAAAJAQAADwAAAAAAAAABACAAAAAiAAAAZHJzL2Rvd25y&#10;ZXYueG1sUEsBAhQAFAAAAAgAh07iQME7/nUBAgAA2AMAAA4AAAAAAAAAAQAgAAAAJAEAAGRycy9l&#10;Mm9Eb2MueG1sUEsFBgAAAAAGAAYAWQEAAJcF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开工条件</w:t>
                      </w:r>
                    </w:p>
                  </w:txbxContent>
                </v:textbox>
              </v:shape>
            </w:pict>
          </mc:Fallback>
        </mc:AlternateContent>
      </w:r>
      <w:r>
        <w:rPr>
          <w:rFonts w:hint="eastAsia" w:ascii="宋体" w:hAnsi="宋体" w:cs="宋体"/>
          <w:b/>
          <w:color w:val="auto"/>
          <w:kern w:val="0"/>
          <w:szCs w:val="21"/>
        </w:rPr>
        <w:t xml:space="preserve">34.1    </w:t>
      </w:r>
    </w:p>
    <w:p>
      <w:pPr>
        <w:adjustRightInd w:val="0"/>
        <w:snapToGrid w:val="0"/>
        <w:spacing w:line="360" w:lineRule="auto"/>
        <w:ind w:left="1619" w:leftChars="771" w:right="6"/>
        <w:rPr>
          <w:rFonts w:ascii="宋体" w:hAnsi="宋体" w:cs="宋体"/>
          <w:color w:val="auto"/>
          <w:kern w:val="0"/>
          <w:szCs w:val="21"/>
        </w:rPr>
      </w:pPr>
      <w:r>
        <w:rPr>
          <w:rFonts w:hint="eastAsia" w:ascii="宋体" w:hAnsi="宋体" w:cs="宋体"/>
          <w:color w:val="auto"/>
          <w:kern w:val="0"/>
          <w:szCs w:val="21"/>
        </w:rPr>
        <w:t>工程开工必须具备法律规定的开工条件，并已经领取了施工许可证。</w:t>
      </w:r>
    </w:p>
    <w:p>
      <w:pPr>
        <w:tabs>
          <w:tab w:val="left" w:pos="1320"/>
        </w:tabs>
        <w:adjustRightInd w:val="0"/>
        <w:snapToGrid w:val="0"/>
        <w:spacing w:line="360" w:lineRule="auto"/>
        <w:ind w:right="3"/>
        <w:rPr>
          <w:rFonts w:ascii="宋体" w:hAnsi="宋体" w:cs="宋体"/>
          <w:b/>
          <w:color w:val="auto"/>
          <w:kern w:val="0"/>
          <w:szCs w:val="21"/>
          <w:u w:val="dotted"/>
        </w:rPr>
      </w:pPr>
      <w:r>
        <w:rPr>
          <w:rFonts w:ascii="宋体" w:hAnsi="宋体" w:cs="宋体"/>
          <w:color w:val="auto"/>
          <w:kern w:val="0"/>
          <w:szCs w:val="21"/>
        </w:rPr>
        <mc:AlternateContent>
          <mc:Choice Requires="wps">
            <w:drawing>
              <wp:anchor distT="0" distB="0" distL="114300" distR="114300" simplePos="0" relativeHeight="251682816" behindDoc="0" locked="0" layoutInCell="1" allowOverlap="1">
                <wp:simplePos x="0" y="0"/>
                <wp:positionH relativeFrom="column">
                  <wp:posOffset>-114300</wp:posOffset>
                </wp:positionH>
                <wp:positionV relativeFrom="paragraph">
                  <wp:posOffset>242570</wp:posOffset>
                </wp:positionV>
                <wp:extent cx="800100" cy="297180"/>
                <wp:effectExtent l="0" t="0" r="0" b="0"/>
                <wp:wrapNone/>
                <wp:docPr id="273" name="文本框 273"/>
                <wp:cNvGraphicFramePr/>
                <a:graphic xmlns:a="http://schemas.openxmlformats.org/drawingml/2006/main">
                  <a:graphicData uri="http://schemas.microsoft.com/office/word/2010/wordprocessingShape">
                    <wps:wsp>
                      <wps:cNvSpPr txBox="1">
                        <a:spLocks noChangeArrowheads="1"/>
                      </wps:cNvSpPr>
                      <wps:spPr bwMode="auto">
                        <a:xfrm>
                          <a:off x="0" y="0"/>
                          <a:ext cx="800100" cy="29718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工程开工</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1pt;height:23.4pt;width:63pt;z-index:251682816;mso-width-relative:page;mso-height-relative:page;" filled="f" stroked="f" coordsize="21600,21600" o:gfxdata="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4WbpX1gAAAAkBAAAPAAAAAAAAAAEAIAAAACIAAABkcnMvZG93&#10;bnJldi54bWxQSwECFAAUAAAACACHTuJAuN3jogICAADYAwAADgAAAAAAAAABACAAAAAlAQAAZHJz&#10;L2Uyb0RvYy54bWxQSwUGAAAAAAYABgBZAQAAmQ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工程开工</w:t>
                      </w:r>
                    </w:p>
                  </w:txbxContent>
                </v:textbox>
              </v:shape>
            </w:pict>
          </mc:Fallback>
        </mc:AlternateContent>
      </w:r>
      <w:r>
        <w:rPr>
          <w:rFonts w:hint="eastAsia" w:ascii="宋体" w:hAnsi="宋体" w:cs="宋体"/>
          <w:b/>
          <w:color w:val="auto"/>
          <w:kern w:val="0"/>
          <w:szCs w:val="21"/>
        </w:rPr>
        <w:t xml:space="preserve">34.2  </w:t>
      </w:r>
      <w:r>
        <w:rPr>
          <w:rFonts w:hint="eastAsia" w:ascii="宋体" w:hAnsi="宋体" w:cs="宋体"/>
          <w:b/>
          <w:color w:val="auto"/>
          <w:kern w:val="0"/>
          <w:szCs w:val="21"/>
          <w:u w:val="dotted"/>
        </w:rPr>
        <w:t xml:space="preserve">                                                                                                        </w:t>
      </w:r>
    </w:p>
    <w:p>
      <w:pPr>
        <w:adjustRightInd w:val="0"/>
        <w:snapToGrid w:val="0"/>
        <w:spacing w:line="360" w:lineRule="auto"/>
        <w:ind w:left="1619" w:leftChars="771" w:right="3"/>
        <w:rPr>
          <w:rFonts w:ascii="宋体" w:hAnsi="宋体" w:cs="宋体"/>
          <w:color w:val="auto"/>
          <w:kern w:val="0"/>
          <w:szCs w:val="21"/>
        </w:rPr>
      </w:pPr>
      <w:r>
        <w:rPr>
          <w:rFonts w:hint="eastAsia" w:ascii="宋体" w:hAnsi="宋体" w:cs="宋体"/>
          <w:color w:val="auto"/>
          <w:kern w:val="0"/>
          <w:szCs w:val="21"/>
        </w:rPr>
        <w:t>承包人应在签订本合同后的28天内，向监理工程师提交开工申请书，并附上表明已做好开工准备的有关资料。除专用条款另有约定外，监理工程师应在本合同签订后的42天内报发包人批准后向承包人发出开工令；承包人应在接到开工令后的7天内开工，并一直保持合同工程连续均衡施工，直至其被改变为止。</w:t>
      </w:r>
    </w:p>
    <w:p>
      <w:pPr>
        <w:tabs>
          <w:tab w:val="left" w:pos="1320"/>
        </w:tabs>
        <w:adjustRightInd w:val="0"/>
        <w:snapToGrid w:val="0"/>
        <w:spacing w:line="360" w:lineRule="auto"/>
        <w:ind w:right="3"/>
        <w:rPr>
          <w:rFonts w:ascii="宋体" w:hAnsi="宋体" w:cs="宋体"/>
          <w:b/>
          <w:color w:val="auto"/>
          <w:kern w:val="0"/>
          <w:szCs w:val="21"/>
        </w:rPr>
      </w:pPr>
      <w:r>
        <w:rPr>
          <w:rFonts w:ascii="宋体" w:hAnsi="宋体" w:cs="宋体"/>
          <w:color w:val="auto"/>
          <w:kern w:val="0"/>
          <w:szCs w:val="21"/>
        </w:rPr>
        <mc:AlternateContent>
          <mc:Choice Requires="wps">
            <w:drawing>
              <wp:anchor distT="0" distB="0" distL="114300" distR="114300" simplePos="0" relativeHeight="251683840" behindDoc="0" locked="0" layoutInCell="1" allowOverlap="1">
                <wp:simplePos x="0" y="0"/>
                <wp:positionH relativeFrom="column">
                  <wp:posOffset>-114300</wp:posOffset>
                </wp:positionH>
                <wp:positionV relativeFrom="paragraph">
                  <wp:posOffset>269875</wp:posOffset>
                </wp:positionV>
                <wp:extent cx="914400" cy="594360"/>
                <wp:effectExtent l="0" t="0" r="0" b="0"/>
                <wp:wrapNone/>
                <wp:docPr id="272" name="文本框 272"/>
                <wp:cNvGraphicFramePr/>
                <a:graphic xmlns:a="http://schemas.openxmlformats.org/drawingml/2006/main">
                  <a:graphicData uri="http://schemas.microsoft.com/office/word/2010/wordprocessingShape">
                    <wps:wsp>
                      <wps:cNvSpPr txBox="1">
                        <a:spLocks noChangeArrowheads="1"/>
                      </wps:cNvSpPr>
                      <wps:spPr bwMode="auto">
                        <a:xfrm>
                          <a:off x="0" y="0"/>
                          <a:ext cx="914400" cy="59436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承包人未按时开工的处理程序和责任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1.25pt;height:46.8pt;width:72pt;z-index:251683840;mso-width-relative:page;mso-height-relative:page;" filled="f" stroked="f" coordsize="21600,21600" o:gfxdata="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XoKTg2AAAAAoBAAAPAAAAAAAAAAEAIAAAACIAAABkcnMvZG93&#10;bnJldi54bWxQSwECFAAUAAAACACHTuJAzKg9vAACAADYAwAADgAAAAAAAAABACAAAAAnAQAAZHJz&#10;L2Uyb0RvYy54bWxQSwUGAAAAAAYABgBZAQAAmQ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承包人未按时开工的处理程序和责任</w:t>
                      </w:r>
                    </w:p>
                  </w:txbxContent>
                </v:textbox>
              </v:shape>
            </w:pict>
          </mc:Fallback>
        </mc:AlternateContent>
      </w:r>
      <w:r>
        <w:rPr>
          <w:rFonts w:hint="eastAsia" w:ascii="宋体" w:hAnsi="宋体" w:cs="宋体"/>
          <w:b/>
          <w:color w:val="auto"/>
          <w:kern w:val="0"/>
          <w:szCs w:val="21"/>
        </w:rPr>
        <w:t xml:space="preserve">34.3  </w:t>
      </w:r>
      <w:r>
        <w:rPr>
          <w:rFonts w:hint="eastAsia" w:ascii="宋体" w:hAnsi="宋体" w:cs="宋体"/>
          <w:b/>
          <w:color w:val="auto"/>
          <w:kern w:val="0"/>
          <w:szCs w:val="21"/>
          <w:u w:val="dotted"/>
        </w:rPr>
        <w:t xml:space="preserve">                                                                                                        </w:t>
      </w:r>
    </w:p>
    <w:p>
      <w:pPr>
        <w:adjustRightInd w:val="0"/>
        <w:snapToGrid w:val="0"/>
        <w:spacing w:line="360" w:lineRule="auto"/>
        <w:ind w:left="1619" w:leftChars="771" w:right="3"/>
        <w:rPr>
          <w:rFonts w:ascii="宋体" w:hAnsi="宋体" w:cs="宋体"/>
          <w:color w:val="auto"/>
          <w:kern w:val="0"/>
          <w:szCs w:val="21"/>
        </w:rPr>
      </w:pPr>
      <w:r>
        <w:rPr>
          <w:rFonts w:hint="eastAsia" w:ascii="宋体" w:hAnsi="宋体" w:cs="宋体"/>
          <w:color w:val="auto"/>
          <w:kern w:val="0"/>
          <w:szCs w:val="21"/>
        </w:rPr>
        <w:t>承包人未能按照时开工，应在接到开工令后立即以书面形式向监理工程师提出延期开工的要求并说明理由。监理工程师应当在接到延期开工申请后的48小时内书面予以答复，否则视为同意。由此造成的损失和延误的工期由承包人承担.</w:t>
      </w:r>
    </w:p>
    <w:p>
      <w:pPr>
        <w:tabs>
          <w:tab w:val="left" w:pos="1320"/>
        </w:tabs>
        <w:adjustRightInd w:val="0"/>
        <w:snapToGrid w:val="0"/>
        <w:spacing w:line="360" w:lineRule="auto"/>
        <w:ind w:right="3"/>
        <w:rPr>
          <w:rFonts w:ascii="宋体" w:hAnsi="宋体" w:cs="宋体"/>
          <w:color w:val="auto"/>
          <w:kern w:val="0"/>
          <w:szCs w:val="21"/>
          <w:u w:val="dotted"/>
        </w:rPr>
      </w:pPr>
      <w:r>
        <w:rPr>
          <w:rFonts w:ascii="宋体" w:hAnsi="宋体" w:cs="宋体"/>
          <w:color w:val="auto"/>
          <w:kern w:val="0"/>
          <w:szCs w:val="21"/>
        </w:rPr>
        <mc:AlternateContent>
          <mc:Choice Requires="wps">
            <w:drawing>
              <wp:anchor distT="0" distB="0" distL="114300" distR="114300" simplePos="0" relativeHeight="251684864" behindDoc="0" locked="0" layoutInCell="1" allowOverlap="1">
                <wp:simplePos x="0" y="0"/>
                <wp:positionH relativeFrom="column">
                  <wp:posOffset>-114300</wp:posOffset>
                </wp:positionH>
                <wp:positionV relativeFrom="paragraph">
                  <wp:posOffset>237490</wp:posOffset>
                </wp:positionV>
                <wp:extent cx="914400" cy="568325"/>
                <wp:effectExtent l="0" t="0" r="0" b="0"/>
                <wp:wrapNone/>
                <wp:docPr id="271" name="文本框 271"/>
                <wp:cNvGraphicFramePr/>
                <a:graphic xmlns:a="http://schemas.openxmlformats.org/drawingml/2006/main">
                  <a:graphicData uri="http://schemas.microsoft.com/office/word/2010/wordprocessingShape">
                    <wps:wsp>
                      <wps:cNvSpPr txBox="1">
                        <a:spLocks noChangeArrowheads="1"/>
                      </wps:cNvSpPr>
                      <wps:spPr bwMode="auto">
                        <a:xfrm>
                          <a:off x="0" y="0"/>
                          <a:ext cx="914400" cy="56832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发包人推迟开工的处理程序和责任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8.7pt;height:44.75pt;width:72pt;z-index:251684864;mso-width-relative:page;mso-height-relative:page;" filled="f" stroked="f" coordsize="21600,21600" o:gfxdata="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kHdkS1wAAAAoBAAAPAAAAAAAAAAEAIAAAACIAAABkcnMvZG93&#10;bnJldi54bWxQSwECFAAUAAAACACHTuJALzgZ4wECAADYAwAADgAAAAAAAAABACAAAAAmAQAAZHJz&#10;L2Uyb0RvYy54bWxQSwUGAAAAAAYABgBZAQAAmQ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发包人推迟开工的处理程序和责任</w:t>
                      </w:r>
                    </w:p>
                  </w:txbxContent>
                </v:textbox>
              </v:shape>
            </w:pict>
          </mc:Fallback>
        </mc:AlternateContent>
      </w:r>
      <w:r>
        <w:rPr>
          <w:rFonts w:hint="eastAsia" w:ascii="宋体" w:hAnsi="宋体" w:cs="宋体"/>
          <w:color w:val="auto"/>
          <w:kern w:val="0"/>
          <w:szCs w:val="21"/>
        </w:rPr>
        <w:t xml:space="preserve">34.4  </w:t>
      </w:r>
      <w:r>
        <w:rPr>
          <w:rFonts w:hint="eastAsia" w:ascii="宋体" w:hAnsi="宋体" w:cs="宋体"/>
          <w:color w:val="auto"/>
          <w:kern w:val="0"/>
          <w:szCs w:val="21"/>
          <w:u w:val="dotted"/>
        </w:rPr>
        <w:t xml:space="preserve">                                                                                                        </w:t>
      </w:r>
    </w:p>
    <w:p>
      <w:pPr>
        <w:adjustRightInd w:val="0"/>
        <w:snapToGrid w:val="0"/>
        <w:spacing w:line="360" w:lineRule="auto"/>
        <w:ind w:left="1619" w:leftChars="771" w:right="3"/>
        <w:rPr>
          <w:rFonts w:ascii="宋体" w:hAnsi="宋体" w:cs="宋体"/>
          <w:color w:val="auto"/>
          <w:kern w:val="0"/>
          <w:szCs w:val="21"/>
        </w:rPr>
      </w:pPr>
      <w:r>
        <w:rPr>
          <w:rFonts w:hint="eastAsia" w:ascii="宋体" w:hAnsi="宋体" w:cs="宋体"/>
          <w:color w:val="auto"/>
          <w:kern w:val="0"/>
          <w:szCs w:val="21"/>
        </w:rPr>
        <w:t>因发包人的原因不能在第34.2款规定的时间内发出开工令的，监理工程师应至少提前7天以书面形式通知承包人推迟开工。由此造成的损失由发包人承担，开工日期相应顺延。监理工程师未能提前7天通知承包人推迟开工的，由此造成损失的扩大由发包人承担。</w:t>
      </w:r>
    </w:p>
    <w:p>
      <w:pPr>
        <w:adjustRightInd w:val="0"/>
        <w:snapToGrid w:val="0"/>
        <w:rPr>
          <w:rFonts w:ascii="宋体" w:hAnsi="宋体" w:cs="宋体"/>
          <w:b/>
          <w:color w:val="auto"/>
          <w:kern w:val="0"/>
          <w:szCs w:val="21"/>
        </w:rPr>
      </w:pPr>
      <w:r>
        <w:rPr>
          <w:rFonts w:hint="eastAsia" w:ascii="宋体" w:hAnsi="宋体" w:cs="宋体"/>
          <w:b/>
          <w:color w:val="auto"/>
          <w:kern w:val="0"/>
          <w:szCs w:val="21"/>
          <w:u w:val="single"/>
        </w:rPr>
        <w:t xml:space="preserve">                                                                                           </w:t>
      </w:r>
    </w:p>
    <w:p>
      <w:pPr>
        <w:adjustRightInd w:val="0"/>
        <w:snapToGrid w:val="0"/>
        <w:rPr>
          <w:rFonts w:ascii="宋体" w:hAnsi="宋体" w:cs="宋体"/>
          <w:b/>
          <w:color w:val="auto"/>
          <w:kern w:val="0"/>
          <w:szCs w:val="21"/>
        </w:rPr>
      </w:pPr>
    </w:p>
    <w:p>
      <w:pPr>
        <w:adjustRightInd w:val="0"/>
        <w:snapToGrid w:val="0"/>
        <w:rPr>
          <w:rFonts w:ascii="宋体" w:hAnsi="宋体" w:cs="宋体"/>
          <w:b/>
          <w:color w:val="auto"/>
          <w:kern w:val="0"/>
          <w:szCs w:val="21"/>
        </w:rPr>
      </w:pPr>
      <w:r>
        <w:rPr>
          <w:rFonts w:hint="eastAsia" w:ascii="宋体" w:hAnsi="宋体" w:cs="宋体"/>
          <w:b/>
          <w:color w:val="auto"/>
          <w:kern w:val="0"/>
          <w:szCs w:val="21"/>
        </w:rPr>
        <w:t>35  暂停施工和复工</w:t>
      </w:r>
    </w:p>
    <w:p>
      <w:pPr>
        <w:adjustRightInd w:val="0"/>
        <w:snapToGrid w:val="0"/>
        <w:spacing w:line="360" w:lineRule="auto"/>
        <w:rPr>
          <w:rFonts w:ascii="宋体" w:hAnsi="宋体" w:cs="宋体"/>
          <w:b/>
          <w:color w:val="auto"/>
          <w:kern w:val="0"/>
          <w:szCs w:val="21"/>
        </w:rPr>
      </w:pPr>
      <w:r>
        <w:rPr>
          <w:rFonts w:ascii="宋体" w:hAnsi="宋体" w:cs="宋体"/>
          <w:color w:val="auto"/>
          <w:kern w:val="0"/>
          <w:szCs w:val="21"/>
        </w:rPr>
        <mc:AlternateContent>
          <mc:Choice Requires="wps">
            <w:drawing>
              <wp:anchor distT="0" distB="0" distL="114300" distR="114300" simplePos="0" relativeHeight="251685888" behindDoc="0" locked="0" layoutInCell="1" allowOverlap="1">
                <wp:simplePos x="0" y="0"/>
                <wp:positionH relativeFrom="column">
                  <wp:posOffset>-114300</wp:posOffset>
                </wp:positionH>
                <wp:positionV relativeFrom="paragraph">
                  <wp:posOffset>261620</wp:posOffset>
                </wp:positionV>
                <wp:extent cx="914400" cy="497205"/>
                <wp:effectExtent l="0" t="0" r="0" b="0"/>
                <wp:wrapNone/>
                <wp:docPr id="270" name="文本框 270"/>
                <wp:cNvGraphicFramePr/>
                <a:graphic xmlns:a="http://schemas.openxmlformats.org/drawingml/2006/main">
                  <a:graphicData uri="http://schemas.microsoft.com/office/word/2010/wordprocessingShape">
                    <wps:wsp>
                      <wps:cNvSpPr txBox="1">
                        <a:spLocks noChangeArrowheads="1"/>
                      </wps:cNvSpPr>
                      <wps:spPr bwMode="auto">
                        <a:xfrm>
                          <a:off x="0" y="0"/>
                          <a:ext cx="914400" cy="49720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暂停施工的指令</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0.6pt;height:39.15pt;width:72pt;z-index:251685888;mso-width-relative:page;mso-height-relative:page;" filled="f" stroked="f" coordsize="21600,21600" o:gfxdata="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EbVN6NcAAAAKAQAADwAAAAAAAAABACAAAAAiAAAAZHJzL2Rvd25y&#10;ZXYueG1sUEsBAhQAFAAAAAgAh07iQDYGb7b/AQAA2AMAAA4AAAAAAAAAAQAgAAAAJgEAAGRycy9l&#10;Mm9Eb2MueG1sUEsFBgAAAAAGAAYAWQEAAJcF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暂停施工的指令</w:t>
                      </w:r>
                    </w:p>
                  </w:txbxContent>
                </v:textbox>
              </v:shape>
            </w:pict>
          </mc:Fallback>
        </mc:AlternateContent>
      </w:r>
      <w:r>
        <w:rPr>
          <w:rFonts w:hint="eastAsia" w:ascii="宋体" w:hAnsi="宋体" w:cs="宋体"/>
          <w:b/>
          <w:color w:val="auto"/>
          <w:kern w:val="0"/>
          <w:szCs w:val="21"/>
        </w:rPr>
        <w:t xml:space="preserve">35.1      </w:t>
      </w:r>
    </w:p>
    <w:p>
      <w:pPr>
        <w:adjustRightInd w:val="0"/>
        <w:snapToGrid w:val="0"/>
        <w:spacing w:line="360" w:lineRule="auto"/>
        <w:ind w:left="1619" w:leftChars="771"/>
        <w:rPr>
          <w:rFonts w:ascii="宋体" w:hAnsi="宋体" w:cs="宋体"/>
          <w:color w:val="auto"/>
          <w:kern w:val="0"/>
          <w:szCs w:val="21"/>
        </w:rPr>
      </w:pPr>
      <w:r>
        <w:rPr>
          <w:rFonts w:hint="eastAsia" w:ascii="宋体" w:hAnsi="宋体" w:cs="宋体"/>
          <w:color w:val="auto"/>
          <w:kern w:val="0"/>
          <w:szCs w:val="21"/>
        </w:rPr>
        <w:t>监理工程师认为有必要时，可向承包人发出暂停施工令，并在48小时内提出处理意见，承包人应按照监理工程师的指令停止施工。不论任何原因造成的暂停施工，暂停施工期间承包人应妥善保护已完工程并提供安全保障。</w:t>
      </w:r>
    </w:p>
    <w:p>
      <w:pPr>
        <w:adjustRightInd w:val="0"/>
        <w:snapToGrid w:val="0"/>
        <w:spacing w:line="360" w:lineRule="auto"/>
        <w:ind w:left="1619" w:leftChars="771"/>
        <w:rPr>
          <w:rFonts w:ascii="宋体" w:hAnsi="宋体" w:cs="宋体"/>
          <w:color w:val="auto"/>
          <w:kern w:val="0"/>
          <w:szCs w:val="21"/>
        </w:rPr>
      </w:pPr>
      <w:r>
        <w:rPr>
          <w:rFonts w:hint="eastAsia" w:ascii="宋体" w:hAnsi="宋体" w:cs="宋体"/>
          <w:color w:val="auto"/>
          <w:kern w:val="0"/>
          <w:szCs w:val="21"/>
        </w:rPr>
        <w:t>因发包人的原因引起暂停施工的合同工程发生紧急情况，且监理工程师又未及时发出暂停施工令时，承包人可先暂停施工，并及时向监理工程师提出暂停施工报告。监理工程师应在收到暂停施工报告后的24小时内予以答复；逾期未答复的，视为承包人的暂停施工报告被认可。</w:t>
      </w:r>
    </w:p>
    <w:p>
      <w:pPr>
        <w:adjustRightInd w:val="0"/>
        <w:snapToGrid w:val="0"/>
        <w:spacing w:line="360" w:lineRule="auto"/>
        <w:rPr>
          <w:rFonts w:ascii="宋体" w:hAnsi="宋体" w:cs="宋体"/>
          <w:b/>
          <w:color w:val="auto"/>
          <w:kern w:val="0"/>
          <w:szCs w:val="21"/>
        </w:rPr>
      </w:pPr>
      <w:r>
        <w:rPr>
          <w:rFonts w:hint="eastAsia" w:ascii="宋体" w:hAnsi="宋体" w:cs="宋体"/>
          <w:b/>
          <w:color w:val="auto"/>
          <w:kern w:val="0"/>
          <w:szCs w:val="21"/>
        </w:rPr>
        <w:t>35.2</w:t>
      </w:r>
      <w:r>
        <w:rPr>
          <w:rFonts w:hint="eastAsia" w:ascii="宋体" w:hAnsi="宋体" w:cs="宋体"/>
          <w:b/>
          <w:color w:val="auto"/>
          <w:kern w:val="0"/>
          <w:szCs w:val="21"/>
          <w:u w:val="dotted"/>
        </w:rPr>
        <w:t xml:space="preserve">                                                                             </w:t>
      </w:r>
      <w:r>
        <w:rPr>
          <w:rFonts w:hint="eastAsia" w:ascii="宋体" w:hAnsi="宋体" w:cs="宋体"/>
          <w:b/>
          <w:color w:val="auto"/>
          <w:kern w:val="0"/>
          <w:szCs w:val="21"/>
        </w:rPr>
        <w:t xml:space="preserve">      </w:t>
      </w:r>
    </w:p>
    <w:p>
      <w:pPr>
        <w:adjustRightInd w:val="0"/>
        <w:snapToGrid w:val="0"/>
        <w:spacing w:line="360" w:lineRule="auto"/>
        <w:ind w:left="1619" w:leftChars="771"/>
        <w:rPr>
          <w:rFonts w:ascii="宋体" w:hAnsi="宋体" w:cs="宋体"/>
          <w:color w:val="auto"/>
          <w:kern w:val="0"/>
          <w:szCs w:val="21"/>
        </w:rPr>
      </w:pPr>
      <w:r>
        <w:rPr>
          <w:rFonts w:ascii="宋体" w:hAnsi="宋体" w:cs="宋体"/>
          <w:color w:val="auto"/>
          <w:kern w:val="0"/>
          <w:szCs w:val="21"/>
        </w:rPr>
        <mc:AlternateContent>
          <mc:Choice Requires="wps">
            <w:drawing>
              <wp:anchor distT="0" distB="0" distL="114300" distR="114300" simplePos="0" relativeHeight="252027904" behindDoc="0" locked="0" layoutInCell="1" allowOverlap="1">
                <wp:simplePos x="0" y="0"/>
                <wp:positionH relativeFrom="column">
                  <wp:posOffset>-114300</wp:posOffset>
                </wp:positionH>
                <wp:positionV relativeFrom="paragraph">
                  <wp:posOffset>20320</wp:posOffset>
                </wp:positionV>
                <wp:extent cx="914400" cy="497205"/>
                <wp:effectExtent l="0" t="0" r="0" b="0"/>
                <wp:wrapNone/>
                <wp:docPr id="269" name="文本框 269"/>
                <wp:cNvGraphicFramePr/>
                <a:graphic xmlns:a="http://schemas.openxmlformats.org/drawingml/2006/main">
                  <a:graphicData uri="http://schemas.microsoft.com/office/word/2010/wordprocessingShape">
                    <wps:wsp>
                      <wps:cNvSpPr txBox="1">
                        <a:spLocks noChangeArrowheads="1"/>
                      </wps:cNvSpPr>
                      <wps:spPr bwMode="auto">
                        <a:xfrm>
                          <a:off x="0" y="0"/>
                          <a:ext cx="914400" cy="49720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复工的要求</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6pt;height:39.15pt;width:72pt;z-index:252027904;mso-width-relative:page;mso-height-relative:page;" filled="f" stroked="f" coordsize="21600,21600" o:gfxdata="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E3PLTVAAAACAEAAA8AAAAAAAAAAQAgAAAAIgAAAGRycy9kb3ducmV2&#10;LnhtbFBLAQIUABQAAAAIAIdO4kB01bd9/wEAANgDAAAOAAAAAAAAAAEAIAAAACQBAABkcnMvZTJv&#10;RG9jLnhtbFBLBQYAAAAABgAGAFkBAACV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复工的要求</w:t>
                      </w:r>
                    </w:p>
                  </w:txbxContent>
                </v:textbox>
              </v:shape>
            </w:pict>
          </mc:Fallback>
        </mc:AlternateContent>
      </w:r>
      <w:r>
        <w:rPr>
          <w:rFonts w:hint="eastAsia" w:ascii="宋体" w:hAnsi="宋体" w:cs="宋体"/>
          <w:color w:val="auto"/>
          <w:kern w:val="0"/>
          <w:szCs w:val="21"/>
        </w:rPr>
        <w:t>承包人实施监理工程师的处理意见后，可向监理工程师提交复工报审表要求复工；监理工程师应在收到复工报审表后的48小时内予以答复。具备复工条件时，监理工程师应立即向承包人发出复工令，承包人应立即组织复工。监理工程师在收到复工报审表后的48小时内未答复也未提出处理意见的，承包人可自行复工，监理工程师应予认可。</w:t>
      </w:r>
    </w:p>
    <w:p>
      <w:pPr>
        <w:adjustRightInd w:val="0"/>
        <w:snapToGrid w:val="0"/>
        <w:spacing w:line="360" w:lineRule="auto"/>
        <w:ind w:left="1619" w:leftChars="771"/>
        <w:rPr>
          <w:rFonts w:ascii="宋体" w:hAnsi="宋体" w:cs="宋体"/>
          <w:color w:val="auto"/>
          <w:kern w:val="0"/>
          <w:szCs w:val="21"/>
        </w:rPr>
      </w:pPr>
      <w:r>
        <w:rPr>
          <w:rFonts w:hint="eastAsia" w:ascii="宋体" w:hAnsi="宋体" w:cs="宋体"/>
          <w:color w:val="auto"/>
          <w:kern w:val="0"/>
          <w:szCs w:val="21"/>
        </w:rPr>
        <w:t>承包人无故拖延或拒绝复工的，由此增加的费用和（或）延误的工期由承包人承担；因发包人的原因无法按时复工的，承包人有权要求发包人增加发生的费用和（或）顺延工期，并支付合理利润。</w:t>
      </w:r>
    </w:p>
    <w:p>
      <w:pPr>
        <w:adjustRightInd w:val="0"/>
        <w:snapToGrid w:val="0"/>
        <w:spacing w:line="360" w:lineRule="auto"/>
        <w:rPr>
          <w:rFonts w:ascii="宋体" w:hAnsi="宋体" w:cs="宋体"/>
          <w:b/>
          <w:color w:val="auto"/>
          <w:kern w:val="0"/>
          <w:szCs w:val="21"/>
          <w:u w:val="dotted"/>
        </w:rPr>
      </w:pPr>
      <w:r>
        <w:rPr>
          <w:rFonts w:ascii="宋体" w:hAnsi="宋体" w:cs="宋体"/>
          <w:color w:val="auto"/>
          <w:kern w:val="0"/>
          <w:szCs w:val="21"/>
        </w:rPr>
        <mc:AlternateContent>
          <mc:Choice Requires="wps">
            <w:drawing>
              <wp:anchor distT="0" distB="0" distL="114300" distR="114300" simplePos="0" relativeHeight="251686912" behindDoc="0" locked="0" layoutInCell="1" allowOverlap="1">
                <wp:simplePos x="0" y="0"/>
                <wp:positionH relativeFrom="column">
                  <wp:posOffset>-114300</wp:posOffset>
                </wp:positionH>
                <wp:positionV relativeFrom="paragraph">
                  <wp:posOffset>244475</wp:posOffset>
                </wp:positionV>
                <wp:extent cx="914400" cy="792480"/>
                <wp:effectExtent l="0" t="0" r="0" b="0"/>
                <wp:wrapNone/>
                <wp:docPr id="268" name="文本框 268"/>
                <wp:cNvGraphicFramePr/>
                <a:graphic xmlns:a="http://schemas.openxmlformats.org/drawingml/2006/main">
                  <a:graphicData uri="http://schemas.microsoft.com/office/word/2010/wordprocessingShape">
                    <wps:wsp>
                      <wps:cNvSpPr txBox="1">
                        <a:spLocks noChangeArrowheads="1"/>
                      </wps:cNvSpPr>
                      <wps:spPr bwMode="auto">
                        <a:xfrm>
                          <a:off x="0" y="0"/>
                          <a:ext cx="914400" cy="792480"/>
                        </a:xfrm>
                        <a:prstGeom prst="rect">
                          <a:avLst/>
                        </a:prstGeom>
                        <a:noFill/>
                        <a:ln>
                          <a:noFill/>
                        </a:ln>
                        <a:effectLst/>
                      </wps:spPr>
                      <wps:txbx>
                        <w:txbxContent>
                          <w:p>
                            <w:pPr>
                              <w:spacing w:line="220" w:lineRule="exact"/>
                              <w:rPr>
                                <w:rFonts w:ascii="楷体_GB2312" w:hAnsi="宋体"/>
                                <w:b/>
                                <w:color w:val="000000"/>
                                <w:sz w:val="18"/>
                                <w:szCs w:val="18"/>
                              </w:rPr>
                            </w:pPr>
                            <w:r>
                              <w:rPr>
                                <w:rFonts w:hint="eastAsia" w:ascii="楷体_GB2312" w:hAnsi="宋体"/>
                                <w:b/>
                                <w:color w:val="000000"/>
                                <w:sz w:val="18"/>
                                <w:szCs w:val="18"/>
                              </w:rPr>
                              <w:t>暂停施工持续56天以上的复工要求</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25pt;height:62.4pt;width:72pt;z-index:251686912;mso-width-relative:page;mso-height-relative:page;" filled="f" stroked="f" coordsize="21600,21600" o:gfxdata="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NHCdnfXAAAACgEAAA8AAAAAAAAAAQAgAAAAIgAAAGRycy9kb3du&#10;cmV2LnhtbFBLAQIUABQAAAAIAIdO4kA8F4PdAAIAANgDAAAOAAAAAAAAAAEAIAAAACYBAABkcnMv&#10;ZTJvRG9jLnhtbFBLBQYAAAAABgAGAFkBAACYBQAAAAA=&#10;">
                <v:fill on="f" focussize="0,0"/>
                <v:stroke on="f"/>
                <v:imagedata o:title=""/>
                <o:lock v:ext="edit" aspectratio="f"/>
                <v:textbox>
                  <w:txbxContent>
                    <w:p>
                      <w:pPr>
                        <w:spacing w:line="220" w:lineRule="exact"/>
                        <w:rPr>
                          <w:rFonts w:ascii="楷体_GB2312" w:hAnsi="宋体"/>
                          <w:b/>
                          <w:color w:val="000000"/>
                          <w:sz w:val="18"/>
                          <w:szCs w:val="18"/>
                        </w:rPr>
                      </w:pPr>
                      <w:r>
                        <w:rPr>
                          <w:rFonts w:hint="eastAsia" w:ascii="楷体_GB2312" w:hAnsi="宋体"/>
                          <w:b/>
                          <w:color w:val="000000"/>
                          <w:sz w:val="18"/>
                          <w:szCs w:val="18"/>
                        </w:rPr>
                        <w:t>暂停施工持续56天以上的复工要求</w:t>
                      </w:r>
                    </w:p>
                  </w:txbxContent>
                </v:textbox>
              </v:shape>
            </w:pict>
          </mc:Fallback>
        </mc:AlternateContent>
      </w:r>
      <w:r>
        <w:rPr>
          <w:rFonts w:hint="eastAsia" w:ascii="宋体" w:hAnsi="宋体" w:cs="宋体"/>
          <w:b/>
          <w:color w:val="auto"/>
          <w:kern w:val="0"/>
          <w:szCs w:val="21"/>
        </w:rPr>
        <w:t xml:space="preserve">35.3  </w:t>
      </w:r>
      <w:r>
        <w:rPr>
          <w:rFonts w:hint="eastAsia" w:ascii="宋体" w:hAnsi="宋体" w:cs="宋体"/>
          <w:b/>
          <w:color w:val="auto"/>
          <w:kern w:val="0"/>
          <w:szCs w:val="21"/>
          <w:u w:val="dotted"/>
        </w:rPr>
        <w:t xml:space="preserve">                                                                                                       </w:t>
      </w:r>
    </w:p>
    <w:p>
      <w:pPr>
        <w:adjustRightInd w:val="0"/>
        <w:snapToGrid w:val="0"/>
        <w:spacing w:line="360" w:lineRule="auto"/>
        <w:ind w:left="1619" w:leftChars="771"/>
        <w:rPr>
          <w:rFonts w:ascii="宋体" w:hAnsi="宋体" w:cs="宋体"/>
          <w:color w:val="auto"/>
          <w:kern w:val="0"/>
          <w:szCs w:val="21"/>
        </w:rPr>
      </w:pPr>
      <w:r>
        <w:rPr>
          <w:rFonts w:hint="eastAsia" w:ascii="宋体" w:hAnsi="宋体" w:cs="宋体"/>
          <w:color w:val="auto"/>
          <w:kern w:val="0"/>
          <w:szCs w:val="21"/>
        </w:rPr>
        <w:t>非承包人的原因造成暂停施工持续56天以上时，承包人可向监理工程师提交复工报审表要求复工；监理工程师应在收到复工报审表后的28天内准许复工。如果在上述期限内监理工程师未予准许，则承包人可以作如下选择：</w:t>
      </w:r>
    </w:p>
    <w:p>
      <w:pPr>
        <w:numPr>
          <w:ilvl w:val="0"/>
          <w:numId w:val="21"/>
        </w:numPr>
        <w:tabs>
          <w:tab w:val="left" w:pos="1080"/>
        </w:tabs>
        <w:adjustRightInd w:val="0"/>
        <w:snapToGrid w:val="0"/>
        <w:spacing w:line="360" w:lineRule="auto"/>
        <w:ind w:left="1618" w:leftChars="770" w:hanging="1"/>
        <w:rPr>
          <w:rFonts w:ascii="宋体" w:hAnsi="宋体" w:cs="宋体"/>
          <w:color w:val="auto"/>
          <w:kern w:val="0"/>
          <w:szCs w:val="21"/>
        </w:rPr>
      </w:pPr>
      <w:r>
        <w:rPr>
          <w:rFonts w:hint="eastAsia" w:ascii="宋体" w:hAnsi="宋体" w:cs="宋体"/>
          <w:color w:val="auto"/>
          <w:kern w:val="0"/>
          <w:szCs w:val="21"/>
        </w:rPr>
        <w:t>如果此项停工仅影响合同工程的一部分时，则根据第56.2款规定及时提出工程变更，取消该部分工程，并书面通知发包人，抄送监理工程师和造价工程师；</w:t>
      </w:r>
    </w:p>
    <w:p>
      <w:pPr>
        <w:numPr>
          <w:ilvl w:val="0"/>
          <w:numId w:val="21"/>
        </w:numPr>
        <w:tabs>
          <w:tab w:val="left" w:pos="1080"/>
        </w:tabs>
        <w:adjustRightInd w:val="0"/>
        <w:snapToGrid w:val="0"/>
        <w:spacing w:line="360" w:lineRule="auto"/>
        <w:ind w:left="2091" w:leftChars="771" w:hanging="472" w:hangingChars="225"/>
        <w:rPr>
          <w:rFonts w:ascii="宋体" w:hAnsi="宋体" w:cs="宋体"/>
          <w:color w:val="auto"/>
          <w:kern w:val="0"/>
          <w:szCs w:val="21"/>
        </w:rPr>
      </w:pPr>
      <w:r>
        <w:rPr>
          <w:rFonts w:hint="eastAsia" w:ascii="宋体" w:hAnsi="宋体" w:cs="宋体"/>
          <w:color w:val="auto"/>
          <w:kern w:val="0"/>
          <w:szCs w:val="21"/>
        </w:rPr>
        <w:t>如果此项停工影响整个合同工程时，则根据第87.4款规定解除合同。</w:t>
      </w:r>
    </w:p>
    <w:p>
      <w:pPr>
        <w:adjustRightInd w:val="0"/>
        <w:snapToGrid w:val="0"/>
        <w:spacing w:line="360" w:lineRule="auto"/>
        <w:ind w:left="1619"/>
        <w:rPr>
          <w:rFonts w:ascii="宋体" w:hAnsi="宋体" w:cs="宋体"/>
          <w:color w:val="auto"/>
          <w:kern w:val="0"/>
          <w:szCs w:val="21"/>
        </w:rPr>
      </w:pPr>
      <w:r>
        <w:rPr>
          <w:rFonts w:hint="eastAsia" w:ascii="宋体" w:hAnsi="宋体" w:cs="宋体"/>
          <w:color w:val="auto"/>
          <w:kern w:val="0"/>
          <w:szCs w:val="21"/>
        </w:rPr>
        <w:t>因承包人的原因引起暂停施工持续56天以上，承包人不采取有效的复工措施，造成工期延误的，发包人可根据第87.3款规定解除合同。</w:t>
      </w:r>
    </w:p>
    <w:p>
      <w:pPr>
        <w:tabs>
          <w:tab w:val="left" w:pos="2160"/>
        </w:tabs>
        <w:adjustRightInd w:val="0"/>
        <w:snapToGrid w:val="0"/>
        <w:spacing w:line="360" w:lineRule="auto"/>
        <w:rPr>
          <w:rFonts w:ascii="宋体" w:hAnsi="宋体" w:cs="宋体"/>
          <w:b/>
          <w:color w:val="auto"/>
          <w:kern w:val="0"/>
          <w:szCs w:val="21"/>
        </w:rPr>
      </w:pPr>
      <w:r>
        <w:rPr>
          <w:rFonts w:hint="eastAsia" w:ascii="宋体" w:hAnsi="宋体" w:cs="宋体"/>
          <w:b/>
          <w:color w:val="auto"/>
          <w:kern w:val="0"/>
          <w:szCs w:val="21"/>
        </w:rPr>
        <w:t xml:space="preserve">35.4  </w:t>
      </w:r>
      <w:r>
        <w:rPr>
          <w:rFonts w:hint="eastAsia" w:ascii="宋体" w:hAnsi="宋体" w:cs="宋体"/>
          <w:b/>
          <w:color w:val="auto"/>
          <w:kern w:val="0"/>
          <w:szCs w:val="21"/>
          <w:u w:val="dotted"/>
        </w:rPr>
        <w:t xml:space="preserve">                                                                                                        </w:t>
      </w:r>
    </w:p>
    <w:p>
      <w:pPr>
        <w:adjustRightInd w:val="0"/>
        <w:snapToGrid w:val="0"/>
        <w:spacing w:line="360" w:lineRule="auto"/>
        <w:ind w:left="1619" w:leftChars="771" w:firstLine="2"/>
        <w:rPr>
          <w:rFonts w:ascii="宋体" w:hAnsi="宋体" w:cs="宋体"/>
          <w:color w:val="auto"/>
          <w:kern w:val="0"/>
          <w:szCs w:val="21"/>
        </w:rPr>
      </w:pPr>
      <w:r>
        <w:rPr>
          <w:rFonts w:ascii="宋体" w:hAnsi="宋体" w:cs="宋体"/>
          <w:color w:val="auto"/>
          <w:kern w:val="0"/>
          <w:szCs w:val="21"/>
        </w:rPr>
        <mc:AlternateContent>
          <mc:Choice Requires="wps">
            <w:drawing>
              <wp:anchor distT="0" distB="0" distL="114300" distR="114300" simplePos="0" relativeHeight="251687936" behindDoc="0" locked="0" layoutInCell="1" allowOverlap="1">
                <wp:simplePos x="0" y="0"/>
                <wp:positionH relativeFrom="column">
                  <wp:posOffset>-114300</wp:posOffset>
                </wp:positionH>
                <wp:positionV relativeFrom="paragraph">
                  <wp:posOffset>635</wp:posOffset>
                </wp:positionV>
                <wp:extent cx="914400" cy="792480"/>
                <wp:effectExtent l="0" t="0" r="0" b="0"/>
                <wp:wrapNone/>
                <wp:docPr id="267" name="文本框 267"/>
                <wp:cNvGraphicFramePr/>
                <a:graphic xmlns:a="http://schemas.openxmlformats.org/drawingml/2006/main">
                  <a:graphicData uri="http://schemas.microsoft.com/office/word/2010/wordprocessingShape">
                    <wps:wsp>
                      <wps:cNvSpPr txBox="1">
                        <a:spLocks noChangeArrowheads="1"/>
                      </wps:cNvSpPr>
                      <wps:spPr bwMode="auto">
                        <a:xfrm>
                          <a:off x="0" y="0"/>
                          <a:ext cx="914400" cy="792480"/>
                        </a:xfrm>
                        <a:prstGeom prst="rect">
                          <a:avLst/>
                        </a:prstGeom>
                        <a:noFill/>
                        <a:ln>
                          <a:noFill/>
                        </a:ln>
                        <a:effectLst/>
                      </wps:spPr>
                      <wps:txbx>
                        <w:txbxContent>
                          <w:p>
                            <w:pPr>
                              <w:spacing w:line="220" w:lineRule="exact"/>
                              <w:rPr>
                                <w:rFonts w:ascii="楷体_GB2312" w:hAnsi="宋体"/>
                                <w:b/>
                                <w:color w:val="000000"/>
                                <w:sz w:val="18"/>
                                <w:szCs w:val="18"/>
                              </w:rPr>
                            </w:pPr>
                            <w:r>
                              <w:rPr>
                                <w:rFonts w:hint="eastAsia" w:ascii="楷体_GB2312" w:hAnsi="宋体"/>
                                <w:b/>
                                <w:color w:val="000000"/>
                                <w:sz w:val="18"/>
                                <w:szCs w:val="18"/>
                              </w:rPr>
                              <w:t>发包人、承包人原因和不可抗力因素造成暂停施工的责任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05pt;height:62.4pt;width:72pt;z-index:251687936;mso-width-relative:page;mso-height-relative:page;" filled="f" stroked="f" coordsize="21600,21600" o:gfxdata="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G3ah0vUAAAACAEAAA8AAAAAAAAAAQAgAAAAIgAAAGRycy9kb3ducmV2&#10;LnhtbFBLAQIUABQAAAAIAIdO4kCA9TrnAAIAANgDAAAOAAAAAAAAAAEAIAAAACMBAABkcnMvZTJv&#10;RG9jLnhtbFBLBQYAAAAABgAGAFkBAACVBQAAAAA=&#10;">
                <v:fill on="f" focussize="0,0"/>
                <v:stroke on="f"/>
                <v:imagedata o:title=""/>
                <o:lock v:ext="edit" aspectratio="f"/>
                <v:textbox>
                  <w:txbxContent>
                    <w:p>
                      <w:pPr>
                        <w:spacing w:line="220" w:lineRule="exact"/>
                        <w:rPr>
                          <w:rFonts w:ascii="楷体_GB2312" w:hAnsi="宋体"/>
                          <w:b/>
                          <w:color w:val="000000"/>
                          <w:sz w:val="18"/>
                          <w:szCs w:val="18"/>
                        </w:rPr>
                      </w:pPr>
                      <w:r>
                        <w:rPr>
                          <w:rFonts w:hint="eastAsia" w:ascii="楷体_GB2312" w:hAnsi="宋体"/>
                          <w:b/>
                          <w:color w:val="000000"/>
                          <w:sz w:val="18"/>
                          <w:szCs w:val="18"/>
                        </w:rPr>
                        <w:t>发包人、承包人原因和不可抗力因素造成暂停施工的责任</w:t>
                      </w:r>
                    </w:p>
                  </w:txbxContent>
                </v:textbox>
              </v:shape>
            </w:pict>
          </mc:Fallback>
        </mc:AlternateContent>
      </w:r>
      <w:r>
        <w:rPr>
          <w:rFonts w:hint="eastAsia" w:ascii="宋体" w:hAnsi="宋体" w:cs="宋体"/>
          <w:color w:val="auto"/>
          <w:kern w:val="0"/>
          <w:szCs w:val="21"/>
        </w:rPr>
        <w:t>因发包人的原因造成暂停施工且引起工期延误的，承包人有权要求发包人增加由此发生的费用和（或）顺延工期，并支付合理利润。</w:t>
      </w:r>
    </w:p>
    <w:p>
      <w:pPr>
        <w:adjustRightInd w:val="0"/>
        <w:snapToGrid w:val="0"/>
        <w:spacing w:line="360" w:lineRule="auto"/>
        <w:ind w:left="1619" w:leftChars="771" w:firstLine="2"/>
        <w:rPr>
          <w:rFonts w:ascii="宋体" w:hAnsi="宋体" w:cs="宋体"/>
          <w:color w:val="auto"/>
          <w:kern w:val="0"/>
          <w:szCs w:val="21"/>
        </w:rPr>
      </w:pPr>
      <w:r>
        <w:rPr>
          <w:rFonts w:hint="eastAsia" w:ascii="宋体" w:hAnsi="宋体" w:cs="宋体"/>
          <w:color w:val="auto"/>
          <w:kern w:val="0"/>
          <w:szCs w:val="21"/>
        </w:rPr>
        <w:t>因承包人下列原因造成的暂停施工，增加的费用和（或）延误的工期由承包人承担：</w:t>
      </w:r>
    </w:p>
    <w:p>
      <w:pPr>
        <w:numPr>
          <w:ilvl w:val="0"/>
          <w:numId w:val="22"/>
        </w:numPr>
        <w:adjustRightInd w:val="0"/>
        <w:snapToGrid w:val="0"/>
        <w:spacing w:line="360" w:lineRule="auto"/>
        <w:ind w:left="1617" w:leftChars="770"/>
        <w:rPr>
          <w:rFonts w:ascii="宋体" w:hAnsi="宋体" w:cs="宋体"/>
          <w:color w:val="auto"/>
          <w:kern w:val="0"/>
          <w:szCs w:val="21"/>
        </w:rPr>
      </w:pPr>
      <w:r>
        <w:rPr>
          <w:rFonts w:hint="eastAsia" w:ascii="宋体" w:hAnsi="宋体" w:cs="宋体"/>
          <w:color w:val="auto"/>
          <w:kern w:val="0"/>
          <w:szCs w:val="21"/>
        </w:rPr>
        <w:t>工作失误或违约造成的；</w:t>
      </w:r>
    </w:p>
    <w:p>
      <w:pPr>
        <w:numPr>
          <w:ilvl w:val="0"/>
          <w:numId w:val="22"/>
        </w:numPr>
        <w:adjustRightInd w:val="0"/>
        <w:snapToGrid w:val="0"/>
        <w:spacing w:line="360" w:lineRule="auto"/>
        <w:ind w:left="2089" w:leftChars="770" w:hanging="472" w:hangingChars="225"/>
        <w:rPr>
          <w:rFonts w:ascii="宋体" w:hAnsi="宋体" w:cs="宋体"/>
          <w:color w:val="auto"/>
          <w:kern w:val="0"/>
          <w:szCs w:val="21"/>
        </w:rPr>
      </w:pPr>
      <w:r>
        <w:rPr>
          <w:rFonts w:hint="eastAsia" w:ascii="宋体" w:hAnsi="宋体" w:cs="宋体"/>
          <w:color w:val="auto"/>
          <w:kern w:val="0"/>
          <w:szCs w:val="21"/>
        </w:rPr>
        <w:t>为合同工程合理施工和安全保障所必需的；</w:t>
      </w:r>
    </w:p>
    <w:p>
      <w:pPr>
        <w:numPr>
          <w:ilvl w:val="0"/>
          <w:numId w:val="22"/>
        </w:numPr>
        <w:adjustRightInd w:val="0"/>
        <w:snapToGrid w:val="0"/>
        <w:spacing w:line="360" w:lineRule="auto"/>
        <w:ind w:left="1617" w:leftChars="770"/>
        <w:rPr>
          <w:rFonts w:ascii="宋体" w:hAnsi="宋体" w:cs="宋体"/>
          <w:color w:val="auto"/>
          <w:kern w:val="0"/>
          <w:szCs w:val="21"/>
        </w:rPr>
      </w:pPr>
      <w:r>
        <w:rPr>
          <w:rFonts w:hint="eastAsia" w:ascii="宋体" w:hAnsi="宋体" w:cs="宋体"/>
          <w:color w:val="auto"/>
          <w:kern w:val="0"/>
          <w:szCs w:val="21"/>
        </w:rPr>
        <w:t>施工现场气候条件（除不可抗力停工外）导致的；</w:t>
      </w:r>
    </w:p>
    <w:p>
      <w:pPr>
        <w:numPr>
          <w:ilvl w:val="0"/>
          <w:numId w:val="22"/>
        </w:numPr>
        <w:adjustRightInd w:val="0"/>
        <w:snapToGrid w:val="0"/>
        <w:spacing w:line="360" w:lineRule="auto"/>
        <w:ind w:left="1617" w:leftChars="770"/>
        <w:rPr>
          <w:rFonts w:ascii="宋体" w:hAnsi="宋体" w:cs="宋体"/>
          <w:color w:val="auto"/>
          <w:kern w:val="0"/>
          <w:szCs w:val="21"/>
        </w:rPr>
      </w:pPr>
      <w:r>
        <w:rPr>
          <w:rFonts w:hint="eastAsia" w:ascii="宋体" w:hAnsi="宋体" w:cs="宋体"/>
          <w:color w:val="auto"/>
          <w:kern w:val="0"/>
          <w:szCs w:val="21"/>
        </w:rPr>
        <w:t>擅自停工的；</w:t>
      </w:r>
    </w:p>
    <w:p>
      <w:pPr>
        <w:numPr>
          <w:ilvl w:val="0"/>
          <w:numId w:val="22"/>
        </w:numPr>
        <w:adjustRightInd w:val="0"/>
        <w:snapToGrid w:val="0"/>
        <w:spacing w:line="360" w:lineRule="auto"/>
        <w:ind w:left="1617" w:leftChars="770"/>
        <w:rPr>
          <w:rFonts w:ascii="宋体" w:hAnsi="宋体" w:cs="宋体"/>
          <w:color w:val="auto"/>
          <w:kern w:val="0"/>
          <w:szCs w:val="21"/>
        </w:rPr>
      </w:pPr>
      <w:r>
        <w:rPr>
          <w:rFonts w:hint="eastAsia" w:ascii="宋体" w:hAnsi="宋体" w:cs="宋体"/>
          <w:color w:val="auto"/>
          <w:kern w:val="0"/>
          <w:szCs w:val="21"/>
        </w:rPr>
        <w:t>专用条款约定的其他原因。</w:t>
      </w:r>
    </w:p>
    <w:p>
      <w:pPr>
        <w:tabs>
          <w:tab w:val="left" w:pos="1980"/>
        </w:tabs>
        <w:adjustRightInd w:val="0"/>
        <w:snapToGrid w:val="0"/>
        <w:spacing w:line="360" w:lineRule="auto"/>
        <w:ind w:left="1617" w:leftChars="770"/>
        <w:rPr>
          <w:rFonts w:ascii="宋体" w:hAnsi="宋体" w:cs="宋体"/>
          <w:color w:val="auto"/>
          <w:kern w:val="0"/>
          <w:szCs w:val="21"/>
        </w:rPr>
      </w:pPr>
      <w:r>
        <w:rPr>
          <w:rFonts w:hint="eastAsia" w:ascii="宋体" w:hAnsi="宋体" w:cs="宋体"/>
          <w:color w:val="auto"/>
          <w:kern w:val="0"/>
          <w:szCs w:val="21"/>
        </w:rPr>
        <w:t>因不可抗力因素造成暂停施工的，按照第31条规定处理。</w:t>
      </w:r>
    </w:p>
    <w:p>
      <w:pPr>
        <w:tabs>
          <w:tab w:val="left" w:pos="1320"/>
        </w:tabs>
        <w:adjustRightInd w:val="0"/>
        <w:snapToGrid w:val="0"/>
        <w:spacing w:line="360" w:lineRule="auto"/>
        <w:rPr>
          <w:rFonts w:ascii="宋体" w:hAnsi="宋体" w:cs="宋体"/>
          <w:b/>
          <w:color w:val="auto"/>
          <w:kern w:val="0"/>
          <w:szCs w:val="21"/>
        </w:rPr>
      </w:pPr>
      <w:r>
        <w:rPr>
          <w:rFonts w:hint="eastAsia" w:ascii="宋体" w:hAnsi="宋体" w:cs="宋体"/>
          <w:b/>
          <w:color w:val="auto"/>
          <w:kern w:val="0"/>
          <w:szCs w:val="21"/>
        </w:rPr>
        <w:t xml:space="preserve">35.5  </w:t>
      </w:r>
      <w:r>
        <w:rPr>
          <w:rFonts w:hint="eastAsia" w:ascii="宋体" w:hAnsi="宋体" w:cs="宋体"/>
          <w:b/>
          <w:color w:val="auto"/>
          <w:kern w:val="0"/>
          <w:szCs w:val="21"/>
          <w:u w:val="dotted"/>
        </w:rPr>
        <w:t xml:space="preserve">                                                                                                        </w:t>
      </w:r>
    </w:p>
    <w:p>
      <w:pPr>
        <w:adjustRightInd w:val="0"/>
        <w:snapToGrid w:val="0"/>
        <w:spacing w:line="360" w:lineRule="auto"/>
        <w:ind w:left="1619" w:leftChars="771"/>
        <w:rPr>
          <w:rFonts w:ascii="宋体" w:hAnsi="宋体" w:cs="宋体"/>
          <w:color w:val="auto"/>
          <w:kern w:val="0"/>
          <w:szCs w:val="21"/>
        </w:rPr>
      </w:pPr>
      <w:r>
        <w:rPr>
          <w:rFonts w:ascii="宋体" w:hAnsi="宋体" w:cs="宋体"/>
          <w:color w:val="auto"/>
          <w:kern w:val="0"/>
          <w:szCs w:val="21"/>
        </w:rPr>
        <mc:AlternateContent>
          <mc:Choice Requires="wps">
            <w:drawing>
              <wp:anchor distT="0" distB="0" distL="114300" distR="114300" simplePos="0" relativeHeight="251688960" behindDoc="0" locked="0" layoutInCell="1" allowOverlap="1">
                <wp:simplePos x="0" y="0"/>
                <wp:positionH relativeFrom="column">
                  <wp:posOffset>-66675</wp:posOffset>
                </wp:positionH>
                <wp:positionV relativeFrom="paragraph">
                  <wp:posOffset>6350</wp:posOffset>
                </wp:positionV>
                <wp:extent cx="914400" cy="693420"/>
                <wp:effectExtent l="0" t="0" r="0" b="0"/>
                <wp:wrapNone/>
                <wp:docPr id="266" name="文本框 266"/>
                <wp:cNvGraphicFramePr/>
                <a:graphic xmlns:a="http://schemas.openxmlformats.org/drawingml/2006/main">
                  <a:graphicData uri="http://schemas.microsoft.com/office/word/2010/wordprocessingShape">
                    <wps:wsp>
                      <wps:cNvSpPr txBox="1">
                        <a:spLocks noChangeArrowheads="1"/>
                      </wps:cNvSpPr>
                      <wps:spPr bwMode="auto">
                        <a:xfrm>
                          <a:off x="0" y="0"/>
                          <a:ext cx="914400" cy="693420"/>
                        </a:xfrm>
                        <a:prstGeom prst="rect">
                          <a:avLst/>
                        </a:prstGeom>
                        <a:noFill/>
                        <a:ln>
                          <a:noFill/>
                        </a:ln>
                        <a:effectLst/>
                      </wps:spPr>
                      <wps:txbx>
                        <w:txbxContent>
                          <w:p>
                            <w:pPr>
                              <w:spacing w:line="220" w:lineRule="exact"/>
                              <w:rPr>
                                <w:rFonts w:ascii="楷体_GB2312" w:hAnsi="宋体"/>
                                <w:b/>
                                <w:color w:val="000000"/>
                                <w:sz w:val="18"/>
                                <w:szCs w:val="18"/>
                              </w:rPr>
                            </w:pPr>
                            <w:r>
                              <w:rPr>
                                <w:rFonts w:hint="eastAsia" w:ascii="楷体_GB2312" w:hAnsi="宋体"/>
                                <w:b/>
                                <w:color w:val="000000"/>
                                <w:sz w:val="18"/>
                                <w:szCs w:val="18"/>
                              </w:rPr>
                              <w:t>发包人不按规定支付工程款造成暂停施工的责任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25pt;margin-top:0.5pt;height:54.6pt;width:72pt;z-index:251688960;mso-width-relative:page;mso-height-relative:page;" filled="f" stroked="f" coordsize="21600,21600" o:gfxdata="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KLVLN7UAAAACQEAAA8AAAAAAAAAAQAgAAAAIgAAAGRycy9kb3ducmV2&#10;LnhtbFBLAQIUABQAAAAIAIdO4kCOKNMlAAIAANgDAAAOAAAAAAAAAAEAIAAAACMBAABkcnMvZTJv&#10;RG9jLnhtbFBLBQYAAAAABgAGAFkBAACVBQAAAAA=&#10;">
                <v:fill on="f" focussize="0,0"/>
                <v:stroke on="f"/>
                <v:imagedata o:title=""/>
                <o:lock v:ext="edit" aspectratio="f"/>
                <v:textbox>
                  <w:txbxContent>
                    <w:p>
                      <w:pPr>
                        <w:spacing w:line="220" w:lineRule="exact"/>
                        <w:rPr>
                          <w:rFonts w:ascii="楷体_GB2312" w:hAnsi="宋体"/>
                          <w:b/>
                          <w:color w:val="000000"/>
                          <w:sz w:val="18"/>
                          <w:szCs w:val="18"/>
                        </w:rPr>
                      </w:pPr>
                      <w:r>
                        <w:rPr>
                          <w:rFonts w:hint="eastAsia" w:ascii="楷体_GB2312" w:hAnsi="宋体"/>
                          <w:b/>
                          <w:color w:val="000000"/>
                          <w:sz w:val="18"/>
                          <w:szCs w:val="18"/>
                        </w:rPr>
                        <w:t>发包人不按规定支付工程款造成暂停施工的责任</w:t>
                      </w:r>
                    </w:p>
                  </w:txbxContent>
                </v:textbox>
              </v:shape>
            </w:pict>
          </mc:Fallback>
        </mc:AlternateContent>
      </w:r>
      <w:r>
        <w:rPr>
          <w:rFonts w:hint="eastAsia" w:ascii="宋体" w:hAnsi="宋体" w:cs="宋体"/>
          <w:color w:val="auto"/>
          <w:kern w:val="0"/>
          <w:szCs w:val="21"/>
        </w:rPr>
        <w:t>如果发包人未按照合同约定支付工程进度款，经催告后在28天内仍未支付的，承包人可以暂停施工，直至收到包括第78.2款规定的应付利息在内的所欠全部款项。由此造成的暂停施工，视为是因发包人的原因引起的，并按照第35.4款规定处理。</w:t>
      </w:r>
    </w:p>
    <w:p>
      <w:pPr>
        <w:tabs>
          <w:tab w:val="left" w:pos="1320"/>
        </w:tabs>
        <w:adjustRightInd w:val="0"/>
        <w:snapToGrid w:val="0"/>
        <w:spacing w:line="360" w:lineRule="auto"/>
        <w:rPr>
          <w:rFonts w:ascii="宋体" w:hAnsi="宋体" w:cs="宋体"/>
          <w:b/>
          <w:color w:val="auto"/>
          <w:kern w:val="0"/>
          <w:szCs w:val="21"/>
        </w:rPr>
      </w:pPr>
      <w:r>
        <w:rPr>
          <w:rFonts w:hint="eastAsia" w:ascii="宋体" w:hAnsi="宋体" w:cs="宋体"/>
          <w:b/>
          <w:color w:val="auto"/>
          <w:kern w:val="0"/>
          <w:szCs w:val="21"/>
        </w:rPr>
        <w:t xml:space="preserve">35.6  </w:t>
      </w:r>
      <w:r>
        <w:rPr>
          <w:rFonts w:hint="eastAsia" w:ascii="宋体" w:hAnsi="宋体" w:cs="宋体"/>
          <w:b/>
          <w:color w:val="auto"/>
          <w:kern w:val="0"/>
          <w:szCs w:val="21"/>
          <w:u w:val="dotted"/>
        </w:rPr>
        <w:t xml:space="preserve">                                                                                                        </w:t>
      </w:r>
    </w:p>
    <w:p>
      <w:pPr>
        <w:adjustRightInd w:val="0"/>
        <w:snapToGrid w:val="0"/>
        <w:spacing w:line="360" w:lineRule="auto"/>
        <w:ind w:left="1619" w:leftChars="771"/>
        <w:rPr>
          <w:rFonts w:ascii="宋体" w:hAnsi="宋体" w:cs="宋体"/>
          <w:color w:val="auto"/>
          <w:kern w:val="0"/>
          <w:szCs w:val="21"/>
        </w:rPr>
      </w:pPr>
      <w:r>
        <w:rPr>
          <w:rFonts w:ascii="宋体" w:hAnsi="宋体" w:cs="宋体"/>
          <w:color w:val="auto"/>
          <w:kern w:val="0"/>
          <w:szCs w:val="21"/>
        </w:rPr>
        <mc:AlternateContent>
          <mc:Choice Requires="wps">
            <w:drawing>
              <wp:anchor distT="0" distB="0" distL="114300" distR="114300" simplePos="0" relativeHeight="251889664" behindDoc="0" locked="0" layoutInCell="1" allowOverlap="1">
                <wp:simplePos x="0" y="0"/>
                <wp:positionH relativeFrom="column">
                  <wp:posOffset>-114300</wp:posOffset>
                </wp:positionH>
                <wp:positionV relativeFrom="paragraph">
                  <wp:posOffset>635</wp:posOffset>
                </wp:positionV>
                <wp:extent cx="914400" cy="396240"/>
                <wp:effectExtent l="0" t="0" r="0" b="0"/>
                <wp:wrapNone/>
                <wp:docPr id="265" name="文本框 265"/>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pPr>
                              <w:spacing w:line="220" w:lineRule="exact"/>
                              <w:rPr>
                                <w:rFonts w:ascii="楷体_GB2312" w:hAnsi="宋体"/>
                                <w:b/>
                                <w:color w:val="000000"/>
                                <w:sz w:val="18"/>
                                <w:szCs w:val="18"/>
                              </w:rPr>
                            </w:pPr>
                            <w:r>
                              <w:rPr>
                                <w:rFonts w:hint="eastAsia" w:ascii="楷体_GB2312" w:hAnsi="宋体"/>
                                <w:b/>
                                <w:color w:val="000000"/>
                                <w:sz w:val="18"/>
                                <w:szCs w:val="18"/>
                              </w:rPr>
                              <w:t>暂停施工结束后的处理</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05pt;height:31.2pt;width:72pt;z-index:251889664;mso-width-relative:page;mso-height-relative:page;" filled="f" stroked="f" coordsize="21600,21600" o:gfxdata="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H8G9LdMAAAAHAQAADwAAAAAAAAABACAAAAAiAAAAZHJzL2Rvd25yZXYu&#10;eG1sUEsBAhQAFAAAAAgAh07iQEhsaswAAgAA2AMAAA4AAAAAAAAAAQAgAAAAIgEAAGRycy9lMm9E&#10;b2MueG1sUEsFBgAAAAAGAAYAWQEAAJQFAAAAAA==&#10;">
                <v:fill on="f" focussize="0,0"/>
                <v:stroke on="f"/>
                <v:imagedata o:title=""/>
                <o:lock v:ext="edit" aspectratio="f"/>
                <v:textbox>
                  <w:txbxContent>
                    <w:p>
                      <w:pPr>
                        <w:spacing w:line="220" w:lineRule="exact"/>
                        <w:rPr>
                          <w:rFonts w:ascii="楷体_GB2312" w:hAnsi="宋体"/>
                          <w:b/>
                          <w:color w:val="000000"/>
                          <w:sz w:val="18"/>
                          <w:szCs w:val="18"/>
                        </w:rPr>
                      </w:pPr>
                      <w:r>
                        <w:rPr>
                          <w:rFonts w:hint="eastAsia" w:ascii="楷体_GB2312" w:hAnsi="宋体"/>
                          <w:b/>
                          <w:color w:val="000000"/>
                          <w:sz w:val="18"/>
                          <w:szCs w:val="18"/>
                        </w:rPr>
                        <w:t>暂停施工结束后的处理</w:t>
                      </w:r>
                    </w:p>
                  </w:txbxContent>
                </v:textbox>
              </v:shape>
            </w:pict>
          </mc:Fallback>
        </mc:AlternateContent>
      </w:r>
      <w:r>
        <w:rPr>
          <w:rFonts w:hint="eastAsia" w:ascii="宋体" w:hAnsi="宋体" w:cs="宋体"/>
          <w:color w:val="auto"/>
          <w:kern w:val="0"/>
          <w:szCs w:val="21"/>
        </w:rPr>
        <w:t>暂停施工结束后，承包人和监理工程师应对受暂停施工影响的工程、材料和工程设备进行检查。承包人负责修复在暂停期间发生的任何变质、缺陷或损坏，因而发生的费用和造成的损失按照第35.4款规定处理。</w:t>
      </w:r>
    </w:p>
    <w:p>
      <w:pPr>
        <w:adjustRightInd w:val="0"/>
        <w:snapToGrid w:val="0"/>
        <w:spacing w:line="360" w:lineRule="auto"/>
        <w:rPr>
          <w:rFonts w:ascii="宋体" w:hAnsi="宋体" w:cs="宋体"/>
          <w:b/>
          <w:color w:val="auto"/>
          <w:kern w:val="0"/>
          <w:szCs w:val="21"/>
        </w:rPr>
      </w:pPr>
      <w:r>
        <w:rPr>
          <w:rFonts w:hint="eastAsia" w:ascii="宋体" w:hAnsi="宋体" w:cs="宋体"/>
          <w:b/>
          <w:color w:val="auto"/>
          <w:kern w:val="0"/>
          <w:szCs w:val="21"/>
          <w:u w:val="single"/>
        </w:rPr>
        <w:t xml:space="preserve">                                                                                  </w:t>
      </w:r>
    </w:p>
    <w:p>
      <w:pPr>
        <w:adjustRightInd w:val="0"/>
        <w:snapToGrid w:val="0"/>
        <w:spacing w:line="360" w:lineRule="auto"/>
        <w:rPr>
          <w:rFonts w:ascii="宋体" w:hAnsi="宋体" w:cs="宋体"/>
          <w:color w:val="auto"/>
          <w:kern w:val="0"/>
          <w:szCs w:val="21"/>
          <w:u w:val="single"/>
        </w:rPr>
      </w:pPr>
    </w:p>
    <w:p>
      <w:pPr>
        <w:adjustRightInd w:val="0"/>
        <w:snapToGrid w:val="0"/>
        <w:spacing w:line="360" w:lineRule="auto"/>
        <w:rPr>
          <w:rFonts w:ascii="宋体" w:hAnsi="宋体" w:cs="宋体"/>
          <w:b/>
          <w:color w:val="auto"/>
          <w:kern w:val="0"/>
          <w:szCs w:val="21"/>
        </w:rPr>
      </w:pPr>
      <w:r>
        <w:rPr>
          <w:rFonts w:hint="eastAsia" w:ascii="宋体" w:hAnsi="宋体" w:cs="宋体"/>
          <w:b/>
          <w:color w:val="auto"/>
          <w:kern w:val="0"/>
          <w:szCs w:val="21"/>
        </w:rPr>
        <w:t>36  工期和工期延误</w:t>
      </w:r>
    </w:p>
    <w:p>
      <w:pPr>
        <w:adjustRightInd w:val="0"/>
        <w:snapToGrid w:val="0"/>
        <w:spacing w:line="360" w:lineRule="auto"/>
        <w:rPr>
          <w:rFonts w:ascii="宋体" w:hAnsi="宋体" w:cs="宋体"/>
          <w:b/>
          <w:color w:val="auto"/>
          <w:kern w:val="0"/>
          <w:szCs w:val="21"/>
        </w:rPr>
      </w:pPr>
      <w:r>
        <w:rPr>
          <w:rFonts w:hint="eastAsia" w:ascii="宋体" w:hAnsi="宋体" w:cs="宋体"/>
          <w:b/>
          <w:color w:val="auto"/>
          <w:kern w:val="0"/>
          <w:szCs w:val="21"/>
        </w:rPr>
        <w:t xml:space="preserve">36.1     </w:t>
      </w:r>
    </w:p>
    <w:p>
      <w:pPr>
        <w:spacing w:line="360" w:lineRule="auto"/>
        <w:ind w:left="1619" w:leftChars="771"/>
        <w:rPr>
          <w:rFonts w:ascii="宋体" w:hAnsi="宋体" w:cs="宋体"/>
          <w:color w:val="auto"/>
          <w:szCs w:val="21"/>
        </w:rPr>
      </w:pPr>
      <w:r>
        <w:rPr>
          <w:rFonts w:ascii="宋体" w:hAnsi="宋体" w:cs="宋体"/>
          <w:color w:val="auto"/>
          <w:szCs w:val="21"/>
        </w:rPr>
        <mc:AlternateContent>
          <mc:Choice Requires="wps">
            <w:drawing>
              <wp:anchor distT="0" distB="0" distL="114300" distR="114300" simplePos="0" relativeHeight="251912192" behindDoc="0" locked="0" layoutInCell="1" allowOverlap="1">
                <wp:simplePos x="0" y="0"/>
                <wp:positionH relativeFrom="column">
                  <wp:posOffset>-114300</wp:posOffset>
                </wp:positionH>
                <wp:positionV relativeFrom="paragraph">
                  <wp:posOffset>393700</wp:posOffset>
                </wp:positionV>
                <wp:extent cx="977900" cy="335915"/>
                <wp:effectExtent l="0" t="0" r="0" b="0"/>
                <wp:wrapNone/>
                <wp:docPr id="264" name="文本框 264"/>
                <wp:cNvGraphicFramePr/>
                <a:graphic xmlns:a="http://schemas.openxmlformats.org/drawingml/2006/main">
                  <a:graphicData uri="http://schemas.microsoft.com/office/word/2010/wordprocessingShape">
                    <wps:wsp>
                      <wps:cNvSpPr txBox="1">
                        <a:spLocks noChangeArrowheads="1"/>
                      </wps:cNvSpPr>
                      <wps:spPr bwMode="auto">
                        <a:xfrm>
                          <a:off x="0" y="0"/>
                          <a:ext cx="977900" cy="335915"/>
                        </a:xfrm>
                        <a:prstGeom prst="rect">
                          <a:avLst/>
                        </a:prstGeom>
                        <a:noFill/>
                        <a:ln>
                          <a:noFill/>
                        </a:ln>
                        <a:effectLst/>
                      </wps:spPr>
                      <wps:txbx>
                        <w:txbxContent>
                          <w:p>
                            <w:pPr>
                              <w:rPr>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1pt;height:26.45pt;width:77pt;z-index:251912192;mso-width-relative:page;mso-height-relative:page;" filled="f" stroked="f" coordsize="21600,21600" o:gfxdata="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Jl/3ojXAAAACgEAAA8AAAAAAAAAAQAgAAAAIgAAAGRycy9k&#10;b3ducmV2LnhtbFBLAQIUABQAAAAIAIdO4kCzFYezAwIAANgDAAAOAAAAAAAAAAEAIAAAACYBAABk&#10;cnMvZTJvRG9jLnhtbFBLBQYAAAAABgAGAFkBAACbBQAAAAA=&#10;">
                <v:fill on="f" focussize="0,0"/>
                <v:stroke on="f"/>
                <v:imagedata o:title=""/>
                <o:lock v:ext="edit" aspectratio="f"/>
                <v:textbox>
                  <w:txbxContent>
                    <w:p>
                      <w:pPr>
                        <w:rPr>
                          <w:szCs w:val="18"/>
                        </w:rPr>
                      </w:pPr>
                    </w:p>
                  </w:txbxContent>
                </v:textbox>
              </v:shape>
            </w:pict>
          </mc:Fallback>
        </mc:AlternateContent>
      </w:r>
      <w:r>
        <w:rPr>
          <w:rFonts w:ascii="宋体" w:hAnsi="宋体" w:cs="宋体"/>
          <w:color w:val="auto"/>
          <w:szCs w:val="21"/>
        </w:rPr>
        <mc:AlternateContent>
          <mc:Choice Requires="wps">
            <w:drawing>
              <wp:anchor distT="0" distB="0" distL="114300" distR="114300" simplePos="0" relativeHeight="251911168" behindDoc="0" locked="0" layoutInCell="1" allowOverlap="1">
                <wp:simplePos x="0" y="0"/>
                <wp:positionH relativeFrom="column">
                  <wp:posOffset>-114300</wp:posOffset>
                </wp:positionH>
                <wp:positionV relativeFrom="paragraph">
                  <wp:posOffset>31750</wp:posOffset>
                </wp:positionV>
                <wp:extent cx="800100" cy="459740"/>
                <wp:effectExtent l="0" t="0" r="0" b="0"/>
                <wp:wrapNone/>
                <wp:docPr id="263" name="文本框 263"/>
                <wp:cNvGraphicFramePr/>
                <a:graphic xmlns:a="http://schemas.openxmlformats.org/drawingml/2006/main">
                  <a:graphicData uri="http://schemas.microsoft.com/office/word/2010/wordprocessingShape">
                    <wps:wsp>
                      <wps:cNvSpPr txBox="1">
                        <a:spLocks noChangeArrowheads="1"/>
                      </wps:cNvSpPr>
                      <wps:spPr bwMode="auto">
                        <a:xfrm>
                          <a:off x="0" y="0"/>
                          <a:ext cx="800100" cy="459740"/>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工期计算</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5pt;height:36.2pt;width:63pt;z-index:251911168;mso-width-relative:page;mso-height-relative:page;" filled="f" stroked="f" coordsize="21600,21600" o:gfxdata="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VyCmINUAAAAIAQAADwAAAAAAAAABACAAAAAiAAAAZHJzL2Rvd25y&#10;ZXYueG1sUEsBAhQAFAAAAAgAh07iQLqx/gEBAgAA2AMAAA4AAAAAAAAAAQAgAAAAJAEAAGRycy9l&#10;Mm9Eb2MueG1sUEsFBgAAAAAGAAYAWQEAAJcFA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工期计算</w:t>
                      </w:r>
                    </w:p>
                  </w:txbxContent>
                </v:textbox>
              </v:shape>
            </w:pict>
          </mc:Fallback>
        </mc:AlternateContent>
      </w:r>
      <w:r>
        <w:rPr>
          <w:rFonts w:hint="eastAsia" w:ascii="宋体" w:hAnsi="宋体" w:cs="宋体"/>
          <w:color w:val="auto"/>
          <w:szCs w:val="21"/>
        </w:rPr>
        <w:t>合同工程的工期，由合同双方当事人根据《广东省建筑安装工程工期定额》等有关规定，结合合同工程拟实施的施工组织设计或施工方案等情况予以确定，并在合同中约定。</w:t>
      </w:r>
    </w:p>
    <w:p>
      <w:pPr>
        <w:spacing w:line="360" w:lineRule="auto"/>
        <w:ind w:left="1619" w:leftChars="771"/>
        <w:rPr>
          <w:rFonts w:ascii="宋体" w:hAnsi="宋体" w:cs="宋体"/>
          <w:color w:val="auto"/>
          <w:szCs w:val="21"/>
        </w:rPr>
      </w:pPr>
      <w:r>
        <w:rPr>
          <w:rFonts w:hint="eastAsia" w:ascii="宋体" w:hAnsi="宋体" w:cs="宋体"/>
          <w:color w:val="auto"/>
          <w:szCs w:val="21"/>
        </w:rPr>
        <w:t>禁止合同双方当事人随意压缩工期。</w:t>
      </w:r>
    </w:p>
    <w:p>
      <w:pPr>
        <w:adjustRightInd w:val="0"/>
        <w:snapToGrid w:val="0"/>
        <w:spacing w:line="360" w:lineRule="auto"/>
        <w:rPr>
          <w:rFonts w:ascii="宋体" w:hAnsi="宋体" w:cs="宋体"/>
          <w:color w:val="auto"/>
          <w:kern w:val="0"/>
          <w:szCs w:val="21"/>
        </w:rPr>
      </w:pPr>
      <w:r>
        <w:rPr>
          <w:rFonts w:hint="eastAsia" w:ascii="宋体" w:hAnsi="宋体" w:cs="宋体"/>
          <w:b/>
          <w:color w:val="auto"/>
          <w:kern w:val="0"/>
          <w:szCs w:val="21"/>
        </w:rPr>
        <w:t xml:space="preserve">36.2 </w:t>
      </w:r>
      <w:r>
        <w:rPr>
          <w:rFonts w:hint="eastAsia" w:ascii="宋体" w:hAnsi="宋体" w:cs="宋体"/>
          <w:color w:val="auto"/>
          <w:kern w:val="0"/>
          <w:szCs w:val="21"/>
          <w:u w:val="dotted"/>
        </w:rPr>
        <w:t xml:space="preserve">                                                                          </w:t>
      </w:r>
    </w:p>
    <w:p>
      <w:pPr>
        <w:adjustRightInd w:val="0"/>
        <w:snapToGrid w:val="0"/>
        <w:spacing w:line="360" w:lineRule="auto"/>
        <w:ind w:left="1671" w:leftChars="771" w:hanging="52" w:hangingChars="25"/>
        <w:rPr>
          <w:rFonts w:ascii="宋体" w:hAnsi="宋体" w:cs="宋体"/>
          <w:color w:val="auto"/>
          <w:kern w:val="0"/>
          <w:szCs w:val="21"/>
        </w:rPr>
      </w:pPr>
      <w:r>
        <w:rPr>
          <w:rFonts w:ascii="宋体" w:hAnsi="宋体" w:cs="宋体"/>
          <w:color w:val="auto"/>
          <w:kern w:val="0"/>
          <w:szCs w:val="21"/>
        </w:rPr>
        <mc:AlternateContent>
          <mc:Choice Requires="wps">
            <w:drawing>
              <wp:anchor distT="0" distB="0" distL="114300" distR="114300" simplePos="0" relativeHeight="251689984" behindDoc="0" locked="0" layoutInCell="1" allowOverlap="1">
                <wp:simplePos x="0" y="0"/>
                <wp:positionH relativeFrom="column">
                  <wp:posOffset>-114300</wp:posOffset>
                </wp:positionH>
                <wp:positionV relativeFrom="paragraph">
                  <wp:posOffset>31750</wp:posOffset>
                </wp:positionV>
                <wp:extent cx="800100" cy="459740"/>
                <wp:effectExtent l="0" t="0" r="0" b="0"/>
                <wp:wrapNone/>
                <wp:docPr id="262" name="文本框 262"/>
                <wp:cNvGraphicFramePr/>
                <a:graphic xmlns:a="http://schemas.openxmlformats.org/drawingml/2006/main">
                  <a:graphicData uri="http://schemas.microsoft.com/office/word/2010/wordprocessingShape">
                    <wps:wsp>
                      <wps:cNvSpPr txBox="1">
                        <a:spLocks noChangeArrowheads="1"/>
                      </wps:cNvSpPr>
                      <wps:spPr bwMode="auto">
                        <a:xfrm>
                          <a:off x="0" y="0"/>
                          <a:ext cx="800100" cy="459740"/>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工期约定的要求</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5pt;height:36.2pt;width:63pt;z-index:251689984;mso-width-relative:page;mso-height-relative:page;" filled="f" stroked="f" coordsize="21600,21600" o:gfxdata="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VyCmINUAAAAIAQAADwAAAAAAAAABACAAAAAiAAAAZHJzL2Rvd25y&#10;ZXYueG1sUEsBAhQAFAAAAAgAh07iQD5uSQUBAgAA2AMAAA4AAAAAAAAAAQAgAAAAJAEAAGRycy9l&#10;Mm9Eb2MueG1sUEsFBgAAAAAGAAYAWQEAAJcFA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工期约定的要求</w:t>
                      </w:r>
                    </w:p>
                  </w:txbxContent>
                </v:textbox>
              </v:shape>
            </w:pict>
          </mc:Fallback>
        </mc:AlternateContent>
      </w:r>
      <w:r>
        <w:rPr>
          <w:rFonts w:hint="eastAsia" w:ascii="宋体" w:hAnsi="宋体" w:cs="宋体"/>
          <w:color w:val="auto"/>
          <w:kern w:val="0"/>
          <w:szCs w:val="21"/>
        </w:rPr>
        <w:t>合同双方当事人应在专用条款中约定合同工程的工期，工期从开工日期开始计算。合同中包括有多个单位工程的，应在专用条款中约定各单位工程的工期。</w:t>
      </w:r>
    </w:p>
    <w:p>
      <w:pPr>
        <w:adjustRightInd w:val="0"/>
        <w:snapToGrid w:val="0"/>
        <w:spacing w:line="360" w:lineRule="auto"/>
        <w:ind w:right="-2"/>
        <w:rPr>
          <w:rFonts w:ascii="宋体" w:hAnsi="宋体" w:cs="宋体"/>
          <w:b/>
          <w:color w:val="auto"/>
          <w:kern w:val="0"/>
          <w:szCs w:val="21"/>
        </w:rPr>
      </w:pPr>
      <w:r>
        <w:rPr>
          <w:rFonts w:hint="eastAsia" w:ascii="宋体" w:hAnsi="宋体" w:cs="宋体"/>
          <w:b/>
          <w:color w:val="auto"/>
          <w:kern w:val="0"/>
          <w:szCs w:val="21"/>
        </w:rPr>
        <w:t xml:space="preserve">36.3  </w:t>
      </w:r>
      <w:r>
        <w:rPr>
          <w:rFonts w:hint="eastAsia" w:ascii="宋体" w:hAnsi="宋体" w:cs="宋体"/>
          <w:b/>
          <w:color w:val="auto"/>
          <w:kern w:val="0"/>
          <w:szCs w:val="21"/>
          <w:u w:val="dotted"/>
        </w:rPr>
        <w:t xml:space="preserve">                                                                                                       </w:t>
      </w:r>
    </w:p>
    <w:p>
      <w:pPr>
        <w:spacing w:line="360" w:lineRule="auto"/>
        <w:ind w:left="1619" w:leftChars="771"/>
        <w:rPr>
          <w:rFonts w:ascii="宋体" w:hAnsi="宋体" w:cs="宋体"/>
          <w:color w:val="auto"/>
          <w:szCs w:val="21"/>
        </w:rPr>
      </w:pPr>
      <w:r>
        <w:rPr>
          <w:rFonts w:ascii="宋体" w:hAnsi="宋体" w:cs="宋体"/>
          <w:color w:val="auto"/>
          <w:szCs w:val="21"/>
        </w:rPr>
        <mc:AlternateContent>
          <mc:Choice Requires="wps">
            <w:drawing>
              <wp:anchor distT="0" distB="0" distL="114300" distR="114300" simplePos="0" relativeHeight="251691008" behindDoc="0" locked="0" layoutInCell="1" allowOverlap="1">
                <wp:simplePos x="0" y="0"/>
                <wp:positionH relativeFrom="column">
                  <wp:posOffset>-114300</wp:posOffset>
                </wp:positionH>
                <wp:positionV relativeFrom="paragraph">
                  <wp:posOffset>16510</wp:posOffset>
                </wp:positionV>
                <wp:extent cx="800100" cy="261620"/>
                <wp:effectExtent l="0" t="0" r="0" b="0"/>
                <wp:wrapNone/>
                <wp:docPr id="261" name="文本框 261"/>
                <wp:cNvGraphicFramePr/>
                <a:graphic xmlns:a="http://schemas.openxmlformats.org/drawingml/2006/main">
                  <a:graphicData uri="http://schemas.microsoft.com/office/word/2010/wordprocessingShape">
                    <wps:wsp>
                      <wps:cNvSpPr txBox="1">
                        <a:spLocks noChangeArrowheads="1"/>
                      </wps:cNvSpPr>
                      <wps:spPr bwMode="auto">
                        <a:xfrm>
                          <a:off x="0" y="0"/>
                          <a:ext cx="800100" cy="261620"/>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工期顺延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3pt;height:20.6pt;width:63pt;z-index:251691008;mso-width-relative:page;mso-height-relative:page;" filled="f" stroked="f" coordsize="21600,21600" o:gfxdata="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px24I1QAAAAgBAAAPAAAAAAAAAAEAIAAAACIAAABkcnMvZG93bnJl&#10;di54bWxQSwECFAAUAAAACACHTuJAuzxKhwACAADYAwAADgAAAAAAAAABACAAAAAkAQAAZHJzL2Uy&#10;b0RvYy54bWxQSwUGAAAAAAYABgBZAQAAlgU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工期顺延</w:t>
                      </w:r>
                    </w:p>
                  </w:txbxContent>
                </v:textbox>
              </v:shape>
            </w:pict>
          </mc:Fallback>
        </mc:AlternateContent>
      </w:r>
      <w:r>
        <w:rPr>
          <w:rFonts w:hint="eastAsia" w:ascii="宋体" w:hAnsi="宋体" w:cs="宋体"/>
          <w:color w:val="auto"/>
          <w:szCs w:val="21"/>
        </w:rPr>
        <w:t>合同履行期间，由于下列原因造成工期延误的，承包人有权要求发包人增加由此发生的费用和（或）顺延工期，并支付合理利润。本款发生顺延的工期，由承包人提出，经监理工程师核实后由合同双方当事人协商确定；协商不能达成一致的，由监理工程师暂定，通知承包人并抄报发包人。构成争议的，由合同双方当事人按照第86条规定处理。</w:t>
      </w:r>
    </w:p>
    <w:p>
      <w:pPr>
        <w:adjustRightInd w:val="0"/>
        <w:snapToGrid w:val="0"/>
        <w:spacing w:line="420" w:lineRule="exact"/>
        <w:ind w:left="1619" w:leftChars="771"/>
        <w:rPr>
          <w:rFonts w:ascii="宋体" w:hAnsi="宋体" w:cs="宋体"/>
          <w:color w:val="auto"/>
          <w:kern w:val="0"/>
          <w:szCs w:val="21"/>
        </w:rPr>
      </w:pPr>
      <w:r>
        <w:rPr>
          <w:rFonts w:hint="eastAsia" w:ascii="宋体" w:hAnsi="宋体" w:cs="宋体"/>
          <w:color w:val="auto"/>
          <w:kern w:val="0"/>
          <w:szCs w:val="21"/>
        </w:rPr>
        <w:t>（1） 发包人未能按照专用条款的约定提供施工设计图纸及其它开工条件；</w:t>
      </w:r>
    </w:p>
    <w:p>
      <w:pPr>
        <w:adjustRightInd w:val="0"/>
        <w:snapToGrid w:val="0"/>
        <w:spacing w:line="420" w:lineRule="exact"/>
        <w:ind w:left="1680" w:leftChars="800"/>
        <w:rPr>
          <w:rFonts w:ascii="宋体" w:hAnsi="宋体" w:cs="宋体"/>
          <w:color w:val="auto"/>
          <w:kern w:val="0"/>
          <w:szCs w:val="21"/>
        </w:rPr>
      </w:pPr>
      <w:r>
        <w:rPr>
          <w:rFonts w:hint="eastAsia" w:ascii="宋体" w:hAnsi="宋体" w:cs="宋体"/>
          <w:color w:val="auto"/>
          <w:kern w:val="0"/>
          <w:szCs w:val="21"/>
        </w:rPr>
        <w:t>（2）发包人未能按照专用条款约定的时间支付工程预付款、安全文明施工费和进度款；</w:t>
      </w:r>
    </w:p>
    <w:p>
      <w:pPr>
        <w:adjustRightInd w:val="0"/>
        <w:snapToGrid w:val="0"/>
        <w:spacing w:line="420" w:lineRule="exact"/>
        <w:ind w:left="2249" w:leftChars="771" w:hanging="630" w:hangingChars="300"/>
        <w:rPr>
          <w:rFonts w:ascii="宋体" w:hAnsi="宋体" w:cs="宋体"/>
          <w:color w:val="auto"/>
          <w:kern w:val="0"/>
          <w:szCs w:val="21"/>
        </w:rPr>
      </w:pPr>
      <w:r>
        <w:rPr>
          <w:rFonts w:hint="eastAsia" w:ascii="宋体" w:hAnsi="宋体" w:cs="宋体"/>
          <w:color w:val="auto"/>
          <w:kern w:val="0"/>
          <w:szCs w:val="21"/>
        </w:rPr>
        <w:t>（3） 发包人代表或施工现场发包人雇用的其他人员造成的人为因素；</w:t>
      </w:r>
    </w:p>
    <w:p>
      <w:pPr>
        <w:adjustRightInd w:val="0"/>
        <w:snapToGrid w:val="0"/>
        <w:spacing w:line="420" w:lineRule="exact"/>
        <w:ind w:left="2249" w:leftChars="771" w:hanging="630" w:hangingChars="300"/>
        <w:rPr>
          <w:rFonts w:ascii="宋体" w:hAnsi="宋体" w:cs="宋体"/>
          <w:color w:val="auto"/>
          <w:kern w:val="0"/>
          <w:szCs w:val="21"/>
        </w:rPr>
      </w:pPr>
      <w:r>
        <w:rPr>
          <w:rFonts w:hint="eastAsia" w:ascii="宋体" w:hAnsi="宋体" w:cs="宋体"/>
          <w:color w:val="auto"/>
          <w:kern w:val="0"/>
          <w:szCs w:val="21"/>
        </w:rPr>
        <w:t>（4） 监理工程师未按照合同约定及时提供所需指令、回复等；</w:t>
      </w:r>
    </w:p>
    <w:p>
      <w:pPr>
        <w:adjustRightInd w:val="0"/>
        <w:snapToGrid w:val="0"/>
        <w:spacing w:line="420" w:lineRule="exact"/>
        <w:ind w:left="1619" w:leftChars="771"/>
        <w:rPr>
          <w:rFonts w:ascii="宋体" w:hAnsi="宋体" w:cs="宋体"/>
          <w:color w:val="auto"/>
          <w:kern w:val="0"/>
          <w:szCs w:val="21"/>
        </w:rPr>
      </w:pPr>
      <w:r>
        <w:rPr>
          <w:rFonts w:hint="eastAsia" w:ascii="宋体" w:hAnsi="宋体" w:cs="宋体"/>
          <w:color w:val="auto"/>
          <w:kern w:val="0"/>
          <w:szCs w:val="21"/>
        </w:rPr>
        <w:t>（5） 工程变更（含增加合同工作内容、改变合同的任何一项工作等）；</w:t>
      </w:r>
    </w:p>
    <w:p>
      <w:pPr>
        <w:adjustRightInd w:val="0"/>
        <w:snapToGrid w:val="0"/>
        <w:spacing w:line="420" w:lineRule="exact"/>
        <w:ind w:left="1619" w:leftChars="771"/>
        <w:rPr>
          <w:rFonts w:ascii="宋体" w:hAnsi="宋体" w:cs="宋体"/>
          <w:color w:val="auto"/>
          <w:kern w:val="0"/>
          <w:szCs w:val="21"/>
        </w:rPr>
      </w:pPr>
      <w:r>
        <w:rPr>
          <w:rFonts w:hint="eastAsia" w:ascii="宋体" w:hAnsi="宋体" w:cs="宋体"/>
          <w:color w:val="auto"/>
          <w:kern w:val="0"/>
          <w:szCs w:val="21"/>
        </w:rPr>
        <w:t>（6） 工程量增加；</w:t>
      </w:r>
    </w:p>
    <w:p>
      <w:pPr>
        <w:adjustRightInd w:val="0"/>
        <w:snapToGrid w:val="0"/>
        <w:spacing w:line="420" w:lineRule="exact"/>
        <w:ind w:left="1619" w:leftChars="771"/>
        <w:rPr>
          <w:rFonts w:ascii="宋体" w:hAnsi="宋体" w:cs="宋体"/>
          <w:color w:val="auto"/>
          <w:kern w:val="0"/>
          <w:szCs w:val="21"/>
        </w:rPr>
      </w:pPr>
      <w:r>
        <w:rPr>
          <w:rFonts w:hint="eastAsia" w:ascii="宋体" w:hAnsi="宋体" w:cs="宋体"/>
          <w:color w:val="auto"/>
          <w:kern w:val="0"/>
          <w:szCs w:val="21"/>
        </w:rPr>
        <w:t>（7） 一周内非承包人原因停水、停电、停气造成停工累计超过8小时；</w:t>
      </w:r>
    </w:p>
    <w:p>
      <w:pPr>
        <w:adjustRightInd w:val="0"/>
        <w:snapToGrid w:val="0"/>
        <w:spacing w:line="420" w:lineRule="exact"/>
        <w:ind w:left="1619" w:leftChars="771"/>
        <w:rPr>
          <w:rFonts w:ascii="宋体" w:hAnsi="宋体" w:cs="宋体"/>
          <w:color w:val="auto"/>
          <w:kern w:val="0"/>
          <w:szCs w:val="21"/>
        </w:rPr>
      </w:pPr>
      <w:r>
        <w:rPr>
          <w:rFonts w:hint="eastAsia" w:ascii="宋体" w:hAnsi="宋体" w:cs="宋体"/>
          <w:color w:val="auto"/>
          <w:kern w:val="0"/>
          <w:szCs w:val="21"/>
        </w:rPr>
        <w:t>（8） 不可抗力；</w:t>
      </w:r>
    </w:p>
    <w:p>
      <w:pPr>
        <w:adjustRightInd w:val="0"/>
        <w:snapToGrid w:val="0"/>
        <w:spacing w:line="420" w:lineRule="exact"/>
        <w:ind w:left="1619" w:leftChars="771"/>
        <w:rPr>
          <w:rFonts w:ascii="宋体" w:hAnsi="宋体" w:cs="宋体"/>
          <w:color w:val="auto"/>
          <w:kern w:val="0"/>
          <w:szCs w:val="21"/>
        </w:rPr>
      </w:pPr>
      <w:r>
        <w:rPr>
          <w:rFonts w:hint="eastAsia" w:ascii="宋体" w:hAnsi="宋体" w:cs="宋体"/>
          <w:color w:val="auto"/>
          <w:kern w:val="0"/>
          <w:szCs w:val="21"/>
        </w:rPr>
        <w:t>（9） 发包人风险事件；</w:t>
      </w:r>
    </w:p>
    <w:p>
      <w:pPr>
        <w:adjustRightInd w:val="0"/>
        <w:snapToGrid w:val="0"/>
        <w:spacing w:line="420" w:lineRule="exact"/>
        <w:ind w:left="1619" w:leftChars="771"/>
        <w:rPr>
          <w:rFonts w:ascii="宋体" w:hAnsi="宋体" w:cs="宋体"/>
          <w:color w:val="auto"/>
          <w:kern w:val="0"/>
          <w:szCs w:val="21"/>
        </w:rPr>
      </w:pPr>
      <w:r>
        <w:rPr>
          <w:rFonts w:hint="eastAsia" w:ascii="宋体" w:hAnsi="宋体" w:cs="宋体"/>
          <w:color w:val="auto"/>
          <w:kern w:val="0"/>
          <w:szCs w:val="21"/>
        </w:rPr>
        <w:t>（10）因发包人的原因导致的暂停施工；</w:t>
      </w:r>
    </w:p>
    <w:p>
      <w:pPr>
        <w:adjustRightInd w:val="0"/>
        <w:snapToGrid w:val="0"/>
        <w:spacing w:line="420" w:lineRule="exact"/>
        <w:ind w:left="1619" w:leftChars="771"/>
        <w:rPr>
          <w:rFonts w:ascii="宋体" w:hAnsi="宋体" w:cs="宋体"/>
          <w:color w:val="auto"/>
          <w:kern w:val="0"/>
          <w:szCs w:val="21"/>
        </w:rPr>
      </w:pPr>
      <w:r>
        <w:rPr>
          <w:rFonts w:hint="eastAsia" w:ascii="宋体" w:hAnsi="宋体" w:cs="宋体"/>
          <w:color w:val="auto"/>
          <w:kern w:val="0"/>
          <w:szCs w:val="21"/>
        </w:rPr>
        <w:t>（11）非承包人失误、违约，以及监理工程师同意的工期顺延。</w:t>
      </w:r>
    </w:p>
    <w:p>
      <w:pPr>
        <w:adjustRightInd w:val="0"/>
        <w:snapToGrid w:val="0"/>
        <w:spacing w:line="420" w:lineRule="exact"/>
        <w:ind w:left="1619" w:leftChars="771"/>
        <w:rPr>
          <w:rFonts w:ascii="宋体" w:hAnsi="宋体" w:cs="宋体"/>
          <w:color w:val="auto"/>
          <w:kern w:val="0"/>
          <w:szCs w:val="21"/>
        </w:rPr>
      </w:pPr>
      <w:r>
        <w:rPr>
          <w:rFonts w:hint="eastAsia" w:ascii="宋体" w:hAnsi="宋体" w:cs="宋体"/>
          <w:color w:val="auto"/>
          <w:kern w:val="0"/>
          <w:szCs w:val="21"/>
        </w:rPr>
        <w:t>（12）发包人造成工期延误的其他原因。</w:t>
      </w:r>
    </w:p>
    <w:p>
      <w:pPr>
        <w:adjustRightInd w:val="0"/>
        <w:snapToGrid w:val="0"/>
        <w:spacing w:line="360" w:lineRule="auto"/>
        <w:ind w:right="-2"/>
        <w:rPr>
          <w:rFonts w:ascii="宋体" w:hAnsi="宋体" w:cs="宋体"/>
          <w:color w:val="auto"/>
          <w:kern w:val="0"/>
          <w:szCs w:val="21"/>
        </w:rPr>
      </w:pPr>
      <w:r>
        <w:rPr>
          <w:rFonts w:hint="eastAsia" w:ascii="宋体" w:hAnsi="宋体" w:cs="宋体"/>
          <w:b/>
          <w:color w:val="auto"/>
          <w:kern w:val="0"/>
          <w:szCs w:val="21"/>
        </w:rPr>
        <w:t xml:space="preserve">36.4 </w:t>
      </w:r>
      <w:r>
        <w:rPr>
          <w:rFonts w:hint="eastAsia" w:ascii="宋体" w:hAnsi="宋体" w:cs="宋体"/>
          <w:color w:val="auto"/>
          <w:kern w:val="0"/>
          <w:szCs w:val="21"/>
        </w:rPr>
        <w:t xml:space="preserve"> </w:t>
      </w:r>
      <w:r>
        <w:rPr>
          <w:rFonts w:hint="eastAsia" w:ascii="宋体" w:hAnsi="宋体" w:cs="宋体"/>
          <w:color w:val="auto"/>
          <w:kern w:val="0"/>
          <w:szCs w:val="21"/>
          <w:u w:val="dotted"/>
        </w:rPr>
        <w:t xml:space="preserve">                                                                                                        </w:t>
      </w:r>
    </w:p>
    <w:p>
      <w:pPr>
        <w:adjustRightInd w:val="0"/>
        <w:snapToGrid w:val="0"/>
        <w:spacing w:line="360" w:lineRule="auto"/>
        <w:ind w:left="1619" w:leftChars="771" w:right="-2"/>
        <w:rPr>
          <w:rFonts w:ascii="宋体" w:hAnsi="宋体" w:cs="宋体"/>
          <w:color w:val="auto"/>
          <w:kern w:val="0"/>
          <w:szCs w:val="21"/>
        </w:rPr>
      </w:pPr>
      <w:r>
        <w:rPr>
          <w:rFonts w:ascii="宋体" w:hAnsi="宋体" w:cs="宋体"/>
          <w:color w:val="auto"/>
          <w:kern w:val="0"/>
          <w:szCs w:val="21"/>
        </w:rPr>
        <mc:AlternateContent>
          <mc:Choice Requires="wps">
            <w:drawing>
              <wp:anchor distT="0" distB="0" distL="114300" distR="114300" simplePos="0" relativeHeight="251692032" behindDoc="0" locked="0" layoutInCell="1" allowOverlap="1">
                <wp:simplePos x="0" y="0"/>
                <wp:positionH relativeFrom="column">
                  <wp:posOffset>-114300</wp:posOffset>
                </wp:positionH>
                <wp:positionV relativeFrom="paragraph">
                  <wp:posOffset>62230</wp:posOffset>
                </wp:positionV>
                <wp:extent cx="914400" cy="396240"/>
                <wp:effectExtent l="0" t="0" r="0" b="0"/>
                <wp:wrapNone/>
                <wp:docPr id="260" name="文本框 260"/>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pPr>
                              <w:spacing w:line="220" w:lineRule="exact"/>
                              <w:rPr>
                                <w:rFonts w:ascii="宋体" w:hAnsi="宋体"/>
                                <w:sz w:val="18"/>
                                <w:szCs w:val="18"/>
                              </w:rPr>
                            </w:pPr>
                            <w:r>
                              <w:rPr>
                                <w:rFonts w:hint="eastAsia" w:ascii="楷体_GB2312" w:hAnsi="宋体"/>
                                <w:b/>
                                <w:color w:val="000000"/>
                                <w:sz w:val="18"/>
                                <w:szCs w:val="18"/>
                              </w:rPr>
                              <w:t>提交工期顺延报告</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4.9pt;height:31.2pt;width:72pt;z-index:251692032;mso-width-relative:page;mso-height-relative:page;" filled="f" stroked="f" coordsize="21600,21600" o:gfxdata="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a5bma1QAAAAgBAAAPAAAAAAAAAAEAIAAAACIAAABkcnMvZG93bnJl&#10;di54bWxQSwECFAAUAAAACACHTuJA3M0C2gACAADYAwAADgAAAAAAAAABACAAAAAkAQAAZHJzL2Uy&#10;b0RvYy54bWxQSwUGAAAAAAYABgBZAQAAlgUAAAAA&#10;">
                <v:fill on="f" focussize="0,0"/>
                <v:stroke on="f"/>
                <v:imagedata o:title=""/>
                <o:lock v:ext="edit" aspectratio="f"/>
                <v:textbox>
                  <w:txbxContent>
                    <w:p>
                      <w:pPr>
                        <w:spacing w:line="220" w:lineRule="exact"/>
                        <w:rPr>
                          <w:rFonts w:ascii="宋体" w:hAnsi="宋体"/>
                          <w:sz w:val="18"/>
                          <w:szCs w:val="18"/>
                        </w:rPr>
                      </w:pPr>
                      <w:r>
                        <w:rPr>
                          <w:rFonts w:hint="eastAsia" w:ascii="楷体_GB2312" w:hAnsi="宋体"/>
                          <w:b/>
                          <w:color w:val="000000"/>
                          <w:sz w:val="18"/>
                          <w:szCs w:val="18"/>
                        </w:rPr>
                        <w:t>提交工期顺延报告</w:t>
                      </w:r>
                    </w:p>
                  </w:txbxContent>
                </v:textbox>
              </v:shape>
            </w:pict>
          </mc:Fallback>
        </mc:AlternateContent>
      </w:r>
      <w:r>
        <w:rPr>
          <w:rFonts w:hint="eastAsia" w:ascii="宋体" w:hAnsi="宋体" w:cs="宋体"/>
          <w:color w:val="auto"/>
          <w:kern w:val="0"/>
          <w:szCs w:val="21"/>
        </w:rPr>
        <w:t>当第36.3款所述事件首次发生后，承包人应在14天内向监理工程师发出工期顺延意向书，并抄送发包人。承包人应在发出工期顺延意向书后的14天内，向监理工程师提交工期顺延报告和有关详细资料。</w:t>
      </w:r>
    </w:p>
    <w:p>
      <w:pPr>
        <w:adjustRightInd w:val="0"/>
        <w:snapToGrid w:val="0"/>
        <w:spacing w:line="360" w:lineRule="auto"/>
        <w:rPr>
          <w:rFonts w:ascii="宋体" w:hAnsi="宋体" w:cs="宋体"/>
          <w:b/>
          <w:color w:val="auto"/>
          <w:kern w:val="0"/>
          <w:szCs w:val="21"/>
          <w:u w:val="dotted"/>
        </w:rPr>
      </w:pPr>
      <w:r>
        <w:rPr>
          <w:rFonts w:hint="eastAsia" w:ascii="宋体" w:hAnsi="宋体" w:cs="宋体"/>
          <w:b/>
          <w:color w:val="auto"/>
          <w:kern w:val="0"/>
          <w:szCs w:val="21"/>
        </w:rPr>
        <w:t xml:space="preserve">36.5 </w:t>
      </w:r>
      <w:r>
        <w:rPr>
          <w:rFonts w:hint="eastAsia" w:ascii="宋体" w:hAnsi="宋体" w:cs="宋体"/>
          <w:b/>
          <w:color w:val="auto"/>
          <w:kern w:val="0"/>
          <w:szCs w:val="21"/>
          <w:u w:val="dotted"/>
        </w:rPr>
        <w:t xml:space="preserve">                                                                                                        </w:t>
      </w:r>
    </w:p>
    <w:p>
      <w:pPr>
        <w:adjustRightInd w:val="0"/>
        <w:snapToGrid w:val="0"/>
        <w:spacing w:line="360" w:lineRule="auto"/>
        <w:ind w:left="1619" w:leftChars="771"/>
        <w:rPr>
          <w:rFonts w:ascii="宋体" w:hAnsi="宋体" w:cs="宋体"/>
          <w:color w:val="auto"/>
          <w:kern w:val="0"/>
          <w:szCs w:val="21"/>
        </w:rPr>
      </w:pPr>
      <w:r>
        <w:rPr>
          <w:rFonts w:ascii="宋体" w:hAnsi="宋体" w:cs="宋体"/>
          <w:color w:val="auto"/>
          <w:kern w:val="0"/>
          <w:szCs w:val="21"/>
        </w:rPr>
        <mc:AlternateContent>
          <mc:Choice Requires="wps">
            <w:drawing>
              <wp:anchor distT="0" distB="0" distL="114300" distR="114300" simplePos="0" relativeHeight="251693056" behindDoc="0" locked="0" layoutInCell="1" allowOverlap="1">
                <wp:simplePos x="0" y="0"/>
                <wp:positionH relativeFrom="column">
                  <wp:posOffset>-114300</wp:posOffset>
                </wp:positionH>
                <wp:positionV relativeFrom="paragraph">
                  <wp:posOffset>46990</wp:posOffset>
                </wp:positionV>
                <wp:extent cx="914400" cy="396240"/>
                <wp:effectExtent l="0" t="0" r="0" b="0"/>
                <wp:wrapNone/>
                <wp:docPr id="259" name="文本框 259"/>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工期顺延持续发生的要求</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7pt;height:31.2pt;width:72pt;z-index:251693056;mso-width-relative:page;mso-height-relative:page;" filled="f" stroked="f" coordsize="21600,21600" o:gfxdata="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P3JBq1QAAAAgBAAAPAAAAAAAAAAEAIAAAACIAAABkcnMvZG93bnJl&#10;di54bWxQSwECFAAUAAAACACHTuJAE/kIHwACAADYAwAADgAAAAAAAAABACAAAAAkAQAAZHJzL2Uy&#10;b0RvYy54bWxQSwUGAAAAAAYABgBZAQAAlg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工期顺延持续发生的要求</w:t>
                      </w:r>
                    </w:p>
                  </w:txbxContent>
                </v:textbox>
              </v:shape>
            </w:pict>
          </mc:Fallback>
        </mc:AlternateContent>
      </w:r>
      <w:r>
        <w:rPr>
          <w:rFonts w:hint="eastAsia" w:ascii="宋体" w:hAnsi="宋体" w:cs="宋体"/>
          <w:color w:val="auto"/>
          <w:kern w:val="0"/>
          <w:szCs w:val="21"/>
        </w:rPr>
        <w:t>如果工期顺延事件持续发生时，承包人应每隔7天向监理工程师发出工期顺延意向书，并在工期顺延事件终结后的14天内，向监理工程师提交最终工期顺延报告和详细资料。</w:t>
      </w:r>
    </w:p>
    <w:p>
      <w:pPr>
        <w:adjustRightInd w:val="0"/>
        <w:snapToGrid w:val="0"/>
        <w:spacing w:line="360" w:lineRule="auto"/>
        <w:ind w:right="-2"/>
        <w:rPr>
          <w:rFonts w:ascii="宋体" w:hAnsi="宋体" w:cs="宋体"/>
          <w:b/>
          <w:color w:val="auto"/>
          <w:kern w:val="0"/>
          <w:szCs w:val="21"/>
        </w:rPr>
      </w:pPr>
    </w:p>
    <w:p>
      <w:pPr>
        <w:adjustRightInd w:val="0"/>
        <w:snapToGrid w:val="0"/>
        <w:spacing w:line="360" w:lineRule="auto"/>
        <w:ind w:right="-2"/>
        <w:rPr>
          <w:rFonts w:ascii="宋体" w:hAnsi="宋体" w:cs="宋体"/>
          <w:b/>
          <w:color w:val="auto"/>
          <w:kern w:val="0"/>
          <w:szCs w:val="21"/>
          <w:u w:val="dotted"/>
        </w:rPr>
      </w:pPr>
      <w:r>
        <w:rPr>
          <w:rFonts w:hint="eastAsia" w:ascii="宋体" w:hAnsi="宋体" w:cs="宋体"/>
          <w:b/>
          <w:color w:val="auto"/>
          <w:kern w:val="0"/>
          <w:szCs w:val="21"/>
        </w:rPr>
        <w:t xml:space="preserve">36.6  </w:t>
      </w:r>
      <w:r>
        <w:rPr>
          <w:rFonts w:hint="eastAsia" w:ascii="宋体" w:hAnsi="宋体" w:cs="宋体"/>
          <w:b/>
          <w:color w:val="auto"/>
          <w:kern w:val="0"/>
          <w:szCs w:val="21"/>
          <w:u w:val="dotted"/>
        </w:rPr>
        <w:t xml:space="preserve">                                                                                                        </w:t>
      </w:r>
    </w:p>
    <w:p>
      <w:pPr>
        <w:adjustRightInd w:val="0"/>
        <w:snapToGrid w:val="0"/>
        <w:spacing w:line="360" w:lineRule="auto"/>
        <w:ind w:left="1619" w:leftChars="771" w:right="-2"/>
        <w:rPr>
          <w:rFonts w:ascii="宋体" w:hAnsi="宋体" w:cs="宋体"/>
          <w:color w:val="auto"/>
          <w:kern w:val="0"/>
          <w:szCs w:val="21"/>
        </w:rPr>
      </w:pPr>
      <w:r>
        <w:rPr>
          <w:rFonts w:ascii="宋体" w:hAnsi="宋体" w:cs="宋体"/>
          <w:color w:val="auto"/>
          <w:kern w:val="0"/>
          <w:szCs w:val="21"/>
        </w:rPr>
        <mc:AlternateContent>
          <mc:Choice Requires="wps">
            <w:drawing>
              <wp:anchor distT="0" distB="0" distL="114300" distR="114300" simplePos="0" relativeHeight="251694080" behindDoc="0" locked="0" layoutInCell="1" allowOverlap="1">
                <wp:simplePos x="0" y="0"/>
                <wp:positionH relativeFrom="column">
                  <wp:posOffset>-114300</wp:posOffset>
                </wp:positionH>
                <wp:positionV relativeFrom="paragraph">
                  <wp:posOffset>45720</wp:posOffset>
                </wp:positionV>
                <wp:extent cx="914400" cy="483870"/>
                <wp:effectExtent l="0" t="0" r="0" b="0"/>
                <wp:wrapNone/>
                <wp:docPr id="258" name="文本框 258"/>
                <wp:cNvGraphicFramePr/>
                <a:graphic xmlns:a="http://schemas.openxmlformats.org/drawingml/2006/main">
                  <a:graphicData uri="http://schemas.microsoft.com/office/word/2010/wordprocessingShape">
                    <wps:wsp>
                      <wps:cNvSpPr txBox="1">
                        <a:spLocks noChangeArrowheads="1"/>
                      </wps:cNvSpPr>
                      <wps:spPr bwMode="auto">
                        <a:xfrm>
                          <a:off x="0" y="0"/>
                          <a:ext cx="914400" cy="48387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拒绝延期</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6pt;height:38.1pt;width:72pt;z-index:251694080;mso-width-relative:page;mso-height-relative:page;" filled="f" stroked="f" coordsize="21600,21600" o:gfxdata="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NqXQ8fWAAAACAEAAA8AAAAAAAAAAQAgAAAAIgAAAGRycy9kb3du&#10;cmV2LnhtbFBLAQIUABQAAAAIAIdO4kAba8mhAQIAANgDAAAOAAAAAAAAAAEAIAAAACUBAABkcnMv&#10;ZTJvRG9jLnhtbFBLBQYAAAAABgAGAFkBAACY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拒绝延期</w:t>
                      </w:r>
                    </w:p>
                  </w:txbxContent>
                </v:textbox>
              </v:shape>
            </w:pict>
          </mc:Fallback>
        </mc:AlternateContent>
      </w:r>
      <w:r>
        <w:rPr>
          <w:rFonts w:hint="eastAsia" w:ascii="宋体" w:hAnsi="宋体" w:cs="宋体"/>
          <w:color w:val="auto"/>
          <w:kern w:val="0"/>
          <w:szCs w:val="21"/>
        </w:rPr>
        <w:t xml:space="preserve">如果承包人未能在第36.4款和第36.5款（发生时）规定的时间内提交（最终）工期顺延报告和详细资料，则视为该事件不影响施工进度或承包人放弃顺延工期的权利。 </w:t>
      </w:r>
    </w:p>
    <w:p>
      <w:pPr>
        <w:adjustRightInd w:val="0"/>
        <w:snapToGrid w:val="0"/>
        <w:spacing w:line="360" w:lineRule="auto"/>
        <w:ind w:right="-2"/>
        <w:rPr>
          <w:rFonts w:ascii="宋体" w:hAnsi="宋体" w:cs="宋体"/>
          <w:b/>
          <w:color w:val="auto"/>
          <w:kern w:val="0"/>
          <w:szCs w:val="21"/>
          <w:u w:val="dotted"/>
        </w:rPr>
      </w:pPr>
      <w:r>
        <w:rPr>
          <w:rFonts w:hint="eastAsia" w:ascii="宋体" w:hAnsi="宋体" w:cs="宋体"/>
          <w:b/>
          <w:color w:val="auto"/>
          <w:kern w:val="0"/>
          <w:szCs w:val="21"/>
        </w:rPr>
        <w:t xml:space="preserve">36.7  </w:t>
      </w:r>
      <w:r>
        <w:rPr>
          <w:rFonts w:hint="eastAsia" w:ascii="宋体" w:hAnsi="宋体" w:cs="宋体"/>
          <w:b/>
          <w:color w:val="auto"/>
          <w:kern w:val="0"/>
          <w:szCs w:val="21"/>
          <w:u w:val="dotted"/>
        </w:rPr>
        <w:t xml:space="preserve">                                                                                                        </w:t>
      </w:r>
    </w:p>
    <w:p>
      <w:pPr>
        <w:adjustRightInd w:val="0"/>
        <w:snapToGrid w:val="0"/>
        <w:spacing w:line="360" w:lineRule="auto"/>
        <w:ind w:left="1619" w:leftChars="771" w:right="-2"/>
        <w:rPr>
          <w:rFonts w:ascii="宋体" w:hAnsi="宋体" w:cs="宋体"/>
          <w:color w:val="auto"/>
          <w:kern w:val="0"/>
          <w:szCs w:val="21"/>
        </w:rPr>
      </w:pPr>
      <w:r>
        <w:rPr>
          <w:rFonts w:ascii="宋体" w:hAnsi="宋体" w:cs="宋体"/>
          <w:color w:val="auto"/>
          <w:kern w:val="0"/>
          <w:szCs w:val="21"/>
        </w:rPr>
        <mc:AlternateContent>
          <mc:Choice Requires="wps">
            <w:drawing>
              <wp:anchor distT="0" distB="0" distL="114300" distR="114300" simplePos="0" relativeHeight="251937792" behindDoc="0" locked="0" layoutInCell="1" allowOverlap="1">
                <wp:simplePos x="0" y="0"/>
                <wp:positionH relativeFrom="column">
                  <wp:posOffset>-114300</wp:posOffset>
                </wp:positionH>
                <wp:positionV relativeFrom="paragraph">
                  <wp:posOffset>45720</wp:posOffset>
                </wp:positionV>
                <wp:extent cx="914400" cy="483870"/>
                <wp:effectExtent l="0" t="0" r="0" b="0"/>
                <wp:wrapNone/>
                <wp:docPr id="257" name="文本框 257"/>
                <wp:cNvGraphicFramePr/>
                <a:graphic xmlns:a="http://schemas.openxmlformats.org/drawingml/2006/main">
                  <a:graphicData uri="http://schemas.microsoft.com/office/word/2010/wordprocessingShape">
                    <wps:wsp>
                      <wps:cNvSpPr txBox="1">
                        <a:spLocks noChangeArrowheads="1"/>
                      </wps:cNvSpPr>
                      <wps:spPr bwMode="auto">
                        <a:xfrm>
                          <a:off x="0" y="0"/>
                          <a:ext cx="914400" cy="483870"/>
                        </a:xfrm>
                        <a:prstGeom prst="rect">
                          <a:avLst/>
                        </a:prstGeom>
                        <a:noFill/>
                        <a:ln>
                          <a:noFill/>
                        </a:ln>
                        <a:effectLst/>
                      </wps:spPr>
                      <wps:txbx>
                        <w:txbxContent>
                          <w:p>
                            <w:pPr>
                              <w:spacing w:line="240" w:lineRule="exact"/>
                              <w:rPr>
                                <w:rFonts w:ascii="宋体" w:hAnsi="宋体"/>
                                <w:sz w:val="18"/>
                                <w:szCs w:val="18"/>
                              </w:rPr>
                            </w:pPr>
                            <w:r>
                              <w:rPr>
                                <w:rFonts w:hint="eastAsia" w:ascii="楷体_GB2312" w:hAnsi="宋体"/>
                                <w:b/>
                                <w:color w:val="000000"/>
                                <w:sz w:val="18"/>
                                <w:szCs w:val="18"/>
                              </w:rPr>
                              <w:t>工期顺延的核实与确定</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6pt;height:38.1pt;width:72pt;z-index:251937792;mso-width-relative:page;mso-height-relative:page;" filled="f" stroked="f" coordsize="21600,21600" o:gfxdata="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NqXQ8fWAAAACAEAAA8AAAAAAAAAAQAgAAAAIgAAAGRycy9kb3du&#10;cmV2LnhtbFBLAQIUABQAAAAIAIdO4kCniXCbAQIAANgDAAAOAAAAAAAAAAEAIAAAACUBAABkcnMv&#10;ZTJvRG9jLnhtbFBLBQYAAAAABgAGAFkBAACYBQAAAAA=&#10;">
                <v:fill on="f" focussize="0,0"/>
                <v:stroke on="f"/>
                <v:imagedata o:title=""/>
                <o:lock v:ext="edit" aspectratio="f"/>
                <v:textbox>
                  <w:txbxContent>
                    <w:p>
                      <w:pPr>
                        <w:spacing w:line="240" w:lineRule="exact"/>
                        <w:rPr>
                          <w:rFonts w:ascii="宋体" w:hAnsi="宋体"/>
                          <w:sz w:val="18"/>
                          <w:szCs w:val="18"/>
                        </w:rPr>
                      </w:pPr>
                      <w:r>
                        <w:rPr>
                          <w:rFonts w:hint="eastAsia" w:ascii="楷体_GB2312" w:hAnsi="宋体"/>
                          <w:b/>
                          <w:color w:val="000000"/>
                          <w:sz w:val="18"/>
                          <w:szCs w:val="18"/>
                        </w:rPr>
                        <w:t>工期顺延的核实与确定</w:t>
                      </w:r>
                    </w:p>
                  </w:txbxContent>
                </v:textbox>
              </v:shape>
            </w:pict>
          </mc:Fallback>
        </mc:AlternateContent>
      </w:r>
      <w:r>
        <w:rPr>
          <w:rFonts w:hint="eastAsia" w:ascii="宋体" w:hAnsi="宋体" w:cs="宋体"/>
          <w:color w:val="auto"/>
          <w:kern w:val="0"/>
          <w:szCs w:val="21"/>
        </w:rPr>
        <w:t>监理工程师应在收到承包人按照第36.4款和第36.5款（发生时）规定提交（最终）工期顺延报告和详细资料后的28天内，按照第36.3款规定予以核实，或要求承包人进一步补充顺延工期的理由。合同双方当事人一旦协商确定顺延的工期，发包人应承担由此增加的费用，并向承包人支付合理利润。</w:t>
      </w:r>
    </w:p>
    <w:p>
      <w:pPr>
        <w:adjustRightInd w:val="0"/>
        <w:snapToGrid w:val="0"/>
        <w:spacing w:line="360" w:lineRule="auto"/>
        <w:ind w:left="1619" w:leftChars="771" w:right="-2"/>
        <w:rPr>
          <w:rFonts w:ascii="宋体" w:hAnsi="宋体" w:cs="宋体"/>
          <w:color w:val="auto"/>
          <w:kern w:val="0"/>
          <w:szCs w:val="21"/>
        </w:rPr>
      </w:pPr>
      <w:r>
        <w:rPr>
          <w:rFonts w:hint="eastAsia" w:ascii="宋体" w:hAnsi="宋体" w:cs="宋体"/>
          <w:color w:val="auto"/>
          <w:kern w:val="0"/>
          <w:szCs w:val="21"/>
        </w:rPr>
        <w:t>如果监理工程师在收到上述报告和资料后的28天内未予核实也未对承包人作出进一步要求，则视为监理工程师已认可承包人上述报告中提出的顺延工期天数。</w:t>
      </w:r>
    </w:p>
    <w:p>
      <w:pPr>
        <w:adjustRightInd w:val="0"/>
        <w:snapToGrid w:val="0"/>
        <w:spacing w:line="360" w:lineRule="auto"/>
        <w:ind w:left="1423" w:leftChars="1" w:right="-2" w:hanging="1421" w:hangingChars="674"/>
        <w:rPr>
          <w:rFonts w:ascii="宋体" w:hAnsi="宋体" w:cs="宋体"/>
          <w:b/>
          <w:color w:val="auto"/>
          <w:kern w:val="0"/>
          <w:szCs w:val="21"/>
          <w:u w:val="dotted"/>
        </w:rPr>
      </w:pPr>
      <w:r>
        <w:rPr>
          <w:rFonts w:hint="eastAsia" w:ascii="宋体" w:hAnsi="宋体" w:cs="宋体"/>
          <w:b/>
          <w:color w:val="auto"/>
          <w:kern w:val="0"/>
          <w:szCs w:val="21"/>
        </w:rPr>
        <w:t xml:space="preserve">36.8  </w:t>
      </w:r>
      <w:r>
        <w:rPr>
          <w:rFonts w:hint="eastAsia" w:ascii="宋体" w:hAnsi="宋体" w:cs="宋体"/>
          <w:b/>
          <w:color w:val="auto"/>
          <w:kern w:val="0"/>
          <w:szCs w:val="21"/>
          <w:u w:val="dotted"/>
        </w:rPr>
        <w:t xml:space="preserve">                                                                                                        </w:t>
      </w:r>
    </w:p>
    <w:p>
      <w:pPr>
        <w:adjustRightInd w:val="0"/>
        <w:snapToGrid w:val="0"/>
        <w:spacing w:line="360" w:lineRule="auto"/>
        <w:ind w:left="1619" w:leftChars="771"/>
        <w:rPr>
          <w:rFonts w:ascii="宋体" w:hAnsi="宋体" w:cs="宋体"/>
          <w:color w:val="auto"/>
          <w:kern w:val="0"/>
          <w:szCs w:val="21"/>
        </w:rPr>
      </w:pPr>
      <w:r>
        <w:rPr>
          <w:rFonts w:ascii="宋体" w:hAnsi="宋体" w:cs="宋体"/>
          <w:color w:val="auto"/>
          <w:kern w:val="0"/>
          <w:szCs w:val="21"/>
        </w:rPr>
        <mc:AlternateContent>
          <mc:Choice Requires="wps">
            <w:drawing>
              <wp:anchor distT="0" distB="0" distL="114300" distR="114300" simplePos="0" relativeHeight="251938816" behindDoc="0" locked="0" layoutInCell="1" allowOverlap="1">
                <wp:simplePos x="0" y="0"/>
                <wp:positionH relativeFrom="column">
                  <wp:posOffset>-114300</wp:posOffset>
                </wp:positionH>
                <wp:positionV relativeFrom="paragraph">
                  <wp:posOffset>45720</wp:posOffset>
                </wp:positionV>
                <wp:extent cx="914400" cy="483870"/>
                <wp:effectExtent l="0" t="0" r="0" b="0"/>
                <wp:wrapNone/>
                <wp:docPr id="256" name="文本框 256"/>
                <wp:cNvGraphicFramePr/>
                <a:graphic xmlns:a="http://schemas.openxmlformats.org/drawingml/2006/main">
                  <a:graphicData uri="http://schemas.microsoft.com/office/word/2010/wordprocessingShape">
                    <wps:wsp>
                      <wps:cNvSpPr txBox="1">
                        <a:spLocks noChangeArrowheads="1"/>
                      </wps:cNvSpPr>
                      <wps:spPr bwMode="auto">
                        <a:xfrm>
                          <a:off x="0" y="0"/>
                          <a:ext cx="914400" cy="48387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承包人误期的赔偿</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6pt;height:38.1pt;width:72pt;z-index:251938816;mso-width-relative:page;mso-height-relative:page;" filled="f" stroked="f" coordsize="21600,21600" o:gfxdata="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NqXQ8fWAAAACAEAAA8AAAAAAAAAAQAgAAAAIgAAAGRycy9kb3du&#10;cmV2LnhtbFBLAQIUABQAAAAIAIdO4kAjVsefAQIAANgDAAAOAAAAAAAAAAEAIAAAACUBAABkcnMv&#10;ZTJvRG9jLnhtbFBLBQYAAAAABgAGAFkBAACY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承包人误期的赔偿</w:t>
                      </w:r>
                    </w:p>
                  </w:txbxContent>
                </v:textbox>
              </v:shape>
            </w:pict>
          </mc:Fallback>
        </mc:AlternateContent>
      </w:r>
      <w:r>
        <w:rPr>
          <w:rFonts w:hint="eastAsia" w:ascii="宋体" w:hAnsi="宋体" w:cs="宋体"/>
          <w:color w:val="auto"/>
          <w:kern w:val="0"/>
          <w:szCs w:val="21"/>
        </w:rPr>
        <w:t>承包人未能按照合同进度计划完成工作，或因承包人的原因造成工期延误，发包人可按照本条规定的时限和第66.2款规定要求承包人支付该支付期的误期赔偿费。</w:t>
      </w:r>
    </w:p>
    <w:p>
      <w:pPr>
        <w:tabs>
          <w:tab w:val="left" w:pos="540"/>
        </w:tabs>
        <w:adjustRightInd w:val="0"/>
        <w:snapToGrid w:val="0"/>
        <w:spacing w:beforeLines="100" w:line="240" w:lineRule="exact"/>
        <w:ind w:right="-238"/>
        <w:rPr>
          <w:rFonts w:ascii="宋体" w:hAnsi="宋体" w:cs="宋体"/>
          <w:b/>
          <w:color w:val="auto"/>
          <w:kern w:val="0"/>
          <w:szCs w:val="21"/>
          <w:u w:val="single"/>
        </w:rPr>
      </w:pPr>
      <w:r>
        <w:rPr>
          <w:rFonts w:hint="eastAsia" w:ascii="宋体" w:hAnsi="宋体" w:cs="宋体"/>
          <w:b/>
          <w:color w:val="auto"/>
          <w:kern w:val="0"/>
          <w:szCs w:val="21"/>
          <w:u w:val="single"/>
        </w:rPr>
        <w:t xml:space="preserve">                                                                                   </w:t>
      </w:r>
    </w:p>
    <w:p>
      <w:pPr>
        <w:tabs>
          <w:tab w:val="left" w:pos="540"/>
        </w:tabs>
        <w:adjustRightInd w:val="0"/>
        <w:snapToGrid w:val="0"/>
        <w:spacing w:beforeLines="100" w:line="240" w:lineRule="exact"/>
        <w:ind w:right="-238" w:firstLine="482"/>
        <w:rPr>
          <w:rFonts w:ascii="宋体" w:hAnsi="宋体" w:cs="宋体"/>
          <w:b/>
          <w:color w:val="auto"/>
          <w:kern w:val="0"/>
          <w:szCs w:val="21"/>
          <w:u w:val="single"/>
        </w:rPr>
      </w:pPr>
    </w:p>
    <w:p>
      <w:pPr>
        <w:tabs>
          <w:tab w:val="left" w:pos="540"/>
        </w:tabs>
        <w:adjustRightInd w:val="0"/>
        <w:snapToGrid w:val="0"/>
        <w:spacing w:beforeLines="100" w:line="360" w:lineRule="auto"/>
        <w:ind w:right="-238"/>
        <w:rPr>
          <w:rFonts w:ascii="宋体" w:hAnsi="宋体" w:cs="宋体"/>
          <w:b/>
          <w:color w:val="auto"/>
          <w:kern w:val="0"/>
          <w:szCs w:val="21"/>
        </w:rPr>
      </w:pPr>
      <w:r>
        <w:rPr>
          <w:rFonts w:hint="eastAsia" w:ascii="宋体" w:hAnsi="宋体" w:cs="宋体"/>
          <w:b/>
          <w:color w:val="auto"/>
          <w:kern w:val="0"/>
          <w:szCs w:val="21"/>
        </w:rPr>
        <w:t>37  加快进度</w:t>
      </w:r>
    </w:p>
    <w:p>
      <w:pPr>
        <w:tabs>
          <w:tab w:val="left" w:pos="1320"/>
        </w:tabs>
        <w:adjustRightInd w:val="0"/>
        <w:snapToGrid w:val="0"/>
        <w:spacing w:line="360" w:lineRule="auto"/>
        <w:rPr>
          <w:rFonts w:ascii="宋体" w:hAnsi="宋体" w:cs="宋体"/>
          <w:b/>
          <w:color w:val="auto"/>
          <w:kern w:val="0"/>
          <w:szCs w:val="21"/>
        </w:rPr>
      </w:pPr>
      <w:r>
        <w:rPr>
          <w:rFonts w:ascii="宋体" w:hAnsi="宋体" w:cs="宋体"/>
          <w:color w:val="auto"/>
          <w:kern w:val="0"/>
          <w:szCs w:val="21"/>
        </w:rPr>
        <mc:AlternateContent>
          <mc:Choice Requires="wps">
            <w:drawing>
              <wp:anchor distT="0" distB="0" distL="114300" distR="114300" simplePos="0" relativeHeight="251695104" behindDoc="0" locked="0" layoutInCell="1" allowOverlap="1">
                <wp:simplePos x="0" y="0"/>
                <wp:positionH relativeFrom="column">
                  <wp:posOffset>-114300</wp:posOffset>
                </wp:positionH>
                <wp:positionV relativeFrom="paragraph">
                  <wp:posOffset>160655</wp:posOffset>
                </wp:positionV>
                <wp:extent cx="914400" cy="540385"/>
                <wp:effectExtent l="0" t="0" r="0" b="0"/>
                <wp:wrapNone/>
                <wp:docPr id="255" name="文本框 255"/>
                <wp:cNvGraphicFramePr/>
                <a:graphic xmlns:a="http://schemas.openxmlformats.org/drawingml/2006/main">
                  <a:graphicData uri="http://schemas.microsoft.com/office/word/2010/wordprocessingShape">
                    <wps:wsp>
                      <wps:cNvSpPr txBox="1">
                        <a:spLocks noChangeArrowheads="1"/>
                      </wps:cNvSpPr>
                      <wps:spPr bwMode="auto">
                        <a:xfrm>
                          <a:off x="0" y="0"/>
                          <a:ext cx="914400" cy="540385"/>
                        </a:xfrm>
                        <a:prstGeom prst="rect">
                          <a:avLst/>
                        </a:prstGeom>
                        <a:noFill/>
                        <a:ln>
                          <a:noFill/>
                        </a:ln>
                        <a:effectLst/>
                      </wps:spPr>
                      <wps:txbx>
                        <w:txbxContent>
                          <w:p>
                            <w:pPr>
                              <w:rPr>
                                <w:rFonts w:ascii="宋体" w:hAnsi="宋体"/>
                                <w:sz w:val="18"/>
                                <w:szCs w:val="18"/>
                              </w:rPr>
                            </w:pPr>
                            <w:r>
                              <w:rPr>
                                <w:rFonts w:hint="eastAsia" w:ascii="楷体_GB2312" w:hAnsi="宋体"/>
                                <w:b/>
                                <w:color w:val="000000"/>
                                <w:sz w:val="18"/>
                                <w:szCs w:val="18"/>
                              </w:rPr>
                              <w:t>承包人原因加快进度的要求</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65pt;height:42.55pt;width:72pt;z-index:251695104;mso-width-relative:page;mso-height-relative:page;" filled="f" stroked="f" coordsize="21600,21600" o:gfxdata="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F4NFGDXAAAACgEAAA8AAAAAAAAAAQAgAAAAIgAAAGRycy9kb3du&#10;cmV2LnhtbFBLAQIUABQAAAAIAIdO4kCDXvHqAAIAANgDAAAOAAAAAAAAAAEAIAAAACYBAABkcnMv&#10;ZTJvRG9jLnhtbFBLBQYAAAAABgAGAFkBAACYBQAAAAA=&#10;">
                <v:fill on="f" focussize="0,0"/>
                <v:stroke on="f"/>
                <v:imagedata o:title=""/>
                <o:lock v:ext="edit" aspectratio="f"/>
                <v:textbox>
                  <w:txbxContent>
                    <w:p>
                      <w:pPr>
                        <w:rPr>
                          <w:rFonts w:ascii="宋体" w:hAnsi="宋体"/>
                          <w:sz w:val="18"/>
                          <w:szCs w:val="18"/>
                        </w:rPr>
                      </w:pPr>
                      <w:r>
                        <w:rPr>
                          <w:rFonts w:hint="eastAsia" w:ascii="楷体_GB2312" w:hAnsi="宋体"/>
                          <w:b/>
                          <w:color w:val="000000"/>
                          <w:sz w:val="18"/>
                          <w:szCs w:val="18"/>
                        </w:rPr>
                        <w:t>承包人原因加快进度的要求</w:t>
                      </w:r>
                    </w:p>
                  </w:txbxContent>
                </v:textbox>
              </v:shape>
            </w:pict>
          </mc:Fallback>
        </mc:AlternateContent>
      </w:r>
      <w:r>
        <w:rPr>
          <w:rFonts w:hint="eastAsia" w:ascii="宋体" w:hAnsi="宋体" w:cs="宋体"/>
          <w:b/>
          <w:color w:val="auto"/>
          <w:kern w:val="0"/>
          <w:szCs w:val="21"/>
        </w:rPr>
        <w:t xml:space="preserve">37.1     </w:t>
      </w:r>
    </w:p>
    <w:p>
      <w:pPr>
        <w:adjustRightInd w:val="0"/>
        <w:snapToGrid w:val="0"/>
        <w:spacing w:line="360" w:lineRule="auto"/>
        <w:ind w:left="1619" w:leftChars="771"/>
        <w:rPr>
          <w:rFonts w:ascii="宋体" w:hAnsi="宋体" w:cs="宋体"/>
          <w:color w:val="auto"/>
          <w:kern w:val="0"/>
          <w:szCs w:val="21"/>
        </w:rPr>
      </w:pPr>
      <w:r>
        <w:rPr>
          <w:rFonts w:hint="eastAsia" w:ascii="宋体" w:hAnsi="宋体" w:cs="宋体"/>
          <w:color w:val="auto"/>
          <w:kern w:val="0"/>
          <w:szCs w:val="21"/>
        </w:rPr>
        <w:t>在非发包人延误工期的情况下，如果监理工程师书面指出承包人实施合同工程或其任何部分的进度过慢，迟于进度计划或不能按期竣工，则承包人应按照第33.4款规定采取改进措施，加快工程进度。</w:t>
      </w:r>
      <w:r>
        <w:rPr>
          <w:rFonts w:hint="eastAsia" w:ascii="宋体" w:hAnsi="宋体" w:cs="宋体"/>
          <w:color w:val="auto"/>
          <w:kern w:val="0"/>
          <w:szCs w:val="21"/>
        </w:rPr>
        <w:br w:type="textWrapping"/>
      </w:r>
      <w:r>
        <w:rPr>
          <w:rFonts w:hint="eastAsia" w:ascii="宋体" w:hAnsi="宋体" w:cs="宋体"/>
          <w:color w:val="auto"/>
          <w:kern w:val="0"/>
          <w:szCs w:val="21"/>
        </w:rPr>
        <w:t xml:space="preserve">如果承包人在接到监理工程师通知后的14天内，未能采取加快工程进度的措施，致使实际进度进一步延迟；或承包人虽然采取了改进措施，仍无法按期竣工，监理工程师应立即报告发包人，并抄送承包人。发包人可按照第87.3款规定解除合同，也可将合同工程中的一部分工作交由第三方完成，由此增加的一切费用由承包人承担。即使承包人承担增加的费用，也不能免除其按照合同约定应承担的任何责任和应履行的任何义务。 </w:t>
      </w:r>
    </w:p>
    <w:p>
      <w:pPr>
        <w:tabs>
          <w:tab w:val="left" w:pos="1320"/>
        </w:tabs>
        <w:adjustRightInd w:val="0"/>
        <w:snapToGrid w:val="0"/>
        <w:spacing w:line="360" w:lineRule="auto"/>
        <w:rPr>
          <w:rFonts w:ascii="宋体" w:hAnsi="宋体" w:cs="宋体"/>
          <w:b/>
          <w:color w:val="auto"/>
          <w:kern w:val="0"/>
          <w:szCs w:val="21"/>
          <w:u w:val="dotted"/>
        </w:rPr>
      </w:pPr>
      <w:r>
        <w:rPr>
          <w:rFonts w:ascii="宋体" w:hAnsi="宋体" w:cs="宋体"/>
          <w:color w:val="auto"/>
          <w:kern w:val="0"/>
          <w:szCs w:val="21"/>
        </w:rPr>
        <mc:AlternateContent>
          <mc:Choice Requires="wps">
            <w:drawing>
              <wp:anchor distT="0" distB="0" distL="114300" distR="114300" simplePos="0" relativeHeight="251696128" behindDoc="0" locked="0" layoutInCell="1" allowOverlap="1">
                <wp:simplePos x="0" y="0"/>
                <wp:positionH relativeFrom="column">
                  <wp:posOffset>-114300</wp:posOffset>
                </wp:positionH>
                <wp:positionV relativeFrom="paragraph">
                  <wp:posOffset>278130</wp:posOffset>
                </wp:positionV>
                <wp:extent cx="914400" cy="494665"/>
                <wp:effectExtent l="0" t="0" r="0" b="0"/>
                <wp:wrapNone/>
                <wp:docPr id="254" name="文本框 254"/>
                <wp:cNvGraphicFramePr/>
                <a:graphic xmlns:a="http://schemas.openxmlformats.org/drawingml/2006/main">
                  <a:graphicData uri="http://schemas.microsoft.com/office/word/2010/wordprocessingShape">
                    <wps:wsp>
                      <wps:cNvSpPr txBox="1">
                        <a:spLocks noChangeArrowheads="1"/>
                      </wps:cNvSpPr>
                      <wps:spPr bwMode="auto">
                        <a:xfrm>
                          <a:off x="0" y="0"/>
                          <a:ext cx="914400" cy="494665"/>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发包人原因加快进度的要求</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1.9pt;height:38.95pt;width:72pt;z-index:251696128;mso-width-relative:page;mso-height-relative:page;" filled="f" stroked="f" coordsize="21600,21600" o:gfxdata="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DWfa7zXAAAACgEAAA8AAAAAAAAAAQAgAAAAIgAAAGRycy9kb3du&#10;cmV2LnhtbFBLAQIUABQAAAAIAIdO4kC/MDQhAAIAANgDAAAOAAAAAAAAAAEAIAAAACYBAABkcnMv&#10;ZTJvRG9jLnhtbFBLBQYAAAAABgAGAFkBAACYBQ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发包人原因加快进度的要求</w:t>
                      </w:r>
                    </w:p>
                  </w:txbxContent>
                </v:textbox>
              </v:shape>
            </w:pict>
          </mc:Fallback>
        </mc:AlternateContent>
      </w:r>
      <w:r>
        <w:rPr>
          <w:rFonts w:hint="eastAsia" w:ascii="宋体" w:hAnsi="宋体" w:cs="宋体"/>
          <w:b/>
          <w:color w:val="auto"/>
          <w:kern w:val="0"/>
          <w:szCs w:val="21"/>
        </w:rPr>
        <w:t xml:space="preserve">37.2  </w:t>
      </w:r>
      <w:r>
        <w:rPr>
          <w:rFonts w:hint="eastAsia" w:ascii="宋体" w:hAnsi="宋体" w:cs="宋体"/>
          <w:b/>
          <w:color w:val="auto"/>
          <w:kern w:val="0"/>
          <w:szCs w:val="21"/>
          <w:u w:val="dotted"/>
        </w:rPr>
        <w:t xml:space="preserve">                                                                                                        </w:t>
      </w:r>
    </w:p>
    <w:p>
      <w:pPr>
        <w:adjustRightInd w:val="0"/>
        <w:snapToGrid w:val="0"/>
        <w:spacing w:line="360" w:lineRule="auto"/>
        <w:ind w:left="1619" w:leftChars="771"/>
        <w:rPr>
          <w:rFonts w:ascii="宋体" w:hAnsi="宋体" w:cs="宋体"/>
          <w:color w:val="auto"/>
          <w:kern w:val="0"/>
          <w:szCs w:val="21"/>
        </w:rPr>
      </w:pPr>
      <w:r>
        <w:rPr>
          <w:rFonts w:hint="eastAsia" w:ascii="宋体" w:hAnsi="宋体" w:cs="宋体"/>
          <w:color w:val="auto"/>
          <w:kern w:val="0"/>
          <w:szCs w:val="21"/>
        </w:rPr>
        <w:t>如果发包人希望承包人提前竣工，那么发包人可要求承包人提交为加快进度而编制的提前竣工建议书。承包人应在接到发包人要求后的7天内完成编制并向发包人提交提前竣工建议书，该建议书的内容至少应包括：</w:t>
      </w:r>
    </w:p>
    <w:p>
      <w:pPr>
        <w:numPr>
          <w:ilvl w:val="0"/>
          <w:numId w:val="23"/>
        </w:numPr>
        <w:tabs>
          <w:tab w:val="left" w:pos="1980"/>
        </w:tabs>
        <w:adjustRightInd w:val="0"/>
        <w:snapToGrid w:val="0"/>
        <w:spacing w:line="360" w:lineRule="auto"/>
        <w:ind w:left="1620"/>
        <w:rPr>
          <w:rFonts w:ascii="宋体" w:hAnsi="宋体" w:cs="宋体"/>
          <w:color w:val="auto"/>
          <w:kern w:val="0"/>
          <w:szCs w:val="21"/>
        </w:rPr>
      </w:pPr>
      <w:r>
        <w:rPr>
          <w:rFonts w:hint="eastAsia" w:ascii="宋体" w:hAnsi="宋体" w:cs="宋体"/>
          <w:color w:val="auto"/>
          <w:kern w:val="0"/>
          <w:szCs w:val="21"/>
        </w:rPr>
        <w:t>加快进度拟采取的措施；</w:t>
      </w:r>
    </w:p>
    <w:p>
      <w:pPr>
        <w:numPr>
          <w:ilvl w:val="0"/>
          <w:numId w:val="23"/>
        </w:numPr>
        <w:tabs>
          <w:tab w:val="left" w:pos="1980"/>
        </w:tabs>
        <w:adjustRightInd w:val="0"/>
        <w:snapToGrid w:val="0"/>
        <w:spacing w:line="360" w:lineRule="auto"/>
        <w:ind w:left="1620"/>
        <w:rPr>
          <w:rFonts w:ascii="宋体" w:hAnsi="宋体" w:cs="宋体"/>
          <w:color w:val="auto"/>
          <w:kern w:val="0"/>
          <w:szCs w:val="21"/>
        </w:rPr>
      </w:pPr>
      <w:r>
        <w:rPr>
          <w:rFonts w:hint="eastAsia" w:ascii="宋体" w:hAnsi="宋体" w:cs="宋体"/>
          <w:color w:val="auto"/>
          <w:kern w:val="0"/>
          <w:szCs w:val="21"/>
        </w:rPr>
        <w:t>加快进度后的进度计划,以及与原计划的对比；</w:t>
      </w:r>
    </w:p>
    <w:p>
      <w:pPr>
        <w:numPr>
          <w:ilvl w:val="0"/>
          <w:numId w:val="23"/>
        </w:numPr>
        <w:tabs>
          <w:tab w:val="left" w:pos="1980"/>
        </w:tabs>
        <w:adjustRightInd w:val="0"/>
        <w:snapToGrid w:val="0"/>
        <w:spacing w:line="360" w:lineRule="auto"/>
        <w:ind w:left="1620"/>
        <w:rPr>
          <w:rFonts w:ascii="宋体" w:hAnsi="宋体" w:cs="宋体"/>
          <w:color w:val="auto"/>
          <w:kern w:val="0"/>
          <w:szCs w:val="21"/>
        </w:rPr>
      </w:pPr>
      <w:r>
        <w:rPr>
          <w:rFonts w:hint="eastAsia" w:ascii="宋体" w:hAnsi="宋体" w:cs="宋体"/>
          <w:color w:val="auto"/>
          <w:kern w:val="0"/>
          <w:szCs w:val="21"/>
        </w:rPr>
        <w:t>加快进度所需的合同价款增加额（含第66.1款规定的提前竣工奖）。该增加额按照第72.2款、第72.3款和第72.5款规定计算。</w:t>
      </w:r>
    </w:p>
    <w:p>
      <w:pPr>
        <w:adjustRightInd w:val="0"/>
        <w:snapToGrid w:val="0"/>
        <w:spacing w:line="360" w:lineRule="auto"/>
        <w:ind w:left="1617" w:leftChars="770" w:firstLine="1"/>
        <w:rPr>
          <w:rFonts w:ascii="宋体" w:hAnsi="宋体" w:cs="宋体"/>
          <w:color w:val="auto"/>
          <w:kern w:val="0"/>
          <w:szCs w:val="21"/>
        </w:rPr>
      </w:pPr>
      <w:r>
        <w:rPr>
          <w:rFonts w:hint="eastAsia" w:ascii="宋体" w:hAnsi="宋体" w:cs="宋体"/>
          <w:color w:val="auto"/>
          <w:kern w:val="0"/>
          <w:szCs w:val="21"/>
        </w:rPr>
        <w:t>发包人应在接到建议书后的7天内予以答复。如果发包人接受了该建议书，则监理工程师应以书面形式发出变更指令，相应调整工期；造价工程师应核实并相应调整合同价款。</w:t>
      </w:r>
    </w:p>
    <w:p>
      <w:pPr>
        <w:adjustRightInd w:val="0"/>
        <w:snapToGrid w:val="0"/>
        <w:spacing w:line="240" w:lineRule="exact"/>
        <w:ind w:right="-240"/>
        <w:rPr>
          <w:rFonts w:ascii="宋体" w:hAnsi="宋体" w:cs="宋体"/>
          <w:b/>
          <w:color w:val="auto"/>
          <w:kern w:val="0"/>
          <w:szCs w:val="21"/>
          <w:u w:val="single"/>
        </w:rPr>
      </w:pPr>
      <w:r>
        <w:rPr>
          <w:rFonts w:hint="eastAsia" w:ascii="宋体" w:hAnsi="宋体" w:cs="宋体"/>
          <w:b/>
          <w:color w:val="auto"/>
          <w:kern w:val="0"/>
          <w:szCs w:val="21"/>
          <w:u w:val="single"/>
        </w:rPr>
        <w:t xml:space="preserve">                                                                                                       </w:t>
      </w:r>
    </w:p>
    <w:p>
      <w:pPr>
        <w:tabs>
          <w:tab w:val="left" w:pos="1620"/>
        </w:tabs>
        <w:spacing w:line="240" w:lineRule="exact"/>
        <w:rPr>
          <w:rFonts w:ascii="宋体" w:hAnsi="宋体" w:cs="宋体"/>
          <w:color w:val="auto"/>
          <w:szCs w:val="21"/>
        </w:rPr>
      </w:pPr>
    </w:p>
    <w:p>
      <w:pPr>
        <w:tabs>
          <w:tab w:val="left" w:pos="540"/>
        </w:tabs>
        <w:adjustRightInd w:val="0"/>
        <w:snapToGrid w:val="0"/>
        <w:spacing w:beforeLines="100" w:line="360" w:lineRule="auto"/>
        <w:ind w:right="-238"/>
        <w:rPr>
          <w:rFonts w:ascii="宋体" w:hAnsi="宋体" w:cs="宋体"/>
          <w:b/>
          <w:color w:val="auto"/>
          <w:kern w:val="0"/>
          <w:szCs w:val="21"/>
        </w:rPr>
      </w:pPr>
      <w:r>
        <w:rPr>
          <w:rFonts w:hint="eastAsia" w:ascii="宋体" w:hAnsi="宋体" w:cs="宋体"/>
          <w:b/>
          <w:color w:val="auto"/>
          <w:kern w:val="0"/>
          <w:szCs w:val="21"/>
        </w:rPr>
        <w:t>38  竣工日期</w:t>
      </w:r>
    </w:p>
    <w:p>
      <w:pPr>
        <w:adjustRightInd w:val="0"/>
        <w:snapToGrid w:val="0"/>
        <w:spacing w:line="360" w:lineRule="auto"/>
        <w:rPr>
          <w:rFonts w:ascii="宋体" w:hAnsi="宋体" w:cs="宋体"/>
          <w:b/>
          <w:color w:val="auto"/>
          <w:kern w:val="0"/>
          <w:szCs w:val="21"/>
        </w:rPr>
      </w:pPr>
      <w:r>
        <w:rPr>
          <w:rFonts w:ascii="宋体" w:hAnsi="宋体" w:cs="宋体"/>
          <w:color w:val="auto"/>
          <w:kern w:val="0"/>
          <w:szCs w:val="21"/>
        </w:rPr>
        <mc:AlternateContent>
          <mc:Choice Requires="wps">
            <w:drawing>
              <wp:anchor distT="0" distB="0" distL="114300" distR="114300" simplePos="0" relativeHeight="251697152" behindDoc="0" locked="0" layoutInCell="1" allowOverlap="1">
                <wp:simplePos x="0" y="0"/>
                <wp:positionH relativeFrom="column">
                  <wp:posOffset>-133350</wp:posOffset>
                </wp:positionH>
                <wp:positionV relativeFrom="paragraph">
                  <wp:posOffset>135890</wp:posOffset>
                </wp:positionV>
                <wp:extent cx="977900" cy="396240"/>
                <wp:effectExtent l="0" t="0" r="0" b="0"/>
                <wp:wrapNone/>
                <wp:docPr id="253" name="文本框 253"/>
                <wp:cNvGraphicFramePr/>
                <a:graphic xmlns:a="http://schemas.openxmlformats.org/drawingml/2006/main">
                  <a:graphicData uri="http://schemas.microsoft.com/office/word/2010/wordprocessingShape">
                    <wps:wsp>
                      <wps:cNvSpPr txBox="1">
                        <a:spLocks noChangeArrowheads="1"/>
                      </wps:cNvSpPr>
                      <wps:spPr bwMode="auto">
                        <a:xfrm>
                          <a:off x="0" y="0"/>
                          <a:ext cx="977900" cy="39624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约定计划竣工日期</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0.5pt;margin-top:10.7pt;height:31.2pt;width:77pt;z-index:251697152;mso-width-relative:page;mso-height-relative:page;" filled="f" stroked="f" coordsize="21600,21600" o:gfxdata="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Go4dVfXAAAACQEAAA8AAAAAAAAAAQAgAAAAIgAAAGRycy9k&#10;b3ducmV2LnhtbFBLAQIUABQAAAAIAIdO4kBs4porAwIAANgDAAAOAAAAAAAAAAEAIAAAACYBAABk&#10;cnMvZTJvRG9jLnhtbFBLBQYAAAAABgAGAFkBAACb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约定计划竣工日期</w:t>
                      </w:r>
                    </w:p>
                  </w:txbxContent>
                </v:textbox>
              </v:shape>
            </w:pict>
          </mc:Fallback>
        </mc:AlternateContent>
      </w:r>
      <w:r>
        <w:rPr>
          <w:rFonts w:hint="eastAsia" w:ascii="宋体" w:hAnsi="宋体" w:cs="宋体"/>
          <w:b/>
          <w:color w:val="auto"/>
          <w:kern w:val="0"/>
          <w:szCs w:val="21"/>
        </w:rPr>
        <w:t xml:space="preserve">38.1   </w:t>
      </w:r>
    </w:p>
    <w:p>
      <w:pPr>
        <w:adjustRightInd w:val="0"/>
        <w:snapToGrid w:val="0"/>
        <w:spacing w:line="360" w:lineRule="auto"/>
        <w:ind w:left="1619" w:leftChars="771"/>
        <w:rPr>
          <w:rFonts w:ascii="宋体" w:hAnsi="宋体" w:cs="宋体"/>
          <w:color w:val="auto"/>
          <w:kern w:val="0"/>
          <w:szCs w:val="21"/>
        </w:rPr>
      </w:pPr>
      <w:r>
        <w:rPr>
          <w:rFonts w:hint="eastAsia" w:ascii="宋体" w:hAnsi="宋体" w:cs="宋体"/>
          <w:color w:val="auto"/>
          <w:kern w:val="0"/>
          <w:szCs w:val="21"/>
        </w:rPr>
        <w:t>合同双方当事人应在协议书和专用条款中约定合同工程的计划竣工日期。</w:t>
      </w:r>
    </w:p>
    <w:p>
      <w:pPr>
        <w:adjustRightInd w:val="0"/>
        <w:snapToGrid w:val="0"/>
        <w:spacing w:line="360" w:lineRule="auto"/>
        <w:rPr>
          <w:rFonts w:ascii="宋体" w:hAnsi="宋体" w:cs="宋体"/>
          <w:b/>
          <w:color w:val="auto"/>
          <w:kern w:val="0"/>
          <w:szCs w:val="21"/>
          <w:u w:val="dotted"/>
        </w:rPr>
      </w:pPr>
      <w:r>
        <w:rPr>
          <w:rFonts w:hint="eastAsia" w:ascii="宋体" w:hAnsi="宋体" w:cs="宋体"/>
          <w:b/>
          <w:color w:val="auto"/>
          <w:kern w:val="0"/>
          <w:szCs w:val="21"/>
        </w:rPr>
        <w:t xml:space="preserve">38.2  </w:t>
      </w:r>
      <w:r>
        <w:rPr>
          <w:rFonts w:hint="eastAsia" w:ascii="宋体" w:hAnsi="宋体" w:cs="宋体"/>
          <w:b/>
          <w:color w:val="auto"/>
          <w:kern w:val="0"/>
          <w:szCs w:val="21"/>
          <w:u w:val="dotted"/>
        </w:rPr>
        <w:t xml:space="preserve">                                                                                                        </w:t>
      </w:r>
    </w:p>
    <w:p>
      <w:pPr>
        <w:adjustRightInd w:val="0"/>
        <w:snapToGrid w:val="0"/>
        <w:spacing w:line="360" w:lineRule="auto"/>
        <w:ind w:left="1619" w:leftChars="771"/>
        <w:rPr>
          <w:rFonts w:ascii="宋体" w:hAnsi="宋体" w:cs="宋体"/>
          <w:color w:val="auto"/>
          <w:kern w:val="0"/>
          <w:szCs w:val="21"/>
        </w:rPr>
      </w:pPr>
      <w:r>
        <w:rPr>
          <w:rFonts w:ascii="宋体" w:hAnsi="宋体" w:cs="宋体"/>
          <w:color w:val="auto"/>
          <w:kern w:val="0"/>
          <w:szCs w:val="21"/>
        </w:rPr>
        <mc:AlternateContent>
          <mc:Choice Requires="wps">
            <w:drawing>
              <wp:anchor distT="0" distB="0" distL="114300" distR="114300" simplePos="0" relativeHeight="251698176" behindDoc="0" locked="0" layoutInCell="1" allowOverlap="1">
                <wp:simplePos x="0" y="0"/>
                <wp:positionH relativeFrom="column">
                  <wp:posOffset>-114300</wp:posOffset>
                </wp:positionH>
                <wp:positionV relativeFrom="paragraph">
                  <wp:posOffset>5715</wp:posOffset>
                </wp:positionV>
                <wp:extent cx="977900" cy="396240"/>
                <wp:effectExtent l="0" t="0" r="0" b="0"/>
                <wp:wrapNone/>
                <wp:docPr id="252" name="文本框 252"/>
                <wp:cNvGraphicFramePr/>
                <a:graphic xmlns:a="http://schemas.openxmlformats.org/drawingml/2006/main">
                  <a:graphicData uri="http://schemas.microsoft.com/office/word/2010/wordprocessingShape">
                    <wps:wsp>
                      <wps:cNvSpPr txBox="1">
                        <a:spLocks noChangeArrowheads="1"/>
                      </wps:cNvSpPr>
                      <wps:spPr bwMode="auto">
                        <a:xfrm>
                          <a:off x="0" y="0"/>
                          <a:ext cx="977900" cy="39624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实际竣工日期的确定</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45pt;height:31.2pt;width:77pt;z-index:251698176;mso-width-relative:page;mso-height-relative:page;" filled="f" stroked="f" coordsize="21600,21600" o:gfxdata="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AmaHG1QAAAAcBAAAPAAAAAAAAAAEAIAAAACIAAABkcnMvZG93&#10;bnJldi54bWxQSwECFAAUAAAACACHTuJA6D0tLwMCAADYAwAADgAAAAAAAAABACAAAAAkAQAAZHJz&#10;L2Uyb0RvYy54bWxQSwUGAAAAAAYABgBZAQAAmQ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实际竣工日期的确定</w:t>
                      </w:r>
                    </w:p>
                  </w:txbxContent>
                </v:textbox>
              </v:shape>
            </w:pict>
          </mc:Fallback>
        </mc:AlternateContent>
      </w:r>
      <w:r>
        <w:rPr>
          <w:rFonts w:hint="eastAsia" w:ascii="宋体" w:hAnsi="宋体" w:cs="宋体"/>
          <w:color w:val="auto"/>
          <w:kern w:val="0"/>
          <w:szCs w:val="21"/>
        </w:rPr>
        <w:t>除发生不可抗力事件致使发包人不能按时竣工验收外，实际竣工日期按照下列情况分别确定：</w:t>
      </w:r>
    </w:p>
    <w:p>
      <w:pPr>
        <w:numPr>
          <w:ilvl w:val="0"/>
          <w:numId w:val="24"/>
        </w:numPr>
        <w:tabs>
          <w:tab w:val="left" w:pos="1980"/>
          <w:tab w:val="left" w:pos="2160"/>
        </w:tabs>
        <w:adjustRightInd w:val="0"/>
        <w:snapToGrid w:val="0"/>
        <w:spacing w:line="360" w:lineRule="auto"/>
        <w:ind w:left="1619" w:leftChars="771"/>
        <w:rPr>
          <w:rFonts w:ascii="宋体" w:hAnsi="宋体" w:cs="宋体"/>
          <w:color w:val="auto"/>
          <w:kern w:val="0"/>
          <w:szCs w:val="21"/>
        </w:rPr>
      </w:pPr>
      <w:r>
        <w:rPr>
          <w:rFonts w:hint="eastAsia" w:ascii="宋体" w:hAnsi="宋体" w:cs="宋体"/>
          <w:color w:val="auto"/>
          <w:kern w:val="0"/>
          <w:szCs w:val="21"/>
        </w:rPr>
        <w:t>工程经竣工验收合格的，以承包人提交竣工验收申请报告之日为实际竣工日期；</w:t>
      </w:r>
    </w:p>
    <w:p>
      <w:pPr>
        <w:tabs>
          <w:tab w:val="left" w:pos="1980"/>
          <w:tab w:val="left" w:pos="2160"/>
        </w:tabs>
        <w:adjustRightInd w:val="0"/>
        <w:snapToGrid w:val="0"/>
        <w:spacing w:line="360" w:lineRule="auto"/>
        <w:ind w:left="1613"/>
        <w:rPr>
          <w:rFonts w:ascii="宋体" w:hAnsi="宋体" w:cs="宋体"/>
          <w:color w:val="auto"/>
          <w:kern w:val="0"/>
          <w:szCs w:val="21"/>
        </w:rPr>
      </w:pPr>
      <w:r>
        <w:rPr>
          <w:rFonts w:hint="eastAsia" w:ascii="宋体" w:hAnsi="宋体" w:cs="宋体"/>
          <w:color w:val="auto"/>
          <w:kern w:val="0"/>
          <w:szCs w:val="21"/>
        </w:rPr>
        <w:t>(2)承包人已按照第57.2款规定提交竣工验收申请报告，但发包人未按照第58.3款规定完成合同工程验收的，以承包人提交竣工验收申请报告之日为实际竣工日期；</w:t>
      </w:r>
    </w:p>
    <w:p>
      <w:pPr>
        <w:tabs>
          <w:tab w:val="left" w:pos="1980"/>
          <w:tab w:val="left" w:pos="2160"/>
        </w:tabs>
        <w:adjustRightInd w:val="0"/>
        <w:snapToGrid w:val="0"/>
        <w:spacing w:line="360" w:lineRule="auto"/>
        <w:ind w:left="1617"/>
        <w:rPr>
          <w:rFonts w:ascii="宋体" w:hAnsi="宋体" w:cs="宋体"/>
          <w:color w:val="auto"/>
          <w:kern w:val="0"/>
          <w:szCs w:val="21"/>
        </w:rPr>
      </w:pPr>
      <w:r>
        <w:rPr>
          <w:rFonts w:hint="eastAsia" w:ascii="宋体" w:hAnsi="宋体" w:cs="宋体"/>
          <w:color w:val="auto"/>
          <w:kern w:val="0"/>
          <w:szCs w:val="21"/>
        </w:rPr>
        <w:t>(3)工程未经竣工验收，发包人擅自使用的，以转移占有工程之日为实际竣工日期。</w:t>
      </w:r>
    </w:p>
    <w:p>
      <w:pPr>
        <w:adjustRightInd w:val="0"/>
        <w:snapToGrid w:val="0"/>
        <w:spacing w:line="360" w:lineRule="auto"/>
        <w:ind w:left="1423" w:leftChars="1" w:right="-2" w:hanging="1421" w:hangingChars="674"/>
        <w:rPr>
          <w:rFonts w:ascii="宋体" w:hAnsi="宋体" w:cs="宋体"/>
          <w:b/>
          <w:color w:val="auto"/>
          <w:kern w:val="0"/>
          <w:szCs w:val="21"/>
          <w:u w:val="dotted"/>
        </w:rPr>
      </w:pPr>
      <w:r>
        <w:rPr>
          <w:rFonts w:hint="eastAsia" w:ascii="宋体" w:hAnsi="宋体" w:cs="宋体"/>
          <w:b/>
          <w:color w:val="auto"/>
          <w:kern w:val="0"/>
          <w:szCs w:val="21"/>
        </w:rPr>
        <w:t xml:space="preserve">38.3  </w:t>
      </w:r>
      <w:r>
        <w:rPr>
          <w:rFonts w:hint="eastAsia" w:ascii="宋体" w:hAnsi="宋体" w:cs="宋体"/>
          <w:b/>
          <w:color w:val="auto"/>
          <w:kern w:val="0"/>
          <w:szCs w:val="21"/>
          <w:u w:val="dotted"/>
        </w:rPr>
        <w:t xml:space="preserve">                                                                                                        </w:t>
      </w:r>
    </w:p>
    <w:p>
      <w:pPr>
        <w:adjustRightInd w:val="0"/>
        <w:snapToGrid w:val="0"/>
        <w:spacing w:line="360" w:lineRule="auto"/>
        <w:ind w:left="1619" w:leftChars="771"/>
        <w:rPr>
          <w:rFonts w:ascii="宋体" w:hAnsi="宋体" w:cs="宋体"/>
          <w:color w:val="auto"/>
          <w:szCs w:val="21"/>
        </w:rPr>
      </w:pPr>
      <w:r>
        <w:rPr>
          <w:rFonts w:ascii="宋体" w:hAnsi="宋体" w:cs="宋体"/>
          <w:color w:val="auto"/>
          <w:szCs w:val="21"/>
        </w:rPr>
        <mc:AlternateContent>
          <mc:Choice Requires="wps">
            <w:drawing>
              <wp:anchor distT="0" distB="0" distL="114300" distR="114300" simplePos="0" relativeHeight="252056576" behindDoc="0" locked="0" layoutInCell="1" allowOverlap="1">
                <wp:simplePos x="0" y="0"/>
                <wp:positionH relativeFrom="column">
                  <wp:posOffset>-114300</wp:posOffset>
                </wp:positionH>
                <wp:positionV relativeFrom="paragraph">
                  <wp:posOffset>268605</wp:posOffset>
                </wp:positionV>
                <wp:extent cx="914400" cy="483870"/>
                <wp:effectExtent l="0" t="0" r="0" b="0"/>
                <wp:wrapNone/>
                <wp:docPr id="251" name="文本框 251"/>
                <wp:cNvGraphicFramePr/>
                <a:graphic xmlns:a="http://schemas.openxmlformats.org/drawingml/2006/main">
                  <a:graphicData uri="http://schemas.microsoft.com/office/word/2010/wordprocessingShape">
                    <wps:wsp>
                      <wps:cNvSpPr txBox="1">
                        <a:spLocks noChangeArrowheads="1"/>
                      </wps:cNvSpPr>
                      <wps:spPr bwMode="auto">
                        <a:xfrm>
                          <a:off x="0" y="0"/>
                          <a:ext cx="914400" cy="48387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延迟竣工的责任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1.15pt;height:38.1pt;width:72pt;z-index:252056576;mso-width-relative:page;mso-height-relative:page;" filled="f" stroked="f" coordsize="21600,21600" o:gfxdata="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vmTJA2AAAAAoBAAAPAAAAAAAAAAEAIAAAACIAAABkcnMvZG93&#10;bnJldi54bWxQSwECFAAUAAAACACHTuJAv0jAgAACAADYAwAADgAAAAAAAAABACAAAAAnAQAAZHJz&#10;L2Uyb0RvYy54bWxQSwUGAAAAAAYABgBZAQAAmQ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延迟竣工的责任</w:t>
                      </w:r>
                    </w:p>
                  </w:txbxContent>
                </v:textbox>
              </v:shape>
            </w:pict>
          </mc:Fallback>
        </mc:AlternateContent>
      </w:r>
      <w:r>
        <w:rPr>
          <w:rFonts w:hint="eastAsia" w:ascii="宋体" w:hAnsi="宋体" w:cs="宋体"/>
          <w:color w:val="auto"/>
          <w:szCs w:val="21"/>
        </w:rPr>
        <w:t>因发包人的原因导致实际竣工日期迟于计划竣工日期的，发包人应承担由此增加的费用和（或）延误的工期，并向承包人支付合理利润。</w:t>
      </w:r>
    </w:p>
    <w:p>
      <w:pPr>
        <w:spacing w:line="360" w:lineRule="auto"/>
        <w:ind w:left="1619" w:leftChars="771" w:firstLine="52" w:firstLineChars="25"/>
        <w:rPr>
          <w:rFonts w:ascii="宋体" w:hAnsi="宋体" w:cs="宋体"/>
          <w:caps/>
          <w:color w:val="auto"/>
          <w:szCs w:val="21"/>
        </w:rPr>
      </w:pPr>
      <w:r>
        <w:rPr>
          <w:rFonts w:hint="eastAsia" w:ascii="宋体" w:hAnsi="宋体" w:cs="宋体"/>
          <w:color w:val="auto"/>
          <w:szCs w:val="21"/>
        </w:rPr>
        <w:t>因承包人的原因导致实际竣工日期迟于计划竣工日期的，承包人应按照第40条规定</w:t>
      </w:r>
      <w:r>
        <w:rPr>
          <w:rFonts w:hint="eastAsia" w:ascii="宋体" w:hAnsi="宋体" w:cs="宋体"/>
          <w:caps/>
          <w:color w:val="auto"/>
          <w:szCs w:val="21"/>
        </w:rPr>
        <w:t>赔偿发包人由此造成的损失，并向发包人支付误期赔偿费。</w:t>
      </w:r>
    </w:p>
    <w:p>
      <w:pPr>
        <w:rPr>
          <w:rFonts w:ascii="宋体" w:hAnsi="宋体" w:cs="宋体"/>
          <w:caps/>
          <w:color w:val="auto"/>
          <w:szCs w:val="21"/>
          <w:u w:val="single"/>
        </w:rPr>
      </w:pPr>
      <w:r>
        <w:rPr>
          <w:rFonts w:hint="eastAsia" w:ascii="宋体" w:hAnsi="宋体" w:cs="宋体"/>
          <w:b/>
          <w:caps/>
          <w:color w:val="auto"/>
          <w:szCs w:val="21"/>
          <w:u w:val="single"/>
        </w:rPr>
        <w:t xml:space="preserve">                                                                                    </w:t>
      </w:r>
      <w:r>
        <w:rPr>
          <w:rFonts w:hint="eastAsia" w:ascii="宋体" w:hAnsi="宋体" w:cs="宋体"/>
          <w:caps/>
          <w:color w:val="auto"/>
          <w:szCs w:val="21"/>
          <w:u w:val="single"/>
        </w:rPr>
        <w:t xml:space="preserve">                     </w:t>
      </w:r>
    </w:p>
    <w:p>
      <w:pPr>
        <w:tabs>
          <w:tab w:val="left" w:pos="540"/>
        </w:tabs>
        <w:adjustRightInd w:val="0"/>
        <w:snapToGrid w:val="0"/>
        <w:spacing w:beforeLines="100" w:line="240" w:lineRule="exact"/>
        <w:ind w:right="-238"/>
        <w:rPr>
          <w:rFonts w:ascii="宋体" w:hAnsi="宋体" w:cs="宋体"/>
          <w:b/>
          <w:color w:val="auto"/>
          <w:kern w:val="0"/>
          <w:szCs w:val="21"/>
        </w:rPr>
      </w:pPr>
    </w:p>
    <w:p>
      <w:pPr>
        <w:tabs>
          <w:tab w:val="left" w:pos="540"/>
        </w:tabs>
        <w:adjustRightInd w:val="0"/>
        <w:snapToGrid w:val="0"/>
        <w:spacing w:beforeLines="100"/>
        <w:ind w:right="-238"/>
        <w:rPr>
          <w:rFonts w:ascii="宋体" w:hAnsi="宋体" w:cs="宋体"/>
          <w:b/>
          <w:color w:val="auto"/>
          <w:kern w:val="0"/>
          <w:szCs w:val="21"/>
        </w:rPr>
      </w:pPr>
      <w:r>
        <w:rPr>
          <w:rFonts w:hint="eastAsia" w:ascii="宋体" w:hAnsi="宋体" w:cs="宋体"/>
          <w:b/>
          <w:color w:val="auto"/>
          <w:kern w:val="0"/>
          <w:szCs w:val="21"/>
        </w:rPr>
        <w:t>39  提前竣工</w:t>
      </w:r>
    </w:p>
    <w:p>
      <w:pPr>
        <w:adjustRightInd w:val="0"/>
        <w:snapToGrid w:val="0"/>
        <w:rPr>
          <w:rFonts w:ascii="宋体" w:hAnsi="宋体" w:cs="宋体"/>
          <w:b/>
          <w:color w:val="auto"/>
          <w:kern w:val="0"/>
          <w:szCs w:val="21"/>
        </w:rPr>
      </w:pPr>
      <w:r>
        <w:rPr>
          <w:rFonts w:hint="eastAsia" w:ascii="宋体" w:hAnsi="宋体" w:cs="宋体"/>
          <w:b/>
          <w:color w:val="auto"/>
          <w:kern w:val="0"/>
          <w:szCs w:val="21"/>
        </w:rPr>
        <w:t xml:space="preserve">39.1   </w:t>
      </w:r>
    </w:p>
    <w:p>
      <w:pPr>
        <w:adjustRightInd w:val="0"/>
        <w:snapToGrid w:val="0"/>
        <w:spacing w:line="360" w:lineRule="auto"/>
        <w:ind w:left="1619" w:leftChars="771"/>
        <w:rPr>
          <w:rFonts w:ascii="宋体" w:hAnsi="宋体" w:cs="宋体"/>
          <w:color w:val="auto"/>
          <w:kern w:val="0"/>
          <w:szCs w:val="21"/>
        </w:rPr>
      </w:pPr>
      <w:r>
        <w:rPr>
          <w:rFonts w:ascii="宋体" w:hAnsi="宋体" w:cs="宋体"/>
          <w:color w:val="auto"/>
          <w:kern w:val="0"/>
          <w:szCs w:val="21"/>
        </w:rPr>
        <mc:AlternateContent>
          <mc:Choice Requires="wps">
            <w:drawing>
              <wp:anchor distT="0" distB="0" distL="114300" distR="114300" simplePos="0" relativeHeight="251939840" behindDoc="0" locked="0" layoutInCell="1" allowOverlap="1">
                <wp:simplePos x="0" y="0"/>
                <wp:positionH relativeFrom="column">
                  <wp:posOffset>-66675</wp:posOffset>
                </wp:positionH>
                <wp:positionV relativeFrom="paragraph">
                  <wp:posOffset>30480</wp:posOffset>
                </wp:positionV>
                <wp:extent cx="977900" cy="396240"/>
                <wp:effectExtent l="0" t="0" r="0" b="0"/>
                <wp:wrapNone/>
                <wp:docPr id="250" name="文本框 250"/>
                <wp:cNvGraphicFramePr/>
                <a:graphic xmlns:a="http://schemas.openxmlformats.org/drawingml/2006/main">
                  <a:graphicData uri="http://schemas.microsoft.com/office/word/2010/wordprocessingShape">
                    <wps:wsp>
                      <wps:cNvSpPr txBox="1">
                        <a:spLocks noChangeArrowheads="1"/>
                      </wps:cNvSpPr>
                      <wps:spPr bwMode="auto">
                        <a:xfrm>
                          <a:off x="0" y="0"/>
                          <a:ext cx="977900" cy="39624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提前竣工的要求</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25pt;margin-top:2.4pt;height:31.2pt;width:77pt;z-index:251939840;mso-width-relative:page;mso-height-relative:page;" filled="f" stroked="f" coordsize="21600,21600" o:gfxdata="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PYdP4/VAAAACAEAAA8AAAAAAAAAAQAgAAAAIgAAAGRycy9kb3du&#10;cmV2LnhtbFBLAQIUABQAAAAIAIdO4kDggkImAgIAANgDAAAOAAAAAAAAAAEAIAAAACQBAABkcnMv&#10;ZTJvRG9jLnhtbFBLBQYAAAAABgAGAFkBAACY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提前竣工的要求</w:t>
                      </w:r>
                    </w:p>
                  </w:txbxContent>
                </v:textbox>
              </v:shape>
            </w:pict>
          </mc:Fallback>
        </mc:AlternateContent>
      </w:r>
      <w:r>
        <w:rPr>
          <w:rFonts w:hint="eastAsia" w:ascii="宋体" w:hAnsi="宋体" w:cs="宋体"/>
          <w:color w:val="auto"/>
          <w:kern w:val="0"/>
          <w:szCs w:val="21"/>
        </w:rPr>
        <w:t>发包人要求承包人提前竣工，或承包人按照第37.2款规定提交提前竣工建议书为发包人接受的，监理工程师应与承包人商定采取加快工程进度的措施，并修订合同工程进度计划。</w:t>
      </w:r>
    </w:p>
    <w:p>
      <w:pPr>
        <w:adjustRightInd w:val="0"/>
        <w:snapToGrid w:val="0"/>
        <w:spacing w:line="360" w:lineRule="auto"/>
        <w:rPr>
          <w:rFonts w:ascii="宋体" w:hAnsi="宋体" w:cs="宋体"/>
          <w:b/>
          <w:color w:val="auto"/>
          <w:kern w:val="0"/>
          <w:szCs w:val="21"/>
          <w:u w:val="dotted"/>
        </w:rPr>
      </w:pPr>
      <w:r>
        <w:rPr>
          <w:rFonts w:hint="eastAsia" w:ascii="宋体" w:hAnsi="宋体" w:cs="宋体"/>
          <w:b/>
          <w:color w:val="auto"/>
          <w:kern w:val="0"/>
          <w:szCs w:val="21"/>
        </w:rPr>
        <w:t xml:space="preserve">39.2  </w:t>
      </w:r>
      <w:r>
        <w:rPr>
          <w:rFonts w:hint="eastAsia" w:ascii="宋体" w:hAnsi="宋体" w:cs="宋体"/>
          <w:b/>
          <w:color w:val="auto"/>
          <w:kern w:val="0"/>
          <w:szCs w:val="21"/>
          <w:u w:val="dotted"/>
        </w:rPr>
        <w:t xml:space="preserve">                                                                                                        </w:t>
      </w:r>
    </w:p>
    <w:p>
      <w:pPr>
        <w:adjustRightInd w:val="0"/>
        <w:snapToGrid w:val="0"/>
        <w:spacing w:line="360" w:lineRule="auto"/>
        <w:ind w:left="1619" w:leftChars="771"/>
        <w:rPr>
          <w:rFonts w:ascii="宋体" w:hAnsi="宋体" w:cs="宋体"/>
          <w:color w:val="auto"/>
          <w:kern w:val="0"/>
          <w:szCs w:val="21"/>
        </w:rPr>
      </w:pPr>
      <w:r>
        <w:rPr>
          <w:rFonts w:ascii="宋体" w:hAnsi="宋体" w:cs="宋体"/>
          <w:color w:val="auto"/>
          <w:kern w:val="0"/>
          <w:szCs w:val="21"/>
        </w:rPr>
        <mc:AlternateContent>
          <mc:Choice Requires="wps">
            <w:drawing>
              <wp:anchor distT="0" distB="0" distL="114300" distR="114300" simplePos="0" relativeHeight="251940864" behindDoc="0" locked="0" layoutInCell="1" allowOverlap="1">
                <wp:simplePos x="0" y="0"/>
                <wp:positionH relativeFrom="column">
                  <wp:posOffset>-114300</wp:posOffset>
                </wp:positionH>
                <wp:positionV relativeFrom="paragraph">
                  <wp:posOffset>5715</wp:posOffset>
                </wp:positionV>
                <wp:extent cx="977900" cy="396240"/>
                <wp:effectExtent l="0" t="0" r="0" b="0"/>
                <wp:wrapNone/>
                <wp:docPr id="249" name="文本框 249"/>
                <wp:cNvGraphicFramePr/>
                <a:graphic xmlns:a="http://schemas.openxmlformats.org/drawingml/2006/main">
                  <a:graphicData uri="http://schemas.microsoft.com/office/word/2010/wordprocessingShape">
                    <wps:wsp>
                      <wps:cNvSpPr txBox="1">
                        <a:spLocks noChangeArrowheads="1"/>
                      </wps:cNvSpPr>
                      <wps:spPr bwMode="auto">
                        <a:xfrm>
                          <a:off x="0" y="0"/>
                          <a:ext cx="977900" cy="39624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提前竣工天数的计算</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45pt;height:31.2pt;width:77pt;z-index:251940864;mso-width-relative:page;mso-height-relative:page;" filled="f" stroked="f" coordsize="21600,21600" o:gfxdata="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ECZocbVAAAABwEAAA8AAAAAAAAAAQAgAAAAIgAAAGRycy9kb3du&#10;cmV2LnhtbFBLAQIUABQAAAAIAIdO4kCiUZrtAgIAANgDAAAOAAAAAAAAAAEAIAAAACQBAABkcnMv&#10;ZTJvRG9jLnhtbFBLBQYAAAAABgAGAFkBAACY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提前竣工天数的计算</w:t>
                      </w:r>
                    </w:p>
                  </w:txbxContent>
                </v:textbox>
              </v:shape>
            </w:pict>
          </mc:Fallback>
        </mc:AlternateContent>
      </w:r>
      <w:r>
        <w:rPr>
          <w:rFonts w:hint="eastAsia" w:ascii="宋体" w:hAnsi="宋体" w:cs="宋体"/>
          <w:color w:val="auto"/>
          <w:kern w:val="0"/>
          <w:szCs w:val="21"/>
        </w:rPr>
        <w:t>提前竣工天数按照第38.2款规定确定的计划竣工天数减去实际竣工天数计算，其公式为：</w:t>
      </w:r>
    </w:p>
    <w:p>
      <w:pPr>
        <w:adjustRightInd w:val="0"/>
        <w:snapToGrid w:val="0"/>
        <w:spacing w:line="360" w:lineRule="auto"/>
        <w:ind w:firstLine="1890" w:firstLineChars="900"/>
        <w:rPr>
          <w:rFonts w:ascii="宋体" w:hAnsi="宋体" w:cs="宋体"/>
          <w:color w:val="auto"/>
          <w:kern w:val="0"/>
          <w:szCs w:val="21"/>
        </w:rPr>
      </w:pPr>
      <w:r>
        <w:rPr>
          <w:rFonts w:hint="eastAsia" w:ascii="宋体" w:hAnsi="宋体" w:cs="宋体"/>
          <w:color w:val="auto"/>
          <w:kern w:val="0"/>
          <w:szCs w:val="21"/>
        </w:rPr>
        <w:t>提前竣工天数=计划竣工天数 — 实际竣工天数</w:t>
      </w:r>
    </w:p>
    <w:p>
      <w:pPr>
        <w:tabs>
          <w:tab w:val="left" w:pos="1980"/>
          <w:tab w:val="left" w:pos="2160"/>
        </w:tabs>
        <w:adjustRightInd w:val="0"/>
        <w:snapToGrid w:val="0"/>
        <w:spacing w:line="360" w:lineRule="auto"/>
        <w:ind w:left="1616"/>
        <w:rPr>
          <w:rFonts w:ascii="宋体" w:hAnsi="宋体" w:cs="宋体"/>
          <w:color w:val="auto"/>
          <w:kern w:val="0"/>
          <w:szCs w:val="21"/>
        </w:rPr>
      </w:pPr>
      <w:r>
        <w:rPr>
          <w:rFonts w:hint="eastAsia" w:ascii="宋体" w:hAnsi="宋体" w:cs="宋体"/>
          <w:color w:val="auto"/>
          <w:kern w:val="0"/>
          <w:szCs w:val="21"/>
        </w:rPr>
        <w:t>合同工程提前竣工，发包人应承担承包人由此增加的费用，并按照第66.1款规定向承包人支付提前竣工奖。</w:t>
      </w:r>
    </w:p>
    <w:p>
      <w:pPr>
        <w:tabs>
          <w:tab w:val="left" w:pos="540"/>
        </w:tabs>
        <w:adjustRightInd w:val="0"/>
        <w:snapToGrid w:val="0"/>
        <w:spacing w:beforeLines="100" w:line="240" w:lineRule="exact"/>
        <w:rPr>
          <w:rFonts w:ascii="宋体" w:hAnsi="宋体" w:cs="宋体"/>
          <w:b/>
          <w:caps/>
          <w:color w:val="auto"/>
          <w:kern w:val="0"/>
          <w:szCs w:val="21"/>
          <w:u w:val="single"/>
        </w:rPr>
      </w:pPr>
      <w:r>
        <w:rPr>
          <w:rFonts w:hint="eastAsia" w:ascii="宋体" w:hAnsi="宋体" w:cs="宋体"/>
          <w:b/>
          <w:caps/>
          <w:color w:val="auto"/>
          <w:kern w:val="0"/>
          <w:szCs w:val="21"/>
          <w:u w:val="single"/>
        </w:rPr>
        <w:t xml:space="preserve">                                                                                </w:t>
      </w:r>
    </w:p>
    <w:p>
      <w:pPr>
        <w:tabs>
          <w:tab w:val="left" w:pos="540"/>
        </w:tabs>
        <w:adjustRightInd w:val="0"/>
        <w:snapToGrid w:val="0"/>
        <w:spacing w:beforeLines="100" w:line="240" w:lineRule="exact"/>
        <w:ind w:firstLine="480"/>
        <w:rPr>
          <w:rFonts w:ascii="宋体" w:hAnsi="宋体" w:cs="宋体"/>
          <w:caps/>
          <w:color w:val="auto"/>
          <w:kern w:val="0"/>
          <w:szCs w:val="21"/>
          <w:u w:val="single"/>
        </w:rPr>
      </w:pPr>
    </w:p>
    <w:p>
      <w:pPr>
        <w:tabs>
          <w:tab w:val="left" w:pos="540"/>
        </w:tabs>
        <w:adjustRightInd w:val="0"/>
        <w:snapToGrid w:val="0"/>
        <w:spacing w:beforeLines="100"/>
        <w:rPr>
          <w:rFonts w:ascii="宋体" w:hAnsi="宋体" w:cs="宋体"/>
          <w:b/>
          <w:color w:val="auto"/>
          <w:kern w:val="0"/>
          <w:szCs w:val="21"/>
        </w:rPr>
      </w:pPr>
      <w:r>
        <w:rPr>
          <w:rFonts w:hint="eastAsia" w:ascii="宋体" w:hAnsi="宋体" w:cs="宋体"/>
          <w:b/>
          <w:color w:val="auto"/>
          <w:kern w:val="0"/>
          <w:szCs w:val="21"/>
        </w:rPr>
        <w:t>40  误期赔偿</w:t>
      </w:r>
    </w:p>
    <w:p>
      <w:pPr>
        <w:rPr>
          <w:rFonts w:ascii="宋体" w:hAnsi="宋体" w:cs="宋体"/>
          <w:b/>
          <w:caps/>
          <w:color w:val="auto"/>
          <w:szCs w:val="21"/>
        </w:rPr>
      </w:pPr>
      <w:r>
        <w:rPr>
          <w:rFonts w:hint="eastAsia" w:ascii="宋体" w:hAnsi="宋体" w:cs="宋体"/>
          <w:b/>
          <w:color w:val="auto"/>
          <w:szCs w:val="21"/>
        </w:rPr>
        <w:t>40.1</w:t>
      </w:r>
    </w:p>
    <w:p>
      <w:pPr>
        <w:spacing w:line="360" w:lineRule="auto"/>
        <w:ind w:left="1619" w:leftChars="771"/>
        <w:rPr>
          <w:rFonts w:ascii="宋体" w:hAnsi="宋体" w:cs="宋体"/>
          <w:caps/>
          <w:color w:val="auto"/>
          <w:szCs w:val="21"/>
        </w:rPr>
      </w:pPr>
      <w:r>
        <w:rPr>
          <w:rFonts w:ascii="宋体" w:hAnsi="宋体" w:cs="宋体"/>
          <w:color w:val="auto"/>
          <w:szCs w:val="21"/>
        </w:rPr>
        <mc:AlternateContent>
          <mc:Choice Requires="wps">
            <w:drawing>
              <wp:anchor distT="0" distB="0" distL="114300" distR="114300" simplePos="0" relativeHeight="251699200" behindDoc="0" locked="0" layoutInCell="1" allowOverlap="1">
                <wp:simplePos x="0" y="0"/>
                <wp:positionH relativeFrom="column">
                  <wp:posOffset>-133350</wp:posOffset>
                </wp:positionH>
                <wp:positionV relativeFrom="paragraph">
                  <wp:posOffset>149860</wp:posOffset>
                </wp:positionV>
                <wp:extent cx="977900" cy="335915"/>
                <wp:effectExtent l="0" t="0" r="0" b="0"/>
                <wp:wrapNone/>
                <wp:docPr id="248" name="文本框 248"/>
                <wp:cNvGraphicFramePr/>
                <a:graphic xmlns:a="http://schemas.openxmlformats.org/drawingml/2006/main">
                  <a:graphicData uri="http://schemas.microsoft.com/office/word/2010/wordprocessingShape">
                    <wps:wsp>
                      <wps:cNvSpPr txBox="1">
                        <a:spLocks noChangeArrowheads="1"/>
                      </wps:cNvSpPr>
                      <wps:spPr bwMode="auto">
                        <a:xfrm>
                          <a:off x="0" y="0"/>
                          <a:ext cx="977900" cy="33591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误期的赔偿</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0.5pt;margin-top:11.8pt;height:26.45pt;width:77pt;z-index:251699200;mso-width-relative:page;mso-height-relative:page;" filled="f" stroked="f" coordsize="21600,21600" o:gfxdata="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cHDALNcAAAAJAQAADwAAAAAAAAABACAAAAAiAAAAZHJzL2Rv&#10;d25yZXYueG1sUEsBAhQAFAAAAAgAh07iQA5wNIoCAgAA2AMAAA4AAAAAAAAAAQAgAAAAJgEAAGRy&#10;cy9lMm9Eb2MueG1sUEsFBgAAAAAGAAYAWQEAAJoF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误期的赔偿</w:t>
                      </w:r>
                    </w:p>
                  </w:txbxContent>
                </v:textbox>
              </v:shape>
            </w:pict>
          </mc:Fallback>
        </mc:AlternateContent>
      </w:r>
      <w:r>
        <w:rPr>
          <w:rFonts w:hint="eastAsia" w:ascii="宋体" w:hAnsi="宋体" w:cs="宋体"/>
          <w:caps/>
          <w:color w:val="auto"/>
          <w:szCs w:val="21"/>
        </w:rPr>
        <w:t>如果承包人未按照第33.4款规定按计划进度施工，导致实际进度迟于计划进度的，承包人应向发包人支付误期赔偿费，具体金额可另行约定。即使承包人支付误期赔偿费，也不能免除承包人按照合同约定应承担的任何责任和应履行的任何义务。</w:t>
      </w:r>
    </w:p>
    <w:p>
      <w:pPr>
        <w:spacing w:line="360" w:lineRule="auto"/>
        <w:rPr>
          <w:rFonts w:ascii="宋体" w:hAnsi="宋体" w:cs="宋体"/>
          <w:b/>
          <w:color w:val="auto"/>
          <w:szCs w:val="21"/>
          <w:u w:val="dotted"/>
        </w:rPr>
      </w:pPr>
      <w:r>
        <w:rPr>
          <w:rFonts w:hint="eastAsia" w:ascii="宋体" w:hAnsi="宋体" w:cs="宋体"/>
          <w:b/>
          <w:color w:val="auto"/>
          <w:szCs w:val="21"/>
        </w:rPr>
        <w:t xml:space="preserve">40.2  </w:t>
      </w:r>
      <w:r>
        <w:rPr>
          <w:rFonts w:hint="eastAsia" w:ascii="宋体" w:hAnsi="宋体" w:cs="宋体"/>
          <w:b/>
          <w:color w:val="auto"/>
          <w:szCs w:val="21"/>
          <w:u w:val="dotted"/>
        </w:rPr>
        <w:t xml:space="preserve">                                                                                                        </w:t>
      </w:r>
    </w:p>
    <w:p>
      <w:pPr>
        <w:spacing w:line="360" w:lineRule="auto"/>
        <w:ind w:left="1619" w:leftChars="771"/>
        <w:rPr>
          <w:rFonts w:ascii="宋体" w:hAnsi="宋体" w:cs="宋体"/>
          <w:caps/>
          <w:color w:val="auto"/>
          <w:szCs w:val="21"/>
        </w:rPr>
      </w:pPr>
      <w:r>
        <w:rPr>
          <w:rFonts w:ascii="宋体" w:hAnsi="宋体" w:cs="宋体"/>
          <w:color w:val="auto"/>
          <w:szCs w:val="21"/>
        </w:rPr>
        <mc:AlternateContent>
          <mc:Choice Requires="wps">
            <w:drawing>
              <wp:anchor distT="0" distB="0" distL="114300" distR="114300" simplePos="0" relativeHeight="251700224" behindDoc="0" locked="0" layoutInCell="1" allowOverlap="1">
                <wp:simplePos x="0" y="0"/>
                <wp:positionH relativeFrom="column">
                  <wp:posOffset>-114300</wp:posOffset>
                </wp:positionH>
                <wp:positionV relativeFrom="paragraph">
                  <wp:posOffset>31750</wp:posOffset>
                </wp:positionV>
                <wp:extent cx="1071245" cy="791845"/>
                <wp:effectExtent l="0" t="0" r="0" b="0"/>
                <wp:wrapNone/>
                <wp:docPr id="247" name="文本框 247"/>
                <wp:cNvGraphicFramePr/>
                <a:graphic xmlns:a="http://schemas.openxmlformats.org/drawingml/2006/main">
                  <a:graphicData uri="http://schemas.microsoft.com/office/word/2010/wordprocessingShape">
                    <wps:wsp>
                      <wps:cNvSpPr txBox="1">
                        <a:spLocks noChangeArrowheads="1"/>
                      </wps:cNvSpPr>
                      <wps:spPr bwMode="auto">
                        <a:xfrm>
                          <a:off x="0" y="0"/>
                          <a:ext cx="1071245" cy="79184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实际延误天数</w:t>
                            </w:r>
                          </w:p>
                          <w:p>
                            <w:pPr>
                              <w:spacing w:line="240" w:lineRule="exact"/>
                              <w:rPr>
                                <w:rFonts w:ascii="楷体_GB2312" w:hAnsi="宋体"/>
                                <w:b/>
                                <w:color w:val="000000"/>
                                <w:sz w:val="18"/>
                                <w:szCs w:val="18"/>
                              </w:rPr>
                            </w:pPr>
                            <w:r>
                              <w:rPr>
                                <w:rFonts w:hint="eastAsia" w:ascii="楷体_GB2312" w:hAnsi="宋体"/>
                                <w:b/>
                                <w:color w:val="000000"/>
                                <w:sz w:val="18"/>
                                <w:szCs w:val="18"/>
                              </w:rPr>
                              <w:t>的计算</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5pt;height:62.35pt;width:84.35pt;z-index:251700224;mso-width-relative:page;mso-height-relative:page;" filled="f" stroked="f" coordsize="21600,21600" o:gfxdata="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b5n7idYAAAAJAQAADwAAAAAAAAABACAAAAAiAAAAZHJzL2Rvd25y&#10;ZXYueG1sUEsBAhQAFAAAAAgAh07iQPfeV74AAgAA2QMAAA4AAAAAAAAAAQAgAAAAJQEAAGRycy9l&#10;Mm9Eb2MueG1sUEsFBgAAAAAGAAYAWQEAAJcF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实际延误天数</w:t>
                      </w:r>
                    </w:p>
                    <w:p>
                      <w:pPr>
                        <w:spacing w:line="240" w:lineRule="exact"/>
                        <w:rPr>
                          <w:rFonts w:ascii="楷体_GB2312" w:hAnsi="宋体"/>
                          <w:b/>
                          <w:color w:val="000000"/>
                          <w:sz w:val="18"/>
                          <w:szCs w:val="18"/>
                        </w:rPr>
                      </w:pPr>
                      <w:r>
                        <w:rPr>
                          <w:rFonts w:hint="eastAsia" w:ascii="楷体_GB2312" w:hAnsi="宋体"/>
                          <w:b/>
                          <w:color w:val="000000"/>
                          <w:sz w:val="18"/>
                          <w:szCs w:val="18"/>
                        </w:rPr>
                        <w:t>的计算</w:t>
                      </w:r>
                    </w:p>
                  </w:txbxContent>
                </v:textbox>
              </v:shape>
            </w:pict>
          </mc:Fallback>
        </mc:AlternateContent>
      </w:r>
      <w:r>
        <w:rPr>
          <w:rFonts w:hint="eastAsia" w:ascii="宋体" w:hAnsi="宋体" w:cs="宋体"/>
          <w:caps/>
          <w:color w:val="auto"/>
          <w:szCs w:val="21"/>
        </w:rPr>
        <w:t>误期（实际延误天数）按照实际施工天数减去计划施工天数计算，其公式为：</w:t>
      </w:r>
    </w:p>
    <w:p>
      <w:pPr>
        <w:spacing w:line="360" w:lineRule="auto"/>
        <w:ind w:firstLine="1890" w:firstLineChars="900"/>
        <w:rPr>
          <w:rFonts w:ascii="宋体" w:hAnsi="宋体" w:cs="宋体"/>
          <w:caps/>
          <w:color w:val="auto"/>
          <w:szCs w:val="21"/>
        </w:rPr>
      </w:pPr>
      <w:r>
        <w:rPr>
          <w:rFonts w:hint="eastAsia" w:ascii="宋体" w:hAnsi="宋体" w:cs="宋体"/>
          <w:caps/>
          <w:color w:val="auto"/>
          <w:szCs w:val="21"/>
        </w:rPr>
        <w:t>实际延误天数＝实际施工天数 － 计划施工天数</w:t>
      </w:r>
    </w:p>
    <w:p>
      <w:pPr>
        <w:spacing w:line="360" w:lineRule="auto"/>
        <w:ind w:left="1619" w:leftChars="771" w:firstLine="52" w:firstLineChars="25"/>
        <w:rPr>
          <w:rFonts w:ascii="宋体" w:hAnsi="宋体" w:cs="宋体"/>
          <w:caps/>
          <w:color w:val="auto"/>
          <w:szCs w:val="21"/>
        </w:rPr>
      </w:pPr>
      <w:r>
        <w:rPr>
          <w:rFonts w:hint="eastAsia" w:ascii="宋体" w:hAnsi="宋体" w:cs="宋体"/>
          <w:caps/>
          <w:color w:val="auto"/>
          <w:szCs w:val="21"/>
        </w:rPr>
        <w:t>合同工程发生误期，承包人应赔偿发包人由此造成的损失，并按照第66.2款规定向发包人支付误期赔偿费。</w:t>
      </w:r>
    </w:p>
    <w:p>
      <w:pPr>
        <w:adjustRightInd w:val="0"/>
        <w:snapToGrid w:val="0"/>
        <w:spacing w:line="360" w:lineRule="auto"/>
        <w:ind w:right="-238"/>
        <w:rPr>
          <w:rFonts w:ascii="宋体" w:hAnsi="宋体" w:cs="宋体"/>
          <w:b/>
          <w:color w:val="auto"/>
          <w:kern w:val="0"/>
          <w:szCs w:val="21"/>
          <w:u w:val="single"/>
        </w:rPr>
      </w:pPr>
      <w:r>
        <w:rPr>
          <w:rFonts w:hint="eastAsia" w:ascii="宋体" w:hAnsi="宋体" w:cs="宋体"/>
          <w:b/>
          <w:color w:val="auto"/>
          <w:kern w:val="0"/>
          <w:szCs w:val="21"/>
          <w:u w:val="single"/>
        </w:rPr>
        <w:t xml:space="preserve">                                                                                  </w:t>
      </w:r>
    </w:p>
    <w:p>
      <w:pPr>
        <w:adjustRightInd w:val="0"/>
        <w:snapToGrid w:val="0"/>
        <w:spacing w:line="360" w:lineRule="auto"/>
        <w:jc w:val="center"/>
        <w:outlineLvl w:val="1"/>
        <w:rPr>
          <w:rFonts w:ascii="宋体" w:hAnsi="宋体" w:cs="宋体"/>
          <w:b/>
          <w:color w:val="auto"/>
          <w:kern w:val="0"/>
          <w:sz w:val="32"/>
          <w:szCs w:val="28"/>
        </w:rPr>
      </w:pPr>
    </w:p>
    <w:p>
      <w:pPr>
        <w:adjustRightInd w:val="0"/>
        <w:snapToGrid w:val="0"/>
        <w:spacing w:line="360" w:lineRule="auto"/>
        <w:jc w:val="center"/>
        <w:outlineLvl w:val="1"/>
        <w:rPr>
          <w:rFonts w:ascii="宋体" w:hAnsi="宋体" w:cs="宋体"/>
          <w:b/>
          <w:color w:val="auto"/>
          <w:kern w:val="0"/>
          <w:sz w:val="32"/>
          <w:szCs w:val="28"/>
        </w:rPr>
      </w:pPr>
    </w:p>
    <w:p>
      <w:pPr>
        <w:adjustRightInd w:val="0"/>
        <w:snapToGrid w:val="0"/>
        <w:spacing w:line="360" w:lineRule="auto"/>
        <w:ind w:firstLine="3691" w:firstLineChars="1149"/>
        <w:outlineLvl w:val="1"/>
        <w:rPr>
          <w:rFonts w:ascii="宋体" w:hAnsi="宋体" w:cs="宋体"/>
          <w:b/>
          <w:color w:val="auto"/>
          <w:kern w:val="0"/>
          <w:sz w:val="32"/>
          <w:szCs w:val="28"/>
        </w:rPr>
      </w:pPr>
      <w:r>
        <w:rPr>
          <w:rFonts w:hint="eastAsia" w:ascii="宋体" w:hAnsi="宋体" w:cs="宋体"/>
          <w:b/>
          <w:color w:val="auto"/>
          <w:kern w:val="0"/>
          <w:sz w:val="32"/>
          <w:szCs w:val="28"/>
        </w:rPr>
        <w:t>五、质量与安全</w:t>
      </w:r>
    </w:p>
    <w:p>
      <w:pPr>
        <w:adjustRightInd w:val="0"/>
        <w:snapToGrid w:val="0"/>
        <w:spacing w:line="360" w:lineRule="auto"/>
        <w:ind w:firstLine="3547" w:firstLineChars="1104"/>
        <w:outlineLvl w:val="1"/>
        <w:rPr>
          <w:rFonts w:ascii="宋体" w:hAnsi="宋体" w:cs="宋体"/>
          <w:b/>
          <w:color w:val="auto"/>
          <w:kern w:val="0"/>
          <w:sz w:val="32"/>
          <w:szCs w:val="28"/>
        </w:rPr>
      </w:pPr>
    </w:p>
    <w:p>
      <w:pPr>
        <w:adjustRightInd w:val="0"/>
        <w:snapToGrid w:val="0"/>
        <w:spacing w:line="360" w:lineRule="auto"/>
        <w:outlineLvl w:val="1"/>
        <w:rPr>
          <w:rFonts w:ascii="宋体" w:hAnsi="宋体" w:cs="宋体"/>
          <w:b/>
          <w:color w:val="auto"/>
          <w:kern w:val="0"/>
          <w:szCs w:val="21"/>
        </w:rPr>
      </w:pPr>
      <w:r>
        <w:rPr>
          <w:rFonts w:hint="eastAsia" w:ascii="宋体" w:hAnsi="宋体" w:cs="宋体"/>
          <w:b/>
          <w:color w:val="auto"/>
          <w:kern w:val="0"/>
          <w:szCs w:val="21"/>
        </w:rPr>
        <w:t>41  质量与安全管理</w:t>
      </w:r>
    </w:p>
    <w:p>
      <w:pPr>
        <w:tabs>
          <w:tab w:val="left" w:pos="780"/>
        </w:tabs>
        <w:adjustRightInd w:val="0"/>
        <w:snapToGrid w:val="0"/>
        <w:spacing w:line="360" w:lineRule="auto"/>
        <w:rPr>
          <w:rFonts w:ascii="宋体" w:hAnsi="宋体" w:cs="宋体"/>
          <w:b/>
          <w:color w:val="auto"/>
          <w:szCs w:val="21"/>
        </w:rPr>
      </w:pPr>
      <w:r>
        <w:rPr>
          <w:rFonts w:hint="eastAsia" w:ascii="宋体" w:hAnsi="宋体" w:cs="宋体"/>
          <w:b/>
          <w:color w:val="auto"/>
          <w:szCs w:val="21"/>
        </w:rPr>
        <w:t xml:space="preserve">41.1 </w:t>
      </w:r>
      <w:r>
        <w:rPr>
          <w:rFonts w:hint="eastAsia" w:ascii="宋体" w:hAnsi="宋体" w:cs="宋体"/>
          <w:b/>
          <w:color w:val="auto"/>
          <w:szCs w:val="21"/>
        </w:rPr>
        <w:tab/>
      </w:r>
    </w:p>
    <w:p>
      <w:pPr>
        <w:adjustRightInd w:val="0"/>
        <w:snapToGrid w:val="0"/>
        <w:spacing w:line="360" w:lineRule="auto"/>
        <w:ind w:left="1619" w:leftChars="771"/>
        <w:rPr>
          <w:rFonts w:ascii="宋体" w:hAnsi="宋体" w:cs="宋体"/>
          <w:color w:val="auto"/>
          <w:szCs w:val="21"/>
        </w:rPr>
      </w:pPr>
      <w:r>
        <w:rPr>
          <w:rFonts w:ascii="宋体" w:hAnsi="宋体" w:cs="宋体"/>
          <w:color w:val="auto"/>
          <w:szCs w:val="21"/>
        </w:rPr>
        <mc:AlternateContent>
          <mc:Choice Requires="wps">
            <w:drawing>
              <wp:anchor distT="0" distB="0" distL="114300" distR="114300" simplePos="0" relativeHeight="252049408" behindDoc="0" locked="0" layoutInCell="1" allowOverlap="1">
                <wp:simplePos x="0" y="0"/>
                <wp:positionH relativeFrom="column">
                  <wp:posOffset>-114300</wp:posOffset>
                </wp:positionH>
                <wp:positionV relativeFrom="paragraph">
                  <wp:posOffset>-6350</wp:posOffset>
                </wp:positionV>
                <wp:extent cx="914400" cy="526415"/>
                <wp:effectExtent l="0" t="0" r="0" b="0"/>
                <wp:wrapNone/>
                <wp:docPr id="246" name="文本框 246"/>
                <wp:cNvGraphicFramePr/>
                <a:graphic xmlns:a="http://schemas.openxmlformats.org/drawingml/2006/main">
                  <a:graphicData uri="http://schemas.microsoft.com/office/word/2010/wordprocessingShape">
                    <wps:wsp>
                      <wps:cNvSpPr txBox="1">
                        <a:spLocks noChangeArrowheads="1"/>
                      </wps:cNvSpPr>
                      <wps:spPr bwMode="auto">
                        <a:xfrm>
                          <a:off x="0" y="0"/>
                          <a:ext cx="914400" cy="52641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履行职责和义务</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5pt;height:41.45pt;width:72pt;z-index:252049408;mso-width-relative:page;mso-height-relative:page;" filled="f" stroked="f" coordsize="21600,21600" o:gfxdata="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tZ8091QAAAAkBAAAPAAAAAAAAAAEAIAAAACIAAABkcnMvZG93bnJl&#10;di54bWxQSwECFAAUAAAACACHTuJA+/hOMQACAADYAwAADgAAAAAAAAABACAAAAAkAQAAZHJzL2Uy&#10;b0RvYy54bWxQSwUGAAAAAAYABgBZAQAAlg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履行职责和义务</w:t>
                      </w:r>
                    </w:p>
                  </w:txbxContent>
                </v:textbox>
              </v:shape>
            </w:pict>
          </mc:Fallback>
        </mc:AlternateContent>
      </w:r>
      <w:r>
        <w:rPr>
          <w:rFonts w:hint="eastAsia" w:ascii="宋体" w:hAnsi="宋体" w:cs="宋体"/>
          <w:color w:val="auto"/>
          <w:szCs w:val="21"/>
        </w:rPr>
        <w:t>合同双方当事人应严格遵守国家、省有关工程质量和施工安全的法律、标准与规范等规定，认真履行合同约定的工程质量和施工安全的职责和义务。</w:t>
      </w:r>
    </w:p>
    <w:p>
      <w:pPr>
        <w:adjustRightInd w:val="0"/>
        <w:snapToGrid w:val="0"/>
        <w:spacing w:line="480" w:lineRule="auto"/>
        <w:rPr>
          <w:rFonts w:ascii="宋体" w:hAnsi="宋体" w:cs="宋体"/>
          <w:b/>
          <w:color w:val="auto"/>
          <w:szCs w:val="21"/>
        </w:rPr>
      </w:pPr>
      <w:r>
        <w:rPr>
          <w:rFonts w:hint="eastAsia" w:ascii="宋体" w:hAnsi="宋体" w:cs="宋体"/>
          <w:b/>
          <w:color w:val="auto"/>
          <w:szCs w:val="21"/>
        </w:rPr>
        <w:t xml:space="preserve">41.2  </w:t>
      </w:r>
      <w:r>
        <w:rPr>
          <w:rFonts w:hint="eastAsia" w:ascii="宋体" w:hAnsi="宋体" w:cs="宋体"/>
          <w:b/>
          <w:color w:val="auto"/>
          <w:szCs w:val="21"/>
          <w:u w:val="dotted"/>
        </w:rPr>
        <w:t xml:space="preserve">                                                                               </w:t>
      </w:r>
    </w:p>
    <w:p>
      <w:pPr>
        <w:adjustRightInd w:val="0"/>
        <w:snapToGrid w:val="0"/>
        <w:spacing w:line="360" w:lineRule="auto"/>
        <w:ind w:left="1619" w:leftChars="771"/>
        <w:rPr>
          <w:rFonts w:ascii="宋体" w:hAnsi="宋体" w:cs="宋体"/>
          <w:color w:val="auto"/>
          <w:szCs w:val="21"/>
        </w:rPr>
      </w:pPr>
      <w:r>
        <w:rPr>
          <w:rFonts w:ascii="宋体" w:hAnsi="宋体" w:cs="宋体"/>
          <w:color w:val="auto"/>
          <w:szCs w:val="21"/>
        </w:rPr>
        <mc:AlternateContent>
          <mc:Choice Requires="wps">
            <w:drawing>
              <wp:anchor distT="0" distB="0" distL="114300" distR="114300" simplePos="0" relativeHeight="251701248" behindDoc="0" locked="0" layoutInCell="1" allowOverlap="1">
                <wp:simplePos x="0" y="0"/>
                <wp:positionH relativeFrom="column">
                  <wp:posOffset>-114300</wp:posOffset>
                </wp:positionH>
                <wp:positionV relativeFrom="paragraph">
                  <wp:posOffset>35560</wp:posOffset>
                </wp:positionV>
                <wp:extent cx="914400" cy="410210"/>
                <wp:effectExtent l="0" t="0" r="0" b="0"/>
                <wp:wrapNone/>
                <wp:docPr id="245" name="文本框 245"/>
                <wp:cNvGraphicFramePr/>
                <a:graphic xmlns:a="http://schemas.openxmlformats.org/drawingml/2006/main">
                  <a:graphicData uri="http://schemas.microsoft.com/office/word/2010/wordprocessingShape">
                    <wps:wsp>
                      <wps:cNvSpPr txBox="1">
                        <a:spLocks noChangeArrowheads="1"/>
                      </wps:cNvSpPr>
                      <wps:spPr bwMode="auto">
                        <a:xfrm>
                          <a:off x="0" y="0"/>
                          <a:ext cx="914400" cy="41021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质量与安全的监管</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8pt;height:32.3pt;width:72pt;z-index:251701248;mso-width-relative:page;mso-height-relative:page;" filled="f" stroked="f" coordsize="21600,21600" o:gfxdata="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MUu4lvVAAAACAEAAA8AAAAAAAAAAQAgAAAAIgAAAGRycy9kb3ducmV2&#10;LnhtbFBLAQIUABQAAAAIAIdO4kDunu/S/wEAANgDAAAOAAAAAAAAAAEAIAAAACQBAABkcnMvZTJv&#10;RG9jLnhtbFBLBQYAAAAABgAGAFkBAACV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质量与安全的监管</w:t>
                      </w:r>
                    </w:p>
                  </w:txbxContent>
                </v:textbox>
              </v:shape>
            </w:pict>
          </mc:Fallback>
        </mc:AlternateContent>
      </w:r>
      <w:r>
        <w:rPr>
          <w:rFonts w:hint="eastAsia" w:ascii="宋体" w:hAnsi="宋体" w:cs="宋体"/>
          <w:color w:val="auto"/>
          <w:szCs w:val="21"/>
        </w:rPr>
        <w:t>发包人在领取施工许可证或者开工报告之前，应按照国家有关规定办理合同工程质量和施工安全监督手续。承包人应在施工场地设置专门的工程质量和施工安全管理机构，配备专职管理人员，建立完善的管理制度。</w:t>
      </w:r>
    </w:p>
    <w:p>
      <w:pPr>
        <w:adjustRightInd w:val="0"/>
        <w:snapToGrid w:val="0"/>
        <w:spacing w:line="480" w:lineRule="auto"/>
        <w:rPr>
          <w:rFonts w:ascii="宋体" w:hAnsi="宋体" w:cs="宋体"/>
          <w:b/>
          <w:color w:val="auto"/>
          <w:szCs w:val="21"/>
        </w:rPr>
      </w:pPr>
      <w:r>
        <w:rPr>
          <w:rFonts w:ascii="宋体" w:hAnsi="宋体" w:cs="宋体"/>
          <w:color w:val="auto"/>
          <w:szCs w:val="21"/>
        </w:rPr>
        <mc:AlternateContent>
          <mc:Choice Requires="wps">
            <w:drawing>
              <wp:anchor distT="0" distB="0" distL="114300" distR="114300" simplePos="0" relativeHeight="251702272" behindDoc="0" locked="0" layoutInCell="1" allowOverlap="1">
                <wp:simplePos x="0" y="0"/>
                <wp:positionH relativeFrom="column">
                  <wp:posOffset>-114300</wp:posOffset>
                </wp:positionH>
                <wp:positionV relativeFrom="paragraph">
                  <wp:posOffset>277495</wp:posOffset>
                </wp:positionV>
                <wp:extent cx="914400" cy="342900"/>
                <wp:effectExtent l="0" t="0" r="0" b="0"/>
                <wp:wrapNone/>
                <wp:docPr id="244" name="文本框 244"/>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管理的要求</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1.85pt;height:27pt;width:72pt;z-index:251702272;mso-width-relative:page;mso-height-relative:page;" filled="f" stroked="f" coordsize="21600,21600" o:gfxdata="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kDO71wAAAAkBAAAPAAAAAAAAAAEAIAAAACIAAABkcnMvZG93bnJl&#10;di54bWxQSwECFAAUAAAACACHTuJA4upw/f4BAADYAwAADgAAAAAAAAABACAAAAAmAQAAZHJzL2Uy&#10;b0RvYy54bWxQSwUGAAAAAAYABgBZAQAAlg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管理的要求</w:t>
                      </w:r>
                    </w:p>
                  </w:txbxContent>
                </v:textbox>
              </v:shape>
            </w:pict>
          </mc:Fallback>
        </mc:AlternateContent>
      </w:r>
      <w:r>
        <w:rPr>
          <w:rFonts w:hint="eastAsia" w:ascii="宋体" w:hAnsi="宋体" w:cs="宋体"/>
          <w:b/>
          <w:color w:val="auto"/>
          <w:szCs w:val="21"/>
        </w:rPr>
        <w:t xml:space="preserve">41.3  </w:t>
      </w:r>
      <w:r>
        <w:rPr>
          <w:rFonts w:hint="eastAsia" w:ascii="宋体" w:hAnsi="宋体" w:cs="宋体"/>
          <w:b/>
          <w:color w:val="auto"/>
          <w:szCs w:val="21"/>
          <w:u w:val="dotted"/>
        </w:rPr>
        <w:t xml:space="preserve">                                                                                                       </w:t>
      </w:r>
    </w:p>
    <w:p>
      <w:pPr>
        <w:adjustRightInd w:val="0"/>
        <w:snapToGrid w:val="0"/>
        <w:spacing w:line="360" w:lineRule="auto"/>
        <w:ind w:left="1619" w:leftChars="771"/>
        <w:rPr>
          <w:rFonts w:ascii="宋体" w:hAnsi="宋体" w:cs="宋体"/>
          <w:color w:val="auto"/>
          <w:szCs w:val="21"/>
        </w:rPr>
      </w:pPr>
      <w:r>
        <w:rPr>
          <w:rFonts w:hint="eastAsia" w:ascii="宋体" w:hAnsi="宋体" w:cs="宋体"/>
          <w:color w:val="auto"/>
          <w:szCs w:val="21"/>
        </w:rPr>
        <w:t>发包人不得以任何理由，要求承包人在施工作业中违反法律法规、工程建设强制性标准，以及工程质量和施工安全标准，降低合同工程质量。承包人应加强对施工作业人员的工程质量和施工安全教育培训，定期考核施工作业人员的劳动技能，加强工程质量和施工安全管理。</w:t>
      </w:r>
    </w:p>
    <w:p>
      <w:pPr>
        <w:adjustRightInd w:val="0"/>
        <w:snapToGrid w:val="0"/>
        <w:spacing w:line="360" w:lineRule="auto"/>
        <w:rPr>
          <w:rFonts w:ascii="宋体" w:hAnsi="宋体" w:cs="宋体"/>
          <w:color w:val="auto"/>
          <w:szCs w:val="21"/>
        </w:rPr>
      </w:pPr>
      <w:r>
        <w:rPr>
          <w:rFonts w:ascii="宋体" w:hAnsi="宋体" w:cs="宋体"/>
          <w:color w:val="auto"/>
          <w:szCs w:val="21"/>
        </w:rPr>
        <mc:AlternateContent>
          <mc:Choice Requires="wps">
            <w:drawing>
              <wp:anchor distT="0" distB="0" distL="114300" distR="114300" simplePos="0" relativeHeight="252070912" behindDoc="0" locked="0" layoutInCell="1" allowOverlap="1">
                <wp:simplePos x="0" y="0"/>
                <wp:positionH relativeFrom="column">
                  <wp:posOffset>-115570</wp:posOffset>
                </wp:positionH>
                <wp:positionV relativeFrom="paragraph">
                  <wp:posOffset>279400</wp:posOffset>
                </wp:positionV>
                <wp:extent cx="914400" cy="389890"/>
                <wp:effectExtent l="0" t="0" r="0" b="0"/>
                <wp:wrapNone/>
                <wp:docPr id="243" name="文本框 243"/>
                <wp:cNvGraphicFramePr/>
                <a:graphic xmlns:a="http://schemas.openxmlformats.org/drawingml/2006/main">
                  <a:graphicData uri="http://schemas.microsoft.com/office/word/2010/wordprocessingShape">
                    <wps:wsp>
                      <wps:cNvSpPr txBox="1">
                        <a:spLocks noChangeArrowheads="1"/>
                      </wps:cNvSpPr>
                      <wps:spPr bwMode="auto">
                        <a:xfrm>
                          <a:off x="0" y="0"/>
                          <a:ext cx="914400" cy="389890"/>
                        </a:xfrm>
                        <a:prstGeom prst="rect">
                          <a:avLst/>
                        </a:prstGeom>
                        <a:noFill/>
                        <a:ln>
                          <a:noFill/>
                        </a:ln>
                        <a:effectLst/>
                      </wps:spPr>
                      <wps:txbx>
                        <w:txbxContent>
                          <w:p>
                            <w:pPr>
                              <w:spacing w:line="240" w:lineRule="exact"/>
                              <w:jc w:val="left"/>
                              <w:rPr>
                                <w:rFonts w:ascii="楷体_GB2312" w:hAnsi="宋体"/>
                                <w:b/>
                                <w:color w:val="000000"/>
                                <w:sz w:val="18"/>
                                <w:szCs w:val="18"/>
                              </w:rPr>
                            </w:pPr>
                            <w:r>
                              <w:rPr>
                                <w:rFonts w:hint="eastAsia" w:ascii="楷体_GB2312" w:hAnsi="宋体"/>
                                <w:b/>
                                <w:color w:val="000000"/>
                                <w:sz w:val="18"/>
                                <w:szCs w:val="18"/>
                              </w:rPr>
                              <w:t>承包人对质量与安全负责</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1pt;margin-top:22pt;height:30.7pt;width:72pt;z-index:252070912;mso-width-relative:page;mso-height-relative:page;" filled="f" stroked="f" coordsize="21600,21600" o:gfxdata="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Ld2EEvWAAAACgEAAA8AAAAAAAAAAQAgAAAAIgAAAGRycy9kb3du&#10;cmV2LnhtbFBLAQIUABQAAAAIAIdO4kDUkkREAQIAANgDAAAOAAAAAAAAAAEAIAAAACUBAABkcnMv&#10;ZTJvRG9jLnhtbFBLBQYAAAAABgAGAFkBAACYBQAAAAA=&#10;">
                <v:fill on="f" focussize="0,0"/>
                <v:stroke on="f"/>
                <v:imagedata o:title=""/>
                <o:lock v:ext="edit" aspectratio="f"/>
                <v:textbox>
                  <w:txbxContent>
                    <w:p>
                      <w:pPr>
                        <w:spacing w:line="240" w:lineRule="exact"/>
                        <w:jc w:val="left"/>
                        <w:rPr>
                          <w:rFonts w:ascii="楷体_GB2312" w:hAnsi="宋体"/>
                          <w:b/>
                          <w:color w:val="000000"/>
                          <w:sz w:val="18"/>
                          <w:szCs w:val="18"/>
                        </w:rPr>
                      </w:pPr>
                      <w:r>
                        <w:rPr>
                          <w:rFonts w:hint="eastAsia" w:ascii="楷体_GB2312" w:hAnsi="宋体"/>
                          <w:b/>
                          <w:color w:val="000000"/>
                          <w:sz w:val="18"/>
                          <w:szCs w:val="18"/>
                        </w:rPr>
                        <w:t>承包人对质量与安全负责</w:t>
                      </w:r>
                    </w:p>
                  </w:txbxContent>
                </v:textbox>
              </v:shape>
            </w:pict>
          </mc:Fallback>
        </mc:AlternateContent>
      </w:r>
      <w:r>
        <w:rPr>
          <w:rFonts w:hint="eastAsia" w:ascii="宋体" w:hAnsi="宋体" w:cs="宋体"/>
          <w:b/>
          <w:color w:val="auto"/>
          <w:szCs w:val="21"/>
        </w:rPr>
        <w:t xml:space="preserve">41.4  </w:t>
      </w:r>
      <w:r>
        <w:rPr>
          <w:rFonts w:hint="eastAsia" w:ascii="宋体" w:hAnsi="宋体" w:cs="宋体"/>
          <w:b/>
          <w:color w:val="auto"/>
          <w:szCs w:val="21"/>
          <w:u w:val="dotted"/>
        </w:rPr>
        <w:t xml:space="preserve"> </w:t>
      </w:r>
      <w:r>
        <w:rPr>
          <w:rFonts w:hint="eastAsia" w:ascii="宋体" w:hAnsi="宋体" w:cs="宋体"/>
          <w:color w:val="auto"/>
          <w:szCs w:val="21"/>
          <w:u w:val="dotted"/>
        </w:rPr>
        <w:t xml:space="preserve">                                                                                                       </w:t>
      </w:r>
    </w:p>
    <w:p>
      <w:pPr>
        <w:adjustRightInd w:val="0"/>
        <w:snapToGrid w:val="0"/>
        <w:spacing w:line="360" w:lineRule="auto"/>
        <w:ind w:left="1619" w:leftChars="771"/>
        <w:rPr>
          <w:rFonts w:ascii="宋体" w:hAnsi="宋体" w:cs="宋体"/>
          <w:color w:val="auto"/>
          <w:szCs w:val="21"/>
        </w:rPr>
      </w:pPr>
      <w:r>
        <w:rPr>
          <w:rFonts w:hint="eastAsia" w:ascii="宋体" w:hAnsi="宋体" w:cs="宋体"/>
          <w:color w:val="auto"/>
          <w:szCs w:val="21"/>
        </w:rPr>
        <w:t>承包人应对合同工程质量和施工安全负责，严格执行国家、省有关工程质量和施工安全的操作规程及管理要求，按照施工设计图纸和施工技术标准施工，不得偷工减料，不得擅自修改施工设计图纸，确保合同工程质量和施工安全。</w:t>
      </w:r>
    </w:p>
    <w:p>
      <w:pPr>
        <w:adjustRightInd w:val="0"/>
        <w:snapToGrid w:val="0"/>
        <w:spacing w:line="360" w:lineRule="auto"/>
        <w:rPr>
          <w:rFonts w:ascii="宋体" w:hAnsi="宋体" w:cs="宋体"/>
          <w:b/>
          <w:color w:val="auto"/>
          <w:szCs w:val="21"/>
          <w:u w:val="single"/>
        </w:rPr>
      </w:pPr>
      <w:r>
        <w:rPr>
          <w:rFonts w:hint="eastAsia" w:ascii="宋体" w:hAnsi="宋体" w:cs="宋体"/>
          <w:b/>
          <w:color w:val="auto"/>
          <w:szCs w:val="21"/>
          <w:u w:val="single"/>
        </w:rPr>
        <w:t xml:space="preserve">                                                                                                                </w:t>
      </w:r>
    </w:p>
    <w:p>
      <w:pPr>
        <w:adjustRightInd w:val="0"/>
        <w:snapToGrid w:val="0"/>
        <w:spacing w:line="360" w:lineRule="auto"/>
        <w:rPr>
          <w:rFonts w:ascii="宋体" w:hAnsi="宋体" w:cs="宋体"/>
          <w:b/>
          <w:color w:val="auto"/>
          <w:szCs w:val="21"/>
          <w:u w:val="single"/>
        </w:rPr>
      </w:pPr>
    </w:p>
    <w:p>
      <w:pPr>
        <w:adjustRightInd w:val="0"/>
        <w:snapToGrid w:val="0"/>
        <w:spacing w:line="360" w:lineRule="auto"/>
        <w:rPr>
          <w:rFonts w:ascii="宋体" w:hAnsi="宋体" w:cs="宋体"/>
          <w:b/>
          <w:color w:val="auto"/>
          <w:szCs w:val="21"/>
        </w:rPr>
      </w:pPr>
      <w:r>
        <w:rPr>
          <w:rFonts w:hint="eastAsia" w:ascii="宋体" w:hAnsi="宋体" w:cs="宋体"/>
          <w:b/>
          <w:color w:val="auto"/>
          <w:szCs w:val="21"/>
        </w:rPr>
        <w:t>42  质量标准</w:t>
      </w:r>
    </w:p>
    <w:p>
      <w:pPr>
        <w:adjustRightInd w:val="0"/>
        <w:snapToGrid w:val="0"/>
        <w:spacing w:line="360" w:lineRule="auto"/>
        <w:jc w:val="left"/>
        <w:rPr>
          <w:rFonts w:ascii="宋体" w:hAnsi="宋体" w:cs="宋体"/>
          <w:b/>
          <w:color w:val="auto"/>
          <w:szCs w:val="21"/>
        </w:rPr>
      </w:pPr>
      <w:r>
        <w:rPr>
          <w:rFonts w:hint="eastAsia" w:ascii="宋体" w:hAnsi="宋体" w:cs="宋体"/>
          <w:b/>
          <w:color w:val="auto"/>
          <w:szCs w:val="21"/>
        </w:rPr>
        <w:t xml:space="preserve">42.1 </w:t>
      </w:r>
    </w:p>
    <w:p>
      <w:pPr>
        <w:adjustRightInd w:val="0"/>
        <w:snapToGrid w:val="0"/>
        <w:spacing w:line="360" w:lineRule="auto"/>
        <w:ind w:left="1619" w:leftChars="771"/>
        <w:jc w:val="left"/>
        <w:rPr>
          <w:rFonts w:ascii="宋体" w:hAnsi="宋体" w:cs="宋体"/>
          <w:color w:val="auto"/>
          <w:szCs w:val="21"/>
        </w:rPr>
      </w:pPr>
      <w:r>
        <w:rPr>
          <w:rFonts w:ascii="宋体" w:hAnsi="宋体" w:cs="宋体"/>
          <w:color w:val="auto"/>
          <w:szCs w:val="21"/>
        </w:rPr>
        <mc:AlternateContent>
          <mc:Choice Requires="wps">
            <w:drawing>
              <wp:anchor distT="0" distB="0" distL="114300" distR="114300" simplePos="0" relativeHeight="251703296" behindDoc="0" locked="0" layoutInCell="1" allowOverlap="1">
                <wp:simplePos x="0" y="0"/>
                <wp:positionH relativeFrom="column">
                  <wp:posOffset>-114300</wp:posOffset>
                </wp:positionH>
                <wp:positionV relativeFrom="paragraph">
                  <wp:posOffset>8255</wp:posOffset>
                </wp:positionV>
                <wp:extent cx="914400" cy="389890"/>
                <wp:effectExtent l="0" t="0" r="0" b="0"/>
                <wp:wrapNone/>
                <wp:docPr id="242" name="文本框 242"/>
                <wp:cNvGraphicFramePr/>
                <a:graphic xmlns:a="http://schemas.openxmlformats.org/drawingml/2006/main">
                  <a:graphicData uri="http://schemas.microsoft.com/office/word/2010/wordprocessingShape">
                    <wps:wsp>
                      <wps:cNvSpPr txBox="1">
                        <a:spLocks noChangeArrowheads="1"/>
                      </wps:cNvSpPr>
                      <wps:spPr bwMode="auto">
                        <a:xfrm>
                          <a:off x="0" y="0"/>
                          <a:ext cx="914400" cy="389890"/>
                        </a:xfrm>
                        <a:prstGeom prst="rect">
                          <a:avLst/>
                        </a:prstGeom>
                        <a:noFill/>
                        <a:ln>
                          <a:noFill/>
                        </a:ln>
                        <a:effectLst/>
                      </wps:spPr>
                      <wps:txbx>
                        <w:txbxContent>
                          <w:p>
                            <w:pPr>
                              <w:spacing w:line="240" w:lineRule="exact"/>
                              <w:jc w:val="left"/>
                              <w:rPr>
                                <w:rFonts w:ascii="楷体_GB2312" w:hAnsi="宋体"/>
                                <w:b/>
                                <w:color w:val="000000"/>
                                <w:sz w:val="18"/>
                                <w:szCs w:val="18"/>
                              </w:rPr>
                            </w:pPr>
                            <w:r>
                              <w:rPr>
                                <w:rFonts w:hint="eastAsia" w:ascii="楷体_GB2312" w:hAnsi="宋体"/>
                                <w:b/>
                                <w:color w:val="000000"/>
                                <w:sz w:val="18"/>
                                <w:szCs w:val="18"/>
                              </w:rPr>
                              <w:t>约定工程质量标准</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65pt;height:30.7pt;width:72pt;z-index:251703296;mso-width-relative:page;mso-height-relative:page;" filled="f" stroked="f" coordsize="21600,21600" o:gfxdata="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QjA/z1QAAAAgBAAAPAAAAAAAAAAEAIAAAACIAAABkcnMvZG93bnJl&#10;di54bWxQSwECFAAUAAAACACHTuJAUE3zQAACAADYAwAADgAAAAAAAAABACAAAAAkAQAAZHJzL2Uy&#10;b0RvYy54bWxQSwUGAAAAAAYABgBZAQAAlgUAAAAA&#10;">
                <v:fill on="f" focussize="0,0"/>
                <v:stroke on="f"/>
                <v:imagedata o:title=""/>
                <o:lock v:ext="edit" aspectratio="f"/>
                <v:textbox>
                  <w:txbxContent>
                    <w:p>
                      <w:pPr>
                        <w:spacing w:line="240" w:lineRule="exact"/>
                        <w:jc w:val="left"/>
                        <w:rPr>
                          <w:rFonts w:ascii="楷体_GB2312" w:hAnsi="宋体"/>
                          <w:b/>
                          <w:color w:val="000000"/>
                          <w:sz w:val="18"/>
                          <w:szCs w:val="18"/>
                        </w:rPr>
                      </w:pPr>
                      <w:r>
                        <w:rPr>
                          <w:rFonts w:hint="eastAsia" w:ascii="楷体_GB2312" w:hAnsi="宋体"/>
                          <w:b/>
                          <w:color w:val="000000"/>
                          <w:sz w:val="18"/>
                          <w:szCs w:val="18"/>
                        </w:rPr>
                        <w:t>约定工程质量标准</w:t>
                      </w:r>
                    </w:p>
                  </w:txbxContent>
                </v:textbox>
              </v:shape>
            </w:pict>
          </mc:Fallback>
        </mc:AlternateContent>
      </w:r>
      <w:r>
        <w:rPr>
          <w:rFonts w:hint="eastAsia" w:ascii="宋体" w:hAnsi="宋体" w:cs="宋体"/>
          <w:color w:val="auto"/>
          <w:szCs w:val="21"/>
        </w:rPr>
        <w:t>合同双方当事人应在专用条款中约定工程质量标准，但不得低于国家或行业的强制性标准。工程质量应当达到专用条款约定的质量标准。</w:t>
      </w:r>
    </w:p>
    <w:p>
      <w:pPr>
        <w:adjustRightInd w:val="0"/>
        <w:snapToGrid w:val="0"/>
        <w:spacing w:line="360" w:lineRule="auto"/>
        <w:ind w:left="1619" w:leftChars="771"/>
        <w:jc w:val="left"/>
        <w:rPr>
          <w:rFonts w:ascii="宋体" w:hAnsi="宋体" w:cs="宋体"/>
          <w:color w:val="auto"/>
          <w:szCs w:val="21"/>
        </w:rPr>
      </w:pPr>
      <w:r>
        <w:rPr>
          <w:rFonts w:hint="eastAsia" w:ascii="宋体" w:hAnsi="宋体" w:cs="宋体"/>
          <w:color w:val="auto"/>
          <w:szCs w:val="21"/>
        </w:rPr>
        <w:t>工程质量验收，按照合同约定的标准执行；合同没有约定的，按照国家或行业的质量验收标准执行。</w:t>
      </w:r>
    </w:p>
    <w:p>
      <w:pPr>
        <w:adjustRightInd w:val="0"/>
        <w:snapToGrid w:val="0"/>
        <w:spacing w:line="360" w:lineRule="auto"/>
        <w:jc w:val="left"/>
        <w:rPr>
          <w:rFonts w:ascii="宋体" w:hAnsi="宋体" w:cs="宋体"/>
          <w:color w:val="auto"/>
          <w:szCs w:val="21"/>
        </w:rPr>
      </w:pPr>
      <w:r>
        <w:rPr>
          <w:rFonts w:ascii="宋体" w:hAnsi="宋体" w:cs="宋体"/>
          <w:color w:val="auto"/>
          <w:szCs w:val="21"/>
        </w:rPr>
        <mc:AlternateContent>
          <mc:Choice Requires="wps">
            <w:drawing>
              <wp:anchor distT="0" distB="0" distL="114300" distR="114300" simplePos="0" relativeHeight="251704320" behindDoc="0" locked="0" layoutInCell="1" allowOverlap="1">
                <wp:simplePos x="0" y="0"/>
                <wp:positionH relativeFrom="column">
                  <wp:posOffset>-114300</wp:posOffset>
                </wp:positionH>
                <wp:positionV relativeFrom="paragraph">
                  <wp:posOffset>256540</wp:posOffset>
                </wp:positionV>
                <wp:extent cx="977900" cy="471805"/>
                <wp:effectExtent l="0" t="0" r="0" b="0"/>
                <wp:wrapNone/>
                <wp:docPr id="241" name="文本框 241"/>
                <wp:cNvGraphicFramePr/>
                <a:graphic xmlns:a="http://schemas.openxmlformats.org/drawingml/2006/main">
                  <a:graphicData uri="http://schemas.microsoft.com/office/word/2010/wordprocessingShape">
                    <wps:wsp>
                      <wps:cNvSpPr txBox="1">
                        <a:spLocks noChangeArrowheads="1"/>
                      </wps:cNvSpPr>
                      <wps:spPr bwMode="auto">
                        <a:xfrm>
                          <a:off x="0" y="0"/>
                          <a:ext cx="977900" cy="471805"/>
                        </a:xfrm>
                        <a:prstGeom prst="rect">
                          <a:avLst/>
                        </a:prstGeom>
                        <a:noFill/>
                        <a:ln>
                          <a:noFill/>
                        </a:ln>
                        <a:effectLst/>
                      </wps:spPr>
                      <wps:txbx>
                        <w:txbxContent>
                          <w:p>
                            <w:pPr>
                              <w:spacing w:line="240" w:lineRule="exact"/>
                              <w:jc w:val="left"/>
                              <w:rPr>
                                <w:rFonts w:ascii="楷体_GB2312" w:hAnsi="宋体"/>
                                <w:b/>
                                <w:color w:val="000000"/>
                                <w:sz w:val="18"/>
                                <w:szCs w:val="18"/>
                              </w:rPr>
                            </w:pPr>
                            <w:r>
                              <w:rPr>
                                <w:rFonts w:hint="eastAsia" w:ascii="楷体_GB2312" w:hAnsi="宋体"/>
                                <w:b/>
                                <w:color w:val="000000"/>
                                <w:sz w:val="18"/>
                                <w:szCs w:val="18"/>
                              </w:rPr>
                              <w:t>承包人保证工程质量的职责</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0.2pt;height:37.15pt;width:77pt;z-index:251704320;mso-width-relative:page;mso-height-relative:page;" filled="f" stroked="f" coordsize="21600,21600" o:gfxdata="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Z9WCL9cAAAAKAQAADwAAAAAAAAABACAAAAAiAAAAZHJzL2Rv&#10;d25yZXYueG1sUEsBAhQAFAAAAAgAh07iQMtBoSUCAgAA2AMAAA4AAAAAAAAAAQAgAAAAJgEAAGRy&#10;cy9lMm9Eb2MueG1sUEsFBgAAAAAGAAYAWQEAAJoFAAAAAA==&#10;">
                <v:fill on="f" focussize="0,0"/>
                <v:stroke on="f"/>
                <v:imagedata o:title=""/>
                <o:lock v:ext="edit" aspectratio="f"/>
                <v:textbox>
                  <w:txbxContent>
                    <w:p>
                      <w:pPr>
                        <w:spacing w:line="240" w:lineRule="exact"/>
                        <w:jc w:val="left"/>
                        <w:rPr>
                          <w:rFonts w:ascii="楷体_GB2312" w:hAnsi="宋体"/>
                          <w:b/>
                          <w:color w:val="000000"/>
                          <w:sz w:val="18"/>
                          <w:szCs w:val="18"/>
                        </w:rPr>
                      </w:pPr>
                      <w:r>
                        <w:rPr>
                          <w:rFonts w:hint="eastAsia" w:ascii="楷体_GB2312" w:hAnsi="宋体"/>
                          <w:b/>
                          <w:color w:val="000000"/>
                          <w:sz w:val="18"/>
                          <w:szCs w:val="18"/>
                        </w:rPr>
                        <w:t>承包人保证工程质量的职责</w:t>
                      </w:r>
                    </w:p>
                  </w:txbxContent>
                </v:textbox>
              </v:shape>
            </w:pict>
          </mc:Fallback>
        </mc:AlternateContent>
      </w:r>
      <w:r>
        <w:rPr>
          <w:rFonts w:hint="eastAsia" w:ascii="宋体" w:hAnsi="宋体" w:cs="宋体"/>
          <w:b/>
          <w:color w:val="auto"/>
          <w:szCs w:val="21"/>
        </w:rPr>
        <w:t>42.2</w:t>
      </w:r>
      <w:r>
        <w:rPr>
          <w:rFonts w:hint="eastAsia" w:ascii="宋体" w:hAnsi="宋体" w:cs="宋体"/>
          <w:color w:val="auto"/>
          <w:szCs w:val="21"/>
        </w:rPr>
        <w:t xml:space="preserve">  </w:t>
      </w:r>
      <w:r>
        <w:rPr>
          <w:rFonts w:hint="eastAsia" w:ascii="宋体" w:hAnsi="宋体" w:cs="宋体"/>
          <w:color w:val="auto"/>
          <w:szCs w:val="21"/>
          <w:u w:val="dotted"/>
        </w:rPr>
        <w:t xml:space="preserve">                                                                                                        </w:t>
      </w:r>
    </w:p>
    <w:p>
      <w:pPr>
        <w:adjustRightInd w:val="0"/>
        <w:snapToGrid w:val="0"/>
        <w:spacing w:line="360" w:lineRule="auto"/>
        <w:ind w:left="1620"/>
        <w:jc w:val="left"/>
        <w:rPr>
          <w:rFonts w:ascii="宋体" w:hAnsi="宋体" w:cs="宋体"/>
          <w:color w:val="auto"/>
          <w:szCs w:val="21"/>
        </w:rPr>
      </w:pPr>
      <w:r>
        <w:rPr>
          <w:rFonts w:hint="eastAsia" w:ascii="宋体" w:hAnsi="宋体" w:cs="宋体"/>
          <w:color w:val="auto"/>
          <w:szCs w:val="21"/>
        </w:rPr>
        <w:t>承包人对合同工程的质量向发包人负责，其职责包括但不限于下列内容：</w:t>
      </w:r>
    </w:p>
    <w:p>
      <w:pPr>
        <w:adjustRightInd w:val="0"/>
        <w:snapToGrid w:val="0"/>
        <w:spacing w:line="360" w:lineRule="auto"/>
        <w:ind w:left="1620"/>
        <w:jc w:val="left"/>
        <w:rPr>
          <w:rFonts w:ascii="宋体" w:hAnsi="宋体" w:cs="宋体"/>
          <w:color w:val="auto"/>
          <w:szCs w:val="21"/>
        </w:rPr>
      </w:pPr>
      <w:r>
        <w:rPr>
          <w:rFonts w:hint="eastAsia" w:ascii="宋体" w:hAnsi="宋体" w:cs="宋体"/>
          <w:color w:val="auto"/>
          <w:szCs w:val="21"/>
        </w:rPr>
        <w:t>(1) 编制施工技术方案，确定施工技术措施；</w:t>
      </w:r>
    </w:p>
    <w:p>
      <w:pPr>
        <w:adjustRightInd w:val="0"/>
        <w:snapToGrid w:val="0"/>
        <w:spacing w:line="360" w:lineRule="auto"/>
        <w:ind w:left="1620"/>
        <w:jc w:val="left"/>
        <w:rPr>
          <w:rFonts w:ascii="宋体" w:hAnsi="宋体" w:cs="宋体"/>
          <w:color w:val="auto"/>
          <w:szCs w:val="21"/>
        </w:rPr>
      </w:pPr>
      <w:r>
        <w:rPr>
          <w:rFonts w:hint="eastAsia" w:ascii="宋体" w:hAnsi="宋体" w:cs="宋体"/>
          <w:color w:val="auto"/>
          <w:szCs w:val="21"/>
        </w:rPr>
        <w:t>(2) 提供和组织足够的工程技术人员，检查和控制工程施工质量；</w:t>
      </w:r>
    </w:p>
    <w:p>
      <w:pPr>
        <w:adjustRightInd w:val="0"/>
        <w:snapToGrid w:val="0"/>
        <w:spacing w:line="360" w:lineRule="auto"/>
        <w:ind w:left="1621"/>
        <w:jc w:val="left"/>
        <w:rPr>
          <w:rFonts w:ascii="宋体" w:hAnsi="宋体" w:cs="宋体"/>
          <w:color w:val="auto"/>
          <w:szCs w:val="21"/>
        </w:rPr>
      </w:pPr>
      <w:r>
        <w:rPr>
          <w:rFonts w:hint="eastAsia" w:ascii="宋体" w:hAnsi="宋体" w:cs="宋体"/>
          <w:color w:val="auto"/>
          <w:szCs w:val="21"/>
        </w:rPr>
        <w:t>(3) 控制施工所用的材料和工程设备，使其符合标准与规范、设计要求及合同约定的标准；</w:t>
      </w:r>
    </w:p>
    <w:p>
      <w:pPr>
        <w:tabs>
          <w:tab w:val="right" w:pos="9864"/>
        </w:tabs>
        <w:adjustRightInd w:val="0"/>
        <w:snapToGrid w:val="0"/>
        <w:spacing w:line="360" w:lineRule="auto"/>
        <w:ind w:firstLine="1417" w:firstLineChars="675"/>
        <w:jc w:val="left"/>
        <w:rPr>
          <w:rFonts w:ascii="宋体" w:hAnsi="宋体" w:cs="宋体"/>
          <w:color w:val="auto"/>
          <w:szCs w:val="21"/>
        </w:rPr>
      </w:pPr>
      <w:r>
        <w:rPr>
          <w:rFonts w:hint="eastAsia" w:ascii="宋体" w:hAnsi="宋体" w:cs="宋体"/>
          <w:color w:val="auto"/>
          <w:szCs w:val="21"/>
        </w:rPr>
        <w:t>(4) 负责合同工程施工中出现质量问题或竣工验收不合格的返修工作；</w:t>
      </w:r>
    </w:p>
    <w:p>
      <w:pPr>
        <w:adjustRightInd w:val="0"/>
        <w:snapToGrid w:val="0"/>
        <w:spacing w:line="360" w:lineRule="auto"/>
        <w:ind w:left="1617"/>
        <w:jc w:val="left"/>
        <w:rPr>
          <w:rFonts w:ascii="宋体" w:hAnsi="宋体" w:cs="宋体"/>
          <w:color w:val="auto"/>
          <w:szCs w:val="21"/>
        </w:rPr>
      </w:pPr>
      <w:r>
        <w:rPr>
          <w:rFonts w:hint="eastAsia" w:ascii="宋体" w:hAnsi="宋体" w:cs="宋体"/>
          <w:color w:val="auto"/>
          <w:szCs w:val="21"/>
        </w:rPr>
        <w:t>(5) 参加合同工程的所有验收工作，包括隐蔽验收、中间验收；参加竣工验收，组织分包人参加工程验收工作；</w:t>
      </w:r>
    </w:p>
    <w:p>
      <w:pPr>
        <w:adjustRightInd w:val="0"/>
        <w:snapToGrid w:val="0"/>
        <w:spacing w:line="360" w:lineRule="auto"/>
        <w:ind w:left="1620"/>
        <w:jc w:val="left"/>
        <w:rPr>
          <w:rFonts w:ascii="宋体" w:hAnsi="宋体" w:cs="宋体"/>
          <w:color w:val="auto"/>
          <w:szCs w:val="21"/>
        </w:rPr>
      </w:pPr>
      <w:r>
        <w:rPr>
          <w:rFonts w:hint="eastAsia" w:ascii="宋体" w:hAnsi="宋体" w:cs="宋体"/>
          <w:color w:val="auto"/>
          <w:szCs w:val="21"/>
        </w:rPr>
        <w:t>(6) 承担质量保修期的工程保修责任；</w:t>
      </w:r>
    </w:p>
    <w:p>
      <w:pPr>
        <w:adjustRightInd w:val="0"/>
        <w:snapToGrid w:val="0"/>
        <w:spacing w:line="360" w:lineRule="auto"/>
        <w:ind w:left="1620"/>
        <w:jc w:val="left"/>
        <w:rPr>
          <w:rFonts w:ascii="宋体" w:hAnsi="宋体" w:cs="宋体"/>
          <w:color w:val="auto"/>
          <w:szCs w:val="21"/>
        </w:rPr>
      </w:pPr>
      <w:r>
        <w:rPr>
          <w:rFonts w:hint="eastAsia" w:ascii="宋体" w:hAnsi="宋体" w:cs="宋体"/>
          <w:color w:val="auto"/>
          <w:szCs w:val="21"/>
        </w:rPr>
        <w:t>(7) 承担其他工程质量责任。</w:t>
      </w:r>
    </w:p>
    <w:p>
      <w:pPr>
        <w:adjustRightInd w:val="0"/>
        <w:snapToGrid w:val="0"/>
        <w:spacing w:line="360" w:lineRule="auto"/>
        <w:jc w:val="left"/>
        <w:rPr>
          <w:rFonts w:ascii="宋体" w:hAnsi="宋体" w:cs="宋体"/>
          <w:b/>
          <w:color w:val="auto"/>
          <w:szCs w:val="21"/>
        </w:rPr>
      </w:pPr>
      <w:r>
        <w:rPr>
          <w:rFonts w:ascii="宋体" w:hAnsi="宋体" w:cs="宋体"/>
          <w:color w:val="auto"/>
          <w:szCs w:val="21"/>
        </w:rPr>
        <mc:AlternateContent>
          <mc:Choice Requires="wps">
            <w:drawing>
              <wp:anchor distT="0" distB="0" distL="114300" distR="114300" simplePos="0" relativeHeight="251705344" behindDoc="0" locked="0" layoutInCell="1" allowOverlap="1">
                <wp:simplePos x="0" y="0"/>
                <wp:positionH relativeFrom="column">
                  <wp:posOffset>-114300</wp:posOffset>
                </wp:positionH>
                <wp:positionV relativeFrom="paragraph">
                  <wp:posOffset>291465</wp:posOffset>
                </wp:positionV>
                <wp:extent cx="1028700" cy="245745"/>
                <wp:effectExtent l="0" t="0" r="0" b="0"/>
                <wp:wrapNone/>
                <wp:docPr id="240" name="文本框 240"/>
                <wp:cNvGraphicFramePr/>
                <a:graphic xmlns:a="http://schemas.openxmlformats.org/drawingml/2006/main">
                  <a:graphicData uri="http://schemas.microsoft.com/office/word/2010/wordprocessingShape">
                    <wps:wsp>
                      <wps:cNvSpPr txBox="1">
                        <a:spLocks noChangeArrowheads="1"/>
                      </wps:cNvSpPr>
                      <wps:spPr bwMode="auto">
                        <a:xfrm>
                          <a:off x="0" y="0"/>
                          <a:ext cx="1028700" cy="245745"/>
                        </a:xfrm>
                        <a:prstGeom prst="rect">
                          <a:avLst/>
                        </a:prstGeom>
                        <a:noFill/>
                        <a:ln>
                          <a:noFill/>
                        </a:ln>
                        <a:effectLst/>
                      </wps:spPr>
                      <wps:txbx>
                        <w:txbxContent>
                          <w:p>
                            <w:pPr>
                              <w:spacing w:line="240" w:lineRule="exact"/>
                              <w:jc w:val="left"/>
                              <w:rPr>
                                <w:rFonts w:ascii="楷体_GB2312" w:hAnsi="宋体"/>
                                <w:b/>
                                <w:color w:val="000000"/>
                                <w:sz w:val="18"/>
                                <w:szCs w:val="18"/>
                              </w:rPr>
                            </w:pPr>
                            <w:r>
                              <w:rPr>
                                <w:rFonts w:hint="eastAsia" w:ascii="楷体_GB2312" w:hAnsi="宋体"/>
                                <w:b/>
                                <w:color w:val="000000"/>
                                <w:sz w:val="18"/>
                                <w:szCs w:val="18"/>
                              </w:rPr>
                              <w:t>质量保证体系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2.95pt;height:19.35pt;width:81pt;z-index:251705344;mso-width-relative:page;mso-height-relative:page;" filled="f" stroked="f" coordsize="21600,21600" o:gfxdata="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gswKw9YAAAAJAQAADwAAAAAAAAABACAAAAAiAAAAZHJzL2Rvd25y&#10;ZXYueG1sUEsBAhQAFAAAAAgAh07iQPDf4d4AAgAA2QMAAA4AAAAAAAAAAQAgAAAAJQEAAGRycy9l&#10;Mm9Eb2MueG1sUEsFBgAAAAAGAAYAWQEAAJcFAAAAAA==&#10;">
                <v:fill on="f" focussize="0,0"/>
                <v:stroke on="f"/>
                <v:imagedata o:title=""/>
                <o:lock v:ext="edit" aspectratio="f"/>
                <v:textbox>
                  <w:txbxContent>
                    <w:p>
                      <w:pPr>
                        <w:spacing w:line="240" w:lineRule="exact"/>
                        <w:jc w:val="left"/>
                        <w:rPr>
                          <w:rFonts w:ascii="楷体_GB2312" w:hAnsi="宋体"/>
                          <w:b/>
                          <w:color w:val="000000"/>
                          <w:sz w:val="18"/>
                          <w:szCs w:val="18"/>
                        </w:rPr>
                      </w:pPr>
                      <w:r>
                        <w:rPr>
                          <w:rFonts w:hint="eastAsia" w:ascii="楷体_GB2312" w:hAnsi="宋体"/>
                          <w:b/>
                          <w:color w:val="000000"/>
                          <w:sz w:val="18"/>
                          <w:szCs w:val="18"/>
                        </w:rPr>
                        <w:t>质量保证体系</w:t>
                      </w:r>
                    </w:p>
                  </w:txbxContent>
                </v:textbox>
              </v:shape>
            </w:pict>
          </mc:Fallback>
        </mc:AlternateContent>
      </w:r>
      <w:r>
        <w:rPr>
          <w:rFonts w:hint="eastAsia" w:ascii="宋体" w:hAnsi="宋体" w:cs="宋体"/>
          <w:b/>
          <w:color w:val="auto"/>
          <w:szCs w:val="21"/>
        </w:rPr>
        <w:t xml:space="preserve">42.3 </w:t>
      </w:r>
      <w:r>
        <w:rPr>
          <w:rFonts w:hint="eastAsia" w:ascii="宋体" w:hAnsi="宋体" w:cs="宋体"/>
          <w:b/>
          <w:color w:val="auto"/>
          <w:szCs w:val="21"/>
          <w:u w:val="dotted"/>
        </w:rPr>
        <w:t xml:space="preserve">                                                                                                        </w:t>
      </w:r>
    </w:p>
    <w:p>
      <w:pPr>
        <w:adjustRightInd w:val="0"/>
        <w:snapToGrid w:val="0"/>
        <w:spacing w:line="360" w:lineRule="auto"/>
        <w:ind w:left="1619" w:leftChars="771"/>
        <w:rPr>
          <w:rFonts w:ascii="宋体" w:hAnsi="宋体" w:cs="宋体"/>
          <w:color w:val="auto"/>
          <w:kern w:val="0"/>
          <w:szCs w:val="21"/>
        </w:rPr>
      </w:pPr>
      <w:r>
        <w:rPr>
          <w:rFonts w:hint="eastAsia" w:ascii="宋体" w:hAnsi="宋体" w:cs="宋体"/>
          <w:color w:val="auto"/>
          <w:kern w:val="0"/>
          <w:szCs w:val="21"/>
        </w:rPr>
        <w:t>承包人应建立健全完善的质量保证体系。在合同工程开工前，监理工程师有权要求承包人提交质量保证体系实施程序、施工质量检验制度和施工质量水平评定考核制度等文件、资料。即使承包人遵守质量保证体系，也不能免除其按照合同约定应承担的任何责任和应履行的任何义务。</w:t>
      </w:r>
    </w:p>
    <w:p>
      <w:pPr>
        <w:adjustRightInd w:val="0"/>
        <w:snapToGrid w:val="0"/>
        <w:spacing w:line="360" w:lineRule="auto"/>
        <w:jc w:val="left"/>
        <w:rPr>
          <w:rFonts w:ascii="宋体" w:hAnsi="宋体" w:cs="宋体"/>
          <w:b/>
          <w:color w:val="auto"/>
          <w:szCs w:val="21"/>
        </w:rPr>
      </w:pPr>
      <w:r>
        <w:rPr>
          <w:rFonts w:ascii="宋体" w:hAnsi="宋体" w:cs="宋体"/>
          <w:color w:val="auto"/>
          <w:szCs w:val="21"/>
        </w:rPr>
        <mc:AlternateContent>
          <mc:Choice Requires="wps">
            <w:drawing>
              <wp:anchor distT="0" distB="0" distL="114300" distR="114300" simplePos="0" relativeHeight="252060672" behindDoc="0" locked="0" layoutInCell="1" allowOverlap="1">
                <wp:simplePos x="0" y="0"/>
                <wp:positionH relativeFrom="column">
                  <wp:posOffset>-114300</wp:posOffset>
                </wp:positionH>
                <wp:positionV relativeFrom="paragraph">
                  <wp:posOffset>276225</wp:posOffset>
                </wp:positionV>
                <wp:extent cx="967740" cy="449580"/>
                <wp:effectExtent l="0" t="0" r="0" b="0"/>
                <wp:wrapNone/>
                <wp:docPr id="239" name="文本框 239"/>
                <wp:cNvGraphicFramePr/>
                <a:graphic xmlns:a="http://schemas.openxmlformats.org/drawingml/2006/main">
                  <a:graphicData uri="http://schemas.microsoft.com/office/word/2010/wordprocessingShape">
                    <wps:wsp>
                      <wps:cNvSpPr txBox="1">
                        <a:spLocks noChangeArrowheads="1"/>
                      </wps:cNvSpPr>
                      <wps:spPr bwMode="auto">
                        <a:xfrm>
                          <a:off x="0" y="0"/>
                          <a:ext cx="967740" cy="449580"/>
                        </a:xfrm>
                        <a:prstGeom prst="rect">
                          <a:avLst/>
                        </a:prstGeom>
                        <a:noFill/>
                        <a:ln>
                          <a:noFill/>
                        </a:ln>
                        <a:effectLst/>
                      </wps:spPr>
                      <wps:txbx>
                        <w:txbxContent>
                          <w:p>
                            <w:pPr>
                              <w:spacing w:line="240" w:lineRule="exact"/>
                              <w:jc w:val="left"/>
                              <w:rPr>
                                <w:rFonts w:ascii="楷体_GB2312" w:hAnsi="宋体"/>
                                <w:b/>
                                <w:color w:val="000000"/>
                                <w:sz w:val="18"/>
                                <w:szCs w:val="18"/>
                              </w:rPr>
                            </w:pPr>
                            <w:r>
                              <w:rPr>
                                <w:rFonts w:hint="eastAsia" w:ascii="楷体_GB2312" w:hAnsi="宋体"/>
                                <w:b/>
                                <w:color w:val="000000"/>
                                <w:sz w:val="18"/>
                                <w:szCs w:val="18"/>
                              </w:rPr>
                              <w:t>工程质量有争议的处理</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1.75pt;height:35.4pt;width:76.2pt;z-index:252060672;mso-width-relative:page;mso-height-relative:page;" filled="f" stroked="f" coordsize="21600,21600" o:gfxdata="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GJKsvYAAAACgEAAA8AAAAAAAAAAQAgAAAAIgAAAGRycy9k&#10;b3ducmV2LnhtbFBLAQIUABQAAAAIAIdO4kBAF/hsAgIAANgDAAAOAAAAAAAAAAEAIAAAACcBAABk&#10;cnMvZTJvRG9jLnhtbFBLBQYAAAAABgAGAFkBAACbBQAAAAA=&#10;">
                <v:fill on="f" focussize="0,0"/>
                <v:stroke on="f"/>
                <v:imagedata o:title=""/>
                <o:lock v:ext="edit" aspectratio="f"/>
                <v:textbox>
                  <w:txbxContent>
                    <w:p>
                      <w:pPr>
                        <w:spacing w:line="240" w:lineRule="exact"/>
                        <w:jc w:val="left"/>
                        <w:rPr>
                          <w:rFonts w:ascii="楷体_GB2312" w:hAnsi="宋体"/>
                          <w:b/>
                          <w:color w:val="000000"/>
                          <w:sz w:val="18"/>
                          <w:szCs w:val="18"/>
                        </w:rPr>
                      </w:pPr>
                      <w:r>
                        <w:rPr>
                          <w:rFonts w:hint="eastAsia" w:ascii="楷体_GB2312" w:hAnsi="宋体"/>
                          <w:b/>
                          <w:color w:val="000000"/>
                          <w:sz w:val="18"/>
                          <w:szCs w:val="18"/>
                        </w:rPr>
                        <w:t>工程质量有争议的处理</w:t>
                      </w:r>
                    </w:p>
                  </w:txbxContent>
                </v:textbox>
              </v:shape>
            </w:pict>
          </mc:Fallback>
        </mc:AlternateContent>
      </w:r>
      <w:r>
        <w:rPr>
          <w:rFonts w:hint="eastAsia" w:ascii="宋体" w:hAnsi="宋体" w:cs="宋体"/>
          <w:b/>
          <w:color w:val="auto"/>
          <w:szCs w:val="21"/>
        </w:rPr>
        <w:t xml:space="preserve">42.4 </w:t>
      </w:r>
      <w:r>
        <w:rPr>
          <w:rFonts w:hint="eastAsia" w:ascii="宋体" w:hAnsi="宋体" w:cs="宋体"/>
          <w:b/>
          <w:color w:val="auto"/>
          <w:szCs w:val="21"/>
          <w:u w:val="dotted"/>
        </w:rPr>
        <w:t xml:space="preserve">                                                                                                        </w:t>
      </w:r>
    </w:p>
    <w:p>
      <w:pPr>
        <w:adjustRightInd w:val="0"/>
        <w:snapToGrid w:val="0"/>
        <w:spacing w:line="360" w:lineRule="auto"/>
        <w:ind w:left="1619" w:leftChars="771"/>
        <w:jc w:val="left"/>
        <w:rPr>
          <w:rFonts w:ascii="宋体" w:hAnsi="宋体" w:cs="宋体"/>
          <w:color w:val="auto"/>
          <w:szCs w:val="21"/>
        </w:rPr>
      </w:pPr>
      <w:r>
        <w:rPr>
          <w:rFonts w:hint="eastAsia" w:ascii="宋体" w:hAnsi="宋体" w:cs="宋体"/>
          <w:color w:val="auto"/>
          <w:szCs w:val="21"/>
        </w:rPr>
        <w:t>合同双方当事人对工程质量有争议的，按照第86.4款规定调解或认定，所需的费用及由此造成的损失，由责任方承担。双方均有责任的，由双方根据其责任划分分别承担。</w:t>
      </w:r>
    </w:p>
    <w:p>
      <w:pPr>
        <w:tabs>
          <w:tab w:val="left" w:pos="1620"/>
        </w:tabs>
        <w:adjustRightInd w:val="0"/>
        <w:snapToGrid w:val="0"/>
        <w:spacing w:line="360" w:lineRule="auto"/>
        <w:rPr>
          <w:rFonts w:ascii="宋体" w:hAnsi="宋体" w:cs="宋体"/>
          <w:b/>
          <w:color w:val="auto"/>
          <w:szCs w:val="21"/>
          <w:u w:val="single"/>
        </w:rPr>
      </w:pPr>
      <w:r>
        <w:rPr>
          <w:rFonts w:hint="eastAsia" w:ascii="宋体" w:hAnsi="宋体" w:cs="宋体"/>
          <w:b/>
          <w:color w:val="auto"/>
          <w:szCs w:val="21"/>
          <w:u w:val="single"/>
        </w:rPr>
        <w:t xml:space="preserve">                                                                                                </w:t>
      </w:r>
    </w:p>
    <w:p>
      <w:pPr>
        <w:tabs>
          <w:tab w:val="left" w:pos="1620"/>
        </w:tabs>
        <w:adjustRightInd w:val="0"/>
        <w:snapToGrid w:val="0"/>
        <w:spacing w:line="360" w:lineRule="auto"/>
        <w:ind w:firstLine="542"/>
        <w:rPr>
          <w:rFonts w:ascii="宋体" w:hAnsi="宋体" w:cs="宋体"/>
          <w:b/>
          <w:color w:val="auto"/>
          <w:szCs w:val="21"/>
          <w:u w:val="single"/>
        </w:rPr>
      </w:pPr>
    </w:p>
    <w:p>
      <w:pPr>
        <w:tabs>
          <w:tab w:val="left" w:pos="1620"/>
        </w:tabs>
        <w:adjustRightInd w:val="0"/>
        <w:snapToGrid w:val="0"/>
        <w:spacing w:line="360" w:lineRule="auto"/>
        <w:rPr>
          <w:rFonts w:ascii="宋体" w:hAnsi="宋体" w:cs="宋体"/>
          <w:b/>
          <w:color w:val="auto"/>
          <w:szCs w:val="21"/>
        </w:rPr>
      </w:pPr>
      <w:r>
        <w:rPr>
          <w:rFonts w:hint="eastAsia" w:ascii="宋体" w:hAnsi="宋体" w:cs="宋体"/>
          <w:b/>
          <w:color w:val="auto"/>
          <w:szCs w:val="21"/>
        </w:rPr>
        <w:t>43  工程质量创优</w:t>
      </w:r>
    </w:p>
    <w:p>
      <w:pPr>
        <w:spacing w:line="360" w:lineRule="auto"/>
        <w:rPr>
          <w:rFonts w:ascii="宋体" w:hAnsi="宋体" w:cs="宋体"/>
          <w:b/>
          <w:caps/>
          <w:color w:val="auto"/>
          <w:szCs w:val="21"/>
        </w:rPr>
      </w:pPr>
      <w:r>
        <w:rPr>
          <w:rFonts w:hint="eastAsia" w:ascii="宋体" w:hAnsi="宋体" w:cs="宋体"/>
          <w:b/>
          <w:caps/>
          <w:color w:val="auto"/>
          <w:szCs w:val="21"/>
        </w:rPr>
        <w:t>43.1</w:t>
      </w:r>
    </w:p>
    <w:p>
      <w:pPr>
        <w:spacing w:line="360" w:lineRule="auto"/>
        <w:ind w:left="1619" w:leftChars="771"/>
        <w:rPr>
          <w:rFonts w:ascii="宋体" w:hAnsi="宋体" w:cs="宋体"/>
          <w:caps/>
          <w:color w:val="auto"/>
          <w:szCs w:val="21"/>
        </w:rPr>
      </w:pPr>
      <w:r>
        <w:rPr>
          <w:rFonts w:ascii="宋体" w:hAnsi="宋体" w:cs="宋体"/>
          <w:color w:val="auto"/>
          <w:szCs w:val="21"/>
        </w:rPr>
        <mc:AlternateContent>
          <mc:Choice Requires="wps">
            <w:drawing>
              <wp:anchor distT="0" distB="0" distL="114300" distR="114300" simplePos="0" relativeHeight="251920384" behindDoc="0" locked="0" layoutInCell="1" allowOverlap="1">
                <wp:simplePos x="0" y="0"/>
                <wp:positionH relativeFrom="column">
                  <wp:posOffset>-114300</wp:posOffset>
                </wp:positionH>
                <wp:positionV relativeFrom="paragraph">
                  <wp:posOffset>38100</wp:posOffset>
                </wp:positionV>
                <wp:extent cx="914400" cy="495300"/>
                <wp:effectExtent l="0" t="0" r="0" b="0"/>
                <wp:wrapNone/>
                <wp:docPr id="238" name="文本框 238"/>
                <wp:cNvGraphicFramePr/>
                <a:graphic xmlns:a="http://schemas.openxmlformats.org/drawingml/2006/main">
                  <a:graphicData uri="http://schemas.microsoft.com/office/word/2010/wordprocessingShape">
                    <wps:wsp>
                      <wps:cNvSpPr txBox="1">
                        <a:spLocks noChangeArrowheads="1"/>
                      </wps:cNvSpPr>
                      <wps:spPr bwMode="auto">
                        <a:xfrm>
                          <a:off x="0" y="0"/>
                          <a:ext cx="914400" cy="495300"/>
                        </a:xfrm>
                        <a:prstGeom prst="rect">
                          <a:avLst/>
                        </a:prstGeom>
                        <a:noFill/>
                        <a:ln>
                          <a:noFill/>
                        </a:ln>
                        <a:effectLst/>
                      </wps:spPr>
                      <wps:txbx>
                        <w:txbxContent>
                          <w:p>
                            <w:pPr>
                              <w:spacing w:line="240" w:lineRule="exact"/>
                              <w:jc w:val="left"/>
                              <w:rPr>
                                <w:rFonts w:ascii="楷体_GB2312" w:hAnsi="宋体"/>
                                <w:b/>
                                <w:color w:val="000000"/>
                                <w:sz w:val="18"/>
                                <w:szCs w:val="18"/>
                              </w:rPr>
                            </w:pPr>
                            <w:r>
                              <w:rPr>
                                <w:rFonts w:hint="eastAsia" w:ascii="楷体_GB2312" w:hAnsi="宋体"/>
                                <w:b/>
                                <w:color w:val="000000"/>
                                <w:sz w:val="18"/>
                                <w:szCs w:val="18"/>
                              </w:rPr>
                              <w:t>发包人鼓励质量创优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pt;height:39pt;width:72pt;z-index:251920384;mso-width-relative:page;mso-height-relative:page;" filled="f" stroked="f" coordsize="21600,21600" o:gfxdata="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N+ED77VAAAACAEAAA8AAAAAAAAAAQAgAAAAIgAAAGRycy9kb3ducmV2&#10;LnhtbFBLAQIUABQAAAAIAIdO4kCmtRgS/wEAANgDAAAOAAAAAAAAAAEAIAAAACQBAABkcnMvZTJv&#10;RG9jLnhtbFBLBQYAAAAABgAGAFkBAACVBQAAAAA=&#10;">
                <v:fill on="f" focussize="0,0"/>
                <v:stroke on="f"/>
                <v:imagedata o:title=""/>
                <o:lock v:ext="edit" aspectratio="f"/>
                <v:textbox>
                  <w:txbxContent>
                    <w:p>
                      <w:pPr>
                        <w:spacing w:line="240" w:lineRule="exact"/>
                        <w:jc w:val="left"/>
                        <w:rPr>
                          <w:rFonts w:ascii="楷体_GB2312" w:hAnsi="宋体"/>
                          <w:b/>
                          <w:color w:val="000000"/>
                          <w:sz w:val="18"/>
                          <w:szCs w:val="18"/>
                        </w:rPr>
                      </w:pPr>
                      <w:r>
                        <w:rPr>
                          <w:rFonts w:hint="eastAsia" w:ascii="楷体_GB2312" w:hAnsi="宋体"/>
                          <w:b/>
                          <w:color w:val="000000"/>
                          <w:sz w:val="18"/>
                          <w:szCs w:val="18"/>
                        </w:rPr>
                        <w:t>发包人鼓励质量创优</w:t>
                      </w:r>
                    </w:p>
                  </w:txbxContent>
                </v:textbox>
              </v:shape>
            </w:pict>
          </mc:Fallback>
        </mc:AlternateContent>
      </w:r>
      <w:r>
        <w:rPr>
          <w:rFonts w:hint="eastAsia" w:ascii="宋体" w:hAnsi="宋体" w:cs="宋体"/>
          <w:caps/>
          <w:color w:val="auto"/>
          <w:szCs w:val="21"/>
        </w:rPr>
        <w:t>发包人应配合承包人加强合同工程质量与施工安全管理，鼓励承包人实施合同工程质量创优。对于合同工程质量标准高于国家规定或合同约定的质量验收合格标准的，应按照第67条规定向承包人支付工程优质费。</w:t>
      </w:r>
    </w:p>
    <w:p>
      <w:pPr>
        <w:spacing w:line="360" w:lineRule="auto"/>
        <w:rPr>
          <w:rFonts w:ascii="宋体" w:hAnsi="宋体" w:cs="宋体"/>
          <w:b/>
          <w:caps/>
          <w:color w:val="auto"/>
          <w:szCs w:val="21"/>
        </w:rPr>
      </w:pPr>
      <w:r>
        <w:rPr>
          <w:rFonts w:hint="eastAsia" w:ascii="宋体" w:hAnsi="宋体" w:cs="宋体"/>
          <w:b/>
          <w:color w:val="auto"/>
          <w:szCs w:val="21"/>
        </w:rPr>
        <w:t xml:space="preserve">43.2 </w:t>
      </w:r>
      <w:r>
        <w:rPr>
          <w:rFonts w:hint="eastAsia" w:ascii="宋体" w:hAnsi="宋体" w:cs="宋体"/>
          <w:b/>
          <w:color w:val="auto"/>
          <w:szCs w:val="21"/>
          <w:u w:val="dotted"/>
        </w:rPr>
        <w:t xml:space="preserve">                                                                              </w:t>
      </w:r>
    </w:p>
    <w:p>
      <w:pPr>
        <w:spacing w:line="360" w:lineRule="auto"/>
        <w:ind w:left="1619" w:leftChars="771"/>
        <w:rPr>
          <w:rFonts w:ascii="宋体" w:hAnsi="宋体" w:cs="宋体"/>
          <w:caps/>
          <w:color w:val="auto"/>
          <w:szCs w:val="21"/>
        </w:rPr>
      </w:pPr>
      <w:r>
        <w:rPr>
          <w:rFonts w:ascii="宋体" w:hAnsi="宋体" w:cs="宋体"/>
          <w:color w:val="auto"/>
          <w:szCs w:val="21"/>
        </w:rPr>
        <mc:AlternateContent>
          <mc:Choice Requires="wps">
            <w:drawing>
              <wp:anchor distT="0" distB="0" distL="114300" distR="114300" simplePos="0" relativeHeight="251919360" behindDoc="0" locked="0" layoutInCell="1" allowOverlap="1">
                <wp:simplePos x="0" y="0"/>
                <wp:positionH relativeFrom="column">
                  <wp:posOffset>-114300</wp:posOffset>
                </wp:positionH>
                <wp:positionV relativeFrom="paragraph">
                  <wp:posOffset>170815</wp:posOffset>
                </wp:positionV>
                <wp:extent cx="914400" cy="495300"/>
                <wp:effectExtent l="0" t="0" r="0" b="0"/>
                <wp:wrapNone/>
                <wp:docPr id="237" name="文本框 237"/>
                <wp:cNvGraphicFramePr/>
                <a:graphic xmlns:a="http://schemas.openxmlformats.org/drawingml/2006/main">
                  <a:graphicData uri="http://schemas.microsoft.com/office/word/2010/wordprocessingShape">
                    <wps:wsp>
                      <wps:cNvSpPr txBox="1">
                        <a:spLocks noChangeArrowheads="1"/>
                      </wps:cNvSpPr>
                      <wps:spPr bwMode="auto">
                        <a:xfrm>
                          <a:off x="0" y="0"/>
                          <a:ext cx="914400" cy="495300"/>
                        </a:xfrm>
                        <a:prstGeom prst="rect">
                          <a:avLst/>
                        </a:prstGeom>
                        <a:noFill/>
                        <a:ln>
                          <a:noFill/>
                        </a:ln>
                        <a:effectLst/>
                      </wps:spPr>
                      <wps:txbx>
                        <w:txbxContent>
                          <w:p>
                            <w:pPr>
                              <w:spacing w:line="240" w:lineRule="exact"/>
                              <w:jc w:val="left"/>
                              <w:rPr>
                                <w:rFonts w:ascii="楷体_GB2312" w:hAnsi="宋体"/>
                                <w:b/>
                                <w:color w:val="000000"/>
                                <w:sz w:val="18"/>
                                <w:szCs w:val="18"/>
                              </w:rPr>
                            </w:pPr>
                            <w:r>
                              <w:rPr>
                                <w:rFonts w:hint="eastAsia" w:ascii="楷体_GB2312" w:hAnsi="宋体"/>
                                <w:b/>
                                <w:color w:val="000000"/>
                                <w:sz w:val="18"/>
                                <w:szCs w:val="18"/>
                              </w:rPr>
                              <w:t>承包人争取质量创优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3.45pt;height:39pt;width:72pt;z-index:251919360;mso-width-relative:page;mso-height-relative:page;" filled="f" stroked="f" coordsize="21600,21600" o:gfxdata="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wHDXzdcAAAAKAQAADwAAAAAAAAABACAAAAAiAAAAZHJzL2Rvd25y&#10;ZXYueG1sUEsBAhQAFAAAAAgAh07iQBpXoSj/AQAA2AMAAA4AAAAAAAAAAQAgAAAAJgEAAGRycy9l&#10;Mm9Eb2MueG1sUEsFBgAAAAAGAAYAWQEAAJcFAAAAAA==&#10;">
                <v:fill on="f" focussize="0,0"/>
                <v:stroke on="f"/>
                <v:imagedata o:title=""/>
                <o:lock v:ext="edit" aspectratio="f"/>
                <v:textbox>
                  <w:txbxContent>
                    <w:p>
                      <w:pPr>
                        <w:spacing w:line="240" w:lineRule="exact"/>
                        <w:jc w:val="left"/>
                        <w:rPr>
                          <w:rFonts w:ascii="楷体_GB2312" w:hAnsi="宋体"/>
                          <w:b/>
                          <w:color w:val="000000"/>
                          <w:sz w:val="18"/>
                          <w:szCs w:val="18"/>
                        </w:rPr>
                      </w:pPr>
                      <w:r>
                        <w:rPr>
                          <w:rFonts w:hint="eastAsia" w:ascii="楷体_GB2312" w:hAnsi="宋体"/>
                          <w:b/>
                          <w:color w:val="000000"/>
                          <w:sz w:val="18"/>
                          <w:szCs w:val="18"/>
                        </w:rPr>
                        <w:t>承包人争取质量创优</w:t>
                      </w:r>
                    </w:p>
                  </w:txbxContent>
                </v:textbox>
              </v:shape>
            </w:pict>
          </mc:Fallback>
        </mc:AlternateContent>
      </w:r>
      <w:r>
        <w:rPr>
          <w:rFonts w:hint="eastAsia" w:ascii="宋体" w:hAnsi="宋体" w:cs="宋体"/>
          <w:caps/>
          <w:color w:val="auto"/>
          <w:szCs w:val="21"/>
        </w:rPr>
        <w:t>承包人应采取有效措施确保合同工程质量与施工安全，在保证工程质量、施工安全达到国家或行业的强制性标准的前提下，提高工程质量与施工安全管理水平，争取合同工程质量创优。</w:t>
      </w:r>
    </w:p>
    <w:p>
      <w:pPr>
        <w:tabs>
          <w:tab w:val="left" w:pos="1620"/>
        </w:tabs>
        <w:spacing w:line="360" w:lineRule="auto"/>
        <w:rPr>
          <w:rFonts w:ascii="宋体" w:hAnsi="宋体" w:cs="宋体"/>
          <w:b/>
          <w:color w:val="auto"/>
          <w:szCs w:val="21"/>
          <w:u w:val="single"/>
        </w:rPr>
      </w:pPr>
      <w:r>
        <w:rPr>
          <w:rFonts w:hint="eastAsia" w:ascii="宋体" w:hAnsi="宋体" w:cs="宋体"/>
          <w:b/>
          <w:caps/>
          <w:color w:val="auto"/>
          <w:szCs w:val="21"/>
          <w:u w:val="single"/>
        </w:rPr>
        <w:t xml:space="preserve">                                                                                             </w:t>
      </w:r>
    </w:p>
    <w:p>
      <w:pPr>
        <w:tabs>
          <w:tab w:val="left" w:pos="1620"/>
        </w:tabs>
        <w:spacing w:line="240" w:lineRule="exact"/>
        <w:rPr>
          <w:rFonts w:ascii="宋体" w:hAnsi="宋体" w:cs="宋体"/>
          <w:color w:val="auto"/>
          <w:szCs w:val="21"/>
        </w:rPr>
      </w:pPr>
    </w:p>
    <w:p>
      <w:pPr>
        <w:tabs>
          <w:tab w:val="left" w:pos="540"/>
        </w:tabs>
        <w:adjustRightInd w:val="0"/>
        <w:snapToGrid w:val="0"/>
        <w:spacing w:beforeLines="100" w:line="360" w:lineRule="auto"/>
        <w:ind w:right="-238"/>
        <w:rPr>
          <w:rFonts w:ascii="宋体" w:hAnsi="宋体" w:cs="宋体"/>
          <w:b/>
          <w:color w:val="auto"/>
          <w:kern w:val="0"/>
          <w:szCs w:val="21"/>
        </w:rPr>
      </w:pPr>
      <w:r>
        <w:rPr>
          <w:rFonts w:hint="eastAsia" w:ascii="宋体" w:hAnsi="宋体" w:cs="宋体"/>
          <w:b/>
          <w:color w:val="auto"/>
          <w:kern w:val="0"/>
          <w:szCs w:val="21"/>
        </w:rPr>
        <w:t>44  工程的照管</w:t>
      </w:r>
    </w:p>
    <w:p>
      <w:pPr>
        <w:adjustRightInd w:val="0"/>
        <w:snapToGrid w:val="0"/>
        <w:spacing w:line="360" w:lineRule="auto"/>
        <w:rPr>
          <w:rFonts w:ascii="宋体" w:hAnsi="宋体" w:cs="宋体"/>
          <w:b/>
          <w:color w:val="auto"/>
          <w:szCs w:val="21"/>
        </w:rPr>
      </w:pPr>
      <w:r>
        <w:rPr>
          <w:rFonts w:ascii="宋体" w:hAnsi="宋体" w:cs="宋体"/>
          <w:color w:val="auto"/>
          <w:szCs w:val="21"/>
        </w:rPr>
        <mc:AlternateContent>
          <mc:Choice Requires="wps">
            <w:drawing>
              <wp:anchor distT="0" distB="0" distL="114300" distR="114300" simplePos="0" relativeHeight="251706368" behindDoc="0" locked="0" layoutInCell="1" allowOverlap="1">
                <wp:simplePos x="0" y="0"/>
                <wp:positionH relativeFrom="column">
                  <wp:posOffset>-114300</wp:posOffset>
                </wp:positionH>
                <wp:positionV relativeFrom="paragraph">
                  <wp:posOffset>264160</wp:posOffset>
                </wp:positionV>
                <wp:extent cx="800100" cy="256540"/>
                <wp:effectExtent l="0" t="0" r="0" b="0"/>
                <wp:wrapNone/>
                <wp:docPr id="236" name="文本框 236"/>
                <wp:cNvGraphicFramePr/>
                <a:graphic xmlns:a="http://schemas.openxmlformats.org/drawingml/2006/main">
                  <a:graphicData uri="http://schemas.microsoft.com/office/word/2010/wordprocessingShape">
                    <wps:wsp>
                      <wps:cNvSpPr txBox="1">
                        <a:spLocks noChangeArrowheads="1"/>
                      </wps:cNvSpPr>
                      <wps:spPr bwMode="auto">
                        <a:xfrm>
                          <a:off x="0" y="0"/>
                          <a:ext cx="800100" cy="256540"/>
                        </a:xfrm>
                        <a:prstGeom prst="rect">
                          <a:avLst/>
                        </a:prstGeom>
                        <a:noFill/>
                        <a:ln>
                          <a:noFill/>
                        </a:ln>
                        <a:effectLst/>
                      </wps:spPr>
                      <wps:txbx>
                        <w:txbxContent>
                          <w:p>
                            <w:pPr>
                              <w:spacing w:line="240" w:lineRule="exact"/>
                              <w:jc w:val="left"/>
                              <w:rPr>
                                <w:rFonts w:ascii="楷体_GB2312" w:hAnsi="宋体"/>
                                <w:b/>
                                <w:color w:val="000000"/>
                                <w:sz w:val="18"/>
                                <w:szCs w:val="18"/>
                              </w:rPr>
                            </w:pPr>
                            <w:r>
                              <w:rPr>
                                <w:rFonts w:hint="eastAsia" w:ascii="楷体_GB2312" w:hAnsi="宋体"/>
                                <w:b/>
                                <w:color w:val="000000"/>
                                <w:sz w:val="18"/>
                                <w:szCs w:val="18"/>
                              </w:rPr>
                              <w:t>工程照管</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0.8pt;height:20.2pt;width:63pt;z-index:251706368;mso-width-relative:page;mso-height-relative:page;" filled="f" stroked="f" coordsize="21600,21600" o:gfxdata="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PHgoMTVAAAACQEAAA8AAAAAAAAAAQAgAAAAIgAAAGRycy9kb3du&#10;cmV2LnhtbFBLAQIUABQAAAAIAIdO4kBEadI3AgIAANgDAAAOAAAAAAAAAAEAIAAAACQBAABkcnMv&#10;ZTJvRG9jLnhtbFBLBQYAAAAABgAGAFkBAACYBQAAAAA=&#10;">
                <v:fill on="f" focussize="0,0"/>
                <v:stroke on="f"/>
                <v:imagedata o:title=""/>
                <o:lock v:ext="edit" aspectratio="f"/>
                <v:textbox>
                  <w:txbxContent>
                    <w:p>
                      <w:pPr>
                        <w:spacing w:line="240" w:lineRule="exact"/>
                        <w:jc w:val="left"/>
                        <w:rPr>
                          <w:rFonts w:ascii="楷体_GB2312" w:hAnsi="宋体"/>
                          <w:b/>
                          <w:color w:val="000000"/>
                          <w:sz w:val="18"/>
                          <w:szCs w:val="18"/>
                        </w:rPr>
                      </w:pPr>
                      <w:r>
                        <w:rPr>
                          <w:rFonts w:hint="eastAsia" w:ascii="楷体_GB2312" w:hAnsi="宋体"/>
                          <w:b/>
                          <w:color w:val="000000"/>
                          <w:sz w:val="18"/>
                          <w:szCs w:val="18"/>
                        </w:rPr>
                        <w:t>工程照管</w:t>
                      </w:r>
                    </w:p>
                  </w:txbxContent>
                </v:textbox>
              </v:shape>
            </w:pict>
          </mc:Fallback>
        </mc:AlternateContent>
      </w:r>
      <w:r>
        <w:rPr>
          <w:rFonts w:hint="eastAsia" w:ascii="宋体" w:hAnsi="宋体" w:cs="宋体"/>
          <w:b/>
          <w:color w:val="auto"/>
          <w:szCs w:val="21"/>
        </w:rPr>
        <w:t xml:space="preserve">44.1  </w:t>
      </w:r>
    </w:p>
    <w:p>
      <w:pPr>
        <w:adjustRightInd w:val="0"/>
        <w:snapToGrid w:val="0"/>
        <w:spacing w:line="360" w:lineRule="auto"/>
        <w:ind w:left="1619" w:leftChars="771"/>
        <w:rPr>
          <w:rFonts w:ascii="宋体" w:hAnsi="宋体" w:cs="宋体"/>
          <w:color w:val="auto"/>
          <w:szCs w:val="21"/>
        </w:rPr>
      </w:pPr>
      <w:r>
        <w:rPr>
          <w:rFonts w:hint="eastAsia" w:ascii="宋体" w:hAnsi="宋体" w:cs="宋体"/>
          <w:color w:val="auto"/>
          <w:szCs w:val="21"/>
        </w:rPr>
        <w:t>从开工之日起，承包人应全面负责照管合同工程及运至现场将用于和安装在合同工程中的材料和工程设备，直到合同双方当事人确认工程移交之日止。此后，工程的照管即转由发包人负责。</w:t>
      </w:r>
    </w:p>
    <w:p>
      <w:pPr>
        <w:adjustRightInd w:val="0"/>
        <w:snapToGrid w:val="0"/>
        <w:spacing w:line="360" w:lineRule="auto"/>
        <w:ind w:left="1619" w:leftChars="771"/>
        <w:rPr>
          <w:rFonts w:ascii="宋体" w:hAnsi="宋体" w:cs="宋体"/>
          <w:color w:val="auto"/>
          <w:szCs w:val="21"/>
        </w:rPr>
      </w:pPr>
      <w:r>
        <w:rPr>
          <w:rFonts w:hint="eastAsia" w:ascii="宋体" w:hAnsi="宋体" w:cs="宋体"/>
          <w:color w:val="auto"/>
          <w:szCs w:val="21"/>
        </w:rPr>
        <w:t>如果在整个工程移交前，合同双方当事人已经确认移交或发包人提前使用其中任一单位工程，则从确认移交或提前使用之日起承包人无须对该单位工程负责照管，而转由发包人负责。但是，承包人应继续负责照管尚未完成的工程和将用于或安装在合同工程中的材料和工程设备，直至完成上述工作并经合同双方当事人确认整个工程移交之日止。</w:t>
      </w:r>
    </w:p>
    <w:p>
      <w:pPr>
        <w:adjustRightInd w:val="0"/>
        <w:snapToGrid w:val="0"/>
        <w:rPr>
          <w:rFonts w:ascii="宋体" w:hAnsi="宋体" w:cs="宋体"/>
          <w:color w:val="auto"/>
          <w:szCs w:val="21"/>
        </w:rPr>
      </w:pPr>
      <w:r>
        <w:rPr>
          <w:rFonts w:ascii="宋体" w:hAnsi="宋体" w:cs="宋体"/>
          <w:color w:val="auto"/>
          <w:szCs w:val="21"/>
        </w:rPr>
        <mc:AlternateContent>
          <mc:Choice Requires="wps">
            <w:drawing>
              <wp:anchor distT="0" distB="0" distL="114300" distR="114300" simplePos="0" relativeHeight="251707392" behindDoc="0" locked="0" layoutInCell="1" allowOverlap="1">
                <wp:simplePos x="0" y="0"/>
                <wp:positionH relativeFrom="column">
                  <wp:posOffset>-114300</wp:posOffset>
                </wp:positionH>
                <wp:positionV relativeFrom="paragraph">
                  <wp:posOffset>276860</wp:posOffset>
                </wp:positionV>
                <wp:extent cx="914400" cy="718185"/>
                <wp:effectExtent l="0" t="0" r="0" b="0"/>
                <wp:wrapNone/>
                <wp:docPr id="235" name="文本框 235"/>
                <wp:cNvGraphicFramePr/>
                <a:graphic xmlns:a="http://schemas.openxmlformats.org/drawingml/2006/main">
                  <a:graphicData uri="http://schemas.microsoft.com/office/word/2010/wordprocessingShape">
                    <wps:wsp>
                      <wps:cNvSpPr txBox="1">
                        <a:spLocks noChangeArrowheads="1"/>
                      </wps:cNvSpPr>
                      <wps:spPr bwMode="auto">
                        <a:xfrm>
                          <a:off x="0" y="0"/>
                          <a:ext cx="914400" cy="718185"/>
                        </a:xfrm>
                        <a:prstGeom prst="rect">
                          <a:avLst/>
                        </a:prstGeom>
                        <a:noFill/>
                        <a:ln>
                          <a:noFill/>
                        </a:ln>
                        <a:effectLst/>
                      </wps:spPr>
                      <wps:txbx>
                        <w:txbxContent>
                          <w:p>
                            <w:pPr>
                              <w:spacing w:line="240" w:lineRule="exact"/>
                              <w:jc w:val="left"/>
                              <w:rPr>
                                <w:rFonts w:ascii="楷体_GB2312" w:hAnsi="宋体"/>
                                <w:b/>
                                <w:color w:val="000000"/>
                                <w:sz w:val="18"/>
                                <w:szCs w:val="18"/>
                              </w:rPr>
                            </w:pPr>
                            <w:r>
                              <w:rPr>
                                <w:rFonts w:hint="eastAsia" w:ascii="楷体_GB2312" w:hAnsi="宋体"/>
                                <w:b/>
                                <w:color w:val="000000"/>
                                <w:sz w:val="18"/>
                                <w:szCs w:val="18"/>
                              </w:rPr>
                              <w:t>照管期间承包人造成损失的责任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1.8pt;height:56.55pt;width:72pt;z-index:251707392;mso-width-relative:page;mso-height-relative:page;" filled="f" stroked="f" coordsize="21600,21600" o:gfxdata="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QGysXNgAAAAKAQAADwAAAAAAAAABACAAAAAiAAAAZHJzL2Rv&#10;d25yZXYueG1sUEsBAhQAFAAAAAgAh07iQPqNev8BAgAA2AMAAA4AAAAAAAAAAQAgAAAAJwEAAGRy&#10;cy9lMm9Eb2MueG1sUEsFBgAAAAAGAAYAWQEAAJoFAAAAAA==&#10;">
                <v:fill on="f" focussize="0,0"/>
                <v:stroke on="f"/>
                <v:imagedata o:title=""/>
                <o:lock v:ext="edit" aspectratio="f"/>
                <v:textbox>
                  <w:txbxContent>
                    <w:p>
                      <w:pPr>
                        <w:spacing w:line="240" w:lineRule="exact"/>
                        <w:jc w:val="left"/>
                        <w:rPr>
                          <w:rFonts w:ascii="楷体_GB2312" w:hAnsi="宋体"/>
                          <w:b/>
                          <w:color w:val="000000"/>
                          <w:sz w:val="18"/>
                          <w:szCs w:val="18"/>
                        </w:rPr>
                      </w:pPr>
                      <w:r>
                        <w:rPr>
                          <w:rFonts w:hint="eastAsia" w:ascii="楷体_GB2312" w:hAnsi="宋体"/>
                          <w:b/>
                          <w:color w:val="000000"/>
                          <w:sz w:val="18"/>
                          <w:szCs w:val="18"/>
                        </w:rPr>
                        <w:t>照管期间承包人造成损失的责任</w:t>
                      </w:r>
                    </w:p>
                  </w:txbxContent>
                </v:textbox>
              </v:shape>
            </w:pict>
          </mc:Fallback>
        </mc:AlternateContent>
      </w:r>
      <w:r>
        <w:rPr>
          <w:rFonts w:hint="eastAsia" w:ascii="宋体" w:hAnsi="宋体" w:cs="宋体"/>
          <w:b/>
          <w:color w:val="auto"/>
          <w:szCs w:val="21"/>
        </w:rPr>
        <w:t>44.2</w:t>
      </w:r>
      <w:r>
        <w:rPr>
          <w:rFonts w:hint="eastAsia" w:ascii="宋体" w:hAnsi="宋体" w:cs="宋体"/>
          <w:color w:val="auto"/>
          <w:szCs w:val="21"/>
        </w:rPr>
        <w:t xml:space="preserve">  </w:t>
      </w:r>
      <w:r>
        <w:rPr>
          <w:rFonts w:hint="eastAsia" w:ascii="宋体" w:hAnsi="宋体" w:cs="宋体"/>
          <w:color w:val="auto"/>
          <w:szCs w:val="21"/>
          <w:u w:val="dotted"/>
        </w:rPr>
        <w:t xml:space="preserve">                                                                                                        </w:t>
      </w:r>
    </w:p>
    <w:p>
      <w:pPr>
        <w:adjustRightInd w:val="0"/>
        <w:snapToGrid w:val="0"/>
        <w:spacing w:line="360" w:lineRule="auto"/>
        <w:ind w:left="1619" w:leftChars="771"/>
        <w:rPr>
          <w:rFonts w:ascii="宋体" w:hAnsi="宋体" w:cs="宋体"/>
          <w:color w:val="auto"/>
          <w:szCs w:val="21"/>
        </w:rPr>
      </w:pPr>
      <w:r>
        <w:rPr>
          <w:rFonts w:hint="eastAsia" w:ascii="宋体" w:hAnsi="宋体" w:cs="宋体"/>
          <w:color w:val="auto"/>
          <w:szCs w:val="21"/>
        </w:rPr>
        <w:t>承包人在负责工程照管期间，如因自身原因造成合同工程或其任何部分，以及材料和工程设备或临时工程的损坏，承包人应自费修复上述损坏，保证合同工程质量达到合同约定的标准。</w:t>
      </w:r>
    </w:p>
    <w:p>
      <w:pPr>
        <w:adjustRightInd w:val="0"/>
        <w:snapToGrid w:val="0"/>
        <w:spacing w:line="240" w:lineRule="exact"/>
        <w:rPr>
          <w:rFonts w:ascii="宋体" w:hAnsi="宋体" w:cs="宋体"/>
          <w:b/>
          <w:color w:val="auto"/>
          <w:szCs w:val="21"/>
          <w:u w:val="single"/>
        </w:rPr>
      </w:pPr>
      <w:r>
        <w:rPr>
          <w:rFonts w:hint="eastAsia" w:ascii="宋体" w:hAnsi="宋体" w:cs="宋体"/>
          <w:b/>
          <w:color w:val="auto"/>
          <w:szCs w:val="21"/>
          <w:u w:val="single"/>
        </w:rPr>
        <w:t xml:space="preserve">                                                                                                              </w:t>
      </w:r>
    </w:p>
    <w:p>
      <w:pPr>
        <w:tabs>
          <w:tab w:val="left" w:pos="1620"/>
        </w:tabs>
        <w:spacing w:line="240" w:lineRule="exact"/>
        <w:rPr>
          <w:rFonts w:ascii="宋体" w:hAnsi="宋体" w:cs="宋体"/>
          <w:b/>
          <w:color w:val="auto"/>
          <w:szCs w:val="21"/>
        </w:rPr>
      </w:pPr>
    </w:p>
    <w:p>
      <w:pPr>
        <w:tabs>
          <w:tab w:val="left" w:pos="540"/>
        </w:tabs>
        <w:adjustRightInd w:val="0"/>
        <w:snapToGrid w:val="0"/>
        <w:spacing w:beforeLines="100" w:line="360" w:lineRule="auto"/>
        <w:ind w:right="-238"/>
        <w:rPr>
          <w:rFonts w:ascii="宋体" w:hAnsi="宋体" w:cs="宋体"/>
          <w:b/>
          <w:color w:val="auto"/>
          <w:kern w:val="0"/>
          <w:szCs w:val="21"/>
        </w:rPr>
      </w:pPr>
      <w:r>
        <w:rPr>
          <w:rFonts w:hint="eastAsia" w:ascii="宋体" w:hAnsi="宋体" w:cs="宋体"/>
          <w:b/>
          <w:color w:val="auto"/>
          <w:kern w:val="0"/>
          <w:szCs w:val="21"/>
        </w:rPr>
        <w:t>45  安全文明施工</w:t>
      </w:r>
    </w:p>
    <w:p>
      <w:pPr>
        <w:adjustRightInd w:val="0"/>
        <w:snapToGrid w:val="0"/>
        <w:spacing w:line="360" w:lineRule="auto"/>
        <w:rPr>
          <w:rFonts w:ascii="宋体" w:hAnsi="宋体" w:cs="宋体"/>
          <w:b/>
          <w:color w:val="auto"/>
          <w:szCs w:val="21"/>
        </w:rPr>
      </w:pPr>
      <w:r>
        <w:rPr>
          <w:rFonts w:ascii="宋体" w:hAnsi="宋体" w:cs="宋体"/>
          <w:color w:val="auto"/>
          <w:szCs w:val="21"/>
        </w:rPr>
        <mc:AlternateContent>
          <mc:Choice Requires="wps">
            <w:drawing>
              <wp:anchor distT="0" distB="0" distL="114300" distR="114300" simplePos="0" relativeHeight="252046336" behindDoc="0" locked="0" layoutInCell="1" allowOverlap="1">
                <wp:simplePos x="0" y="0"/>
                <wp:positionH relativeFrom="column">
                  <wp:posOffset>-114300</wp:posOffset>
                </wp:positionH>
                <wp:positionV relativeFrom="paragraph">
                  <wp:posOffset>223520</wp:posOffset>
                </wp:positionV>
                <wp:extent cx="977900" cy="688975"/>
                <wp:effectExtent l="0" t="0" r="0" b="0"/>
                <wp:wrapNone/>
                <wp:docPr id="234" name="文本框 234"/>
                <wp:cNvGraphicFramePr/>
                <a:graphic xmlns:a="http://schemas.openxmlformats.org/drawingml/2006/main">
                  <a:graphicData uri="http://schemas.microsoft.com/office/word/2010/wordprocessingShape">
                    <wps:wsp>
                      <wps:cNvSpPr txBox="1">
                        <a:spLocks noChangeArrowheads="1"/>
                      </wps:cNvSpPr>
                      <wps:spPr bwMode="auto">
                        <a:xfrm>
                          <a:off x="0" y="0"/>
                          <a:ext cx="977900" cy="688975"/>
                        </a:xfrm>
                        <a:prstGeom prst="rect">
                          <a:avLst/>
                        </a:prstGeom>
                        <a:noFill/>
                        <a:ln>
                          <a:noFill/>
                        </a:ln>
                        <a:effectLst/>
                      </wps:spPr>
                      <wps:txbx>
                        <w:txbxContent>
                          <w:p>
                            <w:pPr>
                              <w:rPr>
                                <w:rFonts w:ascii="楷体_GB2312" w:hAnsi="宋体"/>
                                <w:sz w:val="18"/>
                                <w:szCs w:val="18"/>
                              </w:rPr>
                            </w:pPr>
                            <w:r>
                              <w:rPr>
                                <w:rFonts w:hint="eastAsia" w:ascii="楷体_GB2312" w:hAnsi="宋体"/>
                                <w:b/>
                                <w:color w:val="000000"/>
                                <w:sz w:val="18"/>
                                <w:szCs w:val="18"/>
                              </w:rPr>
                              <w:t>安全文明施工的要求</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7.6pt;height:54.25pt;width:77pt;z-index:252046336;mso-width-relative:page;mso-height-relative:page;" filled="f" stroked="f" coordsize="21600,21600" o:gfxdata="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mvtET2AAAAAoBAAAPAAAAAAAAAAEAIAAAACIAAABkcnMv&#10;ZG93bnJldi54bWxQSwECFAAUAAAACACHTuJAMYlfGAMCAADYAwAADgAAAAAAAAABACAAAAAnAQAA&#10;ZHJzL2Uyb0RvYy54bWxQSwUGAAAAAAYABgBZAQAAnAUAAAAA&#10;">
                <v:fill on="f" focussize="0,0"/>
                <v:stroke on="f"/>
                <v:imagedata o:title=""/>
                <o:lock v:ext="edit" aspectratio="f"/>
                <v:textbox>
                  <w:txbxContent>
                    <w:p>
                      <w:pPr>
                        <w:rPr>
                          <w:rFonts w:ascii="楷体_GB2312" w:hAnsi="宋体"/>
                          <w:sz w:val="18"/>
                          <w:szCs w:val="18"/>
                        </w:rPr>
                      </w:pPr>
                      <w:r>
                        <w:rPr>
                          <w:rFonts w:hint="eastAsia" w:ascii="楷体_GB2312" w:hAnsi="宋体"/>
                          <w:b/>
                          <w:color w:val="000000"/>
                          <w:sz w:val="18"/>
                          <w:szCs w:val="18"/>
                        </w:rPr>
                        <w:t>安全文明施工的要求</w:t>
                      </w:r>
                    </w:p>
                  </w:txbxContent>
                </v:textbox>
              </v:shape>
            </w:pict>
          </mc:Fallback>
        </mc:AlternateContent>
      </w:r>
      <w:r>
        <w:rPr>
          <w:rFonts w:hint="eastAsia" w:ascii="宋体" w:hAnsi="宋体" w:cs="宋体"/>
          <w:b/>
          <w:color w:val="auto"/>
          <w:szCs w:val="21"/>
        </w:rPr>
        <w:t xml:space="preserve">45.1 </w:t>
      </w:r>
      <w:r>
        <w:rPr>
          <w:rFonts w:hint="eastAsia" w:ascii="宋体" w:hAnsi="宋体" w:cs="宋体"/>
          <w:b/>
          <w:color w:val="auto"/>
          <w:szCs w:val="21"/>
        </w:rPr>
        <w:tab/>
      </w:r>
    </w:p>
    <w:p>
      <w:pPr>
        <w:adjustRightInd w:val="0"/>
        <w:snapToGrid w:val="0"/>
        <w:spacing w:line="360" w:lineRule="auto"/>
        <w:ind w:left="1619" w:leftChars="771"/>
        <w:rPr>
          <w:rFonts w:ascii="宋体" w:hAnsi="宋体" w:cs="宋体"/>
          <w:color w:val="auto"/>
          <w:szCs w:val="21"/>
        </w:rPr>
      </w:pPr>
      <w:r>
        <w:rPr>
          <w:rFonts w:hint="eastAsia" w:ascii="宋体" w:hAnsi="宋体" w:cs="宋体"/>
          <w:color w:val="auto"/>
          <w:szCs w:val="21"/>
        </w:rPr>
        <w:t>发包人应组织承包人和有关单位进行安全检查，授权监理工程师按合同约定的安全文明施工内容监督、检查承包人实施安全文明施工，并按照第 80 条规定及时向承包人支付安全文明施工费。</w:t>
      </w:r>
    </w:p>
    <w:p>
      <w:pPr>
        <w:adjustRightInd w:val="0"/>
        <w:snapToGrid w:val="0"/>
        <w:spacing w:line="360" w:lineRule="auto"/>
        <w:ind w:left="1619" w:leftChars="771"/>
        <w:rPr>
          <w:rFonts w:ascii="宋体" w:hAnsi="宋体" w:cs="宋体"/>
          <w:color w:val="auto"/>
          <w:szCs w:val="21"/>
        </w:rPr>
      </w:pPr>
      <w:r>
        <w:rPr>
          <w:rFonts w:hint="eastAsia" w:ascii="宋体" w:hAnsi="宋体" w:cs="宋体"/>
          <w:color w:val="auto"/>
          <w:szCs w:val="21"/>
        </w:rPr>
        <w:t>承包人应及时执行监理工程师发出的安全文明施工的工作指令，并按合同约定的期限和安全文明施工内容编制安全文明施工措施计划，提交给监理工程师并由其报发包人批准后实施。</w:t>
      </w:r>
    </w:p>
    <w:p>
      <w:pPr>
        <w:adjustRightInd w:val="0"/>
        <w:snapToGrid w:val="0"/>
        <w:ind w:left="1469" w:hanging="1469" w:hangingChars="697"/>
        <w:rPr>
          <w:rFonts w:ascii="宋体" w:hAnsi="宋体" w:cs="宋体"/>
          <w:b/>
          <w:color w:val="auto"/>
          <w:szCs w:val="21"/>
        </w:rPr>
      </w:pPr>
      <w:r>
        <w:rPr>
          <w:rFonts w:hint="eastAsia" w:ascii="宋体" w:hAnsi="宋体" w:cs="宋体"/>
          <w:b/>
          <w:color w:val="auto"/>
          <w:szCs w:val="21"/>
        </w:rPr>
        <w:t xml:space="preserve">45.2  </w:t>
      </w:r>
      <w:r>
        <w:rPr>
          <w:rFonts w:hint="eastAsia" w:ascii="宋体" w:hAnsi="宋体" w:cs="宋体"/>
          <w:b/>
          <w:color w:val="auto"/>
          <w:szCs w:val="21"/>
          <w:u w:val="dotted"/>
        </w:rPr>
        <w:t xml:space="preserve">                                                                                                        </w:t>
      </w:r>
    </w:p>
    <w:p>
      <w:pPr>
        <w:adjustRightInd w:val="0"/>
        <w:snapToGrid w:val="0"/>
        <w:spacing w:line="360" w:lineRule="auto"/>
        <w:ind w:left="1619" w:leftChars="771"/>
        <w:rPr>
          <w:rFonts w:ascii="宋体" w:hAnsi="宋体" w:cs="宋体"/>
          <w:color w:val="auto"/>
          <w:szCs w:val="21"/>
        </w:rPr>
      </w:pPr>
      <w:r>
        <w:rPr>
          <w:rFonts w:ascii="宋体" w:hAnsi="宋体" w:cs="宋体"/>
          <w:color w:val="auto"/>
          <w:szCs w:val="21"/>
        </w:rPr>
        <mc:AlternateContent>
          <mc:Choice Requires="wps">
            <w:drawing>
              <wp:anchor distT="0" distB="0" distL="114300" distR="114300" simplePos="0" relativeHeight="251708416" behindDoc="0" locked="0" layoutInCell="1" allowOverlap="1">
                <wp:simplePos x="0" y="0"/>
                <wp:positionH relativeFrom="column">
                  <wp:posOffset>-114300</wp:posOffset>
                </wp:positionH>
                <wp:positionV relativeFrom="paragraph">
                  <wp:posOffset>1270</wp:posOffset>
                </wp:positionV>
                <wp:extent cx="977900" cy="396240"/>
                <wp:effectExtent l="0" t="0" r="0" b="0"/>
                <wp:wrapNone/>
                <wp:docPr id="233" name="文本框 233"/>
                <wp:cNvGraphicFramePr/>
                <a:graphic xmlns:a="http://schemas.openxmlformats.org/drawingml/2006/main">
                  <a:graphicData uri="http://schemas.microsoft.com/office/word/2010/wordprocessingShape">
                    <wps:wsp>
                      <wps:cNvSpPr txBox="1">
                        <a:spLocks noChangeArrowheads="1"/>
                      </wps:cNvSpPr>
                      <wps:spPr bwMode="auto">
                        <a:xfrm>
                          <a:off x="0" y="0"/>
                          <a:ext cx="977900" cy="396240"/>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发包人责任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1pt;height:31.2pt;width:77pt;z-index:251708416;mso-width-relative:page;mso-height-relative:page;" filled="f" stroked="f" coordsize="21600,21600" o:gfxdata="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bOUMidQAAAAHAQAADwAAAAAAAAABACAAAAAiAAAAZHJzL2Rvd25y&#10;ZXYueG1sUEsBAhQAFAAAAAgAh07iQPvK7TgCAgAA2AMAAA4AAAAAAAAAAQAgAAAAIwEAAGRycy9l&#10;Mm9Eb2MueG1sUEsFBgAAAAAGAAYAWQEAAJcFA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发包人责任</w:t>
                      </w:r>
                    </w:p>
                  </w:txbxContent>
                </v:textbox>
              </v:shape>
            </w:pict>
          </mc:Fallback>
        </mc:AlternateContent>
      </w:r>
      <w:r>
        <w:rPr>
          <w:rFonts w:hint="eastAsia" w:ascii="宋体" w:hAnsi="宋体" w:cs="宋体"/>
          <w:color w:val="auto"/>
          <w:szCs w:val="21"/>
        </w:rPr>
        <w:t>在合同工程实施、完成及保修期间，发包人承担下列责任：</w:t>
      </w:r>
    </w:p>
    <w:p>
      <w:pPr>
        <w:adjustRightInd w:val="0"/>
        <w:snapToGrid w:val="0"/>
        <w:spacing w:line="360" w:lineRule="auto"/>
        <w:ind w:left="1619" w:leftChars="771" w:firstLine="52" w:firstLineChars="25"/>
        <w:rPr>
          <w:rFonts w:ascii="宋体" w:hAnsi="宋体" w:cs="宋体"/>
          <w:color w:val="auto"/>
          <w:szCs w:val="21"/>
        </w:rPr>
      </w:pPr>
      <w:r>
        <w:rPr>
          <w:rFonts w:hint="eastAsia" w:ascii="宋体" w:hAnsi="宋体" w:cs="宋体"/>
          <w:color w:val="auto"/>
          <w:szCs w:val="21"/>
        </w:rPr>
        <w:t>（1）发包人应配合承包人做好安全文明施工工作，定期对其现场机构雇佣的全部人员进行安全文明施工教育和培训。</w:t>
      </w:r>
    </w:p>
    <w:p>
      <w:pPr>
        <w:adjustRightInd w:val="0"/>
        <w:snapToGrid w:val="0"/>
        <w:spacing w:line="360" w:lineRule="auto"/>
        <w:ind w:left="1575" w:leftChars="750"/>
        <w:rPr>
          <w:rFonts w:ascii="宋体" w:hAnsi="宋体" w:cs="宋体"/>
          <w:color w:val="auto"/>
          <w:szCs w:val="21"/>
        </w:rPr>
      </w:pPr>
      <w:r>
        <w:rPr>
          <w:rFonts w:hint="eastAsia" w:ascii="宋体" w:hAnsi="宋体" w:cs="宋体"/>
          <w:color w:val="auto"/>
          <w:szCs w:val="21"/>
        </w:rPr>
        <w:t>（2）发包人应对其现场机构雇佣的全部人员的安全事故承担责任，但由于承包人原因造成发包人人员安全事故的，应由承包人承担责任。</w:t>
      </w:r>
    </w:p>
    <w:p>
      <w:pPr>
        <w:adjustRightInd w:val="0"/>
        <w:snapToGrid w:val="0"/>
        <w:spacing w:line="360" w:lineRule="auto"/>
        <w:ind w:left="1572" w:leftChars="743" w:hanging="12" w:hangingChars="6"/>
        <w:rPr>
          <w:rFonts w:ascii="宋体" w:hAnsi="宋体" w:cs="宋体"/>
          <w:color w:val="auto"/>
          <w:szCs w:val="21"/>
        </w:rPr>
      </w:pPr>
      <w:r>
        <w:rPr>
          <w:rFonts w:hint="eastAsia" w:ascii="宋体" w:hAnsi="宋体" w:cs="宋体"/>
          <w:color w:val="auto"/>
          <w:szCs w:val="21"/>
        </w:rPr>
        <w:t>（3）发包人有下列行为之一或由于发包人原因造成安全事故的，由发包人  承担责任，由此增加的费用和延误的工期由发包人承担。</w:t>
      </w:r>
    </w:p>
    <w:p>
      <w:pPr>
        <w:tabs>
          <w:tab w:val="left" w:pos="1980"/>
        </w:tabs>
        <w:adjustRightInd w:val="0"/>
        <w:snapToGrid w:val="0"/>
        <w:spacing w:line="360" w:lineRule="auto"/>
        <w:ind w:firstLine="1470" w:firstLineChars="700"/>
        <w:rPr>
          <w:rFonts w:ascii="宋体" w:hAnsi="宋体" w:cs="宋体"/>
          <w:color w:val="auto"/>
          <w:szCs w:val="21"/>
        </w:rPr>
      </w:pPr>
      <w:r>
        <w:rPr>
          <w:rFonts w:hint="eastAsia" w:ascii="宋体" w:hAnsi="宋体" w:cs="宋体"/>
          <w:color w:val="auto"/>
          <w:szCs w:val="21"/>
        </w:rPr>
        <w:t>1）要求承包人违反安全文明施工操作规程施工的；</w:t>
      </w:r>
    </w:p>
    <w:p>
      <w:pPr>
        <w:tabs>
          <w:tab w:val="left" w:pos="1980"/>
        </w:tabs>
        <w:adjustRightInd w:val="0"/>
        <w:snapToGrid w:val="0"/>
        <w:spacing w:line="360" w:lineRule="auto"/>
        <w:ind w:left="1619" w:leftChars="771" w:firstLine="52" w:firstLineChars="25"/>
        <w:rPr>
          <w:rFonts w:ascii="宋体" w:hAnsi="宋体" w:cs="宋体"/>
          <w:color w:val="auto"/>
          <w:szCs w:val="21"/>
        </w:rPr>
      </w:pPr>
      <w:r>
        <w:rPr>
          <w:rFonts w:hint="eastAsia" w:ascii="宋体" w:hAnsi="宋体" w:cs="宋体"/>
          <w:color w:val="auto"/>
          <w:szCs w:val="21"/>
        </w:rPr>
        <w:t>2）对承包人提出不符合国家、省有关安全文明施工法律和强制性标准规定要求的；</w:t>
      </w:r>
    </w:p>
    <w:p>
      <w:pPr>
        <w:tabs>
          <w:tab w:val="left" w:pos="1980"/>
        </w:tabs>
        <w:adjustRightInd w:val="0"/>
        <w:snapToGrid w:val="0"/>
        <w:spacing w:line="360" w:lineRule="auto"/>
        <w:ind w:left="1676" w:leftChars="798"/>
        <w:rPr>
          <w:rFonts w:ascii="宋体" w:hAnsi="宋体" w:cs="宋体"/>
          <w:color w:val="auto"/>
          <w:szCs w:val="21"/>
        </w:rPr>
      </w:pPr>
      <w:r>
        <w:rPr>
          <w:rFonts w:hint="eastAsia" w:ascii="宋体" w:hAnsi="宋体" w:cs="宋体"/>
          <w:color w:val="auto"/>
          <w:szCs w:val="21"/>
        </w:rPr>
        <w:t>3）明示或暗示承包人购买、租赁、使用不符合安全施工要求的安全防护用具、机械设备、施工机具及配件、消防设施和器材的。</w:t>
      </w:r>
    </w:p>
    <w:p>
      <w:pPr>
        <w:adjustRightInd w:val="0"/>
        <w:snapToGrid w:val="0"/>
        <w:spacing w:line="360" w:lineRule="auto"/>
        <w:ind w:firstLine="1365" w:firstLineChars="650"/>
        <w:rPr>
          <w:rFonts w:ascii="宋体" w:hAnsi="宋体" w:cs="宋体"/>
          <w:color w:val="auto"/>
          <w:szCs w:val="21"/>
        </w:rPr>
      </w:pPr>
      <w:r>
        <w:rPr>
          <w:rFonts w:hint="eastAsia" w:ascii="宋体" w:hAnsi="宋体" w:cs="宋体"/>
          <w:color w:val="auto"/>
          <w:szCs w:val="21"/>
        </w:rPr>
        <w:t>（4）发包人应负责赔偿下列情形造成的第三者人身伤亡和财产损失。</w:t>
      </w:r>
    </w:p>
    <w:p>
      <w:pPr>
        <w:adjustRightInd w:val="0"/>
        <w:snapToGrid w:val="0"/>
        <w:spacing w:line="360" w:lineRule="auto"/>
        <w:ind w:firstLine="1470" w:firstLineChars="700"/>
        <w:rPr>
          <w:rFonts w:ascii="宋体" w:hAnsi="宋体" w:cs="宋体"/>
          <w:color w:val="auto"/>
          <w:szCs w:val="21"/>
        </w:rPr>
      </w:pPr>
      <w:r>
        <w:rPr>
          <w:rFonts w:hint="eastAsia" w:ascii="宋体" w:hAnsi="宋体" w:cs="宋体"/>
          <w:color w:val="auto"/>
          <w:szCs w:val="21"/>
        </w:rPr>
        <w:t>1）工程或工程的任何部分对土地的占用所造成的第三者财产损失；</w:t>
      </w:r>
    </w:p>
    <w:p>
      <w:pPr>
        <w:adjustRightInd w:val="0"/>
        <w:snapToGrid w:val="0"/>
        <w:spacing w:line="360" w:lineRule="auto"/>
        <w:ind w:left="1781" w:leftChars="798" w:hanging="105" w:hangingChars="50"/>
        <w:rPr>
          <w:rFonts w:ascii="宋体" w:hAnsi="宋体" w:cs="宋体"/>
          <w:color w:val="auto"/>
          <w:szCs w:val="21"/>
        </w:rPr>
      </w:pPr>
      <w:r>
        <w:rPr>
          <w:rFonts w:hint="eastAsia" w:ascii="宋体" w:hAnsi="宋体" w:cs="宋体"/>
          <w:color w:val="auto"/>
          <w:szCs w:val="21"/>
        </w:rPr>
        <w:t>2）由于发包人原因在施工场地及其毗邻造成的第三者人身伤亡和财产损失。</w:t>
      </w:r>
    </w:p>
    <w:p>
      <w:pPr>
        <w:adjustRightInd w:val="0"/>
        <w:snapToGrid w:val="0"/>
        <w:rPr>
          <w:rFonts w:ascii="宋体" w:hAnsi="宋体" w:cs="宋体"/>
          <w:color w:val="auto"/>
          <w:szCs w:val="21"/>
        </w:rPr>
      </w:pPr>
      <w:r>
        <w:rPr>
          <w:rFonts w:ascii="宋体" w:hAnsi="宋体" w:cs="宋体"/>
          <w:color w:val="auto"/>
          <w:szCs w:val="21"/>
        </w:rPr>
        <mc:AlternateContent>
          <mc:Choice Requires="wps">
            <w:drawing>
              <wp:anchor distT="0" distB="0" distL="114300" distR="114300" simplePos="0" relativeHeight="251709440" behindDoc="0" locked="0" layoutInCell="1" allowOverlap="1">
                <wp:simplePos x="0" y="0"/>
                <wp:positionH relativeFrom="column">
                  <wp:posOffset>-114300</wp:posOffset>
                </wp:positionH>
                <wp:positionV relativeFrom="paragraph">
                  <wp:posOffset>208280</wp:posOffset>
                </wp:positionV>
                <wp:extent cx="1028700" cy="302260"/>
                <wp:effectExtent l="0" t="0" r="0" b="0"/>
                <wp:wrapNone/>
                <wp:docPr id="232" name="文本框 232"/>
                <wp:cNvGraphicFramePr/>
                <a:graphic xmlns:a="http://schemas.openxmlformats.org/drawingml/2006/main">
                  <a:graphicData uri="http://schemas.microsoft.com/office/word/2010/wordprocessingShape">
                    <wps:wsp>
                      <wps:cNvSpPr txBox="1">
                        <a:spLocks noChangeArrowheads="1"/>
                      </wps:cNvSpPr>
                      <wps:spPr bwMode="auto">
                        <a:xfrm>
                          <a:off x="0" y="0"/>
                          <a:ext cx="1028700" cy="302260"/>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承包人责任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6.4pt;height:23.8pt;width:81pt;z-index:251709440;mso-width-relative:page;mso-height-relative:page;" filled="f" stroked="f" coordsize="21600,21600" o:gfxdata="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ExhSU7VAAAACQEAAA8AAAAAAAAAAQAgAAAAIgAAAGRycy9kb3du&#10;cmV2LnhtbFBLAQIUABQAAAAIAIdO4kC03hEnAgIAANkDAAAOAAAAAAAAAAEAIAAAACQBAABkcnMv&#10;ZTJvRG9jLnhtbFBLBQYAAAAABgAGAFkBAACYBQ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承包人责任</w:t>
                      </w:r>
                    </w:p>
                  </w:txbxContent>
                </v:textbox>
              </v:shape>
            </w:pict>
          </mc:Fallback>
        </mc:AlternateContent>
      </w:r>
      <w:r>
        <w:rPr>
          <w:rFonts w:hint="eastAsia" w:ascii="宋体" w:hAnsi="宋体" w:cs="宋体"/>
          <w:b/>
          <w:color w:val="auto"/>
          <w:szCs w:val="21"/>
        </w:rPr>
        <w:t xml:space="preserve">45.3 </w:t>
      </w:r>
      <w:r>
        <w:rPr>
          <w:rFonts w:hint="eastAsia" w:ascii="宋体" w:hAnsi="宋体" w:cs="宋体"/>
          <w:color w:val="auto"/>
          <w:szCs w:val="21"/>
        </w:rPr>
        <w:t xml:space="preserve"> </w:t>
      </w:r>
      <w:r>
        <w:rPr>
          <w:rFonts w:hint="eastAsia" w:ascii="宋体" w:hAnsi="宋体" w:cs="宋体"/>
          <w:color w:val="auto"/>
          <w:szCs w:val="21"/>
          <w:u w:val="dotted"/>
        </w:rPr>
        <w:t xml:space="preserve">                                                                                                        </w:t>
      </w:r>
    </w:p>
    <w:p>
      <w:pPr>
        <w:adjustRightInd w:val="0"/>
        <w:snapToGrid w:val="0"/>
        <w:spacing w:line="360" w:lineRule="auto"/>
        <w:ind w:left="1619" w:leftChars="771"/>
        <w:rPr>
          <w:rFonts w:ascii="宋体" w:hAnsi="宋体" w:cs="宋体"/>
          <w:color w:val="auto"/>
          <w:szCs w:val="21"/>
        </w:rPr>
      </w:pPr>
      <w:r>
        <w:rPr>
          <w:rFonts w:hint="eastAsia" w:ascii="宋体" w:hAnsi="宋体" w:cs="宋体"/>
          <w:color w:val="auto"/>
          <w:szCs w:val="21"/>
        </w:rPr>
        <w:t>在合同工程实施、完成及保修期间，承包人承担下列责任：</w:t>
      </w:r>
    </w:p>
    <w:p>
      <w:pPr>
        <w:adjustRightInd w:val="0"/>
        <w:snapToGrid w:val="0"/>
        <w:spacing w:line="360" w:lineRule="auto"/>
        <w:ind w:left="1619" w:leftChars="771"/>
        <w:rPr>
          <w:rFonts w:ascii="宋体" w:hAnsi="宋体" w:cs="宋体"/>
          <w:color w:val="auto"/>
          <w:szCs w:val="21"/>
        </w:rPr>
      </w:pPr>
      <w:r>
        <w:rPr>
          <w:rFonts w:hint="eastAsia" w:ascii="宋体" w:hAnsi="宋体" w:cs="宋体"/>
          <w:color w:val="auto"/>
          <w:szCs w:val="21"/>
        </w:rPr>
        <w:t>（1）承包人应严格按照国家有关安全文明施工的标准与规范制定安全文明施工操作规程，配备必要的安全生产和劳动保护设施，加强对承包人人员的施工安全教育和培训。</w:t>
      </w:r>
    </w:p>
    <w:p>
      <w:pPr>
        <w:adjustRightInd w:val="0"/>
        <w:snapToGrid w:val="0"/>
        <w:spacing w:line="360" w:lineRule="auto"/>
        <w:ind w:left="1619" w:leftChars="771"/>
        <w:rPr>
          <w:rFonts w:ascii="宋体" w:hAnsi="宋体" w:cs="宋体"/>
          <w:color w:val="auto"/>
          <w:szCs w:val="21"/>
        </w:rPr>
      </w:pPr>
      <w:r>
        <w:rPr>
          <w:rFonts w:hint="eastAsia" w:ascii="宋体" w:hAnsi="宋体" w:cs="宋体"/>
          <w:color w:val="auto"/>
          <w:szCs w:val="21"/>
        </w:rPr>
        <w:t>（2）承包人应对合同工程的安全文明施工负责，采取有效的安全措施消除安全事故隐患，并接受和配合依法实施的监督检查。</w:t>
      </w:r>
    </w:p>
    <w:p>
      <w:pPr>
        <w:adjustRightInd w:val="0"/>
        <w:snapToGrid w:val="0"/>
        <w:spacing w:line="360" w:lineRule="auto"/>
        <w:ind w:left="1619" w:leftChars="771"/>
        <w:rPr>
          <w:rFonts w:ascii="宋体" w:hAnsi="宋体" w:cs="宋体"/>
          <w:color w:val="auto"/>
          <w:szCs w:val="21"/>
        </w:rPr>
      </w:pPr>
      <w:r>
        <w:rPr>
          <w:rFonts w:hint="eastAsia" w:ascii="宋体" w:hAnsi="宋体" w:cs="宋体"/>
          <w:color w:val="auto"/>
          <w:szCs w:val="21"/>
        </w:rPr>
        <w:t>（3）承包人应加强施工作业安全管理，特别应加强经监理工程师同意并由其报发包人批准的输送电线路工程，使用易燃、易爆材料、火工器材、有毒与腐蚀性材料等危险品工程，以及爆破作业和地下工程施工等危险作业的安全管理，尽量避免人员伤亡和财产损失。</w:t>
      </w:r>
    </w:p>
    <w:p>
      <w:pPr>
        <w:adjustRightInd w:val="0"/>
        <w:snapToGrid w:val="0"/>
        <w:spacing w:line="360" w:lineRule="auto"/>
        <w:ind w:left="1619" w:leftChars="771"/>
        <w:rPr>
          <w:rFonts w:ascii="宋体" w:hAnsi="宋体" w:cs="宋体"/>
          <w:color w:val="auto"/>
          <w:szCs w:val="21"/>
        </w:rPr>
      </w:pPr>
      <w:r>
        <w:rPr>
          <w:rFonts w:hint="eastAsia" w:ascii="宋体" w:hAnsi="宋体" w:cs="宋体"/>
          <w:color w:val="auto"/>
          <w:szCs w:val="21"/>
        </w:rPr>
        <w:t>（4）承包人应按监理工程师的指令制定应对灾害的紧急预案，并按预案做好安全检查，配置必要的救助物资和器材，切实保护好有关人员的人身和财产安全。</w:t>
      </w:r>
    </w:p>
    <w:p>
      <w:pPr>
        <w:adjustRightInd w:val="0"/>
        <w:snapToGrid w:val="0"/>
        <w:spacing w:line="360" w:lineRule="auto"/>
        <w:ind w:left="1619" w:leftChars="771"/>
        <w:rPr>
          <w:rFonts w:ascii="宋体" w:hAnsi="宋体" w:cs="宋体"/>
          <w:color w:val="auto"/>
          <w:szCs w:val="21"/>
        </w:rPr>
      </w:pPr>
      <w:r>
        <w:rPr>
          <w:rFonts w:hint="eastAsia" w:ascii="宋体" w:hAnsi="宋体" w:cs="宋体"/>
          <w:color w:val="auto"/>
          <w:szCs w:val="21"/>
        </w:rPr>
        <w:t>（5）承包人违反本条规定或由于承包人原因造成安全事故的，由承包人承担责任，由此增加的费用和延误的工期由承包人承担。</w:t>
      </w:r>
    </w:p>
    <w:p>
      <w:pPr>
        <w:adjustRightInd w:val="0"/>
        <w:snapToGrid w:val="0"/>
        <w:spacing w:line="360" w:lineRule="auto"/>
        <w:ind w:left="1619" w:leftChars="771"/>
        <w:rPr>
          <w:rFonts w:ascii="宋体" w:hAnsi="宋体" w:cs="宋体"/>
          <w:color w:val="auto"/>
          <w:szCs w:val="21"/>
        </w:rPr>
      </w:pPr>
      <w:r>
        <w:rPr>
          <w:rFonts w:hint="eastAsia" w:ascii="宋体" w:hAnsi="宋体" w:cs="宋体"/>
          <w:color w:val="auto"/>
          <w:szCs w:val="21"/>
        </w:rPr>
        <w:t>（6）承包人应对其履行合同所雇佣的全部人员，包括分包人人员的安全事故承担责任，但由于发包人原因造成承包人人员安全事故的，应由发包人承担责任。</w:t>
      </w:r>
    </w:p>
    <w:p>
      <w:pPr>
        <w:adjustRightInd w:val="0"/>
        <w:snapToGrid w:val="0"/>
        <w:spacing w:line="360" w:lineRule="auto"/>
        <w:ind w:left="1619" w:leftChars="771" w:firstLine="52" w:firstLineChars="25"/>
        <w:rPr>
          <w:rFonts w:ascii="宋体" w:hAnsi="宋体" w:cs="宋体"/>
          <w:color w:val="auto"/>
          <w:szCs w:val="21"/>
        </w:rPr>
      </w:pPr>
      <w:r>
        <w:rPr>
          <w:rFonts w:hint="eastAsia" w:ascii="宋体" w:hAnsi="宋体" w:cs="宋体"/>
          <w:color w:val="auto"/>
          <w:szCs w:val="21"/>
        </w:rPr>
        <w:t>（7）由于承包人原因在施工场地内及其毗邻造成的第三者人身伤亡和财产损失，由承包人负责赔偿。</w:t>
      </w:r>
    </w:p>
    <w:p>
      <w:pPr>
        <w:adjustRightInd w:val="0"/>
        <w:snapToGrid w:val="0"/>
        <w:rPr>
          <w:rFonts w:ascii="宋体" w:hAnsi="宋体" w:cs="宋体"/>
          <w:color w:val="auto"/>
          <w:szCs w:val="21"/>
        </w:rPr>
      </w:pPr>
      <w:r>
        <w:rPr>
          <w:rFonts w:ascii="宋体" w:hAnsi="宋体" w:cs="宋体"/>
          <w:color w:val="auto"/>
          <w:szCs w:val="21"/>
        </w:rPr>
        <mc:AlternateContent>
          <mc:Choice Requires="wps">
            <w:drawing>
              <wp:anchor distT="0" distB="0" distL="114300" distR="114300" simplePos="0" relativeHeight="251710464" behindDoc="0" locked="0" layoutInCell="1" allowOverlap="1">
                <wp:simplePos x="0" y="0"/>
                <wp:positionH relativeFrom="column">
                  <wp:posOffset>-114300</wp:posOffset>
                </wp:positionH>
                <wp:positionV relativeFrom="paragraph">
                  <wp:posOffset>203200</wp:posOffset>
                </wp:positionV>
                <wp:extent cx="954405" cy="693420"/>
                <wp:effectExtent l="0" t="0" r="0" b="0"/>
                <wp:wrapNone/>
                <wp:docPr id="231" name="文本框 231"/>
                <wp:cNvGraphicFramePr/>
                <a:graphic xmlns:a="http://schemas.openxmlformats.org/drawingml/2006/main">
                  <a:graphicData uri="http://schemas.microsoft.com/office/word/2010/wordprocessingShape">
                    <wps:wsp>
                      <wps:cNvSpPr txBox="1">
                        <a:spLocks noChangeArrowheads="1"/>
                      </wps:cNvSpPr>
                      <wps:spPr bwMode="auto">
                        <a:xfrm>
                          <a:off x="0" y="0"/>
                          <a:ext cx="954405" cy="693420"/>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施工措施的审查与整改</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6pt;height:54.6pt;width:75.15pt;z-index:251710464;mso-width-relative:page;mso-height-relative:page;" filled="f" stroked="f" coordsize="21600,21600" o:gfxdata="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19ex+2AAAAAoBAAAPAAAAAAAAAAEAIAAAACIAAABkcnMv&#10;ZG93bnJldi54bWxQSwECFAAUAAAACACHTuJA8Cf2rgMCAADYAwAADgAAAAAAAAABACAAAAAnAQAA&#10;ZHJzL2Uyb0RvYy54bWxQSwUGAAAAAAYABgBZAQAAnAU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施工措施的审查与整改</w:t>
                      </w:r>
                    </w:p>
                  </w:txbxContent>
                </v:textbox>
              </v:shape>
            </w:pict>
          </mc:Fallback>
        </mc:AlternateContent>
      </w:r>
      <w:r>
        <w:rPr>
          <w:rFonts w:hint="eastAsia" w:ascii="宋体" w:hAnsi="宋体" w:cs="宋体"/>
          <w:b/>
          <w:color w:val="auto"/>
          <w:szCs w:val="21"/>
        </w:rPr>
        <w:t xml:space="preserve">45.4 </w:t>
      </w:r>
      <w:r>
        <w:rPr>
          <w:rFonts w:hint="eastAsia" w:ascii="宋体" w:hAnsi="宋体" w:cs="宋体"/>
          <w:color w:val="auto"/>
          <w:szCs w:val="21"/>
        </w:rPr>
        <w:t xml:space="preserve"> </w:t>
      </w:r>
      <w:r>
        <w:rPr>
          <w:rFonts w:hint="eastAsia" w:ascii="宋体" w:hAnsi="宋体" w:cs="宋体"/>
          <w:color w:val="auto"/>
          <w:szCs w:val="21"/>
          <w:u w:val="dotted"/>
        </w:rPr>
        <w:t xml:space="preserve">                                                                                                        </w:t>
      </w:r>
    </w:p>
    <w:p>
      <w:pPr>
        <w:adjustRightInd w:val="0"/>
        <w:snapToGrid w:val="0"/>
        <w:spacing w:line="360" w:lineRule="auto"/>
        <w:ind w:left="1619" w:leftChars="771"/>
        <w:rPr>
          <w:rFonts w:ascii="宋体" w:hAnsi="宋体" w:cs="宋体"/>
          <w:color w:val="auto"/>
          <w:szCs w:val="21"/>
        </w:rPr>
      </w:pPr>
      <w:r>
        <w:rPr>
          <w:rFonts w:hint="eastAsia" w:ascii="宋体" w:hAnsi="宋体" w:cs="宋体"/>
          <w:color w:val="auto"/>
          <w:szCs w:val="21"/>
        </w:rPr>
        <w:t>监理工程师应当审查施工组织设计中的安全技术措施或者专项施工方案是否符合建设行政主管部门的有关规定。监理工程师发现承包人未遵守安全生产和文明施工规定或施工现场存在安全事故隐患的，应以书面形式通知承包人整改；情况严重的，应要求承包人暂停施工，并及时报告发包人。承包人在收到监理工程师发出书面通知后的48小时内仍未整改的，监理工程师可在报经发包人批准后委托第三方采取措施。该款项经造价工程师核实后，由发包人从应付或将付给承包人的款项中扣除。</w:t>
      </w:r>
    </w:p>
    <w:p>
      <w:pPr>
        <w:adjustRightInd w:val="0"/>
        <w:snapToGrid w:val="0"/>
        <w:spacing w:line="360" w:lineRule="auto"/>
        <w:rPr>
          <w:rFonts w:ascii="宋体" w:hAnsi="宋体" w:cs="宋体"/>
          <w:color w:val="auto"/>
          <w:szCs w:val="21"/>
        </w:rPr>
      </w:pPr>
      <w:r>
        <w:rPr>
          <w:rFonts w:hint="eastAsia" w:ascii="宋体" w:hAnsi="宋体" w:cs="宋体"/>
          <w:b/>
          <w:color w:val="auto"/>
          <w:szCs w:val="21"/>
        </w:rPr>
        <w:t>45.5</w:t>
      </w:r>
      <w:r>
        <w:rPr>
          <w:rFonts w:hint="eastAsia" w:ascii="宋体" w:hAnsi="宋体" w:cs="宋体"/>
          <w:color w:val="auto"/>
          <w:szCs w:val="21"/>
        </w:rPr>
        <w:t xml:space="preserve">  </w:t>
      </w:r>
      <w:r>
        <w:rPr>
          <w:rFonts w:hint="eastAsia" w:ascii="宋体" w:hAnsi="宋体" w:cs="宋体"/>
          <w:color w:val="auto"/>
          <w:szCs w:val="21"/>
          <w:u w:val="dotted"/>
        </w:rPr>
        <w:t xml:space="preserve">                                                                                                       </w:t>
      </w:r>
      <w:r>
        <w:rPr>
          <w:rFonts w:hint="eastAsia" w:ascii="宋体" w:hAnsi="宋体" w:cs="宋体"/>
          <w:color w:val="auto"/>
          <w:szCs w:val="21"/>
        </w:rPr>
        <w:t xml:space="preserve"> </w:t>
      </w:r>
    </w:p>
    <w:p>
      <w:pPr>
        <w:adjustRightInd w:val="0"/>
        <w:snapToGrid w:val="0"/>
        <w:spacing w:line="360" w:lineRule="auto"/>
        <w:ind w:left="1619" w:leftChars="771"/>
        <w:rPr>
          <w:rFonts w:ascii="宋体" w:hAnsi="宋体" w:cs="宋体"/>
          <w:color w:val="auto"/>
          <w:szCs w:val="21"/>
        </w:rPr>
      </w:pPr>
      <w:r>
        <w:rPr>
          <w:rFonts w:ascii="宋体" w:hAnsi="宋体" w:cs="宋体"/>
          <w:color w:val="auto"/>
          <w:szCs w:val="21"/>
        </w:rPr>
        <mc:AlternateContent>
          <mc:Choice Requires="wps">
            <w:drawing>
              <wp:anchor distT="0" distB="0" distL="114300" distR="114300" simplePos="0" relativeHeight="252047360" behindDoc="0" locked="0" layoutInCell="1" allowOverlap="1">
                <wp:simplePos x="0" y="0"/>
                <wp:positionH relativeFrom="column">
                  <wp:posOffset>-83820</wp:posOffset>
                </wp:positionH>
                <wp:positionV relativeFrom="paragraph">
                  <wp:posOffset>11430</wp:posOffset>
                </wp:positionV>
                <wp:extent cx="800100" cy="720090"/>
                <wp:effectExtent l="0" t="0" r="0" b="0"/>
                <wp:wrapNone/>
                <wp:docPr id="230" name="文本框 230"/>
                <wp:cNvGraphicFramePr/>
                <a:graphic xmlns:a="http://schemas.openxmlformats.org/drawingml/2006/main">
                  <a:graphicData uri="http://schemas.microsoft.com/office/word/2010/wordprocessingShape">
                    <wps:wsp>
                      <wps:cNvSpPr txBox="1">
                        <a:spLocks noChangeArrowheads="1"/>
                      </wps:cNvSpPr>
                      <wps:spPr bwMode="auto">
                        <a:xfrm>
                          <a:off x="0" y="0"/>
                          <a:ext cx="800100" cy="720090"/>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治安管理</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6.6pt;margin-top:0.9pt;height:56.7pt;width:63pt;z-index:252047360;mso-width-relative:page;mso-height-relative:page;" filled="f" stroked="f" coordsize="21600,21600" o:gfxdata="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zYEY0dQAAAAJAQAADwAAAAAAAAABACAAAAAiAAAAZHJzL2Rvd25yZXYu&#10;eG1sUEsBAhQAFAAAAAgAh07iQMm8LFz/AQAA2AMAAA4AAAAAAAAAAQAgAAAAIwEAAGRycy9lMm9E&#10;b2MueG1sUEsFBgAAAAAGAAYAWQEAAJQFA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治安管理</w:t>
                      </w:r>
                    </w:p>
                  </w:txbxContent>
                </v:textbox>
              </v:shape>
            </w:pict>
          </mc:Fallback>
        </mc:AlternateContent>
      </w:r>
      <w:r>
        <w:rPr>
          <w:rFonts w:hint="eastAsia" w:ascii="宋体" w:hAnsi="宋体" w:cs="宋体"/>
          <w:color w:val="auto"/>
          <w:szCs w:val="21"/>
        </w:rPr>
        <w:t>合同双方当事人不仅应协助现场治安管理机构或联防组织维护施工场地的社会治安，而且应做好包括有关人员现场生活、居住场所在内的施工场地内的治安保卫工作。</w:t>
      </w:r>
    </w:p>
    <w:p>
      <w:pPr>
        <w:adjustRightInd w:val="0"/>
        <w:snapToGrid w:val="0"/>
        <w:spacing w:line="360" w:lineRule="auto"/>
        <w:ind w:left="1575" w:leftChars="750"/>
        <w:rPr>
          <w:rFonts w:ascii="宋体" w:hAnsi="宋体" w:cs="宋体"/>
          <w:color w:val="auto"/>
          <w:szCs w:val="21"/>
        </w:rPr>
      </w:pPr>
      <w:r>
        <w:rPr>
          <w:rFonts w:hint="eastAsia" w:ascii="宋体" w:hAnsi="宋体" w:cs="宋体"/>
          <w:color w:val="auto"/>
          <w:szCs w:val="21"/>
        </w:rPr>
        <w:t>除专用条款另有约定外，合同双方当事人应在工程开工后，共同编制施工场地治安管理计划，并制定应对突发治安事件的紧急预案。在施工过程中，发生暴乱、爆炸等恐怖事件，以及群殴、械斗等群体性突发治安事件的，应立即向当地政府有关部门报告，积极协助当地政府有关部门采取措施平息事件，防止事态扩大，尽量减少财产损失和避免人员伤亡。</w:t>
      </w:r>
    </w:p>
    <w:p>
      <w:pPr>
        <w:adjustRightInd w:val="0"/>
        <w:snapToGrid w:val="0"/>
        <w:spacing w:line="360" w:lineRule="auto"/>
        <w:rPr>
          <w:rFonts w:ascii="宋体" w:hAnsi="宋体" w:cs="宋体"/>
          <w:b/>
          <w:color w:val="auto"/>
          <w:szCs w:val="21"/>
        </w:rPr>
      </w:pPr>
      <w:r>
        <w:rPr>
          <w:rFonts w:hint="eastAsia" w:ascii="宋体" w:hAnsi="宋体" w:cs="宋体"/>
          <w:b/>
          <w:color w:val="auto"/>
          <w:szCs w:val="21"/>
        </w:rPr>
        <w:t xml:space="preserve">45.6  </w:t>
      </w:r>
      <w:r>
        <w:rPr>
          <w:rFonts w:hint="eastAsia" w:ascii="宋体" w:hAnsi="宋体" w:cs="宋体"/>
          <w:b/>
          <w:color w:val="auto"/>
          <w:szCs w:val="21"/>
          <w:u w:val="dotted"/>
        </w:rPr>
        <w:t xml:space="preserve">                                                                                                        </w:t>
      </w:r>
      <w:r>
        <w:rPr>
          <w:rFonts w:hint="eastAsia" w:ascii="宋体" w:hAnsi="宋体" w:cs="宋体"/>
          <w:b/>
          <w:color w:val="auto"/>
          <w:szCs w:val="21"/>
        </w:rPr>
        <w:t xml:space="preserve"> </w:t>
      </w:r>
    </w:p>
    <w:p>
      <w:pPr>
        <w:adjustRightInd w:val="0"/>
        <w:snapToGrid w:val="0"/>
        <w:spacing w:line="360" w:lineRule="auto"/>
        <w:ind w:left="1619" w:leftChars="771"/>
        <w:rPr>
          <w:rFonts w:ascii="宋体" w:hAnsi="宋体" w:cs="宋体"/>
          <w:color w:val="auto"/>
          <w:szCs w:val="21"/>
        </w:rPr>
      </w:pPr>
      <w:r>
        <w:rPr>
          <w:rFonts w:ascii="宋体" w:hAnsi="宋体" w:cs="宋体"/>
          <w:color w:val="auto"/>
          <w:szCs w:val="21"/>
        </w:rPr>
        <mc:AlternateContent>
          <mc:Choice Requires="wps">
            <w:drawing>
              <wp:anchor distT="0" distB="0" distL="114300" distR="114300" simplePos="0" relativeHeight="252048384" behindDoc="0" locked="0" layoutInCell="1" allowOverlap="1">
                <wp:simplePos x="0" y="0"/>
                <wp:positionH relativeFrom="column">
                  <wp:posOffset>-73660</wp:posOffset>
                </wp:positionH>
                <wp:positionV relativeFrom="paragraph">
                  <wp:posOffset>15875</wp:posOffset>
                </wp:positionV>
                <wp:extent cx="873760" cy="650875"/>
                <wp:effectExtent l="0" t="0" r="0" b="0"/>
                <wp:wrapNone/>
                <wp:docPr id="229" name="文本框 229"/>
                <wp:cNvGraphicFramePr/>
                <a:graphic xmlns:a="http://schemas.openxmlformats.org/drawingml/2006/main">
                  <a:graphicData uri="http://schemas.microsoft.com/office/word/2010/wordprocessingShape">
                    <wps:wsp>
                      <wps:cNvSpPr txBox="1">
                        <a:spLocks noChangeArrowheads="1"/>
                      </wps:cNvSpPr>
                      <wps:spPr bwMode="auto">
                        <a:xfrm>
                          <a:off x="0" y="0"/>
                          <a:ext cx="873760" cy="650875"/>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施工场地的环保、卫生要求</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8pt;margin-top:1.25pt;height:51.25pt;width:68.8pt;z-index:252048384;mso-width-relative:page;mso-height-relative:page;" filled="f" stroked="f" coordsize="21600,21600" o:gfxdata="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r8AZv1gAAAAkBAAAPAAAAAAAAAAEAIAAAACIAAABkcnMvZG93&#10;bnJldi54bWxQSwECFAAUAAAACACHTuJA96z43QICAADYAwAADgAAAAAAAAABACAAAAAlAQAAZHJz&#10;L2Uyb0RvYy54bWxQSwUGAAAAAAYABgBZAQAAmQU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施工场地的环保、卫生要求</w:t>
                      </w:r>
                    </w:p>
                  </w:txbxContent>
                </v:textbox>
              </v:shape>
            </w:pict>
          </mc:Fallback>
        </mc:AlternateContent>
      </w:r>
      <w:r>
        <w:rPr>
          <w:rFonts w:hint="eastAsia" w:ascii="宋体" w:hAnsi="宋体" w:cs="宋体"/>
          <w:color w:val="auto"/>
          <w:szCs w:val="21"/>
        </w:rPr>
        <w:t>承包人应遵守国家有关环境保护、卫生监督的法律，按照合同约定采取有效措施，保证施工场地达到环境保护、卫生部门的管理要求，为现场所有人员提供并维护干净卫生的生活设施，并在颁发合同工程接收证书后的28天内，清理现场，运走全部施工设备、剩余材料和垃圾，保持施工场地和合同工程的清洁整齐。否则，发包人可自行处理或委托第三方处理留下的物品，所得金额在扣除由此发生的费用之后，将余额退还给承包人。</w:t>
      </w:r>
    </w:p>
    <w:p>
      <w:pPr>
        <w:adjustRightInd w:val="0"/>
        <w:snapToGrid w:val="0"/>
        <w:spacing w:line="240" w:lineRule="exact"/>
        <w:rPr>
          <w:rFonts w:ascii="宋体" w:hAnsi="宋体" w:cs="宋体"/>
          <w:b/>
          <w:color w:val="auto"/>
          <w:szCs w:val="21"/>
          <w:u w:val="single"/>
        </w:rPr>
      </w:pPr>
      <w:r>
        <w:rPr>
          <w:rFonts w:hint="eastAsia" w:ascii="宋体" w:hAnsi="宋体" w:cs="宋体"/>
          <w:b/>
          <w:color w:val="auto"/>
          <w:szCs w:val="21"/>
          <w:u w:val="single"/>
        </w:rPr>
        <w:t xml:space="preserve">                                                                                                              </w:t>
      </w:r>
    </w:p>
    <w:p>
      <w:pPr>
        <w:tabs>
          <w:tab w:val="left" w:pos="1620"/>
        </w:tabs>
        <w:spacing w:line="240" w:lineRule="exact"/>
        <w:rPr>
          <w:rFonts w:ascii="宋体" w:hAnsi="宋体" w:cs="宋体"/>
          <w:b/>
          <w:color w:val="auto"/>
          <w:szCs w:val="21"/>
        </w:rPr>
      </w:pPr>
    </w:p>
    <w:p>
      <w:pPr>
        <w:tabs>
          <w:tab w:val="left" w:pos="540"/>
        </w:tabs>
        <w:adjustRightInd w:val="0"/>
        <w:snapToGrid w:val="0"/>
        <w:spacing w:beforeLines="100" w:line="360" w:lineRule="auto"/>
        <w:ind w:right="-238"/>
        <w:rPr>
          <w:rFonts w:ascii="宋体" w:hAnsi="宋体" w:cs="宋体"/>
          <w:b/>
          <w:color w:val="auto"/>
          <w:kern w:val="0"/>
          <w:szCs w:val="21"/>
        </w:rPr>
      </w:pPr>
      <w:r>
        <w:rPr>
          <w:rFonts w:hint="eastAsia" w:ascii="宋体" w:hAnsi="宋体" w:cs="宋体"/>
          <w:b/>
          <w:color w:val="auto"/>
          <w:kern w:val="0"/>
          <w:szCs w:val="21"/>
        </w:rPr>
        <w:t>46  测量放线</w:t>
      </w:r>
    </w:p>
    <w:p>
      <w:pPr>
        <w:tabs>
          <w:tab w:val="left" w:pos="1202"/>
        </w:tabs>
        <w:adjustRightInd w:val="0"/>
        <w:snapToGrid w:val="0"/>
        <w:spacing w:line="360" w:lineRule="auto"/>
        <w:rPr>
          <w:rFonts w:ascii="宋体" w:hAnsi="宋体" w:cs="宋体"/>
          <w:b/>
          <w:color w:val="auto"/>
          <w:szCs w:val="21"/>
        </w:rPr>
      </w:pPr>
      <w:r>
        <w:rPr>
          <w:rFonts w:ascii="宋体" w:hAnsi="宋体" w:cs="宋体"/>
          <w:color w:val="auto"/>
          <w:szCs w:val="21"/>
        </w:rPr>
        <mc:AlternateContent>
          <mc:Choice Requires="wps">
            <w:drawing>
              <wp:anchor distT="0" distB="0" distL="114300" distR="114300" simplePos="0" relativeHeight="251711488" behindDoc="0" locked="0" layoutInCell="1" allowOverlap="1">
                <wp:simplePos x="0" y="0"/>
                <wp:positionH relativeFrom="column">
                  <wp:posOffset>-114300</wp:posOffset>
                </wp:positionH>
                <wp:positionV relativeFrom="paragraph">
                  <wp:posOffset>286385</wp:posOffset>
                </wp:positionV>
                <wp:extent cx="914400" cy="546100"/>
                <wp:effectExtent l="0" t="0" r="0" b="0"/>
                <wp:wrapNone/>
                <wp:docPr id="228" name="文本框 228"/>
                <wp:cNvGraphicFramePr/>
                <a:graphic xmlns:a="http://schemas.openxmlformats.org/drawingml/2006/main">
                  <a:graphicData uri="http://schemas.microsoft.com/office/word/2010/wordprocessingShape">
                    <wps:wsp>
                      <wps:cNvSpPr txBox="1">
                        <a:spLocks noChangeArrowheads="1"/>
                      </wps:cNvSpPr>
                      <wps:spPr bwMode="auto">
                        <a:xfrm>
                          <a:off x="0" y="0"/>
                          <a:ext cx="914400" cy="546100"/>
                        </a:xfrm>
                        <a:prstGeom prst="rect">
                          <a:avLst/>
                        </a:prstGeom>
                        <a:noFill/>
                        <a:ln>
                          <a:noFill/>
                        </a:ln>
                        <a:effectLst/>
                      </wps:spPr>
                      <wps:txbx>
                        <w:txbxContent>
                          <w:p>
                            <w:pPr>
                              <w:rPr>
                                <w:rFonts w:ascii="宋体" w:hAnsi="宋体"/>
                                <w:sz w:val="18"/>
                                <w:szCs w:val="18"/>
                              </w:rPr>
                            </w:pPr>
                            <w:r>
                              <w:rPr>
                                <w:rFonts w:hint="eastAsia" w:ascii="楷体_GB2312" w:hAnsi="宋体"/>
                                <w:b/>
                                <w:color w:val="000000"/>
                                <w:sz w:val="18"/>
                                <w:szCs w:val="18"/>
                              </w:rPr>
                              <w:t>测设施工控制网</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2.55pt;height:43pt;width:72pt;z-index:251711488;mso-width-relative:page;mso-height-relative:page;" filled="f" stroked="f" coordsize="21600,21600" o:gfxdata="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Xret51wAAAAoBAAAPAAAAAAAAAAEAIAAAACIAAABkcnMvZG93bnJl&#10;di54bWxQSwECFAAUAAAACACHTuJA/kBaGv4BAADYAwAADgAAAAAAAAABACAAAAAmAQAAZHJzL2Uy&#10;b0RvYy54bWxQSwUGAAAAAAYABgBZAQAAlgUAAAAA&#10;">
                <v:fill on="f" focussize="0,0"/>
                <v:stroke on="f"/>
                <v:imagedata o:title=""/>
                <o:lock v:ext="edit" aspectratio="f"/>
                <v:textbox>
                  <w:txbxContent>
                    <w:p>
                      <w:pPr>
                        <w:rPr>
                          <w:rFonts w:ascii="宋体" w:hAnsi="宋体"/>
                          <w:sz w:val="18"/>
                          <w:szCs w:val="18"/>
                        </w:rPr>
                      </w:pPr>
                      <w:r>
                        <w:rPr>
                          <w:rFonts w:hint="eastAsia" w:ascii="楷体_GB2312" w:hAnsi="宋体"/>
                          <w:b/>
                          <w:color w:val="000000"/>
                          <w:sz w:val="18"/>
                          <w:szCs w:val="18"/>
                        </w:rPr>
                        <w:t>测设施工控制网</w:t>
                      </w:r>
                    </w:p>
                  </w:txbxContent>
                </v:textbox>
              </v:shape>
            </w:pict>
          </mc:Fallback>
        </mc:AlternateContent>
      </w:r>
      <w:r>
        <w:rPr>
          <w:rFonts w:hint="eastAsia" w:ascii="宋体" w:hAnsi="宋体" w:cs="宋体"/>
          <w:b/>
          <w:color w:val="auto"/>
          <w:szCs w:val="21"/>
        </w:rPr>
        <w:t>46.1</w:t>
      </w:r>
    </w:p>
    <w:p>
      <w:pPr>
        <w:adjustRightInd w:val="0"/>
        <w:snapToGrid w:val="0"/>
        <w:spacing w:line="360" w:lineRule="auto"/>
        <w:ind w:left="1619" w:leftChars="771"/>
        <w:rPr>
          <w:rFonts w:ascii="宋体" w:hAnsi="宋体" w:cs="宋体"/>
          <w:color w:val="auto"/>
          <w:szCs w:val="21"/>
        </w:rPr>
      </w:pPr>
      <w:r>
        <w:rPr>
          <w:rFonts w:hint="eastAsia" w:ascii="宋体" w:hAnsi="宋体" w:cs="宋体"/>
          <w:color w:val="auto"/>
          <w:szCs w:val="21"/>
        </w:rPr>
        <w:t>监理工程师应在发出开工令后的7天内，向承包人提供原始基准点、基准线、基准高程等书面资料。承包人应根据国家测绘基准、测绘系统和工程测量技术规范，按照上述资料以及合同工程精度要求，测绘施工控制网，并在专用条款约定的期限内，将施工控制网资料提交监理工程师确认。</w:t>
      </w:r>
    </w:p>
    <w:p>
      <w:pPr>
        <w:adjustRightInd w:val="0"/>
        <w:snapToGrid w:val="0"/>
        <w:rPr>
          <w:rFonts w:ascii="宋体" w:hAnsi="宋体" w:cs="宋体"/>
          <w:color w:val="auto"/>
          <w:szCs w:val="21"/>
        </w:rPr>
      </w:pPr>
      <w:r>
        <w:rPr>
          <w:rFonts w:ascii="宋体" w:hAnsi="宋体" w:cs="宋体"/>
          <w:color w:val="auto"/>
          <w:szCs w:val="21"/>
        </w:rPr>
        <mc:AlternateContent>
          <mc:Choice Requires="wps">
            <w:drawing>
              <wp:anchor distT="0" distB="0" distL="114300" distR="114300" simplePos="0" relativeHeight="251941888" behindDoc="0" locked="0" layoutInCell="1" allowOverlap="1">
                <wp:simplePos x="0" y="0"/>
                <wp:positionH relativeFrom="column">
                  <wp:posOffset>-114300</wp:posOffset>
                </wp:positionH>
                <wp:positionV relativeFrom="paragraph">
                  <wp:posOffset>290195</wp:posOffset>
                </wp:positionV>
                <wp:extent cx="914400" cy="799465"/>
                <wp:effectExtent l="0" t="0" r="0" b="0"/>
                <wp:wrapNone/>
                <wp:docPr id="227" name="文本框 227"/>
                <wp:cNvGraphicFramePr/>
                <a:graphic xmlns:a="http://schemas.openxmlformats.org/drawingml/2006/main">
                  <a:graphicData uri="http://schemas.microsoft.com/office/word/2010/wordprocessingShape">
                    <wps:wsp>
                      <wps:cNvSpPr txBox="1">
                        <a:spLocks noChangeArrowheads="1"/>
                      </wps:cNvSpPr>
                      <wps:spPr bwMode="auto">
                        <a:xfrm>
                          <a:off x="0" y="0"/>
                          <a:ext cx="914400" cy="799465"/>
                        </a:xfrm>
                        <a:prstGeom prst="rect">
                          <a:avLst/>
                        </a:prstGeom>
                        <a:noFill/>
                        <a:ln>
                          <a:noFill/>
                        </a:ln>
                        <a:effectLst/>
                      </wps:spPr>
                      <wps:txbx>
                        <w:txbxContent>
                          <w:p>
                            <w:pPr>
                              <w:jc w:val="left"/>
                              <w:rPr>
                                <w:rFonts w:ascii="楷体_GB2312" w:hAnsi="宋体"/>
                                <w:b/>
                                <w:color w:val="000000"/>
                                <w:sz w:val="18"/>
                                <w:szCs w:val="18"/>
                              </w:rPr>
                            </w:pPr>
                            <w:r>
                              <w:rPr>
                                <w:rFonts w:hint="eastAsia" w:ascii="楷体_GB2312" w:hAnsi="宋体"/>
                                <w:b/>
                                <w:color w:val="000000"/>
                                <w:sz w:val="18"/>
                                <w:szCs w:val="18"/>
                              </w:rPr>
                              <w:t>施工控制网（点）管理与使用</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2.85pt;height:62.95pt;width:72pt;z-index:251941888;mso-width-relative:page;mso-height-relative:page;" filled="f" stroked="f" coordsize="21600,21600" o:gfxdata="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nXO6V2AAAAAoBAAAPAAAAAAAAAAEAIAAAACIAAABkcnMvZG93&#10;bnJldi54bWxQSwECFAAUAAAACACHTuJAXeUcbAACAADYAwAADgAAAAAAAAABACAAAAAnAQAAZHJz&#10;L2Uyb0RvYy54bWxQSwUGAAAAAAYABgBZAQAAmQUAAAAA&#10;">
                <v:fill on="f" focussize="0,0"/>
                <v:stroke on="f"/>
                <v:imagedata o:title=""/>
                <o:lock v:ext="edit" aspectratio="f"/>
                <v:textbox>
                  <w:txbxContent>
                    <w:p>
                      <w:pPr>
                        <w:jc w:val="left"/>
                        <w:rPr>
                          <w:rFonts w:ascii="楷体_GB2312" w:hAnsi="宋体"/>
                          <w:b/>
                          <w:color w:val="000000"/>
                          <w:sz w:val="18"/>
                          <w:szCs w:val="18"/>
                        </w:rPr>
                      </w:pPr>
                      <w:r>
                        <w:rPr>
                          <w:rFonts w:hint="eastAsia" w:ascii="楷体_GB2312" w:hAnsi="宋体"/>
                          <w:b/>
                          <w:color w:val="000000"/>
                          <w:sz w:val="18"/>
                          <w:szCs w:val="18"/>
                        </w:rPr>
                        <w:t>施工控制网（点）管理与使用</w:t>
                      </w:r>
                    </w:p>
                  </w:txbxContent>
                </v:textbox>
              </v:shape>
            </w:pict>
          </mc:Fallback>
        </mc:AlternateContent>
      </w:r>
      <w:r>
        <w:rPr>
          <w:rFonts w:hint="eastAsia" w:ascii="宋体" w:hAnsi="宋体" w:cs="宋体"/>
          <w:b/>
          <w:color w:val="auto"/>
          <w:szCs w:val="21"/>
        </w:rPr>
        <w:t xml:space="preserve">46.2  </w:t>
      </w:r>
      <w:r>
        <w:rPr>
          <w:rFonts w:hint="eastAsia" w:ascii="宋体" w:hAnsi="宋体" w:cs="宋体"/>
          <w:b/>
          <w:color w:val="auto"/>
          <w:szCs w:val="21"/>
          <w:u w:val="dotted"/>
        </w:rPr>
        <w:t xml:space="preserve">                                                                          </w:t>
      </w:r>
    </w:p>
    <w:p>
      <w:pPr>
        <w:adjustRightInd w:val="0"/>
        <w:snapToGrid w:val="0"/>
        <w:spacing w:line="360" w:lineRule="auto"/>
        <w:ind w:left="1619" w:leftChars="771"/>
        <w:rPr>
          <w:rFonts w:ascii="宋体" w:hAnsi="宋体" w:cs="宋体"/>
          <w:color w:val="auto"/>
          <w:szCs w:val="21"/>
        </w:rPr>
      </w:pPr>
      <w:r>
        <w:rPr>
          <w:rFonts w:hint="eastAsia" w:ascii="宋体" w:hAnsi="宋体" w:cs="宋体"/>
          <w:color w:val="auto"/>
          <w:szCs w:val="21"/>
        </w:rPr>
        <w:t>承包人应负责施工控制网点的管理。施工控制网点丢失或损坏的，承包人应及时修复。承包人应承担施工控制网点的管理与修复费用，并在工程竣工后将施工控制网点移交发包人。</w:t>
      </w:r>
    </w:p>
    <w:p>
      <w:pPr>
        <w:adjustRightInd w:val="0"/>
        <w:snapToGrid w:val="0"/>
        <w:spacing w:line="360" w:lineRule="auto"/>
        <w:ind w:left="1619" w:leftChars="771"/>
        <w:rPr>
          <w:rFonts w:ascii="宋体" w:hAnsi="宋体" w:cs="宋体"/>
          <w:color w:val="auto"/>
          <w:szCs w:val="21"/>
        </w:rPr>
      </w:pPr>
      <w:r>
        <w:rPr>
          <w:rFonts w:hint="eastAsia" w:ascii="宋体" w:hAnsi="宋体" w:cs="宋体"/>
          <w:color w:val="auto"/>
          <w:szCs w:val="21"/>
        </w:rPr>
        <w:t>监理工程师需要使用施工控制网的，承包人应提供必要的协助，发包人无需为此支付任何费用。</w:t>
      </w:r>
    </w:p>
    <w:p>
      <w:pPr>
        <w:adjustRightInd w:val="0"/>
        <w:snapToGrid w:val="0"/>
        <w:rPr>
          <w:rFonts w:ascii="宋体" w:hAnsi="宋体" w:cs="宋体"/>
          <w:color w:val="auto"/>
          <w:szCs w:val="21"/>
        </w:rPr>
      </w:pPr>
      <w:r>
        <w:rPr>
          <w:rFonts w:hint="eastAsia" w:ascii="宋体" w:hAnsi="宋体" w:cs="宋体"/>
          <w:b/>
          <w:color w:val="auto"/>
          <w:szCs w:val="21"/>
        </w:rPr>
        <w:t xml:space="preserve">46.3  </w:t>
      </w:r>
      <w:r>
        <w:rPr>
          <w:rFonts w:hint="eastAsia" w:ascii="宋体" w:hAnsi="宋体" w:cs="宋体"/>
          <w:b/>
          <w:color w:val="auto"/>
          <w:szCs w:val="21"/>
          <w:u w:val="dotted"/>
        </w:rPr>
        <w:t xml:space="preserve">                                                                          </w:t>
      </w:r>
    </w:p>
    <w:p>
      <w:pPr>
        <w:adjustRightInd w:val="0"/>
        <w:snapToGrid w:val="0"/>
        <w:spacing w:line="360" w:lineRule="auto"/>
        <w:ind w:left="1619" w:leftChars="771"/>
        <w:rPr>
          <w:rFonts w:ascii="宋体" w:hAnsi="宋体" w:cs="宋体"/>
          <w:color w:val="auto"/>
          <w:szCs w:val="21"/>
        </w:rPr>
      </w:pPr>
      <w:r>
        <w:rPr>
          <w:rFonts w:ascii="宋体" w:hAnsi="宋体" w:cs="宋体"/>
          <w:color w:val="auto"/>
          <w:szCs w:val="21"/>
        </w:rPr>
        <mc:AlternateContent>
          <mc:Choice Requires="wps">
            <w:drawing>
              <wp:anchor distT="0" distB="0" distL="114300" distR="114300" simplePos="0" relativeHeight="251712512" behindDoc="0" locked="0" layoutInCell="1" allowOverlap="1">
                <wp:simplePos x="0" y="0"/>
                <wp:positionH relativeFrom="column">
                  <wp:posOffset>-114300</wp:posOffset>
                </wp:positionH>
                <wp:positionV relativeFrom="paragraph">
                  <wp:posOffset>-6350</wp:posOffset>
                </wp:positionV>
                <wp:extent cx="914400" cy="541020"/>
                <wp:effectExtent l="0" t="0" r="0" b="0"/>
                <wp:wrapNone/>
                <wp:docPr id="226" name="文本框 226"/>
                <wp:cNvGraphicFramePr/>
                <a:graphic xmlns:a="http://schemas.openxmlformats.org/drawingml/2006/main">
                  <a:graphicData uri="http://schemas.microsoft.com/office/word/2010/wordprocessingShape">
                    <wps:wsp>
                      <wps:cNvSpPr txBox="1">
                        <a:spLocks noChangeArrowheads="1"/>
                      </wps:cNvSpPr>
                      <wps:spPr bwMode="auto">
                        <a:xfrm>
                          <a:off x="0" y="0"/>
                          <a:ext cx="914400" cy="541020"/>
                        </a:xfrm>
                        <a:prstGeom prst="rect">
                          <a:avLst/>
                        </a:prstGeom>
                        <a:noFill/>
                        <a:ln>
                          <a:noFill/>
                        </a:ln>
                        <a:effectLst/>
                      </wps:spPr>
                      <wps:txbx>
                        <w:txbxContent>
                          <w:p>
                            <w:pPr>
                              <w:spacing w:line="200" w:lineRule="exact"/>
                              <w:rPr>
                                <w:sz w:val="18"/>
                                <w:szCs w:val="18"/>
                              </w:rPr>
                            </w:pPr>
                            <w:r>
                              <w:rPr>
                                <w:rFonts w:hint="eastAsia" w:ascii="楷体_GB2312" w:hAnsi="宋体"/>
                                <w:b/>
                                <w:color w:val="000000"/>
                                <w:sz w:val="18"/>
                                <w:szCs w:val="18"/>
                              </w:rPr>
                              <w:t>承包人测量放线的责任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5pt;height:42.6pt;width:72pt;z-index:251712512;mso-width-relative:page;mso-height-relative:page;" filled="f" stroked="f" coordsize="21600,21600" o:gfxdata="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N4ssLzVAAAACQEAAA8AAAAAAAAAAQAgAAAAIgAAAGRycy9kb3ducmV2&#10;LnhtbFBLAQIUABQAAAAIAIdO4kAHh0CJ/wEAANgDAAAOAAAAAAAAAAEAIAAAACQBAABkcnMvZTJv&#10;RG9jLnhtbFBLBQYAAAAABgAGAFkBAACVBQAAAAA=&#10;">
                <v:fill on="f" focussize="0,0"/>
                <v:stroke on="f"/>
                <v:imagedata o:title=""/>
                <o:lock v:ext="edit" aspectratio="f"/>
                <v:textbox>
                  <w:txbxContent>
                    <w:p>
                      <w:pPr>
                        <w:spacing w:line="200" w:lineRule="exact"/>
                        <w:rPr>
                          <w:sz w:val="18"/>
                          <w:szCs w:val="18"/>
                        </w:rPr>
                      </w:pPr>
                      <w:r>
                        <w:rPr>
                          <w:rFonts w:hint="eastAsia" w:ascii="楷体_GB2312" w:hAnsi="宋体"/>
                          <w:b/>
                          <w:color w:val="000000"/>
                          <w:sz w:val="18"/>
                          <w:szCs w:val="18"/>
                        </w:rPr>
                        <w:t>承包人测量放线的责任</w:t>
                      </w:r>
                    </w:p>
                  </w:txbxContent>
                </v:textbox>
              </v:shape>
            </w:pict>
          </mc:Fallback>
        </mc:AlternateContent>
      </w:r>
      <w:r>
        <w:rPr>
          <w:rFonts w:hint="eastAsia" w:ascii="宋体" w:hAnsi="宋体" w:cs="宋体"/>
          <w:color w:val="auto"/>
          <w:szCs w:val="21"/>
        </w:rPr>
        <w:t>承包人应配置合格的人员、仪器、设备和其他物品，根据监理工程师书面确定的原始基准点、基准线、基准高程等资料，准确完成对合同工程的全部施工测量放线工作，并对工程各部分的位置、标高、尺寸或定线的正确性负责。</w:t>
      </w:r>
    </w:p>
    <w:p>
      <w:pPr>
        <w:tabs>
          <w:tab w:val="left" w:pos="720"/>
          <w:tab w:val="left" w:pos="1080"/>
        </w:tabs>
        <w:adjustRightInd w:val="0"/>
        <w:snapToGrid w:val="0"/>
        <w:rPr>
          <w:rFonts w:ascii="宋体" w:hAnsi="宋体" w:cs="宋体"/>
          <w:b/>
          <w:color w:val="auto"/>
          <w:szCs w:val="21"/>
        </w:rPr>
      </w:pPr>
      <w:r>
        <w:rPr>
          <w:rFonts w:hint="eastAsia" w:ascii="宋体" w:hAnsi="宋体" w:cs="宋体"/>
          <w:b/>
          <w:color w:val="auto"/>
          <w:szCs w:val="21"/>
        </w:rPr>
        <w:t xml:space="preserve">46.4 </w:t>
      </w:r>
      <w:r>
        <w:rPr>
          <w:rFonts w:hint="eastAsia" w:ascii="宋体" w:hAnsi="宋体" w:cs="宋体"/>
          <w:b/>
          <w:color w:val="auto"/>
          <w:szCs w:val="21"/>
          <w:u w:val="dotted"/>
        </w:rPr>
        <w:t xml:space="preserve">                                                                         </w:t>
      </w:r>
    </w:p>
    <w:p>
      <w:pPr>
        <w:adjustRightInd w:val="0"/>
        <w:snapToGrid w:val="0"/>
        <w:spacing w:line="360" w:lineRule="auto"/>
        <w:ind w:left="1619" w:leftChars="771"/>
        <w:rPr>
          <w:rFonts w:ascii="宋体" w:hAnsi="宋体" w:cs="宋体"/>
          <w:color w:val="auto"/>
          <w:szCs w:val="21"/>
        </w:rPr>
      </w:pPr>
      <w:r>
        <w:rPr>
          <w:rFonts w:ascii="宋体" w:hAnsi="宋体" w:cs="宋体"/>
          <w:color w:val="auto"/>
          <w:szCs w:val="21"/>
        </w:rPr>
        <mc:AlternateContent>
          <mc:Choice Requires="wps">
            <w:drawing>
              <wp:anchor distT="0" distB="0" distL="114300" distR="114300" simplePos="0" relativeHeight="251713536" behindDoc="0" locked="0" layoutInCell="1" allowOverlap="1">
                <wp:simplePos x="0" y="0"/>
                <wp:positionH relativeFrom="column">
                  <wp:posOffset>-66675</wp:posOffset>
                </wp:positionH>
                <wp:positionV relativeFrom="paragraph">
                  <wp:posOffset>8255</wp:posOffset>
                </wp:positionV>
                <wp:extent cx="914400" cy="375920"/>
                <wp:effectExtent l="0" t="0" r="0" b="0"/>
                <wp:wrapNone/>
                <wp:docPr id="225" name="文本框 225"/>
                <wp:cNvGraphicFramePr/>
                <a:graphic xmlns:a="http://schemas.openxmlformats.org/drawingml/2006/main">
                  <a:graphicData uri="http://schemas.microsoft.com/office/word/2010/wordprocessingShape">
                    <wps:wsp>
                      <wps:cNvSpPr txBox="1">
                        <a:spLocks noChangeArrowheads="1"/>
                      </wps:cNvSpPr>
                      <wps:spPr bwMode="auto">
                        <a:xfrm>
                          <a:off x="0" y="0"/>
                          <a:ext cx="914400" cy="375920"/>
                        </a:xfrm>
                        <a:prstGeom prst="rect">
                          <a:avLst/>
                        </a:prstGeom>
                        <a:noFill/>
                        <a:ln>
                          <a:noFill/>
                        </a:ln>
                        <a:effectLst/>
                      </wps:spPr>
                      <wps:txbx>
                        <w:txbxContent>
                          <w:p>
                            <w:pPr>
                              <w:spacing w:line="200" w:lineRule="exact"/>
                              <w:rPr>
                                <w:rFonts w:ascii="楷体_GB2312" w:hAnsi="宋体"/>
                                <w:sz w:val="18"/>
                                <w:szCs w:val="18"/>
                              </w:rPr>
                            </w:pPr>
                            <w:r>
                              <w:rPr>
                                <w:rFonts w:hint="eastAsia" w:ascii="楷体_GB2312" w:hAnsi="宋体"/>
                                <w:b/>
                                <w:color w:val="000000"/>
                                <w:sz w:val="18"/>
                                <w:szCs w:val="18"/>
                              </w:rPr>
                              <w:t>测量放线误差的处理</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25pt;margin-top:0.65pt;height:29.6pt;width:72pt;z-index:251713536;mso-width-relative:page;mso-height-relative:page;" filled="f" stroked="f" coordsize="21600,21600" o:gfxdata="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47LALNMAAAAIAQAADwAAAAAAAAABACAAAAAiAAAAZHJzL2Rvd25yZXYu&#10;eG1sUEsBAhQAFAAAAAgAh07iQIr1GwQAAgAA2AMAAA4AAAAAAAAAAQAgAAAAIgEAAGRycy9lMm9E&#10;b2MueG1sUEsFBgAAAAAGAAYAWQEAAJQFAAAAAA==&#10;">
                <v:fill on="f" focussize="0,0"/>
                <v:stroke on="f"/>
                <v:imagedata o:title=""/>
                <o:lock v:ext="edit" aspectratio="f"/>
                <v:textbox>
                  <w:txbxContent>
                    <w:p>
                      <w:pPr>
                        <w:spacing w:line="200" w:lineRule="exact"/>
                        <w:rPr>
                          <w:rFonts w:ascii="楷体_GB2312" w:hAnsi="宋体"/>
                          <w:sz w:val="18"/>
                          <w:szCs w:val="18"/>
                        </w:rPr>
                      </w:pPr>
                      <w:r>
                        <w:rPr>
                          <w:rFonts w:hint="eastAsia" w:ascii="楷体_GB2312" w:hAnsi="宋体"/>
                          <w:b/>
                          <w:color w:val="000000"/>
                          <w:sz w:val="18"/>
                          <w:szCs w:val="18"/>
                        </w:rPr>
                        <w:t>测量放线误差的处理</w:t>
                      </w:r>
                    </w:p>
                  </w:txbxContent>
                </v:textbox>
              </v:shape>
            </w:pict>
          </mc:Fallback>
        </mc:AlternateContent>
      </w:r>
      <w:r>
        <w:rPr>
          <w:rFonts w:hint="eastAsia" w:ascii="宋体" w:hAnsi="宋体" w:cs="宋体"/>
          <w:color w:val="auto"/>
          <w:szCs w:val="21"/>
        </w:rPr>
        <w:t>监理工程师有权对承包人施工测量放线工作进行检查验收。如果发现永久工程任何部分的位置、标高、尺寸或定线超过合同约定误差的，承包人应自费纠正，直到监理工程师认为符合合同约定为止。如果这些误差是由于监理工程师书面提供的数据错误导致的，发包人应当承担由此增加的费用和（或）工期延误，并向承包人支付合理利润。</w:t>
      </w:r>
    </w:p>
    <w:p>
      <w:pPr>
        <w:tabs>
          <w:tab w:val="left" w:pos="720"/>
          <w:tab w:val="left" w:pos="1080"/>
        </w:tabs>
        <w:adjustRightInd w:val="0"/>
        <w:snapToGrid w:val="0"/>
        <w:rPr>
          <w:rFonts w:ascii="宋体" w:hAnsi="宋体" w:cs="宋体"/>
          <w:b/>
          <w:color w:val="auto"/>
          <w:szCs w:val="21"/>
        </w:rPr>
      </w:pPr>
      <w:r>
        <w:rPr>
          <w:rFonts w:hint="eastAsia" w:ascii="宋体" w:hAnsi="宋体" w:cs="宋体"/>
          <w:b/>
          <w:color w:val="auto"/>
          <w:szCs w:val="21"/>
        </w:rPr>
        <w:t xml:space="preserve">46.5 </w:t>
      </w:r>
      <w:r>
        <w:rPr>
          <w:rFonts w:hint="eastAsia" w:ascii="宋体" w:hAnsi="宋体" w:cs="宋体"/>
          <w:b/>
          <w:color w:val="auto"/>
          <w:szCs w:val="21"/>
          <w:u w:val="dotted"/>
        </w:rPr>
        <w:t xml:space="preserve">                                                                         </w:t>
      </w:r>
      <w:r>
        <w:rPr>
          <w:rFonts w:ascii="宋体" w:hAnsi="宋体" w:cs="宋体"/>
          <w:color w:val="auto"/>
          <w:szCs w:val="21"/>
        </w:rPr>
        <mc:AlternateContent>
          <mc:Choice Requires="wps">
            <w:drawing>
              <wp:anchor distT="0" distB="0" distL="114300" distR="114300" simplePos="0" relativeHeight="252067840" behindDoc="0" locked="0" layoutInCell="1" allowOverlap="1">
                <wp:simplePos x="0" y="0"/>
                <wp:positionH relativeFrom="column">
                  <wp:posOffset>-114300</wp:posOffset>
                </wp:positionH>
                <wp:positionV relativeFrom="paragraph">
                  <wp:posOffset>278130</wp:posOffset>
                </wp:positionV>
                <wp:extent cx="914400" cy="448310"/>
                <wp:effectExtent l="0" t="0" r="0" b="0"/>
                <wp:wrapNone/>
                <wp:docPr id="224" name="文本框 224"/>
                <wp:cNvGraphicFramePr/>
                <a:graphic xmlns:a="http://schemas.openxmlformats.org/drawingml/2006/main">
                  <a:graphicData uri="http://schemas.microsoft.com/office/word/2010/wordprocessingShape">
                    <wps:wsp>
                      <wps:cNvSpPr txBox="1">
                        <a:spLocks noChangeArrowheads="1"/>
                      </wps:cNvSpPr>
                      <wps:spPr bwMode="auto">
                        <a:xfrm>
                          <a:off x="0" y="0"/>
                          <a:ext cx="914400" cy="448310"/>
                        </a:xfrm>
                        <a:prstGeom prst="rect">
                          <a:avLst/>
                        </a:prstGeom>
                        <a:noFill/>
                        <a:ln>
                          <a:noFill/>
                        </a:ln>
                        <a:effectLst/>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保护基准点或线等标志</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1.9pt;height:35.3pt;width:72pt;z-index:252067840;mso-width-relative:page;mso-height-relative:page;" filled="f" stroked="f" coordsize="21600,21600" o:gfxdata="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BLqU/XAAAACgEAAA8AAAAAAAAAAQAgAAAAIgAAAGRycy9kb3du&#10;cmV2LnhtbFBLAQIUABQAAAAIAIdO4kCIwrfaAAIAANgDAAAOAAAAAAAAAAEAIAAAACYBAABkcnMv&#10;ZTJvRG9jLnhtbFBLBQYAAAAABgAGAFkBAACYBQ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保护基准点或线等标志</w:t>
                      </w:r>
                    </w:p>
                  </w:txbxContent>
                </v:textbox>
              </v:shape>
            </w:pict>
          </mc:Fallback>
        </mc:AlternateContent>
      </w:r>
    </w:p>
    <w:p>
      <w:pPr>
        <w:adjustRightInd w:val="0"/>
        <w:snapToGrid w:val="0"/>
        <w:spacing w:line="360" w:lineRule="auto"/>
        <w:ind w:left="1619" w:leftChars="771"/>
        <w:rPr>
          <w:rFonts w:ascii="宋体" w:hAnsi="宋体" w:cs="宋体"/>
          <w:color w:val="auto"/>
          <w:szCs w:val="21"/>
        </w:rPr>
      </w:pPr>
      <w:r>
        <w:rPr>
          <w:rFonts w:hint="eastAsia" w:ascii="宋体" w:hAnsi="宋体" w:cs="宋体"/>
          <w:color w:val="auto"/>
          <w:szCs w:val="21"/>
        </w:rPr>
        <w:t>监理工程师对工程位置、标高、尺寸、定线的检查，不能免除承包人测量放线工作准确性应承担的任何责任和应履行的任何义务。承包人应有效地保护一切基准点、基准线和其他有关的标志，直到永久工程竣工验收合格为止。</w:t>
      </w:r>
    </w:p>
    <w:p>
      <w:pPr>
        <w:tabs>
          <w:tab w:val="left" w:pos="2070"/>
        </w:tabs>
        <w:adjustRightInd w:val="0"/>
        <w:snapToGrid w:val="0"/>
        <w:spacing w:line="240" w:lineRule="exact"/>
        <w:rPr>
          <w:rFonts w:ascii="宋体" w:hAnsi="宋体" w:cs="宋体"/>
          <w:b/>
          <w:color w:val="auto"/>
          <w:szCs w:val="21"/>
          <w:u w:val="single"/>
        </w:rPr>
      </w:pPr>
      <w:r>
        <w:rPr>
          <w:rFonts w:hint="eastAsia" w:ascii="宋体" w:hAnsi="宋体" w:cs="宋体"/>
          <w:b/>
          <w:color w:val="auto"/>
          <w:szCs w:val="21"/>
          <w:u w:val="single"/>
        </w:rPr>
        <w:t xml:space="preserve">                                                                                                              </w:t>
      </w:r>
    </w:p>
    <w:p>
      <w:pPr>
        <w:tabs>
          <w:tab w:val="left" w:pos="1620"/>
        </w:tabs>
        <w:spacing w:line="240" w:lineRule="exact"/>
        <w:rPr>
          <w:rFonts w:ascii="宋体" w:hAnsi="宋体" w:cs="宋体"/>
          <w:b/>
          <w:color w:val="auto"/>
          <w:szCs w:val="21"/>
        </w:rPr>
      </w:pPr>
    </w:p>
    <w:p>
      <w:pPr>
        <w:tabs>
          <w:tab w:val="left" w:pos="540"/>
        </w:tabs>
        <w:adjustRightInd w:val="0"/>
        <w:snapToGrid w:val="0"/>
        <w:spacing w:beforeLines="100" w:line="360" w:lineRule="auto"/>
        <w:ind w:right="-238"/>
        <w:rPr>
          <w:rFonts w:ascii="宋体" w:hAnsi="宋体" w:cs="宋体"/>
          <w:b/>
          <w:color w:val="auto"/>
          <w:kern w:val="0"/>
          <w:szCs w:val="21"/>
        </w:rPr>
      </w:pPr>
      <w:r>
        <w:rPr>
          <w:rFonts w:hint="eastAsia" w:ascii="宋体" w:hAnsi="宋体" w:cs="宋体"/>
          <w:b/>
          <w:color w:val="auto"/>
          <w:kern w:val="0"/>
          <w:szCs w:val="21"/>
        </w:rPr>
        <w:t>47  钻孔与勘探性开挖</w:t>
      </w:r>
    </w:p>
    <w:p>
      <w:pPr>
        <w:adjustRightInd w:val="0"/>
        <w:snapToGrid w:val="0"/>
        <w:spacing w:line="360" w:lineRule="auto"/>
        <w:rPr>
          <w:rFonts w:ascii="宋体" w:hAnsi="宋体" w:cs="宋体"/>
          <w:b/>
          <w:color w:val="auto"/>
          <w:szCs w:val="21"/>
        </w:rPr>
      </w:pPr>
      <w:r>
        <w:rPr>
          <w:rFonts w:ascii="宋体" w:hAnsi="宋体" w:cs="宋体"/>
          <w:color w:val="auto"/>
          <w:szCs w:val="21"/>
        </w:rPr>
        <mc:AlternateContent>
          <mc:Choice Requires="wps">
            <w:drawing>
              <wp:anchor distT="0" distB="0" distL="114300" distR="114300" simplePos="0" relativeHeight="251714560" behindDoc="0" locked="0" layoutInCell="1" allowOverlap="1">
                <wp:simplePos x="0" y="0"/>
                <wp:positionH relativeFrom="column">
                  <wp:posOffset>-133350</wp:posOffset>
                </wp:positionH>
                <wp:positionV relativeFrom="paragraph">
                  <wp:posOffset>285115</wp:posOffset>
                </wp:positionV>
                <wp:extent cx="914400" cy="648335"/>
                <wp:effectExtent l="0" t="0" r="0" b="0"/>
                <wp:wrapNone/>
                <wp:docPr id="223" name="文本框 223"/>
                <wp:cNvGraphicFramePr/>
                <a:graphic xmlns:a="http://schemas.openxmlformats.org/drawingml/2006/main">
                  <a:graphicData uri="http://schemas.microsoft.com/office/word/2010/wordprocessingShape">
                    <wps:wsp>
                      <wps:cNvSpPr txBox="1">
                        <a:spLocks noChangeArrowheads="1"/>
                      </wps:cNvSpPr>
                      <wps:spPr bwMode="auto">
                        <a:xfrm>
                          <a:off x="0" y="0"/>
                          <a:ext cx="914400" cy="648335"/>
                        </a:xfrm>
                        <a:prstGeom prst="rect">
                          <a:avLst/>
                        </a:prstGeom>
                        <a:noFill/>
                        <a:ln>
                          <a:noFill/>
                        </a:ln>
                        <a:effectLst/>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发出钻孔和勘探性开挖工作指令</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0.5pt;margin-top:22.45pt;height:51.05pt;width:72pt;z-index:251714560;mso-width-relative:page;mso-height-relative:page;" filled="f" stroked="f" coordsize="21600,21600" o:gfxdata="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I2LZqrXAAAACgEAAA8AAAAAAAAAAQAgAAAAIgAAAGRycy9kb3du&#10;cmV2LnhtbFBLAQIUABQAAAAIAIdO4kBjCm83AAIAANgDAAAOAAAAAAAAAAEAIAAAACYBAABkcnMv&#10;ZTJvRG9jLnhtbFBLBQYAAAAABgAGAFkBAACYBQ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发出钻孔和勘探性开挖工作指令</w:t>
                      </w:r>
                    </w:p>
                  </w:txbxContent>
                </v:textbox>
              </v:shape>
            </w:pict>
          </mc:Fallback>
        </mc:AlternateContent>
      </w:r>
      <w:r>
        <w:rPr>
          <w:rFonts w:hint="eastAsia" w:ascii="宋体" w:hAnsi="宋体" w:cs="宋体"/>
          <w:b/>
          <w:color w:val="auto"/>
          <w:szCs w:val="21"/>
        </w:rPr>
        <w:t>47.1</w:t>
      </w:r>
    </w:p>
    <w:p>
      <w:pPr>
        <w:adjustRightInd w:val="0"/>
        <w:snapToGrid w:val="0"/>
        <w:spacing w:line="360" w:lineRule="auto"/>
        <w:ind w:left="1619" w:leftChars="771"/>
        <w:rPr>
          <w:rFonts w:ascii="宋体" w:hAnsi="宋体" w:cs="宋体"/>
          <w:color w:val="auto"/>
          <w:szCs w:val="21"/>
        </w:rPr>
      </w:pPr>
      <w:r>
        <w:rPr>
          <w:rFonts w:hint="eastAsia" w:ascii="宋体" w:hAnsi="宋体" w:cs="宋体"/>
          <w:color w:val="auto"/>
          <w:szCs w:val="21"/>
        </w:rPr>
        <w:t>在施工过程中，如果需要承包人进行钻孔或勘探性开挖（含疏浚工作在内）工作的，监理工程师应就此项工作按照第56条规定书面发出专项指令。承包人在接到监理工程师指令后，应及时实施相关工作。</w:t>
      </w:r>
    </w:p>
    <w:p>
      <w:pPr>
        <w:tabs>
          <w:tab w:val="left" w:pos="720"/>
          <w:tab w:val="left" w:pos="1080"/>
        </w:tabs>
        <w:adjustRightInd w:val="0"/>
        <w:snapToGrid w:val="0"/>
        <w:spacing w:line="360" w:lineRule="auto"/>
        <w:rPr>
          <w:rFonts w:ascii="宋体" w:hAnsi="宋体" w:cs="宋体"/>
          <w:color w:val="auto"/>
          <w:szCs w:val="21"/>
        </w:rPr>
      </w:pPr>
      <w:r>
        <w:rPr>
          <w:rFonts w:ascii="宋体" w:hAnsi="宋体" w:cs="宋体"/>
          <w:color w:val="auto"/>
          <w:szCs w:val="21"/>
        </w:rPr>
        <mc:AlternateContent>
          <mc:Choice Requires="wps">
            <w:drawing>
              <wp:anchor distT="0" distB="0" distL="114300" distR="114300" simplePos="0" relativeHeight="252051456" behindDoc="0" locked="0" layoutInCell="1" allowOverlap="1">
                <wp:simplePos x="0" y="0"/>
                <wp:positionH relativeFrom="column">
                  <wp:posOffset>-133350</wp:posOffset>
                </wp:positionH>
                <wp:positionV relativeFrom="paragraph">
                  <wp:posOffset>199390</wp:posOffset>
                </wp:positionV>
                <wp:extent cx="914400" cy="699135"/>
                <wp:effectExtent l="0" t="0" r="0" b="0"/>
                <wp:wrapNone/>
                <wp:docPr id="222" name="文本框 222"/>
                <wp:cNvGraphicFramePr/>
                <a:graphic xmlns:a="http://schemas.openxmlformats.org/drawingml/2006/main">
                  <a:graphicData uri="http://schemas.microsoft.com/office/word/2010/wordprocessingShape">
                    <wps:wsp>
                      <wps:cNvSpPr txBox="1">
                        <a:spLocks noChangeArrowheads="1"/>
                      </wps:cNvSpPr>
                      <wps:spPr bwMode="auto">
                        <a:xfrm>
                          <a:off x="0" y="0"/>
                          <a:ext cx="914400" cy="699135"/>
                        </a:xfrm>
                        <a:prstGeom prst="rect">
                          <a:avLst/>
                        </a:prstGeom>
                        <a:noFill/>
                        <a:ln>
                          <a:noFill/>
                        </a:ln>
                        <a:effectLst/>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钻孔和勘探性开挖工作的费用</w:t>
                            </w:r>
                          </w:p>
                          <w:p>
                            <w:pPr>
                              <w:spacing w:line="200" w:lineRule="exact"/>
                              <w:rPr>
                                <w:sz w:val="18"/>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0.5pt;margin-top:15.7pt;height:55.05pt;width:72pt;z-index:252051456;mso-width-relative:page;mso-height-relative:page;" filled="f" stroked="f" coordsize="21600,21600" o:gfxdata="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ItDPMbXAAAACgEAAA8AAAAAAAAAAQAgAAAAIgAAAGRycy9kb3du&#10;cmV2LnhtbFBLAQIUABQAAAAIAIdO4kDzhx9UAAIAANgDAAAOAAAAAAAAAAEAIAAAACYBAABkcnMv&#10;ZTJvRG9jLnhtbFBLBQYAAAAABgAGAFkBAACYBQ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钻孔和勘探性开挖工作的费用</w:t>
                      </w:r>
                    </w:p>
                    <w:p>
                      <w:pPr>
                        <w:spacing w:line="200" w:lineRule="exact"/>
                        <w:rPr>
                          <w:sz w:val="18"/>
                          <w:szCs w:val="18"/>
                        </w:rPr>
                      </w:pPr>
                    </w:p>
                  </w:txbxContent>
                </v:textbox>
              </v:shape>
            </w:pict>
          </mc:Fallback>
        </mc:AlternateContent>
      </w:r>
      <w:r>
        <w:rPr>
          <w:rFonts w:hint="eastAsia" w:ascii="宋体" w:hAnsi="宋体" w:cs="宋体"/>
          <w:b/>
          <w:color w:val="auto"/>
          <w:szCs w:val="21"/>
        </w:rPr>
        <w:t xml:space="preserve">47.2 </w:t>
      </w:r>
      <w:r>
        <w:rPr>
          <w:rFonts w:hint="eastAsia" w:ascii="宋体" w:hAnsi="宋体" w:cs="宋体"/>
          <w:b/>
          <w:color w:val="auto"/>
          <w:szCs w:val="21"/>
          <w:u w:val="dotted"/>
        </w:rPr>
        <w:t xml:space="preserve">                                                                         </w:t>
      </w:r>
    </w:p>
    <w:p>
      <w:pPr>
        <w:adjustRightInd w:val="0"/>
        <w:snapToGrid w:val="0"/>
        <w:spacing w:line="360" w:lineRule="auto"/>
        <w:ind w:left="1619" w:leftChars="771"/>
        <w:rPr>
          <w:rFonts w:ascii="宋体" w:hAnsi="宋体" w:cs="宋体"/>
          <w:color w:val="auto"/>
          <w:szCs w:val="21"/>
        </w:rPr>
      </w:pPr>
      <w:r>
        <w:rPr>
          <w:rFonts w:hint="eastAsia" w:ascii="宋体" w:hAnsi="宋体" w:cs="宋体"/>
          <w:color w:val="auto"/>
          <w:szCs w:val="21"/>
        </w:rPr>
        <w:t>除工程量清单中已列有此类工作的支付项目和额度外，此项工作所发生的一切费用，经造价工程师核实后，由合同双方当事人按照第72条规定办理。</w:t>
      </w:r>
    </w:p>
    <w:p>
      <w:pPr>
        <w:tabs>
          <w:tab w:val="left" w:pos="540"/>
        </w:tabs>
        <w:adjustRightInd w:val="0"/>
        <w:snapToGrid w:val="0"/>
        <w:spacing w:beforeLines="100" w:line="240" w:lineRule="exact"/>
        <w:ind w:right="-238"/>
        <w:rPr>
          <w:rFonts w:ascii="宋体" w:hAnsi="宋体" w:cs="宋体"/>
          <w:b/>
          <w:color w:val="auto"/>
          <w:kern w:val="0"/>
          <w:szCs w:val="21"/>
        </w:rPr>
      </w:pPr>
      <w:r>
        <w:rPr>
          <w:rFonts w:hint="eastAsia" w:ascii="宋体" w:hAnsi="宋体" w:cs="宋体"/>
          <w:b/>
          <w:color w:val="auto"/>
          <w:kern w:val="0"/>
          <w:szCs w:val="21"/>
          <w:u w:val="single"/>
        </w:rPr>
        <w:t xml:space="preserve">                                                                                                              </w:t>
      </w:r>
    </w:p>
    <w:p>
      <w:pPr>
        <w:adjustRightInd w:val="0"/>
        <w:snapToGrid w:val="0"/>
        <w:spacing w:line="360" w:lineRule="auto"/>
        <w:rPr>
          <w:rFonts w:ascii="宋体" w:hAnsi="宋体" w:cs="宋体"/>
          <w:color w:val="auto"/>
          <w:szCs w:val="21"/>
        </w:rPr>
      </w:pPr>
    </w:p>
    <w:p>
      <w:pPr>
        <w:adjustRightInd w:val="0"/>
        <w:snapToGrid w:val="0"/>
        <w:spacing w:line="360" w:lineRule="auto"/>
        <w:rPr>
          <w:rFonts w:ascii="宋体" w:hAnsi="宋体" w:cs="宋体"/>
          <w:b/>
          <w:color w:val="auto"/>
          <w:szCs w:val="21"/>
        </w:rPr>
      </w:pPr>
      <w:r>
        <w:rPr>
          <w:rFonts w:hint="eastAsia" w:ascii="宋体" w:hAnsi="宋体" w:cs="宋体"/>
          <w:b/>
          <w:color w:val="auto"/>
          <w:szCs w:val="21"/>
        </w:rPr>
        <w:t>48  发包人供应材料和工程设备</w:t>
      </w:r>
    </w:p>
    <w:p>
      <w:pPr>
        <w:adjustRightInd w:val="0"/>
        <w:snapToGrid w:val="0"/>
        <w:spacing w:line="360" w:lineRule="auto"/>
        <w:rPr>
          <w:rFonts w:ascii="宋体" w:hAnsi="宋体" w:cs="宋体"/>
          <w:b/>
          <w:color w:val="auto"/>
          <w:szCs w:val="21"/>
        </w:rPr>
      </w:pPr>
      <w:r>
        <w:rPr>
          <w:rFonts w:ascii="宋体" w:hAnsi="宋体" w:cs="宋体"/>
          <w:color w:val="auto"/>
          <w:szCs w:val="21"/>
        </w:rPr>
        <mc:AlternateContent>
          <mc:Choice Requires="wps">
            <w:drawing>
              <wp:anchor distT="0" distB="0" distL="114300" distR="114300" simplePos="0" relativeHeight="251715584" behindDoc="0" locked="0" layoutInCell="1" allowOverlap="1">
                <wp:simplePos x="0" y="0"/>
                <wp:positionH relativeFrom="column">
                  <wp:posOffset>-114300</wp:posOffset>
                </wp:positionH>
                <wp:positionV relativeFrom="paragraph">
                  <wp:posOffset>278765</wp:posOffset>
                </wp:positionV>
                <wp:extent cx="914400" cy="514985"/>
                <wp:effectExtent l="0" t="0" r="0" b="0"/>
                <wp:wrapNone/>
                <wp:docPr id="221" name="文本框 221"/>
                <wp:cNvGraphicFramePr/>
                <a:graphic xmlns:a="http://schemas.openxmlformats.org/drawingml/2006/main">
                  <a:graphicData uri="http://schemas.microsoft.com/office/word/2010/wordprocessingShape">
                    <wps:wsp>
                      <wps:cNvSpPr txBox="1">
                        <a:spLocks noChangeArrowheads="1"/>
                      </wps:cNvSpPr>
                      <wps:spPr bwMode="auto">
                        <a:xfrm>
                          <a:off x="0" y="0"/>
                          <a:ext cx="914400" cy="514985"/>
                        </a:xfrm>
                        <a:prstGeom prst="rect">
                          <a:avLst/>
                        </a:prstGeom>
                        <a:noFill/>
                        <a:ln>
                          <a:noFill/>
                        </a:ln>
                        <a:effectLst/>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约定供应的材料和工程设备</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1.95pt;height:40.55pt;width:72pt;z-index:251715584;mso-width-relative:page;mso-height-relative:page;" filled="f" stroked="f" coordsize="21600,21600" o:gfxdata="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DjoSDjXAAAACgEAAA8AAAAAAAAAAQAgAAAAIgAAAGRycy9kb3du&#10;cmV2LnhtbFBLAQIUABQAAAAIAIdO4kDcV4q8AAIAANgDAAAOAAAAAAAAAAEAIAAAACYBAABkcnMv&#10;ZTJvRG9jLnhtbFBLBQYAAAAABgAGAFkBAACYBQ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约定供应的材料和工程设备</w:t>
                      </w:r>
                    </w:p>
                  </w:txbxContent>
                </v:textbox>
              </v:shape>
            </w:pict>
          </mc:Fallback>
        </mc:AlternateContent>
      </w:r>
      <w:r>
        <w:rPr>
          <w:rFonts w:hint="eastAsia" w:ascii="宋体" w:hAnsi="宋体" w:cs="宋体"/>
          <w:b/>
          <w:color w:val="auto"/>
          <w:szCs w:val="21"/>
        </w:rPr>
        <w:t>48.1</w:t>
      </w:r>
    </w:p>
    <w:p>
      <w:pPr>
        <w:adjustRightInd w:val="0"/>
        <w:snapToGrid w:val="0"/>
        <w:spacing w:line="360" w:lineRule="auto"/>
        <w:ind w:left="1619" w:leftChars="771"/>
        <w:rPr>
          <w:rFonts w:ascii="宋体" w:hAnsi="宋体" w:cs="宋体"/>
          <w:color w:val="auto"/>
          <w:szCs w:val="21"/>
        </w:rPr>
      </w:pPr>
      <w:r>
        <w:rPr>
          <w:rFonts w:hint="eastAsia" w:ascii="宋体" w:hAnsi="宋体" w:cs="宋体"/>
          <w:color w:val="auto"/>
          <w:szCs w:val="21"/>
        </w:rPr>
        <w:t>发包人供应材料和工程设备的，应在供应材料和工程设备前，与承包人确认“发包人供应材料和工程设备一览表”，并作为本合同的附件。一览表应包括发包人供应材料和工程设备的品种、规格、型号、数量、单价、质量标准、交货计划和地点等内容。</w:t>
      </w:r>
    </w:p>
    <w:p>
      <w:pPr>
        <w:adjustRightInd w:val="0"/>
        <w:snapToGrid w:val="0"/>
        <w:spacing w:line="360" w:lineRule="auto"/>
        <w:rPr>
          <w:rFonts w:ascii="宋体" w:hAnsi="宋体" w:cs="宋体"/>
          <w:color w:val="auto"/>
          <w:szCs w:val="21"/>
        </w:rPr>
      </w:pPr>
      <w:r>
        <w:rPr>
          <w:rFonts w:hint="eastAsia" w:ascii="宋体" w:hAnsi="宋体" w:cs="宋体"/>
          <w:b/>
          <w:color w:val="auto"/>
          <w:szCs w:val="21"/>
        </w:rPr>
        <w:t xml:space="preserve">48.2 </w:t>
      </w:r>
      <w:r>
        <w:rPr>
          <w:rFonts w:hint="eastAsia" w:ascii="宋体" w:hAnsi="宋体" w:cs="宋体"/>
          <w:color w:val="auto"/>
          <w:szCs w:val="21"/>
        </w:rPr>
        <w:t xml:space="preserve"> </w:t>
      </w:r>
      <w:r>
        <w:rPr>
          <w:rFonts w:hint="eastAsia" w:ascii="宋体" w:hAnsi="宋体" w:cs="宋体"/>
          <w:color w:val="auto"/>
          <w:szCs w:val="21"/>
          <w:u w:val="dotted"/>
        </w:rPr>
        <w:t xml:space="preserve">                                                                       </w:t>
      </w:r>
    </w:p>
    <w:p>
      <w:pPr>
        <w:adjustRightInd w:val="0"/>
        <w:snapToGrid w:val="0"/>
        <w:spacing w:line="360" w:lineRule="auto"/>
        <w:ind w:left="1575" w:leftChars="750"/>
        <w:rPr>
          <w:rFonts w:ascii="宋体" w:hAnsi="宋体" w:cs="宋体"/>
          <w:b/>
          <w:color w:val="auto"/>
          <w:szCs w:val="21"/>
        </w:rPr>
      </w:pPr>
      <w:r>
        <w:rPr>
          <w:rFonts w:ascii="宋体" w:hAnsi="宋体" w:cs="宋体"/>
          <w:color w:val="auto"/>
          <w:szCs w:val="21"/>
        </w:rPr>
        <mc:AlternateContent>
          <mc:Choice Requires="wps">
            <w:drawing>
              <wp:anchor distT="0" distB="0" distL="114300" distR="114300" simplePos="0" relativeHeight="251942912" behindDoc="0" locked="0" layoutInCell="1" allowOverlap="1">
                <wp:simplePos x="0" y="0"/>
                <wp:positionH relativeFrom="column">
                  <wp:posOffset>-66675</wp:posOffset>
                </wp:positionH>
                <wp:positionV relativeFrom="paragraph">
                  <wp:posOffset>47625</wp:posOffset>
                </wp:positionV>
                <wp:extent cx="914400" cy="514985"/>
                <wp:effectExtent l="0" t="0" r="0" b="0"/>
                <wp:wrapNone/>
                <wp:docPr id="220" name="文本框 220"/>
                <wp:cNvGraphicFramePr/>
                <a:graphic xmlns:a="http://schemas.openxmlformats.org/drawingml/2006/main">
                  <a:graphicData uri="http://schemas.microsoft.com/office/word/2010/wordprocessingShape">
                    <wps:wsp>
                      <wps:cNvSpPr txBox="1">
                        <a:spLocks noChangeArrowheads="1"/>
                      </wps:cNvSpPr>
                      <wps:spPr bwMode="auto">
                        <a:xfrm>
                          <a:off x="0" y="0"/>
                          <a:ext cx="914400" cy="514985"/>
                        </a:xfrm>
                        <a:prstGeom prst="rect">
                          <a:avLst/>
                        </a:prstGeom>
                        <a:noFill/>
                        <a:ln>
                          <a:noFill/>
                        </a:ln>
                        <a:effectLst/>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发包人交货日期的要求</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25pt;margin-top:3.75pt;height:40.55pt;width:72pt;z-index:251942912;mso-width-relative:page;mso-height-relative:page;" filled="f" stroked="f" coordsize="21600,21600" o:gfxdata="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HRngLzVAAAACAEAAA8AAAAAAAAAAQAgAAAAIgAAAGRycy9kb3ducmV2&#10;LnhtbFBLAQIUABQAAAAIAIdO4kBYiD24/wEAANgDAAAOAAAAAAAAAAEAIAAAACQBAABkcnMvZTJv&#10;RG9jLnhtbFBLBQYAAAAABgAGAFkBAACVBQ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发包人交货日期的要求</w:t>
                      </w:r>
                    </w:p>
                  </w:txbxContent>
                </v:textbox>
              </v:shape>
            </w:pict>
          </mc:Fallback>
        </mc:AlternateContent>
      </w:r>
      <w:r>
        <w:rPr>
          <w:rFonts w:hint="eastAsia" w:ascii="宋体" w:hAnsi="宋体" w:cs="宋体"/>
          <w:color w:val="auto"/>
          <w:szCs w:val="21"/>
        </w:rPr>
        <w:t>发包人供应材料和工程设备的，承包人应根据合同工程进度计划向监理工程师提交发包人交货的日期计划。经合同双方当事人商定交货日期后，发包人应准时向承包人供应材料和工程设备；否则，发包人应承担由此增加的费用和（或）延误的工期，并向承包人支付合理利润。</w:t>
      </w:r>
    </w:p>
    <w:p>
      <w:pPr>
        <w:adjustRightInd w:val="0"/>
        <w:snapToGrid w:val="0"/>
        <w:spacing w:line="360" w:lineRule="auto"/>
        <w:rPr>
          <w:rFonts w:ascii="宋体" w:hAnsi="宋体" w:cs="宋体"/>
          <w:b/>
          <w:color w:val="auto"/>
          <w:szCs w:val="21"/>
        </w:rPr>
      </w:pPr>
      <w:r>
        <w:rPr>
          <w:rFonts w:hint="eastAsia" w:ascii="宋体" w:hAnsi="宋体" w:cs="宋体"/>
          <w:b/>
          <w:color w:val="auto"/>
          <w:szCs w:val="21"/>
        </w:rPr>
        <w:t xml:space="preserve">48.3  </w:t>
      </w:r>
      <w:r>
        <w:rPr>
          <w:rFonts w:hint="eastAsia" w:ascii="宋体" w:hAnsi="宋体" w:cs="宋体"/>
          <w:b/>
          <w:color w:val="auto"/>
          <w:szCs w:val="21"/>
          <w:u w:val="dotted"/>
        </w:rPr>
        <w:t xml:space="preserve">                                                                                                        </w:t>
      </w:r>
    </w:p>
    <w:p>
      <w:pPr>
        <w:adjustRightInd w:val="0"/>
        <w:snapToGrid w:val="0"/>
        <w:spacing w:line="360" w:lineRule="auto"/>
        <w:ind w:left="1619" w:leftChars="771"/>
        <w:rPr>
          <w:rFonts w:ascii="宋体" w:hAnsi="宋体" w:cs="宋体"/>
          <w:color w:val="auto"/>
          <w:szCs w:val="21"/>
        </w:rPr>
      </w:pPr>
      <w:r>
        <w:rPr>
          <w:rFonts w:ascii="宋体" w:hAnsi="宋体" w:cs="宋体"/>
          <w:color w:val="auto"/>
          <w:szCs w:val="21"/>
        </w:rPr>
        <mc:AlternateContent>
          <mc:Choice Requires="wps">
            <w:drawing>
              <wp:anchor distT="0" distB="0" distL="114300" distR="114300" simplePos="0" relativeHeight="251716608" behindDoc="0" locked="0" layoutInCell="1" allowOverlap="1">
                <wp:simplePos x="0" y="0"/>
                <wp:positionH relativeFrom="column">
                  <wp:posOffset>-114300</wp:posOffset>
                </wp:positionH>
                <wp:positionV relativeFrom="paragraph">
                  <wp:posOffset>2540</wp:posOffset>
                </wp:positionV>
                <wp:extent cx="967740" cy="452755"/>
                <wp:effectExtent l="0" t="0" r="0" b="0"/>
                <wp:wrapNone/>
                <wp:docPr id="219" name="文本框 219"/>
                <wp:cNvGraphicFramePr/>
                <a:graphic xmlns:a="http://schemas.openxmlformats.org/drawingml/2006/main">
                  <a:graphicData uri="http://schemas.microsoft.com/office/word/2010/wordprocessingShape">
                    <wps:wsp>
                      <wps:cNvSpPr txBox="1">
                        <a:spLocks noChangeArrowheads="1"/>
                      </wps:cNvSpPr>
                      <wps:spPr bwMode="auto">
                        <a:xfrm>
                          <a:off x="0" y="0"/>
                          <a:ext cx="967740" cy="452755"/>
                        </a:xfrm>
                        <a:prstGeom prst="rect">
                          <a:avLst/>
                        </a:prstGeom>
                        <a:noFill/>
                        <a:ln>
                          <a:noFill/>
                        </a:ln>
                        <a:effectLst/>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发包人供应材料和工程设备</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2pt;height:35.65pt;width:76.2pt;z-index:251716608;mso-width-relative:page;mso-height-relative:page;" filled="f" stroked="f" coordsize="21600,21600" o:gfxdata="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4813xdUAAAAHAQAADwAAAAAAAAABACAAAAAiAAAAZHJzL2Rvd25y&#10;ZXYueG1sUEsBAhQAFAAAAAgAh07iQIw6NT4BAgAA2AMAAA4AAAAAAAAAAQAgAAAAJAEAAGRycy9l&#10;Mm9Eb2MueG1sUEsFBgAAAAAGAAYAWQEAAJcFA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发包人供应材料和工程设备</w:t>
                      </w:r>
                    </w:p>
                  </w:txbxContent>
                </v:textbox>
              </v:shape>
            </w:pict>
          </mc:Fallback>
        </mc:AlternateContent>
      </w:r>
      <w:r>
        <w:rPr>
          <w:rFonts w:hint="eastAsia" w:ascii="宋体" w:hAnsi="宋体" w:cs="宋体"/>
          <w:color w:val="auto"/>
          <w:szCs w:val="21"/>
        </w:rPr>
        <w:t>发包人应按照一览表内容和第48.2款交货日期向承包人供应材料和工程设备，并提供产品质量合格证明文件，对材料和工程设备质量负责。发包人应在材料和工程设备到货前至少提前24小时，以书面形式通知承包人和监理工程师，并在监理工程师的见证下与承包人共同清点，同时在施工现场内合理堆放。</w:t>
      </w:r>
    </w:p>
    <w:p>
      <w:pPr>
        <w:adjustRightInd w:val="0"/>
        <w:snapToGrid w:val="0"/>
        <w:spacing w:line="360" w:lineRule="auto"/>
        <w:rPr>
          <w:rFonts w:ascii="宋体" w:hAnsi="宋体" w:cs="宋体"/>
          <w:b/>
          <w:color w:val="auto"/>
          <w:szCs w:val="21"/>
        </w:rPr>
      </w:pPr>
      <w:r>
        <w:rPr>
          <w:rFonts w:hint="eastAsia" w:ascii="宋体" w:hAnsi="宋体" w:cs="宋体"/>
          <w:b/>
          <w:color w:val="auto"/>
          <w:szCs w:val="21"/>
        </w:rPr>
        <w:t xml:space="preserve">48.4  </w:t>
      </w:r>
      <w:r>
        <w:rPr>
          <w:rFonts w:hint="eastAsia" w:ascii="宋体" w:hAnsi="宋体" w:cs="宋体"/>
          <w:b/>
          <w:color w:val="auto"/>
          <w:szCs w:val="21"/>
          <w:u w:val="dotted"/>
        </w:rPr>
        <w:t xml:space="preserve">                                                                                                        </w:t>
      </w:r>
    </w:p>
    <w:p>
      <w:pPr>
        <w:adjustRightInd w:val="0"/>
        <w:snapToGrid w:val="0"/>
        <w:spacing w:line="360" w:lineRule="auto"/>
        <w:ind w:left="1619" w:leftChars="771"/>
        <w:rPr>
          <w:rFonts w:ascii="宋体" w:hAnsi="宋体" w:cs="宋体"/>
          <w:color w:val="auto"/>
          <w:szCs w:val="21"/>
        </w:rPr>
      </w:pPr>
      <w:r>
        <w:rPr>
          <w:rFonts w:ascii="宋体" w:hAnsi="宋体" w:cs="宋体"/>
          <w:color w:val="auto"/>
          <w:szCs w:val="21"/>
        </w:rPr>
        <mc:AlternateContent>
          <mc:Choice Requires="wps">
            <w:drawing>
              <wp:anchor distT="0" distB="0" distL="114300" distR="114300" simplePos="0" relativeHeight="251943936" behindDoc="0" locked="0" layoutInCell="1" allowOverlap="1">
                <wp:simplePos x="0" y="0"/>
                <wp:positionH relativeFrom="column">
                  <wp:posOffset>-114300</wp:posOffset>
                </wp:positionH>
                <wp:positionV relativeFrom="paragraph">
                  <wp:posOffset>8890</wp:posOffset>
                </wp:positionV>
                <wp:extent cx="914400" cy="1019175"/>
                <wp:effectExtent l="0" t="0" r="0" b="0"/>
                <wp:wrapNone/>
                <wp:docPr id="218" name="文本框 218"/>
                <wp:cNvGraphicFramePr/>
                <a:graphic xmlns:a="http://schemas.openxmlformats.org/drawingml/2006/main">
                  <a:graphicData uri="http://schemas.microsoft.com/office/word/2010/wordprocessingShape">
                    <wps:wsp>
                      <wps:cNvSpPr txBox="1">
                        <a:spLocks noChangeArrowheads="1"/>
                      </wps:cNvSpPr>
                      <wps:spPr bwMode="auto">
                        <a:xfrm>
                          <a:off x="0" y="0"/>
                          <a:ext cx="914400" cy="1019175"/>
                        </a:xfrm>
                        <a:prstGeom prst="rect">
                          <a:avLst/>
                        </a:prstGeom>
                        <a:noFill/>
                        <a:ln>
                          <a:noFill/>
                        </a:ln>
                        <a:effectLst/>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发包人供应材料和工程设备的责任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7pt;height:80.25pt;width:72pt;z-index:251943936;mso-width-relative:page;mso-height-relative:page;" filled="f" stroked="f" coordsize="21600,21600" o:gfxdata="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2fA2H1QAAAAkBAAAPAAAAAAAAAAEAIAAAACIAAABkcnMvZG93bnJl&#10;di54bWxQSwECFAAUAAAACACHTuJAP4PHIwACAADZAwAADgAAAAAAAAABACAAAAAkAQAAZHJzL2Uy&#10;b0RvYy54bWxQSwUGAAAAAAYABgBZAQAAlgU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发包人供应材料和工程设备的责任</w:t>
                      </w:r>
                    </w:p>
                  </w:txbxContent>
                </v:textbox>
              </v:shape>
            </w:pict>
          </mc:Fallback>
        </mc:AlternateContent>
      </w:r>
      <w:r>
        <w:rPr>
          <w:rFonts w:hint="eastAsia" w:ascii="宋体" w:hAnsi="宋体" w:cs="宋体"/>
          <w:color w:val="auto"/>
          <w:szCs w:val="21"/>
        </w:rPr>
        <w:t>发包人应保证供应的材料和工程设备符合标准与规范、设计要求和合同约定的要求。如不符合要求，承包人有权拒绝，并要求发包人将其运出施工现场，重新供应符合要求的产品，发包人应承担由此增加的费用和（或）延误的工期，并向承包人支付合理利润。</w:t>
      </w:r>
    </w:p>
    <w:p>
      <w:pPr>
        <w:adjustRightInd w:val="0"/>
        <w:snapToGrid w:val="0"/>
        <w:spacing w:line="360" w:lineRule="auto"/>
        <w:rPr>
          <w:rFonts w:ascii="宋体" w:hAnsi="宋体" w:cs="宋体"/>
          <w:color w:val="auto"/>
          <w:szCs w:val="21"/>
        </w:rPr>
      </w:pPr>
      <w:r>
        <w:rPr>
          <w:rFonts w:hint="eastAsia" w:ascii="宋体" w:hAnsi="宋体" w:cs="宋体"/>
          <w:b/>
          <w:color w:val="auto"/>
          <w:szCs w:val="21"/>
        </w:rPr>
        <w:t xml:space="preserve">48.5  </w:t>
      </w:r>
      <w:r>
        <w:rPr>
          <w:rFonts w:hint="eastAsia" w:ascii="宋体" w:hAnsi="宋体" w:cs="宋体"/>
          <w:color w:val="auto"/>
          <w:szCs w:val="21"/>
          <w:u w:val="dotted"/>
        </w:rPr>
        <w:t xml:space="preserve">                                                                                                        </w:t>
      </w:r>
    </w:p>
    <w:p>
      <w:pPr>
        <w:adjustRightInd w:val="0"/>
        <w:snapToGrid w:val="0"/>
        <w:spacing w:line="360" w:lineRule="auto"/>
        <w:ind w:left="1619" w:leftChars="771"/>
        <w:rPr>
          <w:rFonts w:ascii="宋体" w:hAnsi="宋体" w:cs="宋体"/>
          <w:color w:val="auto"/>
          <w:szCs w:val="21"/>
        </w:rPr>
      </w:pPr>
      <w:r>
        <w:rPr>
          <w:rFonts w:ascii="宋体" w:hAnsi="宋体" w:cs="宋体"/>
          <w:color w:val="auto"/>
          <w:szCs w:val="21"/>
        </w:rPr>
        <mc:AlternateContent>
          <mc:Choice Requires="wps">
            <w:drawing>
              <wp:anchor distT="0" distB="0" distL="114300" distR="114300" simplePos="0" relativeHeight="251717632" behindDoc="0" locked="0" layoutInCell="1" allowOverlap="1">
                <wp:simplePos x="0" y="0"/>
                <wp:positionH relativeFrom="column">
                  <wp:posOffset>-114300</wp:posOffset>
                </wp:positionH>
                <wp:positionV relativeFrom="paragraph">
                  <wp:posOffset>8890</wp:posOffset>
                </wp:positionV>
                <wp:extent cx="914400" cy="594360"/>
                <wp:effectExtent l="0" t="0" r="0" b="0"/>
                <wp:wrapNone/>
                <wp:docPr id="217" name="文本框 217"/>
                <wp:cNvGraphicFramePr/>
                <a:graphic xmlns:a="http://schemas.openxmlformats.org/drawingml/2006/main">
                  <a:graphicData uri="http://schemas.microsoft.com/office/word/2010/wordprocessingShape">
                    <wps:wsp>
                      <wps:cNvSpPr txBox="1">
                        <a:spLocks noChangeArrowheads="1"/>
                      </wps:cNvSpPr>
                      <wps:spPr bwMode="auto">
                        <a:xfrm>
                          <a:off x="0" y="0"/>
                          <a:ext cx="914400" cy="594360"/>
                        </a:xfrm>
                        <a:prstGeom prst="rect">
                          <a:avLst/>
                        </a:prstGeom>
                        <a:noFill/>
                        <a:ln>
                          <a:noFill/>
                        </a:ln>
                        <a:effectLst/>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承包人保管发包人供应的材料和工程设备</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7pt;height:46.8pt;width:72pt;z-index:251717632;mso-width-relative:page;mso-height-relative:page;" filled="f" stroked="f" coordsize="21600,21600" o:gfxdata="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E8N0EjUAAAACAEAAA8AAAAAAAAAAQAgAAAAIgAAAGRycy9kb3ducmV2&#10;LnhtbFBLAQIUABQAAAAIAIdO4kDPISK5AAIAANgDAAAOAAAAAAAAAAEAIAAAACMBAABkcnMvZTJv&#10;RG9jLnhtbFBLBQYAAAAABgAGAFkBAACVBQ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承包人保管发包人供应的材料和工程设备</w:t>
                      </w:r>
                    </w:p>
                  </w:txbxContent>
                </v:textbox>
              </v:shape>
            </w:pict>
          </mc:Fallback>
        </mc:AlternateContent>
      </w:r>
      <w:r>
        <w:rPr>
          <w:rFonts w:hint="eastAsia" w:ascii="宋体" w:hAnsi="宋体" w:cs="宋体"/>
          <w:color w:val="auto"/>
          <w:szCs w:val="21"/>
        </w:rPr>
        <w:t>发包人供应材料和工程设备的，经合同双方当事人共同清点后由承包人妥善保管，保管费由发包人承担；因承包人保管不善或承包人其它原因导致丢失或损害的，承包人应予赔偿。除工程量清单中已列有此类工作的支付项目和额度外，造价工程师应与合同双方当事人协商确定保管费，并增加到合同价款中；协商不能达成一致的，由造价工程师暂定，通知承包人并抄报发包人。</w:t>
      </w:r>
    </w:p>
    <w:p>
      <w:pPr>
        <w:adjustRightInd w:val="0"/>
        <w:snapToGrid w:val="0"/>
        <w:spacing w:line="360" w:lineRule="auto"/>
        <w:rPr>
          <w:rFonts w:ascii="宋体" w:hAnsi="宋体" w:cs="宋体"/>
          <w:b/>
          <w:color w:val="auto"/>
          <w:szCs w:val="21"/>
          <w:u w:val="dotted"/>
        </w:rPr>
      </w:pPr>
      <w:r>
        <w:rPr>
          <w:rFonts w:hint="eastAsia" w:ascii="宋体" w:hAnsi="宋体" w:cs="宋体"/>
          <w:b/>
          <w:color w:val="auto"/>
          <w:szCs w:val="21"/>
        </w:rPr>
        <w:t xml:space="preserve">48.6  </w:t>
      </w:r>
      <w:r>
        <w:rPr>
          <w:rFonts w:hint="eastAsia" w:ascii="宋体" w:hAnsi="宋体" w:cs="宋体"/>
          <w:b/>
          <w:color w:val="auto"/>
          <w:szCs w:val="21"/>
          <w:u w:val="dotted"/>
        </w:rPr>
        <w:t xml:space="preserve">                                                                                                        </w:t>
      </w:r>
    </w:p>
    <w:p>
      <w:pPr>
        <w:adjustRightInd w:val="0"/>
        <w:snapToGrid w:val="0"/>
        <w:spacing w:line="360" w:lineRule="auto"/>
        <w:ind w:left="1619" w:leftChars="771"/>
        <w:rPr>
          <w:rFonts w:ascii="宋体" w:hAnsi="宋体" w:cs="宋体"/>
          <w:color w:val="auto"/>
          <w:szCs w:val="21"/>
        </w:rPr>
      </w:pPr>
      <w:r>
        <w:rPr>
          <w:rFonts w:ascii="宋体" w:hAnsi="宋体" w:cs="宋体"/>
          <w:color w:val="auto"/>
          <w:szCs w:val="21"/>
        </w:rPr>
        <mc:AlternateContent>
          <mc:Choice Requires="wps">
            <w:drawing>
              <wp:anchor distT="0" distB="0" distL="114300" distR="114300" simplePos="0" relativeHeight="251718656" behindDoc="0" locked="0" layoutInCell="1" allowOverlap="1">
                <wp:simplePos x="0" y="0"/>
                <wp:positionH relativeFrom="column">
                  <wp:posOffset>-114300</wp:posOffset>
                </wp:positionH>
                <wp:positionV relativeFrom="paragraph">
                  <wp:posOffset>18415</wp:posOffset>
                </wp:positionV>
                <wp:extent cx="914400" cy="908685"/>
                <wp:effectExtent l="0" t="0" r="0" b="0"/>
                <wp:wrapNone/>
                <wp:docPr id="216" name="文本框 216"/>
                <wp:cNvGraphicFramePr/>
                <a:graphic xmlns:a="http://schemas.openxmlformats.org/drawingml/2006/main">
                  <a:graphicData uri="http://schemas.microsoft.com/office/word/2010/wordprocessingShape">
                    <wps:wsp>
                      <wps:cNvSpPr txBox="1">
                        <a:spLocks noChangeArrowheads="1"/>
                      </wps:cNvSpPr>
                      <wps:spPr bwMode="auto">
                        <a:xfrm>
                          <a:off x="0" y="0"/>
                          <a:ext cx="914400" cy="908685"/>
                        </a:xfrm>
                        <a:prstGeom prst="rect">
                          <a:avLst/>
                        </a:prstGeom>
                        <a:noFill/>
                        <a:ln>
                          <a:noFill/>
                        </a:ln>
                        <a:effectLst/>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供应材料和工程设备与约定不符时发包人的责任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45pt;height:71.55pt;width:72pt;z-index:251718656;mso-width-relative:page;mso-height-relative:page;" filled="f" stroked="f" coordsize="21600,21600" o:gfxdata="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fKojI9UAAAAJAQAADwAAAAAAAAABACAAAAAiAAAAZHJzL2Rvd25y&#10;ZXYueG1sUEsBAhQAFAAAAAgAh07iQAN3rusBAgAA2AMAAA4AAAAAAAAAAQAgAAAAJAEAAGRycy9l&#10;Mm9Eb2MueG1sUEsFBgAAAAAGAAYAWQEAAJcFA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供应材料和工程设备与约定不符时发包人的责任</w:t>
                      </w:r>
                    </w:p>
                  </w:txbxContent>
                </v:textbox>
              </v:shape>
            </w:pict>
          </mc:Fallback>
        </mc:AlternateContent>
      </w:r>
      <w:r>
        <w:rPr>
          <w:rFonts w:hint="eastAsia" w:ascii="宋体" w:hAnsi="宋体" w:cs="宋体"/>
          <w:color w:val="auto"/>
          <w:szCs w:val="21"/>
        </w:rPr>
        <w:t>发包人供应的材料和工程设备与一览表不符时，发包人应按照下列规定承担相应责任：</w:t>
      </w:r>
    </w:p>
    <w:p>
      <w:pPr>
        <w:numPr>
          <w:ilvl w:val="0"/>
          <w:numId w:val="25"/>
        </w:numPr>
        <w:tabs>
          <w:tab w:val="left" w:pos="1080"/>
          <w:tab w:val="left" w:pos="2160"/>
        </w:tabs>
        <w:adjustRightInd w:val="0"/>
        <w:snapToGrid w:val="0"/>
        <w:spacing w:line="360" w:lineRule="auto"/>
        <w:ind w:left="1619" w:leftChars="771"/>
        <w:rPr>
          <w:rFonts w:ascii="宋体" w:hAnsi="宋体" w:cs="宋体"/>
          <w:color w:val="auto"/>
          <w:szCs w:val="21"/>
        </w:rPr>
      </w:pPr>
      <w:r>
        <w:rPr>
          <w:rFonts w:hint="eastAsia" w:ascii="宋体" w:hAnsi="宋体" w:cs="宋体"/>
          <w:color w:val="auto"/>
          <w:szCs w:val="21"/>
        </w:rPr>
        <w:t>材料和工程设备的单价与一览表不符，由发包人承担所有价差；</w:t>
      </w:r>
    </w:p>
    <w:p>
      <w:pPr>
        <w:numPr>
          <w:ilvl w:val="0"/>
          <w:numId w:val="25"/>
        </w:numPr>
        <w:tabs>
          <w:tab w:val="left" w:pos="1080"/>
          <w:tab w:val="left" w:pos="1620"/>
        </w:tabs>
        <w:adjustRightInd w:val="0"/>
        <w:snapToGrid w:val="0"/>
        <w:spacing w:line="360" w:lineRule="auto"/>
        <w:ind w:left="1617" w:leftChars="769" w:hanging="2" w:hangingChars="1"/>
        <w:rPr>
          <w:rFonts w:ascii="宋体" w:hAnsi="宋体" w:cs="宋体"/>
          <w:color w:val="auto"/>
          <w:szCs w:val="21"/>
        </w:rPr>
      </w:pPr>
      <w:r>
        <w:rPr>
          <w:rFonts w:hint="eastAsia" w:ascii="宋体" w:hAnsi="宋体" w:cs="宋体"/>
          <w:color w:val="auto"/>
          <w:szCs w:val="21"/>
        </w:rPr>
        <w:t>材料和工程设备的品种、规格、型号、质量标准与一览表不符，承包人可以拒绝接受保管，由发包人运出施工场地并重新采购；</w:t>
      </w:r>
    </w:p>
    <w:p>
      <w:pPr>
        <w:numPr>
          <w:ilvl w:val="0"/>
          <w:numId w:val="25"/>
        </w:numPr>
        <w:tabs>
          <w:tab w:val="left" w:pos="1080"/>
          <w:tab w:val="left" w:pos="1620"/>
        </w:tabs>
        <w:adjustRightInd w:val="0"/>
        <w:snapToGrid w:val="0"/>
        <w:spacing w:line="360" w:lineRule="auto"/>
        <w:ind w:left="1617" w:leftChars="769" w:hanging="2" w:hangingChars="1"/>
        <w:rPr>
          <w:rFonts w:ascii="宋体" w:hAnsi="宋体" w:cs="宋体"/>
          <w:color w:val="auto"/>
          <w:szCs w:val="21"/>
        </w:rPr>
      </w:pPr>
      <w:r>
        <w:rPr>
          <w:rFonts w:hint="eastAsia" w:ascii="宋体" w:hAnsi="宋体" w:cs="宋体"/>
          <w:color w:val="auto"/>
          <w:szCs w:val="21"/>
        </w:rPr>
        <w:t>材料和工程设备的品种、规格、型号、质量标准与一览表不符，经发包人同意，承包人可代为调剂替换，由发包人承担相应费用；</w:t>
      </w:r>
    </w:p>
    <w:p>
      <w:pPr>
        <w:numPr>
          <w:ilvl w:val="0"/>
          <w:numId w:val="25"/>
        </w:numPr>
        <w:tabs>
          <w:tab w:val="left" w:pos="1620"/>
        </w:tabs>
        <w:adjustRightInd w:val="0"/>
        <w:snapToGrid w:val="0"/>
        <w:spacing w:line="360" w:lineRule="auto"/>
        <w:ind w:left="1618" w:leftChars="770" w:hanging="1"/>
        <w:rPr>
          <w:rFonts w:ascii="宋体" w:hAnsi="宋体" w:cs="宋体"/>
          <w:color w:val="auto"/>
          <w:szCs w:val="21"/>
        </w:rPr>
      </w:pPr>
      <w:r>
        <w:rPr>
          <w:rFonts w:hint="eastAsia" w:ascii="宋体" w:hAnsi="宋体" w:cs="宋体"/>
          <w:color w:val="auto"/>
          <w:szCs w:val="21"/>
        </w:rPr>
        <w:t>交货地点与一览表不符，除合同双方当事人协商确定外，由发包人重新运至一览表指定地点，并承担由此增加的费用和（或）延误的工期；</w:t>
      </w:r>
    </w:p>
    <w:p>
      <w:pPr>
        <w:tabs>
          <w:tab w:val="left" w:pos="2160"/>
        </w:tabs>
        <w:adjustRightInd w:val="0"/>
        <w:snapToGrid w:val="0"/>
        <w:spacing w:line="360" w:lineRule="auto"/>
        <w:ind w:left="1665" w:leftChars="750" w:hanging="90" w:hangingChars="43"/>
        <w:rPr>
          <w:rFonts w:ascii="宋体" w:hAnsi="宋体" w:cs="宋体"/>
          <w:color w:val="auto"/>
          <w:szCs w:val="21"/>
        </w:rPr>
      </w:pPr>
      <w:r>
        <w:rPr>
          <w:rFonts w:hint="eastAsia" w:ascii="宋体" w:hAnsi="宋体" w:cs="宋体"/>
          <w:color w:val="auto"/>
          <w:szCs w:val="21"/>
        </w:rPr>
        <w:t>(5)供应数量少于一览表约定的数量时，由发包人补齐；多于一览表约定的数量时，发包人应将多出的部分运出施工场地；</w:t>
      </w:r>
    </w:p>
    <w:p>
      <w:pPr>
        <w:tabs>
          <w:tab w:val="left" w:pos="1980"/>
        </w:tabs>
        <w:adjustRightInd w:val="0"/>
        <w:snapToGrid w:val="0"/>
        <w:spacing w:line="360" w:lineRule="auto"/>
        <w:ind w:left="1680" w:leftChars="800"/>
        <w:rPr>
          <w:rFonts w:ascii="宋体" w:hAnsi="宋体" w:cs="宋体"/>
          <w:color w:val="auto"/>
          <w:szCs w:val="21"/>
        </w:rPr>
      </w:pPr>
      <w:r>
        <w:rPr>
          <w:rFonts w:hint="eastAsia" w:ascii="宋体" w:hAnsi="宋体" w:cs="宋体"/>
          <w:color w:val="auto"/>
          <w:szCs w:val="21"/>
        </w:rPr>
        <w:t>(6)交货时间早于一览表约定计划和第48.2款交货日期，由发包人承担由此发生的保管费；交货时间迟于一览表约定计划和第48.2款交货日期，由发包人承担由此增加的费用和（或）延误的工期。</w:t>
      </w:r>
    </w:p>
    <w:p>
      <w:pPr>
        <w:tabs>
          <w:tab w:val="left" w:pos="2160"/>
        </w:tabs>
        <w:adjustRightInd w:val="0"/>
        <w:snapToGrid w:val="0"/>
        <w:spacing w:line="360" w:lineRule="auto"/>
        <w:rPr>
          <w:rFonts w:ascii="宋体" w:hAnsi="宋体" w:cs="宋体"/>
          <w:b/>
          <w:color w:val="auto"/>
          <w:szCs w:val="21"/>
        </w:rPr>
      </w:pPr>
      <w:r>
        <w:rPr>
          <w:rFonts w:hint="eastAsia" w:ascii="宋体" w:hAnsi="宋体" w:cs="宋体"/>
          <w:b/>
          <w:color w:val="auto"/>
          <w:szCs w:val="21"/>
        </w:rPr>
        <w:t xml:space="preserve">48.7 </w:t>
      </w:r>
      <w:r>
        <w:rPr>
          <w:rFonts w:hint="eastAsia" w:ascii="宋体" w:hAnsi="宋体" w:cs="宋体"/>
          <w:b/>
          <w:color w:val="auto"/>
          <w:szCs w:val="21"/>
          <w:u w:val="dotted"/>
        </w:rPr>
        <w:t xml:space="preserve">                                                                                 </w:t>
      </w:r>
    </w:p>
    <w:p>
      <w:pPr>
        <w:adjustRightInd w:val="0"/>
        <w:snapToGrid w:val="0"/>
        <w:spacing w:line="360" w:lineRule="auto"/>
        <w:ind w:left="1619" w:leftChars="771"/>
        <w:rPr>
          <w:rFonts w:ascii="宋体" w:hAnsi="宋体" w:cs="宋体"/>
          <w:color w:val="auto"/>
          <w:szCs w:val="21"/>
        </w:rPr>
      </w:pPr>
      <w:r>
        <w:rPr>
          <w:rFonts w:ascii="宋体" w:hAnsi="宋体" w:cs="宋体"/>
          <w:color w:val="auto"/>
          <w:szCs w:val="21"/>
        </w:rPr>
        <mc:AlternateContent>
          <mc:Choice Requires="wps">
            <w:drawing>
              <wp:anchor distT="0" distB="0" distL="114300" distR="114300" simplePos="0" relativeHeight="251719680" behindDoc="0" locked="0" layoutInCell="1" allowOverlap="1">
                <wp:simplePos x="0" y="0"/>
                <wp:positionH relativeFrom="column">
                  <wp:posOffset>-114300</wp:posOffset>
                </wp:positionH>
                <wp:positionV relativeFrom="paragraph">
                  <wp:posOffset>17145</wp:posOffset>
                </wp:positionV>
                <wp:extent cx="914400" cy="611505"/>
                <wp:effectExtent l="0" t="0" r="0" b="0"/>
                <wp:wrapNone/>
                <wp:docPr id="215" name="文本框 215"/>
                <wp:cNvGraphicFramePr/>
                <a:graphic xmlns:a="http://schemas.openxmlformats.org/drawingml/2006/main">
                  <a:graphicData uri="http://schemas.microsoft.com/office/word/2010/wordprocessingShape">
                    <wps:wsp>
                      <wps:cNvSpPr txBox="1">
                        <a:spLocks noChangeArrowheads="1"/>
                      </wps:cNvSpPr>
                      <wps:spPr bwMode="auto">
                        <a:xfrm>
                          <a:off x="0" y="0"/>
                          <a:ext cx="914400" cy="611505"/>
                        </a:xfrm>
                        <a:prstGeom prst="rect">
                          <a:avLst/>
                        </a:prstGeom>
                        <a:noFill/>
                        <a:ln>
                          <a:noFill/>
                        </a:ln>
                        <a:effectLst/>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供应材料和工程设备使用前的检验</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35pt;height:48.15pt;width:72pt;z-index:251719680;mso-width-relative:page;mso-height-relative:page;" filled="f" stroked="f" coordsize="21600,21600" o:gfxdata="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Dp0Z6XVAAAACAEAAA8AAAAAAAAAAQAgAAAAIgAAAGRycy9kb3ducmV2&#10;LnhtbFBLAQIUABQAAAAIAIdO4kD0kdcu/wEAANgDAAAOAAAAAAAAAAEAIAAAACQBAABkcnMvZTJv&#10;RG9jLnhtbFBLBQYAAAAABgAGAFkBAACVBQ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供应材料和工程设备使用前的检验</w:t>
                      </w:r>
                    </w:p>
                  </w:txbxContent>
                </v:textbox>
              </v:shape>
            </w:pict>
          </mc:Fallback>
        </mc:AlternateContent>
      </w:r>
      <w:r>
        <w:rPr>
          <w:rFonts w:hint="eastAsia" w:ascii="宋体" w:hAnsi="宋体" w:cs="宋体"/>
          <w:color w:val="auto"/>
          <w:szCs w:val="21"/>
        </w:rPr>
        <w:t>发包人供应的材料和工程设备使用前，由监理工程师会同承包人进行检验试验，查验材料合格证明和产品合格证书。合同双方当事人应做好检验书面记录，并要求指定人选及时办理签认手续。不合格的，禁止在合同工程中使用。</w:t>
      </w:r>
    </w:p>
    <w:p>
      <w:pPr>
        <w:adjustRightInd w:val="0"/>
        <w:snapToGrid w:val="0"/>
        <w:spacing w:beforeLines="50"/>
        <w:rPr>
          <w:rFonts w:ascii="宋体" w:hAnsi="宋体" w:cs="宋体"/>
          <w:b/>
          <w:color w:val="auto"/>
          <w:szCs w:val="21"/>
        </w:rPr>
      </w:pPr>
      <w:r>
        <w:rPr>
          <w:rFonts w:hint="eastAsia" w:ascii="宋体" w:hAnsi="宋体" w:cs="宋体"/>
          <w:b/>
          <w:color w:val="auto"/>
          <w:szCs w:val="21"/>
        </w:rPr>
        <w:t xml:space="preserve">48.8  </w:t>
      </w:r>
      <w:r>
        <w:rPr>
          <w:rFonts w:hint="eastAsia" w:ascii="宋体" w:hAnsi="宋体" w:cs="宋体"/>
          <w:b/>
          <w:color w:val="auto"/>
          <w:szCs w:val="21"/>
          <w:u w:val="dotted"/>
        </w:rPr>
        <w:t xml:space="preserve">                                                                                                        </w:t>
      </w:r>
    </w:p>
    <w:p>
      <w:pPr>
        <w:adjustRightInd w:val="0"/>
        <w:snapToGrid w:val="0"/>
        <w:spacing w:line="360" w:lineRule="auto"/>
        <w:ind w:left="1619" w:leftChars="771"/>
        <w:rPr>
          <w:rFonts w:ascii="宋体" w:hAnsi="宋体" w:cs="宋体"/>
          <w:color w:val="auto"/>
          <w:szCs w:val="21"/>
        </w:rPr>
      </w:pPr>
      <w:r>
        <w:rPr>
          <w:rFonts w:ascii="宋体" w:hAnsi="宋体" w:cs="宋体"/>
          <w:color w:val="auto"/>
          <w:szCs w:val="21"/>
        </w:rPr>
        <mc:AlternateContent>
          <mc:Choice Requires="wps">
            <w:drawing>
              <wp:anchor distT="0" distB="0" distL="114300" distR="114300" simplePos="0" relativeHeight="251720704" behindDoc="0" locked="0" layoutInCell="1" allowOverlap="1">
                <wp:simplePos x="0" y="0"/>
                <wp:positionH relativeFrom="column">
                  <wp:posOffset>-114300</wp:posOffset>
                </wp:positionH>
                <wp:positionV relativeFrom="paragraph">
                  <wp:posOffset>7620</wp:posOffset>
                </wp:positionV>
                <wp:extent cx="1028700" cy="297180"/>
                <wp:effectExtent l="0" t="0" r="0" b="0"/>
                <wp:wrapNone/>
                <wp:docPr id="214" name="文本框 214"/>
                <wp:cNvGraphicFramePr/>
                <a:graphic xmlns:a="http://schemas.openxmlformats.org/drawingml/2006/main">
                  <a:graphicData uri="http://schemas.microsoft.com/office/word/2010/wordprocessingShape">
                    <wps:wsp>
                      <wps:cNvSpPr txBox="1">
                        <a:spLocks noChangeArrowheads="1"/>
                      </wps:cNvSpPr>
                      <wps:spPr bwMode="auto">
                        <a:xfrm>
                          <a:off x="0" y="0"/>
                          <a:ext cx="1028700" cy="297180"/>
                        </a:xfrm>
                        <a:prstGeom prst="rect">
                          <a:avLst/>
                        </a:prstGeom>
                        <a:noFill/>
                        <a:ln>
                          <a:noFill/>
                        </a:ln>
                        <a:effectLst/>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约定结算方式</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6pt;height:23.4pt;width:81pt;z-index:251720704;mso-width-relative:page;mso-height-relative:page;" filled="f" stroked="f" coordsize="21600,21600" o:gfxdata="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uWJoN1AAAAAgBAAAPAAAAAAAAAAEAIAAAACIAAABkcnMvZG93bnJl&#10;di54bWxQSwECFAAUAAAACACHTuJAOK7dnwECAADZAwAADgAAAAAAAAABACAAAAAjAQAAZHJzL2Uy&#10;b0RvYy54bWxQSwUGAAAAAAYABgBZAQAAlgU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约定结算方式</w:t>
                      </w:r>
                    </w:p>
                  </w:txbxContent>
                </v:textbox>
              </v:shape>
            </w:pict>
          </mc:Fallback>
        </mc:AlternateContent>
      </w:r>
      <w:r>
        <w:rPr>
          <w:rFonts w:hint="eastAsia" w:ascii="宋体" w:hAnsi="宋体" w:cs="宋体"/>
          <w:color w:val="auto"/>
          <w:szCs w:val="21"/>
        </w:rPr>
        <w:t>发包人供应材料和工程设备的结算方式，由合同双方当事人在专用条款中约定。除工程量清单中已列有规费、税金项目的计算方法和额度，可由承包人代收代缴外，该结算方式发包人应按照政府有关部门和税务部门规定缴纳合同工程的规费、税金。</w:t>
      </w:r>
    </w:p>
    <w:p>
      <w:pPr>
        <w:adjustRightInd w:val="0"/>
        <w:snapToGrid w:val="0"/>
        <w:rPr>
          <w:rFonts w:ascii="宋体" w:hAnsi="宋体" w:cs="宋体"/>
          <w:b/>
          <w:color w:val="auto"/>
          <w:szCs w:val="21"/>
          <w:u w:val="single"/>
        </w:rPr>
      </w:pPr>
      <w:r>
        <w:rPr>
          <w:rFonts w:hint="eastAsia" w:ascii="宋体" w:hAnsi="宋体" w:cs="宋体"/>
          <w:b/>
          <w:color w:val="auto"/>
          <w:szCs w:val="21"/>
          <w:u w:val="single"/>
        </w:rPr>
        <w:t xml:space="preserve">                                                                                                         </w:t>
      </w:r>
    </w:p>
    <w:p>
      <w:pPr>
        <w:tabs>
          <w:tab w:val="left" w:pos="540"/>
        </w:tabs>
        <w:adjustRightInd w:val="0"/>
        <w:snapToGrid w:val="0"/>
        <w:spacing w:beforeLines="100"/>
        <w:ind w:right="-238" w:firstLine="420" w:firstLineChars="200"/>
        <w:rPr>
          <w:rFonts w:ascii="宋体" w:hAnsi="宋体" w:cs="宋体"/>
          <w:color w:val="auto"/>
          <w:kern w:val="0"/>
          <w:szCs w:val="21"/>
        </w:rPr>
      </w:pPr>
    </w:p>
    <w:p>
      <w:pPr>
        <w:adjustRightInd w:val="0"/>
        <w:snapToGrid w:val="0"/>
        <w:spacing w:line="360" w:lineRule="auto"/>
        <w:rPr>
          <w:rFonts w:ascii="宋体" w:hAnsi="宋体" w:cs="宋体"/>
          <w:b/>
          <w:color w:val="auto"/>
          <w:szCs w:val="21"/>
        </w:rPr>
      </w:pPr>
      <w:r>
        <w:rPr>
          <w:rFonts w:hint="eastAsia" w:ascii="宋体" w:hAnsi="宋体" w:cs="宋体"/>
          <w:b/>
          <w:color w:val="auto"/>
          <w:szCs w:val="21"/>
        </w:rPr>
        <w:t>49  承包人采购材料和工程设备</w:t>
      </w:r>
    </w:p>
    <w:p>
      <w:pPr>
        <w:adjustRightInd w:val="0"/>
        <w:snapToGrid w:val="0"/>
        <w:spacing w:line="360" w:lineRule="auto"/>
        <w:rPr>
          <w:rFonts w:ascii="宋体" w:hAnsi="宋体" w:cs="宋体"/>
          <w:b/>
          <w:color w:val="auto"/>
          <w:szCs w:val="21"/>
        </w:rPr>
      </w:pPr>
      <w:r>
        <w:rPr>
          <w:rFonts w:hint="eastAsia" w:ascii="宋体" w:hAnsi="宋体" w:cs="宋体"/>
          <w:b/>
          <w:color w:val="auto"/>
          <w:szCs w:val="21"/>
        </w:rPr>
        <w:t xml:space="preserve">49.1 </w:t>
      </w:r>
    </w:p>
    <w:p>
      <w:pPr>
        <w:adjustRightInd w:val="0"/>
        <w:snapToGrid w:val="0"/>
        <w:spacing w:line="360" w:lineRule="auto"/>
        <w:ind w:left="1619" w:leftChars="771"/>
        <w:rPr>
          <w:rFonts w:ascii="宋体" w:hAnsi="宋体" w:cs="宋体"/>
          <w:color w:val="auto"/>
          <w:szCs w:val="21"/>
        </w:rPr>
      </w:pPr>
      <w:r>
        <w:rPr>
          <w:rFonts w:ascii="宋体" w:hAnsi="宋体" w:cs="宋体"/>
          <w:color w:val="auto"/>
          <w:szCs w:val="21"/>
        </w:rPr>
        <mc:AlternateContent>
          <mc:Choice Requires="wps">
            <w:drawing>
              <wp:anchor distT="0" distB="0" distL="114300" distR="114300" simplePos="0" relativeHeight="251721728" behindDoc="0" locked="0" layoutInCell="1" allowOverlap="1">
                <wp:simplePos x="0" y="0"/>
                <wp:positionH relativeFrom="column">
                  <wp:posOffset>-114300</wp:posOffset>
                </wp:positionH>
                <wp:positionV relativeFrom="paragraph">
                  <wp:posOffset>17145</wp:posOffset>
                </wp:positionV>
                <wp:extent cx="914400" cy="486410"/>
                <wp:effectExtent l="0" t="0" r="0" b="0"/>
                <wp:wrapNone/>
                <wp:docPr id="213" name="文本框 213"/>
                <wp:cNvGraphicFramePr/>
                <a:graphic xmlns:a="http://schemas.openxmlformats.org/drawingml/2006/main">
                  <a:graphicData uri="http://schemas.microsoft.com/office/word/2010/wordprocessingShape">
                    <wps:wsp>
                      <wps:cNvSpPr txBox="1">
                        <a:spLocks noChangeArrowheads="1"/>
                      </wps:cNvSpPr>
                      <wps:spPr bwMode="auto">
                        <a:xfrm>
                          <a:off x="0" y="0"/>
                          <a:ext cx="914400" cy="486410"/>
                        </a:xfrm>
                        <a:prstGeom prst="rect">
                          <a:avLst/>
                        </a:prstGeom>
                        <a:noFill/>
                        <a:ln>
                          <a:noFill/>
                        </a:ln>
                        <a:effectLst/>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承包人采购材料和工程设备</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35pt;height:38.3pt;width:72pt;z-index:251721728;mso-width-relative:page;mso-height-relative:page;" filled="f" stroked="f" coordsize="21600,21600" o:gfxdata="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I/7+1dYAAAAIAQAADwAAAAAAAAABACAAAAAiAAAAZHJzL2Rvd25y&#10;ZXYueG1sUEsBAhQAFAAAAAgAh07iQAJcj4sAAgAA2AMAAA4AAAAAAAAAAQAgAAAAJQEAAGRycy9l&#10;Mm9Eb2MueG1sUEsFBgAAAAAGAAYAWQEAAJcFA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承包人采购材料和工程设备</w:t>
                      </w:r>
                    </w:p>
                  </w:txbxContent>
                </v:textbox>
              </v:shape>
            </w:pict>
          </mc:Fallback>
        </mc:AlternateContent>
      </w:r>
      <w:r>
        <w:rPr>
          <w:rFonts w:hint="eastAsia" w:ascii="宋体" w:hAnsi="宋体" w:cs="宋体"/>
          <w:color w:val="auto"/>
          <w:szCs w:val="21"/>
        </w:rPr>
        <w:t>承包人负责采购材料和工程设备的，应按照标准与规范、设计要求和合同约定的要求采购，并提供产品质量合格证明文件，对材料和工程设备质量负责。承包人采购招标工程的材料和工程设备，应与其提交的响应文件相应内容一致。除专用条款另有约定外，上述材料和工程设备均由承包人负责运输和保管。</w:t>
      </w:r>
    </w:p>
    <w:p>
      <w:pPr>
        <w:adjustRightInd w:val="0"/>
        <w:snapToGrid w:val="0"/>
        <w:spacing w:line="360" w:lineRule="auto"/>
        <w:rPr>
          <w:rFonts w:ascii="宋体" w:hAnsi="宋体" w:cs="宋体"/>
          <w:b/>
          <w:color w:val="auto"/>
          <w:szCs w:val="21"/>
        </w:rPr>
      </w:pPr>
      <w:r>
        <w:rPr>
          <w:rFonts w:hint="eastAsia" w:ascii="宋体" w:hAnsi="宋体" w:cs="宋体"/>
          <w:b/>
          <w:color w:val="auto"/>
          <w:szCs w:val="21"/>
        </w:rPr>
        <w:t xml:space="preserve">49.2 </w:t>
      </w:r>
      <w:r>
        <w:rPr>
          <w:rFonts w:hint="eastAsia" w:ascii="宋体" w:hAnsi="宋体" w:cs="宋体"/>
          <w:b/>
          <w:color w:val="auto"/>
          <w:szCs w:val="21"/>
          <w:u w:val="dotted"/>
        </w:rPr>
        <w:t xml:space="preserve">                                                                         </w:t>
      </w:r>
    </w:p>
    <w:p>
      <w:pPr>
        <w:adjustRightInd w:val="0"/>
        <w:snapToGrid w:val="0"/>
        <w:spacing w:line="360" w:lineRule="auto"/>
        <w:ind w:left="1619" w:leftChars="771"/>
        <w:rPr>
          <w:rFonts w:ascii="宋体" w:hAnsi="宋体" w:cs="宋体"/>
          <w:color w:val="auto"/>
          <w:szCs w:val="21"/>
        </w:rPr>
      </w:pPr>
      <w:r>
        <w:rPr>
          <w:rFonts w:ascii="宋体" w:hAnsi="宋体" w:cs="宋体"/>
          <w:color w:val="auto"/>
          <w:szCs w:val="21"/>
        </w:rPr>
        <mc:AlternateContent>
          <mc:Choice Requires="wps">
            <w:drawing>
              <wp:anchor distT="0" distB="0" distL="114300" distR="114300" simplePos="0" relativeHeight="251944960" behindDoc="0" locked="0" layoutInCell="1" allowOverlap="1">
                <wp:simplePos x="0" y="0"/>
                <wp:positionH relativeFrom="column">
                  <wp:posOffset>-114300</wp:posOffset>
                </wp:positionH>
                <wp:positionV relativeFrom="paragraph">
                  <wp:posOffset>17145</wp:posOffset>
                </wp:positionV>
                <wp:extent cx="914400" cy="486410"/>
                <wp:effectExtent l="0" t="0" r="0" b="0"/>
                <wp:wrapNone/>
                <wp:docPr id="212" name="文本框 212"/>
                <wp:cNvGraphicFramePr/>
                <a:graphic xmlns:a="http://schemas.openxmlformats.org/drawingml/2006/main">
                  <a:graphicData uri="http://schemas.microsoft.com/office/word/2010/wordprocessingShape">
                    <wps:wsp>
                      <wps:cNvSpPr txBox="1">
                        <a:spLocks noChangeArrowheads="1"/>
                      </wps:cNvSpPr>
                      <wps:spPr bwMode="auto">
                        <a:xfrm>
                          <a:off x="0" y="0"/>
                          <a:ext cx="914400" cy="486410"/>
                        </a:xfrm>
                        <a:prstGeom prst="rect">
                          <a:avLst/>
                        </a:prstGeom>
                        <a:noFill/>
                        <a:ln>
                          <a:noFill/>
                        </a:ln>
                        <a:effectLst/>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承包人供货与清点要求</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35pt;height:38.3pt;width:72pt;z-index:251944960;mso-width-relative:page;mso-height-relative:page;" filled="f" stroked="f" coordsize="21600,21600" o:gfxdata="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I/7+1dYAAAAIAQAADwAAAAAAAAABACAAAAAiAAAAZHJzL2Rvd25y&#10;ZXYueG1sUEsBAhQAFAAAAAgAh07iQIaDOI8AAgAA2AMAAA4AAAAAAAAAAQAgAAAAJQEAAGRycy9l&#10;Mm9Eb2MueG1sUEsFBgAAAAAGAAYAWQEAAJcFA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承包人供货与清点要求</w:t>
                      </w:r>
                    </w:p>
                  </w:txbxContent>
                </v:textbox>
              </v:shape>
            </w:pict>
          </mc:Fallback>
        </mc:AlternateContent>
      </w:r>
      <w:r>
        <w:rPr>
          <w:rFonts w:hint="eastAsia" w:ascii="宋体" w:hAnsi="宋体" w:cs="宋体"/>
          <w:color w:val="auto"/>
          <w:szCs w:val="21"/>
        </w:rPr>
        <w:t>承包人应按照专用条款的约定，将各项材料和工程设备的供货人及品种、规格、数量和供货时间等情况以书面形式提交监理工程师确认，并由其报发包人批准后实施供货。承包人应在材料和工程设备到货前至少提前24小时，以书面形式通知发包人和监理工程师，并在监理工程师的见证下与发包人共同清点。</w:t>
      </w:r>
    </w:p>
    <w:p>
      <w:pPr>
        <w:adjustRightInd w:val="0"/>
        <w:snapToGrid w:val="0"/>
        <w:spacing w:line="360" w:lineRule="auto"/>
        <w:rPr>
          <w:rFonts w:ascii="宋体" w:hAnsi="宋体" w:cs="宋体"/>
          <w:b/>
          <w:color w:val="auto"/>
          <w:szCs w:val="21"/>
        </w:rPr>
      </w:pPr>
      <w:r>
        <w:rPr>
          <w:rFonts w:hint="eastAsia" w:ascii="宋体" w:hAnsi="宋体" w:cs="宋体"/>
          <w:b/>
          <w:color w:val="auto"/>
          <w:szCs w:val="21"/>
        </w:rPr>
        <w:t xml:space="preserve">49.3  </w:t>
      </w:r>
      <w:r>
        <w:rPr>
          <w:rFonts w:hint="eastAsia" w:ascii="宋体" w:hAnsi="宋体" w:cs="宋体"/>
          <w:b/>
          <w:color w:val="auto"/>
          <w:szCs w:val="21"/>
          <w:u w:val="dotted"/>
        </w:rPr>
        <w:t xml:space="preserve">                                                                                                        </w:t>
      </w:r>
    </w:p>
    <w:p>
      <w:pPr>
        <w:adjustRightInd w:val="0"/>
        <w:snapToGrid w:val="0"/>
        <w:spacing w:line="360" w:lineRule="auto"/>
        <w:ind w:left="1619" w:leftChars="771"/>
        <w:rPr>
          <w:rFonts w:ascii="宋体" w:hAnsi="宋体" w:cs="宋体"/>
          <w:color w:val="auto"/>
          <w:szCs w:val="21"/>
        </w:rPr>
      </w:pPr>
      <w:r>
        <w:rPr>
          <w:rFonts w:ascii="宋体" w:hAnsi="宋体" w:cs="宋体"/>
          <w:color w:val="auto"/>
          <w:szCs w:val="21"/>
        </w:rPr>
        <mc:AlternateContent>
          <mc:Choice Requires="wps">
            <w:drawing>
              <wp:anchor distT="0" distB="0" distL="114300" distR="114300" simplePos="0" relativeHeight="251722752" behindDoc="0" locked="0" layoutInCell="1" allowOverlap="1">
                <wp:simplePos x="0" y="0"/>
                <wp:positionH relativeFrom="column">
                  <wp:posOffset>-114300</wp:posOffset>
                </wp:positionH>
                <wp:positionV relativeFrom="paragraph">
                  <wp:posOffset>1270</wp:posOffset>
                </wp:positionV>
                <wp:extent cx="914400" cy="792480"/>
                <wp:effectExtent l="0" t="0" r="0" b="0"/>
                <wp:wrapNone/>
                <wp:docPr id="211" name="文本框 211"/>
                <wp:cNvGraphicFramePr/>
                <a:graphic xmlns:a="http://schemas.openxmlformats.org/drawingml/2006/main">
                  <a:graphicData uri="http://schemas.microsoft.com/office/word/2010/wordprocessingShape">
                    <wps:wsp>
                      <wps:cNvSpPr txBox="1">
                        <a:spLocks noChangeArrowheads="1"/>
                      </wps:cNvSpPr>
                      <wps:spPr bwMode="auto">
                        <a:xfrm>
                          <a:off x="0" y="0"/>
                          <a:ext cx="914400" cy="792480"/>
                        </a:xfrm>
                        <a:prstGeom prst="rect">
                          <a:avLst/>
                        </a:prstGeom>
                        <a:noFill/>
                        <a:ln>
                          <a:noFill/>
                        </a:ln>
                        <a:effectLst/>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承包人采购材料和工程设备的责任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1pt;height:62.4pt;width:72pt;z-index:251722752;mso-width-relative:page;mso-height-relative:page;" filled="f" stroked="f" coordsize="21600,21600" o:gfxdata="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JZDwqrUAAAACAEAAA8AAAAAAAAAAQAgAAAAIgAAAGRycy9kb3ducmV2&#10;LnhtbFBLAQIUABQAAAAIAIdO4kDp7CwFAAIAANgDAAAOAAAAAAAAAAEAIAAAACMBAABkcnMvZTJv&#10;RG9jLnhtbFBLBQYAAAAABgAGAFkBAACVBQ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承包人采购材料和工程设备的责任</w:t>
                      </w:r>
                    </w:p>
                  </w:txbxContent>
                </v:textbox>
              </v:shape>
            </w:pict>
          </mc:Fallback>
        </mc:AlternateContent>
      </w:r>
      <w:r>
        <w:rPr>
          <w:rFonts w:hint="eastAsia" w:ascii="宋体" w:hAnsi="宋体" w:cs="宋体"/>
          <w:color w:val="auto"/>
          <w:szCs w:val="21"/>
        </w:rPr>
        <w:t>承包人采购的材料和工程设备不符合标准与规范、设计要求和合同约定的要求时，应按照监理工程师的指令将其运出施工场地，重新采购符合要求的产品，由此增加的费用和（或）延误的工期由承包人承担。</w:t>
      </w:r>
    </w:p>
    <w:p>
      <w:pPr>
        <w:adjustRightInd w:val="0"/>
        <w:snapToGrid w:val="0"/>
        <w:spacing w:line="360" w:lineRule="auto"/>
        <w:rPr>
          <w:rFonts w:ascii="宋体" w:hAnsi="宋体" w:cs="宋体"/>
          <w:b/>
          <w:color w:val="auto"/>
          <w:szCs w:val="21"/>
        </w:rPr>
      </w:pPr>
      <w:r>
        <w:rPr>
          <w:rFonts w:hint="eastAsia" w:ascii="宋体" w:hAnsi="宋体" w:cs="宋体"/>
          <w:b/>
          <w:color w:val="auto"/>
          <w:szCs w:val="21"/>
        </w:rPr>
        <w:t xml:space="preserve">49.4  </w:t>
      </w:r>
      <w:r>
        <w:rPr>
          <w:rFonts w:hint="eastAsia" w:ascii="宋体" w:hAnsi="宋体" w:cs="宋体"/>
          <w:b/>
          <w:color w:val="auto"/>
          <w:szCs w:val="21"/>
          <w:u w:val="dotted"/>
        </w:rPr>
        <w:t xml:space="preserve">                                                                                                        </w:t>
      </w:r>
    </w:p>
    <w:p>
      <w:pPr>
        <w:adjustRightInd w:val="0"/>
        <w:snapToGrid w:val="0"/>
        <w:spacing w:line="360" w:lineRule="auto"/>
        <w:ind w:left="1619" w:leftChars="771"/>
        <w:rPr>
          <w:rFonts w:ascii="宋体" w:hAnsi="宋体" w:cs="宋体"/>
          <w:color w:val="auto"/>
          <w:szCs w:val="21"/>
        </w:rPr>
      </w:pPr>
      <w:r>
        <w:rPr>
          <w:rFonts w:ascii="宋体" w:hAnsi="宋体" w:cs="宋体"/>
          <w:color w:val="auto"/>
          <w:szCs w:val="21"/>
        </w:rPr>
        <mc:AlternateContent>
          <mc:Choice Requires="wps">
            <w:drawing>
              <wp:anchor distT="0" distB="0" distL="114300" distR="114300" simplePos="0" relativeHeight="251723776" behindDoc="0" locked="0" layoutInCell="1" allowOverlap="1">
                <wp:simplePos x="0" y="0"/>
                <wp:positionH relativeFrom="column">
                  <wp:posOffset>-114300</wp:posOffset>
                </wp:positionH>
                <wp:positionV relativeFrom="paragraph">
                  <wp:posOffset>-5080</wp:posOffset>
                </wp:positionV>
                <wp:extent cx="914400" cy="792480"/>
                <wp:effectExtent l="0" t="0" r="0" b="0"/>
                <wp:wrapNone/>
                <wp:docPr id="210" name="文本框 210"/>
                <wp:cNvGraphicFramePr/>
                <a:graphic xmlns:a="http://schemas.openxmlformats.org/drawingml/2006/main">
                  <a:graphicData uri="http://schemas.microsoft.com/office/word/2010/wordprocessingShape">
                    <wps:wsp>
                      <wps:cNvSpPr txBox="1">
                        <a:spLocks noChangeArrowheads="1"/>
                      </wps:cNvSpPr>
                      <wps:spPr bwMode="auto">
                        <a:xfrm>
                          <a:off x="0" y="0"/>
                          <a:ext cx="914400" cy="792480"/>
                        </a:xfrm>
                        <a:prstGeom prst="rect">
                          <a:avLst/>
                        </a:prstGeom>
                        <a:noFill/>
                        <a:ln>
                          <a:noFill/>
                        </a:ln>
                        <a:effectLst/>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承包人使用采购的材料和工程设备的责任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4pt;height:62.4pt;width:72pt;z-index:251723776;mso-width-relative:page;mso-height-relative:page;" filled="f" stroked="f" coordsize="21600,21600" o:gfxdata="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P46q4vUAAAACQEAAA8AAAAAAAAAAQAgAAAAIgAAAGRycy9kb3ducmV2&#10;LnhtbFBLAQIUABQAAAAIAIdO4kBtM5sBAAIAANgDAAAOAAAAAAAAAAEAIAAAACMBAABkcnMvZTJv&#10;RG9jLnhtbFBLBQYAAAAABgAGAFkBAACVBQ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承包人使用采购的材料和工程设备的责任</w:t>
                      </w:r>
                    </w:p>
                  </w:txbxContent>
                </v:textbox>
              </v:shape>
            </w:pict>
          </mc:Fallback>
        </mc:AlternateContent>
      </w:r>
      <w:r>
        <w:rPr>
          <w:rFonts w:hint="eastAsia" w:ascii="宋体" w:hAnsi="宋体" w:cs="宋体"/>
          <w:color w:val="auto"/>
          <w:szCs w:val="21"/>
        </w:rPr>
        <w:t>监理工程师发现承包人使用不符合标准与规范、设计要求和合同约定要求的材料和工程设备时，应迅速发出指令要求承包人立即停止使用，并拆除、修复或重新采购，由此增加的费用和（或）延误的工期由承包人承担。</w:t>
      </w:r>
    </w:p>
    <w:p>
      <w:pPr>
        <w:adjustRightInd w:val="0"/>
        <w:snapToGrid w:val="0"/>
        <w:spacing w:line="360" w:lineRule="auto"/>
        <w:rPr>
          <w:rFonts w:ascii="宋体" w:hAnsi="宋体" w:cs="宋体"/>
          <w:color w:val="auto"/>
          <w:szCs w:val="21"/>
        </w:rPr>
      </w:pPr>
      <w:r>
        <w:rPr>
          <w:rFonts w:ascii="宋体" w:hAnsi="宋体" w:cs="宋体"/>
          <w:color w:val="auto"/>
          <w:szCs w:val="21"/>
        </w:rPr>
        <mc:AlternateContent>
          <mc:Choice Requires="wps">
            <w:drawing>
              <wp:anchor distT="0" distB="0" distL="114300" distR="114300" simplePos="0" relativeHeight="251724800" behindDoc="0" locked="0" layoutInCell="1" allowOverlap="1">
                <wp:simplePos x="0" y="0"/>
                <wp:positionH relativeFrom="column">
                  <wp:posOffset>-114300</wp:posOffset>
                </wp:positionH>
                <wp:positionV relativeFrom="paragraph">
                  <wp:posOffset>242570</wp:posOffset>
                </wp:positionV>
                <wp:extent cx="914400" cy="441960"/>
                <wp:effectExtent l="0" t="0" r="0" b="0"/>
                <wp:wrapNone/>
                <wp:docPr id="209" name="文本框 209"/>
                <wp:cNvGraphicFramePr/>
                <a:graphic xmlns:a="http://schemas.openxmlformats.org/drawingml/2006/main">
                  <a:graphicData uri="http://schemas.microsoft.com/office/word/2010/wordprocessingShape">
                    <wps:wsp>
                      <wps:cNvSpPr txBox="1">
                        <a:spLocks noChangeArrowheads="1"/>
                      </wps:cNvSpPr>
                      <wps:spPr bwMode="auto">
                        <a:xfrm>
                          <a:off x="0" y="0"/>
                          <a:ext cx="914400" cy="441960"/>
                        </a:xfrm>
                        <a:prstGeom prst="rect">
                          <a:avLst/>
                        </a:prstGeom>
                        <a:noFill/>
                        <a:ln>
                          <a:noFill/>
                        </a:ln>
                        <a:effectLst/>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承包人不执行指令的责任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1pt;height:34.8pt;width:72pt;z-index:251724800;mso-width-relative:page;mso-height-relative:page;" filled="f" stroked="f" coordsize="21600,21600" o:gfxdata="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L3eY1HXAAAACgEAAA8AAAAAAAAAAQAgAAAAIgAAAGRycy9kb3du&#10;cmV2LnhtbFBLAQIUABQAAAAIAIdO4kAUIr0bAAIAANgDAAAOAAAAAAAAAAEAIAAAACYBAABkcnMv&#10;ZTJvRG9jLnhtbFBLBQYAAAAABgAGAFkBAACYBQ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承包人不执行指令的责任</w:t>
                      </w:r>
                    </w:p>
                  </w:txbxContent>
                </v:textbox>
              </v:shape>
            </w:pict>
          </mc:Fallback>
        </mc:AlternateContent>
      </w:r>
      <w:r>
        <w:rPr>
          <w:rFonts w:hint="eastAsia" w:ascii="宋体" w:hAnsi="宋体" w:cs="宋体"/>
          <w:b/>
          <w:color w:val="auto"/>
          <w:szCs w:val="21"/>
        </w:rPr>
        <w:t xml:space="preserve">49.5 </w:t>
      </w:r>
      <w:r>
        <w:rPr>
          <w:rFonts w:hint="eastAsia" w:ascii="宋体" w:hAnsi="宋体" w:cs="宋体"/>
          <w:color w:val="auto"/>
          <w:szCs w:val="21"/>
        </w:rPr>
        <w:t xml:space="preserve"> </w:t>
      </w:r>
      <w:r>
        <w:rPr>
          <w:rFonts w:hint="eastAsia" w:ascii="宋体" w:hAnsi="宋体" w:cs="宋体"/>
          <w:color w:val="auto"/>
          <w:szCs w:val="21"/>
          <w:u w:val="dotted"/>
        </w:rPr>
        <w:t xml:space="preserve">                                                                                                        </w:t>
      </w:r>
    </w:p>
    <w:p>
      <w:pPr>
        <w:adjustRightInd w:val="0"/>
        <w:snapToGrid w:val="0"/>
        <w:spacing w:line="360" w:lineRule="auto"/>
        <w:ind w:left="1619" w:leftChars="771"/>
        <w:rPr>
          <w:rFonts w:ascii="宋体" w:hAnsi="宋体" w:cs="宋体"/>
          <w:color w:val="auto"/>
          <w:szCs w:val="21"/>
        </w:rPr>
      </w:pPr>
      <w:r>
        <w:rPr>
          <w:rFonts w:hint="eastAsia" w:ascii="宋体" w:hAnsi="宋体" w:cs="宋体"/>
          <w:color w:val="auto"/>
          <w:szCs w:val="21"/>
        </w:rPr>
        <w:t>如果承包人不执行监理工程师依据第49.3款和第49.4款规定发出的指令,则发包人可自行或委托第三方执行该指令，由此发生的费用由承包人承担。该笔款项经造价工程师核实后，由发包人从应付或将付给或将付给承包人的工程款中扣除。</w:t>
      </w:r>
    </w:p>
    <w:p>
      <w:pPr>
        <w:adjustRightInd w:val="0"/>
        <w:snapToGrid w:val="0"/>
        <w:spacing w:line="360" w:lineRule="auto"/>
        <w:rPr>
          <w:rFonts w:ascii="宋体" w:hAnsi="宋体" w:cs="宋体"/>
          <w:b/>
          <w:color w:val="auto"/>
          <w:szCs w:val="21"/>
        </w:rPr>
      </w:pPr>
      <w:r>
        <w:rPr>
          <w:rFonts w:hint="eastAsia" w:ascii="宋体" w:hAnsi="宋体" w:cs="宋体"/>
          <w:b/>
          <w:color w:val="auto"/>
          <w:szCs w:val="21"/>
        </w:rPr>
        <w:t xml:space="preserve">49.6  </w:t>
      </w:r>
      <w:r>
        <w:rPr>
          <w:rFonts w:hint="eastAsia" w:ascii="宋体" w:hAnsi="宋体" w:cs="宋体"/>
          <w:b/>
          <w:color w:val="auto"/>
          <w:szCs w:val="21"/>
          <w:u w:val="dotted"/>
        </w:rPr>
        <w:t xml:space="preserve">                                                                                                       </w:t>
      </w:r>
      <w:r>
        <w:rPr>
          <w:rFonts w:hint="eastAsia" w:ascii="宋体" w:hAnsi="宋体" w:cs="宋体"/>
          <w:b/>
          <w:color w:val="auto"/>
          <w:szCs w:val="21"/>
        </w:rPr>
        <w:t xml:space="preserve"> </w:t>
      </w:r>
    </w:p>
    <w:p>
      <w:pPr>
        <w:tabs>
          <w:tab w:val="left" w:pos="1260"/>
        </w:tabs>
        <w:adjustRightInd w:val="0"/>
        <w:snapToGrid w:val="0"/>
        <w:spacing w:line="360" w:lineRule="auto"/>
        <w:ind w:left="1619" w:leftChars="771"/>
        <w:rPr>
          <w:rFonts w:ascii="宋体" w:hAnsi="宋体" w:cs="宋体"/>
          <w:color w:val="auto"/>
          <w:szCs w:val="21"/>
        </w:rPr>
      </w:pPr>
      <w:r>
        <w:rPr>
          <w:rFonts w:ascii="宋体" w:hAnsi="宋体" w:cs="宋体"/>
          <w:color w:val="auto"/>
          <w:szCs w:val="21"/>
        </w:rPr>
        <mc:AlternateContent>
          <mc:Choice Requires="wps">
            <w:drawing>
              <wp:anchor distT="0" distB="0" distL="114300" distR="114300" simplePos="0" relativeHeight="251725824" behindDoc="0" locked="0" layoutInCell="1" allowOverlap="1">
                <wp:simplePos x="0" y="0"/>
                <wp:positionH relativeFrom="column">
                  <wp:posOffset>-114300</wp:posOffset>
                </wp:positionH>
                <wp:positionV relativeFrom="paragraph">
                  <wp:posOffset>45720</wp:posOffset>
                </wp:positionV>
                <wp:extent cx="914400" cy="410845"/>
                <wp:effectExtent l="0" t="0" r="0" b="0"/>
                <wp:wrapNone/>
                <wp:docPr id="208" name="文本框 208"/>
                <wp:cNvGraphicFramePr/>
                <a:graphic xmlns:a="http://schemas.openxmlformats.org/drawingml/2006/main">
                  <a:graphicData uri="http://schemas.microsoft.com/office/word/2010/wordprocessingShape">
                    <wps:wsp>
                      <wps:cNvSpPr txBox="1">
                        <a:spLocks noChangeArrowheads="1"/>
                      </wps:cNvSpPr>
                      <wps:spPr bwMode="auto">
                        <a:xfrm>
                          <a:off x="0" y="0"/>
                          <a:ext cx="914400" cy="410845"/>
                        </a:xfrm>
                        <a:prstGeom prst="rect">
                          <a:avLst/>
                        </a:prstGeom>
                        <a:noFill/>
                        <a:ln>
                          <a:noFill/>
                        </a:ln>
                        <a:effectLst/>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使用替换材料的申请与批准</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6pt;height:32.35pt;width:72pt;z-index:251725824;mso-width-relative:page;mso-height-relative:page;" filled="f" stroked="f" coordsize="21600,21600" o:gfxdata="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R/6zdtQAAAAIAQAADwAAAAAAAAABACAAAAAiAAAAZHJzL2Rvd25yZXYu&#10;eG1sUEsBAhQAFAAAAAgAh07iQOIQ4uv/AQAA2AMAAA4AAAAAAAAAAQAgAAAAIwEAAGRycy9lMm9E&#10;b2MueG1sUEsFBgAAAAAGAAYAWQEAAJQFA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使用替换材料的申请与批准</w:t>
                      </w:r>
                    </w:p>
                  </w:txbxContent>
                </v:textbox>
              </v:shape>
            </w:pict>
          </mc:Fallback>
        </mc:AlternateContent>
      </w:r>
      <w:r>
        <w:rPr>
          <w:rFonts w:hint="eastAsia" w:ascii="宋体" w:hAnsi="宋体" w:cs="宋体"/>
          <w:color w:val="auto"/>
          <w:szCs w:val="21"/>
        </w:rPr>
        <w:t>承包人需要使用替换材料的，应经监理工程师同意并由其报发包人批准后方可实施，由此引起合同价款的增减由造价工程师与合同双方当事人协商确定；协商不能达成一致的，由造价工程师暂定，通知承包人并抄报发包人。</w:t>
      </w:r>
    </w:p>
    <w:p>
      <w:pPr>
        <w:adjustRightInd w:val="0"/>
        <w:snapToGrid w:val="0"/>
        <w:spacing w:line="360" w:lineRule="auto"/>
        <w:rPr>
          <w:rFonts w:ascii="宋体" w:hAnsi="宋体" w:cs="宋体"/>
          <w:b/>
          <w:color w:val="auto"/>
          <w:szCs w:val="21"/>
        </w:rPr>
      </w:pPr>
      <w:r>
        <w:rPr>
          <w:rFonts w:hint="eastAsia" w:ascii="宋体" w:hAnsi="宋体" w:cs="宋体"/>
          <w:b/>
          <w:color w:val="auto"/>
          <w:szCs w:val="21"/>
        </w:rPr>
        <w:t xml:space="preserve">49.7  </w:t>
      </w:r>
      <w:r>
        <w:rPr>
          <w:rFonts w:hint="eastAsia" w:ascii="宋体" w:hAnsi="宋体" w:cs="宋体"/>
          <w:b/>
          <w:color w:val="auto"/>
          <w:szCs w:val="21"/>
          <w:u w:val="dotted"/>
        </w:rPr>
        <w:t xml:space="preserve">                                                                                                       </w:t>
      </w:r>
    </w:p>
    <w:p>
      <w:pPr>
        <w:tabs>
          <w:tab w:val="left" w:pos="1800"/>
        </w:tabs>
        <w:adjustRightInd w:val="0"/>
        <w:snapToGrid w:val="0"/>
        <w:spacing w:beforeLines="50" w:line="360" w:lineRule="auto"/>
        <w:ind w:left="1619" w:leftChars="771"/>
        <w:rPr>
          <w:rFonts w:ascii="宋体" w:hAnsi="宋体" w:cs="宋体"/>
          <w:color w:val="auto"/>
          <w:szCs w:val="21"/>
        </w:rPr>
      </w:pPr>
      <w:r>
        <w:rPr>
          <w:rFonts w:ascii="宋体" w:hAnsi="宋体" w:cs="宋体"/>
          <w:color w:val="auto"/>
          <w:szCs w:val="21"/>
        </w:rPr>
        <mc:AlternateContent>
          <mc:Choice Requires="wps">
            <w:drawing>
              <wp:anchor distT="0" distB="0" distL="114300" distR="114300" simplePos="0" relativeHeight="251726848" behindDoc="0" locked="0" layoutInCell="1" allowOverlap="1">
                <wp:simplePos x="0" y="0"/>
                <wp:positionH relativeFrom="column">
                  <wp:posOffset>-114300</wp:posOffset>
                </wp:positionH>
                <wp:positionV relativeFrom="paragraph">
                  <wp:posOffset>30480</wp:posOffset>
                </wp:positionV>
                <wp:extent cx="914400" cy="819150"/>
                <wp:effectExtent l="0" t="0" r="0" b="0"/>
                <wp:wrapNone/>
                <wp:docPr id="207" name="文本框 207"/>
                <wp:cNvGraphicFramePr/>
                <a:graphic xmlns:a="http://schemas.openxmlformats.org/drawingml/2006/main">
                  <a:graphicData uri="http://schemas.microsoft.com/office/word/2010/wordprocessingShape">
                    <wps:wsp>
                      <wps:cNvSpPr txBox="1">
                        <a:spLocks noChangeArrowheads="1"/>
                      </wps:cNvSpPr>
                      <wps:spPr bwMode="auto">
                        <a:xfrm>
                          <a:off x="0" y="0"/>
                          <a:ext cx="914400" cy="819150"/>
                        </a:xfrm>
                        <a:prstGeom prst="rect">
                          <a:avLst/>
                        </a:prstGeom>
                        <a:noFill/>
                        <a:ln>
                          <a:noFill/>
                        </a:ln>
                        <a:effectLst/>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采购材料和工程设备使用前的检验</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4pt;height:64.5pt;width:72pt;z-index:251726848;mso-width-relative:page;mso-height-relative:page;" filled="f" stroked="f" coordsize="21600,21600" o:gfxdata="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b/bPc9YAAAAJAQAADwAAAAAAAAABACAAAAAiAAAAZHJzL2Rvd25y&#10;ZXYueG1sUEsBAhQAFAAAAAgAh07iQH3dzBcAAgAA2AMAAA4AAAAAAAAAAQAgAAAAJQEAAGRycy9l&#10;Mm9Eb2MueG1sUEsFBgAAAAAGAAYAWQEAAJcFA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采购材料和工程设备使用前的检验</w:t>
                      </w:r>
                    </w:p>
                  </w:txbxContent>
                </v:textbox>
              </v:shape>
            </w:pict>
          </mc:Fallback>
        </mc:AlternateContent>
      </w:r>
      <w:r>
        <w:rPr>
          <w:rFonts w:hint="eastAsia" w:ascii="宋体" w:hAnsi="宋体" w:cs="宋体"/>
          <w:color w:val="auto"/>
          <w:szCs w:val="21"/>
        </w:rPr>
        <w:t>承包人采购的材料和工程设备在使用前，应会同监理工程师进行检验试验，查验材料合格证明和产品合格证书。合同双方当事人应做好检验书面记录，并要求指定人选及时办理签认手续。不合格的，禁止在合同工程中使用。</w:t>
      </w:r>
    </w:p>
    <w:p>
      <w:pPr>
        <w:adjustRightInd w:val="0"/>
        <w:snapToGrid w:val="0"/>
        <w:spacing w:line="360" w:lineRule="auto"/>
        <w:rPr>
          <w:rFonts w:ascii="宋体" w:hAnsi="宋体" w:cs="宋体"/>
          <w:b/>
          <w:color w:val="auto"/>
          <w:szCs w:val="21"/>
        </w:rPr>
      </w:pPr>
      <w:r>
        <w:rPr>
          <w:rFonts w:ascii="宋体" w:hAnsi="宋体" w:cs="宋体"/>
          <w:color w:val="auto"/>
          <w:szCs w:val="21"/>
        </w:rPr>
        <mc:AlternateContent>
          <mc:Choice Requires="wps">
            <w:drawing>
              <wp:anchor distT="0" distB="0" distL="114300" distR="114300" simplePos="0" relativeHeight="251727872" behindDoc="0" locked="0" layoutInCell="1" allowOverlap="1">
                <wp:simplePos x="0" y="0"/>
                <wp:positionH relativeFrom="column">
                  <wp:posOffset>-114300</wp:posOffset>
                </wp:positionH>
                <wp:positionV relativeFrom="paragraph">
                  <wp:posOffset>207010</wp:posOffset>
                </wp:positionV>
                <wp:extent cx="914400" cy="711835"/>
                <wp:effectExtent l="0" t="0" r="0" b="0"/>
                <wp:wrapNone/>
                <wp:docPr id="206" name="文本框 206"/>
                <wp:cNvGraphicFramePr/>
                <a:graphic xmlns:a="http://schemas.openxmlformats.org/drawingml/2006/main">
                  <a:graphicData uri="http://schemas.microsoft.com/office/word/2010/wordprocessingShape">
                    <wps:wsp>
                      <wps:cNvSpPr txBox="1">
                        <a:spLocks noChangeArrowheads="1"/>
                      </wps:cNvSpPr>
                      <wps:spPr bwMode="auto">
                        <a:xfrm>
                          <a:off x="0" y="0"/>
                          <a:ext cx="914400" cy="711835"/>
                        </a:xfrm>
                        <a:prstGeom prst="rect">
                          <a:avLst/>
                        </a:prstGeom>
                        <a:noFill/>
                        <a:ln>
                          <a:noFill/>
                        </a:ln>
                        <a:effectLst/>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禁止指定采购材料和工程设备</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6.3pt;height:56.05pt;width:72pt;z-index:251727872;mso-width-relative:page;mso-height-relative:page;" filled="f" stroked="f" coordsize="21600,21600" o:gfxdata="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K5Q/rbXAAAACgEAAA8AAAAAAAAAAQAgAAAAIgAAAGRycy9kb3du&#10;cmV2LnhtbFBLAQIUABQAAAAIAIdO4kDA3uUyAAIAANgDAAAOAAAAAAAAAAEAIAAAACYBAABkcnMv&#10;ZTJvRG9jLnhtbFBLBQYAAAAABgAGAFkBAACYBQ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禁止指定采购材料和工程设备</w:t>
                      </w:r>
                    </w:p>
                  </w:txbxContent>
                </v:textbox>
              </v:shape>
            </w:pict>
          </mc:Fallback>
        </mc:AlternateContent>
      </w:r>
      <w:r>
        <w:rPr>
          <w:rFonts w:hint="eastAsia" w:ascii="宋体" w:hAnsi="宋体" w:cs="宋体"/>
          <w:b/>
          <w:color w:val="auto"/>
          <w:szCs w:val="21"/>
        </w:rPr>
        <w:t xml:space="preserve">49.8  </w:t>
      </w:r>
      <w:r>
        <w:rPr>
          <w:rFonts w:hint="eastAsia" w:ascii="宋体" w:hAnsi="宋体" w:cs="宋体"/>
          <w:b/>
          <w:color w:val="auto"/>
          <w:szCs w:val="21"/>
          <w:u w:val="dotted"/>
        </w:rPr>
        <w:t xml:space="preserve">                                                                                                        </w:t>
      </w:r>
    </w:p>
    <w:p>
      <w:pPr>
        <w:adjustRightInd w:val="0"/>
        <w:snapToGrid w:val="0"/>
        <w:spacing w:line="360" w:lineRule="auto"/>
        <w:ind w:left="1619" w:leftChars="771"/>
        <w:rPr>
          <w:rFonts w:ascii="宋体" w:hAnsi="宋体" w:cs="宋体"/>
          <w:color w:val="auto"/>
          <w:szCs w:val="21"/>
        </w:rPr>
      </w:pPr>
      <w:r>
        <w:rPr>
          <w:rFonts w:hint="eastAsia" w:ascii="宋体" w:hAnsi="宋体" w:cs="宋体"/>
          <w:color w:val="auto"/>
          <w:szCs w:val="21"/>
        </w:rPr>
        <w:t>承包人采购材料和工程设备的，除专用条款另有约定外，发包人不得指定生产厂家或供应商。</w:t>
      </w:r>
    </w:p>
    <w:p>
      <w:pPr>
        <w:adjustRightInd w:val="0"/>
        <w:snapToGrid w:val="0"/>
        <w:rPr>
          <w:rFonts w:ascii="宋体" w:hAnsi="宋体" w:cs="宋体"/>
          <w:b/>
          <w:color w:val="auto"/>
          <w:szCs w:val="21"/>
          <w:u w:val="single"/>
        </w:rPr>
      </w:pPr>
      <w:r>
        <w:rPr>
          <w:rFonts w:hint="eastAsia" w:ascii="宋体" w:hAnsi="宋体" w:cs="宋体"/>
          <w:b/>
          <w:color w:val="auto"/>
          <w:szCs w:val="21"/>
          <w:u w:val="single"/>
        </w:rPr>
        <w:t xml:space="preserve">                                                                                                         </w:t>
      </w:r>
    </w:p>
    <w:p>
      <w:pPr>
        <w:tabs>
          <w:tab w:val="left" w:pos="1620"/>
        </w:tabs>
        <w:rPr>
          <w:rFonts w:ascii="宋体" w:hAnsi="宋体" w:cs="宋体"/>
          <w:b/>
          <w:color w:val="auto"/>
          <w:szCs w:val="21"/>
        </w:rPr>
      </w:pPr>
    </w:p>
    <w:p>
      <w:pPr>
        <w:tabs>
          <w:tab w:val="left" w:pos="540"/>
        </w:tabs>
        <w:adjustRightInd w:val="0"/>
        <w:snapToGrid w:val="0"/>
        <w:spacing w:beforeLines="100"/>
        <w:ind w:right="-238"/>
        <w:rPr>
          <w:rFonts w:ascii="宋体" w:hAnsi="宋体" w:cs="宋体"/>
          <w:b/>
          <w:color w:val="auto"/>
          <w:kern w:val="0"/>
          <w:szCs w:val="21"/>
        </w:rPr>
      </w:pPr>
      <w:r>
        <w:rPr>
          <w:rFonts w:hint="eastAsia" w:ascii="宋体" w:hAnsi="宋体" w:cs="宋体"/>
          <w:b/>
          <w:color w:val="auto"/>
          <w:kern w:val="0"/>
          <w:szCs w:val="21"/>
        </w:rPr>
        <w:t>50  材料和工程设备的检验试验</w:t>
      </w:r>
    </w:p>
    <w:p>
      <w:pPr>
        <w:adjustRightInd w:val="0"/>
        <w:snapToGrid w:val="0"/>
        <w:spacing w:line="360" w:lineRule="auto"/>
        <w:rPr>
          <w:rFonts w:ascii="宋体" w:hAnsi="宋体" w:cs="宋体"/>
          <w:b/>
          <w:color w:val="auto"/>
          <w:szCs w:val="21"/>
        </w:rPr>
      </w:pPr>
      <w:r>
        <w:rPr>
          <w:rFonts w:hint="eastAsia" w:ascii="宋体" w:hAnsi="宋体" w:cs="宋体"/>
          <w:b/>
          <w:color w:val="auto"/>
          <w:szCs w:val="21"/>
        </w:rPr>
        <w:t>50.1</w:t>
      </w:r>
    </w:p>
    <w:p>
      <w:pPr>
        <w:adjustRightInd w:val="0"/>
        <w:snapToGrid w:val="0"/>
        <w:spacing w:line="360" w:lineRule="auto"/>
        <w:ind w:left="1619" w:leftChars="771"/>
        <w:rPr>
          <w:rFonts w:ascii="宋体" w:hAnsi="宋体" w:cs="宋体"/>
          <w:color w:val="auto"/>
          <w:szCs w:val="21"/>
        </w:rPr>
      </w:pPr>
      <w:r>
        <w:rPr>
          <w:rFonts w:ascii="宋体" w:hAnsi="宋体" w:cs="宋体"/>
          <w:color w:val="auto"/>
          <w:szCs w:val="21"/>
        </w:rPr>
        <mc:AlternateContent>
          <mc:Choice Requires="wps">
            <w:drawing>
              <wp:anchor distT="0" distB="0" distL="114300" distR="114300" simplePos="0" relativeHeight="251728896" behindDoc="0" locked="0" layoutInCell="1" allowOverlap="1">
                <wp:simplePos x="0" y="0"/>
                <wp:positionH relativeFrom="column">
                  <wp:posOffset>-114300</wp:posOffset>
                </wp:positionH>
                <wp:positionV relativeFrom="paragraph">
                  <wp:posOffset>635</wp:posOffset>
                </wp:positionV>
                <wp:extent cx="914400" cy="506095"/>
                <wp:effectExtent l="0" t="0" r="0" b="0"/>
                <wp:wrapNone/>
                <wp:docPr id="205" name="文本框 205"/>
                <wp:cNvGraphicFramePr/>
                <a:graphic xmlns:a="http://schemas.openxmlformats.org/drawingml/2006/main">
                  <a:graphicData uri="http://schemas.microsoft.com/office/word/2010/wordprocessingShape">
                    <wps:wsp>
                      <wps:cNvSpPr txBox="1">
                        <a:spLocks noChangeArrowheads="1"/>
                      </wps:cNvSpPr>
                      <wps:spPr bwMode="auto">
                        <a:xfrm>
                          <a:off x="0" y="0"/>
                          <a:ext cx="914400" cy="506095"/>
                        </a:xfrm>
                        <a:prstGeom prst="rect">
                          <a:avLst/>
                        </a:prstGeom>
                        <a:noFill/>
                        <a:ln>
                          <a:noFill/>
                        </a:ln>
                        <a:effectLst/>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进入现场检验试验</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05pt;height:39.85pt;width:72pt;z-index:251728896;mso-width-relative:page;mso-height-relative:page;" filled="f" stroked="f" coordsize="21600,21600" o:gfxdata="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MZJPrfUAAAABwEAAA8AAAAAAAAAAQAgAAAAIgAAAGRycy9kb3ducmV2&#10;LnhtbFBLAQIUABQAAAAIAIdO4kBVUfctAAIAANgDAAAOAAAAAAAAAAEAIAAAACMBAABkcnMvZTJv&#10;RG9jLnhtbFBLBQYAAAAABgAGAFkBAACVBQ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进入现场检验试验</w:t>
                      </w:r>
                    </w:p>
                  </w:txbxContent>
                </v:textbox>
              </v:shape>
            </w:pict>
          </mc:Fallback>
        </mc:AlternateContent>
      </w:r>
      <w:r>
        <w:rPr>
          <w:rFonts w:hint="eastAsia" w:ascii="宋体" w:hAnsi="宋体" w:cs="宋体"/>
          <w:color w:val="auto"/>
          <w:szCs w:val="21"/>
        </w:rPr>
        <w:t>监理工程师及其委派的代表可进入施工场地、材料和工程设备的制造、加工或制配车间等场所参加材料和工程设备等产品的检验试验。承包人应为他们进入上述场所及开展相关工作提供便利和协助。</w:t>
      </w:r>
    </w:p>
    <w:p>
      <w:pPr>
        <w:tabs>
          <w:tab w:val="left" w:pos="360"/>
          <w:tab w:val="left" w:pos="720"/>
        </w:tabs>
        <w:adjustRightInd w:val="0"/>
        <w:snapToGrid w:val="0"/>
        <w:spacing w:line="360" w:lineRule="auto"/>
        <w:rPr>
          <w:rFonts w:ascii="宋体" w:hAnsi="宋体" w:cs="宋体"/>
          <w:color w:val="auto"/>
          <w:szCs w:val="21"/>
        </w:rPr>
      </w:pPr>
      <w:r>
        <w:rPr>
          <w:rFonts w:hint="eastAsia" w:ascii="宋体" w:hAnsi="宋体" w:cs="宋体"/>
          <w:b/>
          <w:color w:val="auto"/>
          <w:szCs w:val="21"/>
        </w:rPr>
        <w:t xml:space="preserve">50.2  </w:t>
      </w:r>
      <w:r>
        <w:rPr>
          <w:rFonts w:hint="eastAsia" w:ascii="宋体" w:hAnsi="宋体" w:cs="宋体"/>
          <w:b/>
          <w:color w:val="auto"/>
          <w:szCs w:val="21"/>
          <w:u w:val="dotted"/>
        </w:rPr>
        <w:t xml:space="preserve">                                                                         </w:t>
      </w:r>
      <w:r>
        <w:rPr>
          <w:rFonts w:ascii="宋体" w:hAnsi="宋体" w:cs="宋体"/>
          <w:color w:val="auto"/>
          <w:szCs w:val="21"/>
        </w:rPr>
        <mc:AlternateContent>
          <mc:Choice Requires="wps">
            <w:drawing>
              <wp:anchor distT="0" distB="0" distL="114300" distR="114300" simplePos="0" relativeHeight="251729920" behindDoc="0" locked="0" layoutInCell="1" allowOverlap="1">
                <wp:simplePos x="0" y="0"/>
                <wp:positionH relativeFrom="column">
                  <wp:posOffset>-114300</wp:posOffset>
                </wp:positionH>
                <wp:positionV relativeFrom="paragraph">
                  <wp:posOffset>245110</wp:posOffset>
                </wp:positionV>
                <wp:extent cx="914400" cy="778510"/>
                <wp:effectExtent l="0" t="0" r="0" b="0"/>
                <wp:wrapNone/>
                <wp:docPr id="204" name="文本框 204"/>
                <wp:cNvGraphicFramePr/>
                <a:graphic xmlns:a="http://schemas.openxmlformats.org/drawingml/2006/main">
                  <a:graphicData uri="http://schemas.microsoft.com/office/word/2010/wordprocessingShape">
                    <wps:wsp>
                      <wps:cNvSpPr txBox="1">
                        <a:spLocks noChangeArrowheads="1"/>
                      </wps:cNvSpPr>
                      <wps:spPr bwMode="auto">
                        <a:xfrm>
                          <a:off x="0" y="0"/>
                          <a:ext cx="914400" cy="778510"/>
                        </a:xfrm>
                        <a:prstGeom prst="rect">
                          <a:avLst/>
                        </a:prstGeom>
                        <a:noFill/>
                        <a:ln>
                          <a:noFill/>
                        </a:ln>
                        <a:effectLst/>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材料和工程设备的见证取样与不见证取样检验试验</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3pt;height:61.3pt;width:72pt;z-index:251729920;mso-width-relative:page;mso-height-relative:page;" filled="f" stroked="f" coordsize="21600,21600" o:gfxdata="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ULOzDXAAAACgEAAA8AAAAAAAAAAQAgAAAAIgAAAGRycy9kb3du&#10;cmV2LnhtbFBLAQIUABQAAAAIAIdO4kB6U0W+AAIAANgDAAAOAAAAAAAAAAEAIAAAACYBAABkcnMv&#10;ZTJvRG9jLnhtbFBLBQYAAAAABgAGAFkBAACYBQ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材料和工程设备的见证取样与不见证取样检验试验</w:t>
                      </w:r>
                    </w:p>
                  </w:txbxContent>
                </v:textbox>
              </v:shape>
            </w:pict>
          </mc:Fallback>
        </mc:AlternateContent>
      </w:r>
    </w:p>
    <w:p>
      <w:pPr>
        <w:adjustRightInd w:val="0"/>
        <w:snapToGrid w:val="0"/>
        <w:spacing w:line="360" w:lineRule="auto"/>
        <w:ind w:left="1619" w:leftChars="771"/>
        <w:rPr>
          <w:rFonts w:ascii="宋体" w:hAnsi="宋体" w:cs="宋体"/>
          <w:color w:val="auto"/>
          <w:szCs w:val="21"/>
        </w:rPr>
      </w:pPr>
      <w:r>
        <w:rPr>
          <w:rFonts w:hint="eastAsia" w:ascii="宋体" w:hAnsi="宋体" w:cs="宋体"/>
          <w:color w:val="auto"/>
          <w:szCs w:val="21"/>
        </w:rPr>
        <w:t>材料和工程设备等产品的检验试验，包括见证取样和不见证取样两种情形：</w:t>
      </w:r>
    </w:p>
    <w:p>
      <w:pPr>
        <w:adjustRightInd w:val="0"/>
        <w:snapToGrid w:val="0"/>
        <w:spacing w:line="360" w:lineRule="auto"/>
        <w:ind w:left="1619" w:leftChars="771"/>
        <w:rPr>
          <w:rFonts w:ascii="宋体" w:hAnsi="宋体" w:cs="宋体"/>
          <w:color w:val="auto"/>
          <w:szCs w:val="21"/>
        </w:rPr>
      </w:pPr>
      <w:r>
        <w:rPr>
          <w:rFonts w:hint="eastAsia" w:ascii="宋体" w:hAnsi="宋体" w:cs="宋体"/>
          <w:color w:val="auto"/>
          <w:szCs w:val="21"/>
        </w:rPr>
        <w:t>(1)标准与规范、涉及结构安全有要求或合同有约定进行见证取样检验试验的材料和工程设备等产品，承包人应在取样前至少提前24小时通知监理工程师参加，并在监理工程师的见证下现场取样，同时送至具有相应资质等级的质量检测机构进行检验试验。</w:t>
      </w:r>
    </w:p>
    <w:p>
      <w:pPr>
        <w:adjustRightInd w:val="0"/>
        <w:snapToGrid w:val="0"/>
        <w:spacing w:line="360" w:lineRule="auto"/>
        <w:ind w:left="1619" w:leftChars="771"/>
        <w:rPr>
          <w:rFonts w:ascii="宋体" w:hAnsi="宋体" w:cs="宋体"/>
          <w:color w:val="auto"/>
          <w:szCs w:val="21"/>
        </w:rPr>
      </w:pPr>
      <w:r>
        <w:rPr>
          <w:rFonts w:hint="eastAsia" w:ascii="宋体" w:hAnsi="宋体" w:cs="宋体"/>
          <w:color w:val="auto"/>
          <w:szCs w:val="21"/>
        </w:rPr>
        <w:t>(2)标准与规范没要求或合同没约定进行见证取样检验试验的材料和工程设备等产品，承包人和监理工程师应按照合同约定进行材料和工程设备等产品的检验试验。承包人和监理工程师应事先协商确定检验试验的时间和地点，并按时到场参加检验试验。如果监理工程师或其委派的代表不能按时到场参加的，监理工程师应至少提前24小时发出延期检验试验指令并书面说明理由，延期不得超过48小时。如果监理工程师或其委派的代表未发出延期指令也未能按时到场检验试验，承包人可自行检验试验，并认为该检验试验是经监理工程师同意下完成的；检验试验完成后，承包人应立即向监理工程师提交检验试验结果的有效证据，监理工程师应予认可。</w:t>
      </w:r>
    </w:p>
    <w:p>
      <w:pPr>
        <w:adjustRightInd w:val="0"/>
        <w:snapToGrid w:val="0"/>
        <w:spacing w:line="360" w:lineRule="auto"/>
        <w:ind w:left="1417" w:leftChars="1" w:hanging="1415" w:hangingChars="671"/>
        <w:rPr>
          <w:rFonts w:ascii="宋体" w:hAnsi="宋体" w:cs="宋体"/>
          <w:color w:val="auto"/>
          <w:szCs w:val="21"/>
        </w:rPr>
      </w:pPr>
      <w:r>
        <w:rPr>
          <w:rFonts w:hint="eastAsia" w:ascii="宋体" w:hAnsi="宋体" w:cs="宋体"/>
          <w:b/>
          <w:color w:val="auto"/>
          <w:szCs w:val="21"/>
        </w:rPr>
        <w:t xml:space="preserve">50.3 </w:t>
      </w:r>
      <w:r>
        <w:rPr>
          <w:rFonts w:hint="eastAsia" w:ascii="宋体" w:hAnsi="宋体" w:cs="宋体"/>
          <w:b/>
          <w:color w:val="auto"/>
          <w:szCs w:val="21"/>
          <w:u w:val="dotted"/>
        </w:rPr>
        <w:t xml:space="preserve">                                                                        </w:t>
      </w:r>
    </w:p>
    <w:p>
      <w:pPr>
        <w:adjustRightInd w:val="0"/>
        <w:snapToGrid w:val="0"/>
        <w:spacing w:line="360" w:lineRule="auto"/>
        <w:ind w:left="1575" w:leftChars="750"/>
        <w:rPr>
          <w:rFonts w:ascii="宋体" w:hAnsi="宋体" w:cs="宋体"/>
          <w:color w:val="auto"/>
          <w:szCs w:val="21"/>
        </w:rPr>
      </w:pPr>
      <w:r>
        <w:rPr>
          <w:rFonts w:ascii="宋体" w:hAnsi="宋体" w:cs="宋体"/>
          <w:color w:val="auto"/>
          <w:szCs w:val="21"/>
        </w:rPr>
        <mc:AlternateContent>
          <mc:Choice Requires="wps">
            <w:drawing>
              <wp:anchor distT="0" distB="0" distL="114300" distR="114300" simplePos="0" relativeHeight="252068864" behindDoc="0" locked="0" layoutInCell="1" allowOverlap="1">
                <wp:simplePos x="0" y="0"/>
                <wp:positionH relativeFrom="column">
                  <wp:posOffset>-66675</wp:posOffset>
                </wp:positionH>
                <wp:positionV relativeFrom="paragraph">
                  <wp:posOffset>11430</wp:posOffset>
                </wp:positionV>
                <wp:extent cx="914400" cy="557530"/>
                <wp:effectExtent l="0" t="0" r="0" b="0"/>
                <wp:wrapNone/>
                <wp:docPr id="203" name="文本框 203"/>
                <wp:cNvGraphicFramePr/>
                <a:graphic xmlns:a="http://schemas.openxmlformats.org/drawingml/2006/main">
                  <a:graphicData uri="http://schemas.microsoft.com/office/word/2010/wordprocessingShape">
                    <wps:wsp>
                      <wps:cNvSpPr txBox="1">
                        <a:spLocks noChangeArrowheads="1"/>
                      </wps:cNvSpPr>
                      <wps:spPr bwMode="auto">
                        <a:xfrm>
                          <a:off x="0" y="0"/>
                          <a:ext cx="914400" cy="557530"/>
                        </a:xfrm>
                        <a:prstGeom prst="rect">
                          <a:avLst/>
                        </a:prstGeom>
                        <a:noFill/>
                        <a:ln>
                          <a:noFill/>
                        </a:ln>
                        <a:effectLst/>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材料和工程设备的使用</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25pt;margin-top:0.9pt;height:43.9pt;width:72pt;z-index:252068864;mso-width-relative:page;mso-height-relative:page;" filled="f" stroked="f" coordsize="21600,21600" o:gfxdata="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N4fpbDUAAAACAEAAA8AAAAAAAAAAQAgAAAAIgAAAGRycy9kb3ducmV2&#10;LnhtbFBLAQIUABQAAAAIAIdO4kBF9vY9AAIAANgDAAAOAAAAAAAAAAEAIAAAACMBAABkcnMvZTJv&#10;RG9jLnhtbFBLBQYAAAAABgAGAFkBAACVBQ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材料和工程设备的使用</w:t>
                      </w:r>
                    </w:p>
                  </w:txbxContent>
                </v:textbox>
              </v:shape>
            </w:pict>
          </mc:Fallback>
        </mc:AlternateContent>
      </w:r>
      <w:r>
        <w:rPr>
          <w:rFonts w:hint="eastAsia" w:ascii="宋体" w:hAnsi="宋体" w:cs="宋体"/>
          <w:color w:val="auto"/>
          <w:szCs w:val="21"/>
        </w:rPr>
        <w:t>材料和工程设备等产品检验试验合格的，可在合同工程中使用。材料和工程设备等产品检验试验不合格的，禁止在合同工程中使用，并及时清出施工场地。</w:t>
      </w:r>
    </w:p>
    <w:p>
      <w:pPr>
        <w:tabs>
          <w:tab w:val="left" w:pos="540"/>
        </w:tabs>
        <w:adjustRightInd w:val="0"/>
        <w:snapToGrid w:val="0"/>
        <w:spacing w:line="360" w:lineRule="auto"/>
        <w:rPr>
          <w:rFonts w:ascii="宋体" w:hAnsi="宋体" w:cs="宋体"/>
          <w:color w:val="auto"/>
          <w:szCs w:val="21"/>
          <w:u w:val="dotted"/>
        </w:rPr>
      </w:pPr>
      <w:r>
        <w:rPr>
          <w:rFonts w:hint="eastAsia" w:ascii="宋体" w:hAnsi="宋体" w:cs="宋体"/>
          <w:b/>
          <w:color w:val="auto"/>
          <w:szCs w:val="21"/>
        </w:rPr>
        <w:t xml:space="preserve">50.4  </w:t>
      </w:r>
      <w:r>
        <w:rPr>
          <w:rFonts w:hint="eastAsia" w:ascii="宋体" w:hAnsi="宋体" w:cs="宋体"/>
          <w:b/>
          <w:color w:val="auto"/>
          <w:szCs w:val="21"/>
          <w:u w:val="dotted"/>
        </w:rPr>
        <w:t xml:space="preserve">                                                                         </w:t>
      </w:r>
    </w:p>
    <w:p>
      <w:pPr>
        <w:adjustRightInd w:val="0"/>
        <w:snapToGrid w:val="0"/>
        <w:spacing w:line="360" w:lineRule="auto"/>
        <w:ind w:left="1619" w:leftChars="771"/>
        <w:rPr>
          <w:rFonts w:ascii="宋体" w:hAnsi="宋体" w:cs="宋体"/>
          <w:color w:val="auto"/>
          <w:szCs w:val="21"/>
        </w:rPr>
      </w:pPr>
      <w:r>
        <w:rPr>
          <w:rFonts w:ascii="宋体" w:hAnsi="宋体" w:cs="宋体"/>
          <w:color w:val="auto"/>
          <w:szCs w:val="21"/>
        </w:rPr>
        <mc:AlternateContent>
          <mc:Choice Requires="wps">
            <w:drawing>
              <wp:anchor distT="0" distB="0" distL="114300" distR="114300" simplePos="0" relativeHeight="251730944" behindDoc="0" locked="0" layoutInCell="1" allowOverlap="1">
                <wp:simplePos x="0" y="0"/>
                <wp:positionH relativeFrom="column">
                  <wp:posOffset>-114300</wp:posOffset>
                </wp:positionH>
                <wp:positionV relativeFrom="paragraph">
                  <wp:posOffset>15240</wp:posOffset>
                </wp:positionV>
                <wp:extent cx="914400" cy="555625"/>
                <wp:effectExtent l="0" t="0" r="0" b="0"/>
                <wp:wrapNone/>
                <wp:docPr id="202" name="文本框 202"/>
                <wp:cNvGraphicFramePr/>
                <a:graphic xmlns:a="http://schemas.openxmlformats.org/drawingml/2006/main">
                  <a:graphicData uri="http://schemas.microsoft.com/office/word/2010/wordprocessingShape">
                    <wps:wsp>
                      <wps:cNvSpPr txBox="1">
                        <a:spLocks noChangeArrowheads="1"/>
                      </wps:cNvSpPr>
                      <wps:spPr bwMode="auto">
                        <a:xfrm>
                          <a:off x="0" y="0"/>
                          <a:ext cx="914400" cy="555625"/>
                        </a:xfrm>
                        <a:prstGeom prst="rect">
                          <a:avLst/>
                        </a:prstGeom>
                        <a:noFill/>
                        <a:ln>
                          <a:noFill/>
                        </a:ln>
                        <a:effectLst/>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材料和工程设备的检验试验费用</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pt;height:43.75pt;width:72pt;z-index:251730944;mso-width-relative:page;mso-height-relative:page;" filled="f" stroked="f" coordsize="21600,21600" o:gfxdata="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HER6A1QAAAAgBAAAPAAAAAAAAAAEAIAAAACIAAABkcnMvZG93bnJl&#10;di54bWxQSwECFAAUAAAACACHTuJA68L9DQACAADYAwAADgAAAAAAAAABACAAAAAkAQAAZHJzL2Uy&#10;b0RvYy54bWxQSwUGAAAAAAYABgBZAQAAlgU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材料和工程设备的检验试验费用</w:t>
                      </w:r>
                    </w:p>
                  </w:txbxContent>
                </v:textbox>
              </v:shape>
            </w:pict>
          </mc:Fallback>
        </mc:AlternateContent>
      </w:r>
      <w:r>
        <w:rPr>
          <w:rFonts w:hint="eastAsia" w:ascii="宋体" w:hAnsi="宋体" w:cs="宋体"/>
          <w:color w:val="auto"/>
          <w:szCs w:val="21"/>
        </w:rPr>
        <w:t>除合同价款已包括外，材料和工程设备等产品的检验试验费，按照实际发生的费用计算。</w:t>
      </w:r>
    </w:p>
    <w:p>
      <w:pPr>
        <w:tabs>
          <w:tab w:val="left" w:pos="1620"/>
          <w:tab w:val="left" w:pos="1980"/>
          <w:tab w:val="left" w:pos="2160"/>
        </w:tabs>
        <w:adjustRightInd w:val="0"/>
        <w:snapToGrid w:val="0"/>
        <w:spacing w:line="360" w:lineRule="auto"/>
        <w:ind w:left="1617"/>
        <w:rPr>
          <w:rFonts w:ascii="宋体" w:hAnsi="宋体" w:cs="宋体"/>
          <w:color w:val="auto"/>
          <w:szCs w:val="21"/>
        </w:rPr>
      </w:pPr>
      <w:r>
        <w:rPr>
          <w:rFonts w:hint="eastAsia" w:ascii="宋体" w:hAnsi="宋体" w:cs="宋体"/>
          <w:color w:val="auto"/>
          <w:szCs w:val="21"/>
        </w:rPr>
        <w:t>（1）现场使用前材料和工程设备等产品的检验试验，发包人供应的，检验试验费由发包人承担；承包人采购的，检验试验费由承包人承担。</w:t>
      </w:r>
    </w:p>
    <w:p>
      <w:pPr>
        <w:tabs>
          <w:tab w:val="left" w:pos="1620"/>
          <w:tab w:val="left" w:pos="2160"/>
          <w:tab w:val="left" w:pos="2520"/>
        </w:tabs>
        <w:adjustRightInd w:val="0"/>
        <w:snapToGrid w:val="0"/>
        <w:spacing w:line="360" w:lineRule="auto"/>
        <w:ind w:left="1619"/>
        <w:rPr>
          <w:rFonts w:ascii="宋体" w:hAnsi="宋体" w:cs="宋体"/>
          <w:b/>
          <w:color w:val="auto"/>
          <w:szCs w:val="21"/>
        </w:rPr>
      </w:pPr>
      <w:r>
        <w:rPr>
          <w:rFonts w:hint="eastAsia" w:ascii="宋体" w:hAnsi="宋体" w:cs="宋体"/>
          <w:color w:val="auto"/>
          <w:szCs w:val="21"/>
        </w:rPr>
        <w:t>（2）施工过程中材料和工程设备等产品的检验试验，合格的，检验试验费由发包人承担。不合格的，发包人供应的，检验试验费由发包人承担；承包人采购的，检验试验费由承包人承担。</w:t>
      </w:r>
    </w:p>
    <w:p>
      <w:pPr>
        <w:tabs>
          <w:tab w:val="left" w:pos="1620"/>
          <w:tab w:val="left" w:pos="1980"/>
          <w:tab w:val="left" w:pos="2520"/>
          <w:tab w:val="left" w:pos="2700"/>
        </w:tabs>
        <w:adjustRightInd w:val="0"/>
        <w:snapToGrid w:val="0"/>
        <w:spacing w:line="360" w:lineRule="auto"/>
        <w:rPr>
          <w:rFonts w:ascii="宋体" w:hAnsi="宋体" w:cs="宋体"/>
          <w:b/>
          <w:color w:val="auto"/>
          <w:szCs w:val="21"/>
        </w:rPr>
      </w:pPr>
      <w:r>
        <w:rPr>
          <w:rFonts w:hint="eastAsia" w:ascii="宋体" w:hAnsi="宋体" w:cs="宋体"/>
          <w:b/>
          <w:color w:val="auto"/>
          <w:szCs w:val="21"/>
        </w:rPr>
        <w:t xml:space="preserve">50.5 </w:t>
      </w:r>
      <w:r>
        <w:rPr>
          <w:rFonts w:hint="eastAsia" w:ascii="宋体" w:hAnsi="宋体" w:cs="宋体"/>
          <w:b/>
          <w:color w:val="auto"/>
          <w:szCs w:val="21"/>
          <w:u w:val="dotted"/>
        </w:rPr>
        <w:t xml:space="preserve">                                                                                                        </w:t>
      </w:r>
    </w:p>
    <w:p>
      <w:pPr>
        <w:adjustRightInd w:val="0"/>
        <w:snapToGrid w:val="0"/>
        <w:spacing w:line="360" w:lineRule="auto"/>
        <w:ind w:left="1619" w:leftChars="771"/>
        <w:rPr>
          <w:rFonts w:ascii="宋体" w:hAnsi="宋体" w:cs="宋体"/>
          <w:color w:val="auto"/>
          <w:szCs w:val="21"/>
        </w:rPr>
      </w:pPr>
      <w:r>
        <w:rPr>
          <w:rFonts w:ascii="宋体" w:hAnsi="宋体" w:cs="宋体"/>
          <w:color w:val="auto"/>
          <w:szCs w:val="21"/>
        </w:rPr>
        <mc:AlternateContent>
          <mc:Choice Requires="wps">
            <w:drawing>
              <wp:anchor distT="0" distB="0" distL="114300" distR="114300" simplePos="0" relativeHeight="251731968" behindDoc="0" locked="0" layoutInCell="1" allowOverlap="1">
                <wp:simplePos x="0" y="0"/>
                <wp:positionH relativeFrom="column">
                  <wp:posOffset>-114300</wp:posOffset>
                </wp:positionH>
                <wp:positionV relativeFrom="paragraph">
                  <wp:posOffset>8255</wp:posOffset>
                </wp:positionV>
                <wp:extent cx="914400" cy="396240"/>
                <wp:effectExtent l="0" t="0" r="0" b="0"/>
                <wp:wrapNone/>
                <wp:docPr id="201" name="文本框 201"/>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再次检验试验及其费用承担</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65pt;height:31.2pt;width:72pt;z-index:251731968;mso-width-relative:page;mso-height-relative:page;" filled="f" stroked="f" coordsize="21600,21600" o:gfxdata="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Ja3aJbVAAAACAEAAA8AAAAAAAAAAQAgAAAAIgAAAGRycy9kb3ducmV2&#10;LnhtbFBLAQIUABQAAAAIAIdO4kDPOsLN/wEAANgDAAAOAAAAAAAAAAEAIAAAACQBAABkcnMvZTJv&#10;RG9jLnhtbFBLBQYAAAAABgAGAFkBAACVBQ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再次检验试验及其费用承担</w:t>
                      </w:r>
                    </w:p>
                  </w:txbxContent>
                </v:textbox>
              </v:shape>
            </w:pict>
          </mc:Fallback>
        </mc:AlternateContent>
      </w:r>
      <w:r>
        <w:rPr>
          <w:rFonts w:hint="eastAsia" w:ascii="宋体" w:hAnsi="宋体" w:cs="宋体"/>
          <w:color w:val="auto"/>
          <w:szCs w:val="21"/>
        </w:rPr>
        <w:t>监理工程师对承包人自行检验试验结果有疑问的，或重新查验检验试验结果的，可要求承包人共同对材料和工程设备等产品再次检验试验。</w:t>
      </w:r>
    </w:p>
    <w:p>
      <w:pPr>
        <w:adjustRightInd w:val="0"/>
        <w:snapToGrid w:val="0"/>
        <w:spacing w:line="360" w:lineRule="auto"/>
        <w:ind w:left="1619" w:leftChars="771"/>
        <w:rPr>
          <w:rFonts w:ascii="宋体" w:hAnsi="宋体" w:cs="宋体"/>
          <w:color w:val="auto"/>
          <w:szCs w:val="21"/>
        </w:rPr>
      </w:pPr>
      <w:r>
        <w:rPr>
          <w:rFonts w:hint="eastAsia" w:ascii="宋体" w:hAnsi="宋体" w:cs="宋体"/>
          <w:color w:val="auto"/>
          <w:szCs w:val="21"/>
        </w:rPr>
        <w:t>（1）合格的，再次检验试验费和（或）延误的工期由发包人承担，并向承包人支付合理利润。</w:t>
      </w:r>
    </w:p>
    <w:p>
      <w:pPr>
        <w:adjustRightInd w:val="0"/>
        <w:snapToGrid w:val="0"/>
        <w:spacing w:line="360" w:lineRule="auto"/>
        <w:ind w:left="1619" w:leftChars="771"/>
        <w:rPr>
          <w:rFonts w:ascii="宋体" w:hAnsi="宋体" w:cs="宋体"/>
          <w:color w:val="auto"/>
          <w:szCs w:val="21"/>
        </w:rPr>
      </w:pPr>
      <w:r>
        <w:rPr>
          <w:rFonts w:hint="eastAsia" w:ascii="宋体" w:hAnsi="宋体" w:cs="宋体"/>
          <w:color w:val="auto"/>
          <w:szCs w:val="21"/>
        </w:rPr>
        <w:t>（2）不合格的，发包人供应的，再次检验试验费和（或）延误的工期由发包人承担，并向承包人支付合理利润；承包人采购的，再次检验试验费和（或）延误的工期由承包人承担。</w:t>
      </w:r>
    </w:p>
    <w:p>
      <w:pPr>
        <w:tabs>
          <w:tab w:val="left" w:pos="540"/>
        </w:tabs>
        <w:adjustRightInd w:val="0"/>
        <w:snapToGrid w:val="0"/>
        <w:spacing w:line="360" w:lineRule="auto"/>
        <w:rPr>
          <w:rFonts w:ascii="宋体" w:hAnsi="宋体" w:cs="宋体"/>
          <w:color w:val="auto"/>
          <w:szCs w:val="21"/>
        </w:rPr>
      </w:pPr>
      <w:r>
        <w:rPr>
          <w:rFonts w:hint="eastAsia" w:ascii="宋体" w:hAnsi="宋体" w:cs="宋体"/>
          <w:b/>
          <w:color w:val="auto"/>
          <w:szCs w:val="21"/>
        </w:rPr>
        <w:t xml:space="preserve">50.6 </w:t>
      </w:r>
      <w:r>
        <w:rPr>
          <w:rFonts w:hint="eastAsia" w:ascii="宋体" w:hAnsi="宋体" w:cs="宋体"/>
          <w:b/>
          <w:color w:val="auto"/>
          <w:szCs w:val="21"/>
          <w:u w:val="dotted"/>
        </w:rPr>
        <w:t xml:space="preserve">                                                                           </w:t>
      </w:r>
      <w:r>
        <w:rPr>
          <w:rFonts w:ascii="宋体" w:hAnsi="宋体" w:cs="宋体"/>
          <w:color w:val="auto"/>
          <w:szCs w:val="21"/>
        </w:rPr>
        <mc:AlternateContent>
          <mc:Choice Requires="wps">
            <w:drawing>
              <wp:anchor distT="0" distB="0" distL="114300" distR="114300" simplePos="0" relativeHeight="252052480" behindDoc="0" locked="0" layoutInCell="1" allowOverlap="1">
                <wp:simplePos x="0" y="0"/>
                <wp:positionH relativeFrom="column">
                  <wp:posOffset>-114300</wp:posOffset>
                </wp:positionH>
                <wp:positionV relativeFrom="paragraph">
                  <wp:posOffset>245110</wp:posOffset>
                </wp:positionV>
                <wp:extent cx="914400" cy="690245"/>
                <wp:effectExtent l="0" t="0" r="0" b="0"/>
                <wp:wrapNone/>
                <wp:docPr id="200" name="文本框 200"/>
                <wp:cNvGraphicFramePr/>
                <a:graphic xmlns:a="http://schemas.openxmlformats.org/drawingml/2006/main">
                  <a:graphicData uri="http://schemas.microsoft.com/office/word/2010/wordprocessingShape">
                    <wps:wsp>
                      <wps:cNvSpPr txBox="1">
                        <a:spLocks noChangeArrowheads="1"/>
                      </wps:cNvSpPr>
                      <wps:spPr bwMode="auto">
                        <a:xfrm>
                          <a:off x="0" y="0"/>
                          <a:ext cx="914400" cy="690245"/>
                        </a:xfrm>
                        <a:prstGeom prst="rect">
                          <a:avLst/>
                        </a:prstGeom>
                        <a:noFill/>
                        <a:ln>
                          <a:noFill/>
                        </a:ln>
                        <a:effectLst/>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材料和工程设备质量有争议的处理</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3pt;height:54.35pt;width:72pt;z-index:252052480;mso-width-relative:page;mso-height-relative:page;" filled="f" stroked="f" coordsize="21600,21600" o:gfxdata="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lRc+h9gAAAAKAQAADwAAAAAAAAABACAAAAAiAAAAZHJzL2Rvd25y&#10;ZXYueG1sUEsBAhQAFAAAAAgAh07iQAcJl5/+AQAA2AMAAA4AAAAAAAAAAQAgAAAAJwEAAGRycy9l&#10;Mm9Eb2MueG1sUEsFBgAAAAAGAAYAWQEAAJcFA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材料和工程设备质量有争议的处理</w:t>
                      </w:r>
                    </w:p>
                  </w:txbxContent>
                </v:textbox>
              </v:shape>
            </w:pict>
          </mc:Fallback>
        </mc:AlternateContent>
      </w:r>
    </w:p>
    <w:p>
      <w:pPr>
        <w:adjustRightInd w:val="0"/>
        <w:snapToGrid w:val="0"/>
        <w:spacing w:line="360" w:lineRule="auto"/>
        <w:ind w:left="1619" w:leftChars="771"/>
        <w:rPr>
          <w:rFonts w:ascii="宋体" w:hAnsi="宋体" w:cs="宋体"/>
          <w:color w:val="auto"/>
          <w:szCs w:val="21"/>
        </w:rPr>
      </w:pPr>
      <w:r>
        <w:rPr>
          <w:rFonts w:hint="eastAsia" w:ascii="宋体" w:hAnsi="宋体" w:cs="宋体"/>
          <w:color w:val="auto"/>
          <w:szCs w:val="21"/>
        </w:rPr>
        <w:t>合同双方当事人对材料和工程设备等产品质量有争议的，所需的检验试验费由责任方承担。双方均有责任的，由双方根据其责任划分分别承担。</w:t>
      </w:r>
    </w:p>
    <w:p>
      <w:pPr>
        <w:adjustRightInd w:val="0"/>
        <w:snapToGrid w:val="0"/>
        <w:spacing w:line="360" w:lineRule="auto"/>
        <w:rPr>
          <w:rFonts w:ascii="宋体" w:hAnsi="宋体" w:cs="宋体"/>
          <w:color w:val="auto"/>
          <w:szCs w:val="21"/>
          <w:u w:val="single"/>
        </w:rPr>
      </w:pPr>
      <w:r>
        <w:rPr>
          <w:rFonts w:hint="eastAsia" w:ascii="宋体" w:hAnsi="宋体" w:cs="宋体"/>
          <w:b/>
          <w:color w:val="auto"/>
          <w:szCs w:val="21"/>
          <w:u w:val="single"/>
        </w:rPr>
        <w:t xml:space="preserve">                                                                                  </w:t>
      </w:r>
      <w:r>
        <w:rPr>
          <w:rFonts w:hint="eastAsia" w:ascii="宋体" w:hAnsi="宋体" w:cs="宋体"/>
          <w:color w:val="auto"/>
          <w:szCs w:val="21"/>
          <w:u w:val="single"/>
        </w:rPr>
        <w:t xml:space="preserve">                            </w:t>
      </w:r>
    </w:p>
    <w:p>
      <w:pPr>
        <w:tabs>
          <w:tab w:val="left" w:pos="1620"/>
        </w:tabs>
        <w:spacing w:line="360" w:lineRule="auto"/>
        <w:rPr>
          <w:rFonts w:ascii="宋体" w:hAnsi="宋体" w:cs="宋体"/>
          <w:color w:val="auto"/>
          <w:szCs w:val="21"/>
        </w:rPr>
      </w:pPr>
    </w:p>
    <w:p>
      <w:pPr>
        <w:adjustRightInd w:val="0"/>
        <w:snapToGrid w:val="0"/>
        <w:spacing w:line="360" w:lineRule="auto"/>
        <w:rPr>
          <w:rFonts w:ascii="宋体" w:hAnsi="宋体" w:cs="宋体"/>
          <w:b/>
          <w:color w:val="auto"/>
          <w:szCs w:val="21"/>
        </w:rPr>
      </w:pPr>
      <w:r>
        <w:rPr>
          <w:rFonts w:hint="eastAsia" w:ascii="宋体" w:hAnsi="宋体" w:cs="宋体"/>
          <w:b/>
          <w:color w:val="auto"/>
          <w:szCs w:val="21"/>
        </w:rPr>
        <w:t>51  施工设备和临时设施</w:t>
      </w:r>
    </w:p>
    <w:p>
      <w:pPr>
        <w:adjustRightInd w:val="0"/>
        <w:snapToGrid w:val="0"/>
        <w:spacing w:line="360" w:lineRule="auto"/>
        <w:rPr>
          <w:rFonts w:ascii="宋体" w:hAnsi="宋体" w:cs="宋体"/>
          <w:b/>
          <w:color w:val="auto"/>
          <w:szCs w:val="21"/>
        </w:rPr>
      </w:pPr>
      <w:r>
        <w:rPr>
          <w:rFonts w:hint="eastAsia" w:ascii="宋体" w:hAnsi="宋体" w:cs="宋体"/>
          <w:b/>
          <w:color w:val="auto"/>
          <w:szCs w:val="21"/>
        </w:rPr>
        <w:t xml:space="preserve">51.1 </w:t>
      </w:r>
    </w:p>
    <w:p>
      <w:pPr>
        <w:adjustRightInd w:val="0"/>
        <w:snapToGrid w:val="0"/>
        <w:spacing w:line="360" w:lineRule="auto"/>
        <w:ind w:left="1619" w:leftChars="771"/>
        <w:rPr>
          <w:rFonts w:ascii="宋体" w:hAnsi="宋体" w:cs="宋体"/>
          <w:color w:val="auto"/>
          <w:szCs w:val="21"/>
        </w:rPr>
      </w:pPr>
      <w:r>
        <w:rPr>
          <w:rFonts w:ascii="宋体" w:hAnsi="宋体" w:cs="宋体"/>
          <w:color w:val="auto"/>
          <w:szCs w:val="21"/>
        </w:rPr>
        <mc:AlternateContent>
          <mc:Choice Requires="wps">
            <w:drawing>
              <wp:anchor distT="0" distB="0" distL="114300" distR="114300" simplePos="0" relativeHeight="251959296" behindDoc="0" locked="0" layoutInCell="1" allowOverlap="1">
                <wp:simplePos x="0" y="0"/>
                <wp:positionH relativeFrom="column">
                  <wp:posOffset>-73660</wp:posOffset>
                </wp:positionH>
                <wp:positionV relativeFrom="paragraph">
                  <wp:posOffset>5715</wp:posOffset>
                </wp:positionV>
                <wp:extent cx="988060" cy="753110"/>
                <wp:effectExtent l="0" t="0" r="0" b="0"/>
                <wp:wrapNone/>
                <wp:docPr id="199" name="文本框 199"/>
                <wp:cNvGraphicFramePr/>
                <a:graphic xmlns:a="http://schemas.openxmlformats.org/drawingml/2006/main">
                  <a:graphicData uri="http://schemas.microsoft.com/office/word/2010/wordprocessingShape">
                    <wps:wsp>
                      <wps:cNvSpPr txBox="1">
                        <a:spLocks noChangeArrowheads="1"/>
                      </wps:cNvSpPr>
                      <wps:spPr bwMode="auto">
                        <a:xfrm>
                          <a:off x="0" y="0"/>
                          <a:ext cx="988060" cy="753110"/>
                        </a:xfrm>
                        <a:prstGeom prst="rect">
                          <a:avLst/>
                        </a:prstGeom>
                        <a:noFill/>
                        <a:ln>
                          <a:noFill/>
                        </a:ln>
                        <a:effectLst/>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承包人配置的施工设备和临时设施</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8pt;margin-top:0.45pt;height:59.3pt;width:77.8pt;z-index:251959296;mso-width-relative:page;mso-height-relative:page;" filled="f" stroked="f" coordsize="21600,21600" o:gfxdata="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CrW6xzVAAAACAEAAA8AAAAAAAAAAQAgAAAAIgAAAGRycy9kb3du&#10;cmV2LnhtbFBLAQIUABQAAAAIAIdO4kBzqAp6AgIAANgDAAAOAAAAAAAAAAEAIAAAACQBAABkcnMv&#10;ZTJvRG9jLnhtbFBLBQYAAAAABgAGAFkBAACYBQ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承包人配置的施工设备和临时设施</w:t>
                      </w:r>
                    </w:p>
                  </w:txbxContent>
                </v:textbox>
              </v:shape>
            </w:pict>
          </mc:Fallback>
        </mc:AlternateContent>
      </w:r>
      <w:r>
        <w:rPr>
          <w:rFonts w:hint="eastAsia" w:ascii="宋体" w:hAnsi="宋体" w:cs="宋体"/>
          <w:color w:val="auto"/>
          <w:szCs w:val="21"/>
        </w:rPr>
        <w:t>承包人应按合同工程进度计划的要求，及时配置施工设备和修建临时设施。除专用条款另有约定外，承包人应自行承担修建临时设施的费用。需要临时占地的，发包人应办理其申请手续并承担相应费用。</w:t>
      </w:r>
    </w:p>
    <w:p>
      <w:pPr>
        <w:adjustRightInd w:val="0"/>
        <w:snapToGrid w:val="0"/>
        <w:spacing w:line="360" w:lineRule="auto"/>
        <w:ind w:left="1619" w:leftChars="771"/>
        <w:rPr>
          <w:rFonts w:ascii="宋体" w:hAnsi="宋体" w:cs="宋体"/>
          <w:color w:val="auto"/>
          <w:szCs w:val="21"/>
        </w:rPr>
      </w:pPr>
      <w:r>
        <w:rPr>
          <w:rFonts w:hint="eastAsia" w:ascii="宋体" w:hAnsi="宋体" w:cs="宋体"/>
          <w:color w:val="auto"/>
          <w:szCs w:val="21"/>
        </w:rPr>
        <w:t>进入施工场地的承包人施工设备，需经监理工程师核查后才能投入使用。承包人更换合同约定自身施工设备的，应经监理工程师同意并由其报发包人批准后方可实施。</w:t>
      </w:r>
    </w:p>
    <w:p>
      <w:pPr>
        <w:tabs>
          <w:tab w:val="left" w:pos="540"/>
        </w:tabs>
        <w:adjustRightInd w:val="0"/>
        <w:snapToGrid w:val="0"/>
        <w:spacing w:line="360" w:lineRule="auto"/>
        <w:rPr>
          <w:rFonts w:ascii="宋体" w:hAnsi="宋体" w:cs="宋体"/>
          <w:color w:val="auto"/>
          <w:szCs w:val="21"/>
        </w:rPr>
      </w:pPr>
      <w:r>
        <w:rPr>
          <w:rFonts w:ascii="宋体" w:hAnsi="宋体" w:cs="宋体"/>
          <w:color w:val="auto"/>
          <w:szCs w:val="21"/>
        </w:rPr>
        <mc:AlternateContent>
          <mc:Choice Requires="wps">
            <w:drawing>
              <wp:anchor distT="0" distB="0" distL="114300" distR="114300" simplePos="0" relativeHeight="251961344" behindDoc="0" locked="0" layoutInCell="1" allowOverlap="1">
                <wp:simplePos x="0" y="0"/>
                <wp:positionH relativeFrom="column">
                  <wp:posOffset>-66675</wp:posOffset>
                </wp:positionH>
                <wp:positionV relativeFrom="paragraph">
                  <wp:posOffset>215900</wp:posOffset>
                </wp:positionV>
                <wp:extent cx="873760" cy="685800"/>
                <wp:effectExtent l="0" t="0" r="0" b="0"/>
                <wp:wrapNone/>
                <wp:docPr id="198" name="文本框 198"/>
                <wp:cNvGraphicFramePr/>
                <a:graphic xmlns:a="http://schemas.openxmlformats.org/drawingml/2006/main">
                  <a:graphicData uri="http://schemas.microsoft.com/office/word/2010/wordprocessingShape">
                    <wps:wsp>
                      <wps:cNvSpPr txBox="1">
                        <a:spLocks noChangeArrowheads="1"/>
                      </wps:cNvSpPr>
                      <wps:spPr bwMode="auto">
                        <a:xfrm>
                          <a:off x="0" y="0"/>
                          <a:ext cx="873760" cy="685800"/>
                        </a:xfrm>
                        <a:prstGeom prst="rect">
                          <a:avLst/>
                        </a:prstGeom>
                        <a:noFill/>
                        <a:ln>
                          <a:noFill/>
                        </a:ln>
                        <a:effectLst/>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发包人提供的施工设备和临时设施</w:t>
                            </w:r>
                          </w:p>
                          <w:p>
                            <w:pPr>
                              <w:spacing w:line="240" w:lineRule="exact"/>
                              <w:rPr>
                                <w:sz w:val="18"/>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25pt;margin-top:17pt;height:54pt;width:68.8pt;z-index:251961344;mso-width-relative:page;mso-height-relative:page;" filled="f" stroked="f" coordsize="21600,21600" o:gfxdata="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ok+wPdcAAAAKAQAADwAAAAAAAAABACAAAAAiAAAAZHJzL2Rv&#10;d25yZXYueG1sUEsBAhQAFAAAAAgAh07iQFN2lwcCAgAA2AMAAA4AAAAAAAAAAQAgAAAAJgEAAGRy&#10;cy9lMm9Eb2MueG1sUEsFBgAAAAAGAAYAWQEAAJoFA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发包人提供的施工设备和临时设施</w:t>
                      </w:r>
                    </w:p>
                    <w:p>
                      <w:pPr>
                        <w:spacing w:line="240" w:lineRule="exact"/>
                        <w:rPr>
                          <w:sz w:val="18"/>
                          <w:szCs w:val="18"/>
                        </w:rPr>
                      </w:pPr>
                    </w:p>
                  </w:txbxContent>
                </v:textbox>
              </v:shape>
            </w:pict>
          </mc:Fallback>
        </mc:AlternateContent>
      </w:r>
      <w:r>
        <w:rPr>
          <w:rFonts w:hint="eastAsia" w:ascii="宋体" w:hAnsi="宋体" w:cs="宋体"/>
          <w:b/>
          <w:color w:val="auto"/>
          <w:szCs w:val="21"/>
        </w:rPr>
        <w:t xml:space="preserve">51.2 </w:t>
      </w:r>
      <w:r>
        <w:rPr>
          <w:rFonts w:hint="eastAsia" w:ascii="宋体" w:hAnsi="宋体" w:cs="宋体"/>
          <w:color w:val="auto"/>
          <w:szCs w:val="21"/>
          <w:u w:val="dotted"/>
        </w:rPr>
        <w:t xml:space="preserve">                                                                                                        </w:t>
      </w:r>
    </w:p>
    <w:p>
      <w:pPr>
        <w:adjustRightInd w:val="0"/>
        <w:snapToGrid w:val="0"/>
        <w:spacing w:line="360" w:lineRule="auto"/>
        <w:ind w:left="1619" w:leftChars="771"/>
        <w:rPr>
          <w:rFonts w:ascii="宋体" w:hAnsi="宋体" w:cs="宋体"/>
          <w:color w:val="auto"/>
          <w:szCs w:val="21"/>
        </w:rPr>
      </w:pPr>
      <w:r>
        <w:rPr>
          <w:rFonts w:hint="eastAsia" w:ascii="宋体" w:hAnsi="宋体" w:cs="宋体"/>
          <w:color w:val="auto"/>
          <w:szCs w:val="21"/>
        </w:rPr>
        <w:t>如果发包人提供施工设备或临时设施的，合同双方当事人应在专用条款中约定施工设备或临时设施的品种、规格、型号和提供的时间、地点等内容。</w:t>
      </w:r>
    </w:p>
    <w:p>
      <w:pPr>
        <w:tabs>
          <w:tab w:val="left" w:pos="540"/>
        </w:tabs>
        <w:adjustRightInd w:val="0"/>
        <w:snapToGrid w:val="0"/>
        <w:spacing w:line="360" w:lineRule="auto"/>
        <w:rPr>
          <w:rFonts w:ascii="宋体" w:hAnsi="宋体" w:cs="宋体"/>
          <w:b/>
          <w:color w:val="auto"/>
          <w:szCs w:val="21"/>
        </w:rPr>
      </w:pPr>
      <w:r>
        <w:rPr>
          <w:rFonts w:hint="eastAsia" w:ascii="宋体" w:hAnsi="宋体" w:cs="宋体"/>
          <w:b/>
          <w:color w:val="auto"/>
          <w:szCs w:val="21"/>
        </w:rPr>
        <w:t xml:space="preserve">51.3 </w:t>
      </w:r>
      <w:r>
        <w:rPr>
          <w:rFonts w:hint="eastAsia" w:ascii="宋体" w:hAnsi="宋体" w:cs="宋体"/>
          <w:b/>
          <w:color w:val="auto"/>
          <w:szCs w:val="21"/>
          <w:u w:val="dotted"/>
        </w:rPr>
        <w:t xml:space="preserve">                                                                                                        </w:t>
      </w:r>
    </w:p>
    <w:p>
      <w:pPr>
        <w:adjustRightInd w:val="0"/>
        <w:snapToGrid w:val="0"/>
        <w:spacing w:line="360" w:lineRule="auto"/>
        <w:ind w:left="1619" w:leftChars="771"/>
        <w:rPr>
          <w:rFonts w:ascii="宋体" w:hAnsi="宋体" w:cs="宋体"/>
          <w:color w:val="auto"/>
          <w:szCs w:val="21"/>
        </w:rPr>
      </w:pPr>
      <w:r>
        <w:rPr>
          <w:rFonts w:ascii="宋体" w:hAnsi="宋体" w:cs="宋体"/>
          <w:color w:val="auto"/>
          <w:szCs w:val="21"/>
        </w:rPr>
        <mc:AlternateContent>
          <mc:Choice Requires="wps">
            <w:drawing>
              <wp:anchor distT="0" distB="0" distL="114300" distR="114300" simplePos="0" relativeHeight="251960320" behindDoc="0" locked="0" layoutInCell="1" allowOverlap="1">
                <wp:simplePos x="0" y="0"/>
                <wp:positionH relativeFrom="column">
                  <wp:posOffset>-73660</wp:posOffset>
                </wp:positionH>
                <wp:positionV relativeFrom="paragraph">
                  <wp:posOffset>8890</wp:posOffset>
                </wp:positionV>
                <wp:extent cx="873760" cy="659765"/>
                <wp:effectExtent l="0" t="0" r="0" b="0"/>
                <wp:wrapNone/>
                <wp:docPr id="197" name="文本框 197"/>
                <wp:cNvGraphicFramePr/>
                <a:graphic xmlns:a="http://schemas.openxmlformats.org/drawingml/2006/main">
                  <a:graphicData uri="http://schemas.microsoft.com/office/word/2010/wordprocessingShape">
                    <wps:wsp>
                      <wps:cNvSpPr txBox="1">
                        <a:spLocks noChangeArrowheads="1"/>
                      </wps:cNvSpPr>
                      <wps:spPr bwMode="auto">
                        <a:xfrm>
                          <a:off x="0" y="0"/>
                          <a:ext cx="873760" cy="659765"/>
                        </a:xfrm>
                        <a:prstGeom prst="rect">
                          <a:avLst/>
                        </a:prstGeom>
                        <a:noFill/>
                        <a:ln>
                          <a:noFill/>
                        </a:ln>
                        <a:effectLst/>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承包人增加或更换施工设备</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8pt;margin-top:0.7pt;height:51.95pt;width:68.8pt;z-index:251960320;mso-width-relative:page;mso-height-relative:page;" filled="f" stroked="f" coordsize="21600,21600" o:gfxdata="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LphSAHVAAAACQEAAA8AAAAAAAAAAQAgAAAAIgAAAGRycy9kb3du&#10;cmV2LnhtbFBLAQIUABQAAAAIAIdO4kCkAAxuAgIAANgDAAAOAAAAAAAAAAEAIAAAACQBAABkcnMv&#10;ZTJvRG9jLnhtbFBLBQYAAAAABgAGAFkBAACYBQ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承包人增加或更换施工设备</w:t>
                      </w:r>
                    </w:p>
                  </w:txbxContent>
                </v:textbox>
              </v:shape>
            </w:pict>
          </mc:Fallback>
        </mc:AlternateContent>
      </w:r>
      <w:r>
        <w:rPr>
          <w:rFonts w:hint="eastAsia" w:ascii="宋体" w:hAnsi="宋体" w:cs="宋体"/>
          <w:color w:val="auto"/>
          <w:szCs w:val="21"/>
        </w:rPr>
        <w:t>如果承包人使用的施工设备不能满足合同工程进度计划和（或）质量要求的，监理工程师有权要求承包人增加或更换施工设备，承包人应及时增加或更换，由此增加的费用和（或）延误的工期由承包人承担。</w:t>
      </w:r>
    </w:p>
    <w:p>
      <w:pPr>
        <w:tabs>
          <w:tab w:val="left" w:pos="540"/>
        </w:tabs>
        <w:adjustRightInd w:val="0"/>
        <w:snapToGrid w:val="0"/>
        <w:spacing w:line="360" w:lineRule="auto"/>
        <w:rPr>
          <w:rFonts w:ascii="宋体" w:hAnsi="宋体" w:cs="宋体"/>
          <w:b/>
          <w:color w:val="auto"/>
          <w:szCs w:val="21"/>
        </w:rPr>
      </w:pPr>
      <w:r>
        <w:rPr>
          <w:rFonts w:hint="eastAsia" w:ascii="宋体" w:hAnsi="宋体" w:cs="宋体"/>
          <w:b/>
          <w:color w:val="auto"/>
          <w:szCs w:val="21"/>
        </w:rPr>
        <w:t xml:space="preserve">51.4  </w:t>
      </w:r>
      <w:r>
        <w:rPr>
          <w:rFonts w:hint="eastAsia" w:ascii="宋体" w:hAnsi="宋体" w:cs="宋体"/>
          <w:b/>
          <w:color w:val="auto"/>
          <w:szCs w:val="21"/>
          <w:u w:val="dotted"/>
        </w:rPr>
        <w:t xml:space="preserve">                                                                                                        </w:t>
      </w:r>
    </w:p>
    <w:p>
      <w:pPr>
        <w:adjustRightInd w:val="0"/>
        <w:snapToGrid w:val="0"/>
        <w:spacing w:line="360" w:lineRule="auto"/>
        <w:ind w:left="1619" w:leftChars="771"/>
        <w:rPr>
          <w:rFonts w:ascii="宋体" w:hAnsi="宋体" w:cs="宋体"/>
          <w:color w:val="auto"/>
          <w:szCs w:val="21"/>
        </w:rPr>
      </w:pPr>
      <w:r>
        <w:rPr>
          <w:rFonts w:hint="eastAsia" w:ascii="宋体" w:hAnsi="宋体" w:cs="宋体"/>
          <w:color w:val="auto"/>
          <w:szCs w:val="21"/>
        </w:rPr>
        <w:t>运至施工现场的施工设备和在施工现场修建的临时设施，均应视为专门用于实施合同工程。除经监理工程师同意并由其报发包人批准，承包人可根据合同工程进度计划撤走闲置的施工设备</w:t>
      </w:r>
      <w:r>
        <w:rPr>
          <w:rFonts w:ascii="宋体" w:hAnsi="宋体" w:cs="宋体"/>
          <w:color w:val="auto"/>
          <w:szCs w:val="21"/>
        </w:rPr>
        <mc:AlternateContent>
          <mc:Choice Requires="wps">
            <w:drawing>
              <wp:anchor distT="0" distB="0" distL="114300" distR="114300" simplePos="0" relativeHeight="252034048" behindDoc="0" locked="0" layoutInCell="1" allowOverlap="1">
                <wp:simplePos x="0" y="0"/>
                <wp:positionH relativeFrom="column">
                  <wp:posOffset>-114300</wp:posOffset>
                </wp:positionH>
                <wp:positionV relativeFrom="paragraph">
                  <wp:posOffset>46355</wp:posOffset>
                </wp:positionV>
                <wp:extent cx="914400" cy="659130"/>
                <wp:effectExtent l="0" t="0" r="0" b="0"/>
                <wp:wrapNone/>
                <wp:docPr id="196" name="文本框 196"/>
                <wp:cNvGraphicFramePr/>
                <a:graphic xmlns:a="http://schemas.openxmlformats.org/drawingml/2006/main">
                  <a:graphicData uri="http://schemas.microsoft.com/office/word/2010/wordprocessingShape">
                    <wps:wsp>
                      <wps:cNvSpPr txBox="1">
                        <a:spLocks noChangeArrowheads="1"/>
                      </wps:cNvSpPr>
                      <wps:spPr bwMode="auto">
                        <a:xfrm>
                          <a:off x="0" y="0"/>
                          <a:ext cx="914400" cy="659130"/>
                        </a:xfrm>
                        <a:prstGeom prst="rect">
                          <a:avLst/>
                        </a:prstGeom>
                        <a:noFill/>
                        <a:ln>
                          <a:noFill/>
                        </a:ln>
                        <a:effectLst/>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施工设备和临时设施的使用要求</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65pt;height:51.9pt;width:72pt;z-index:252034048;mso-width-relative:page;mso-height-relative:page;" filled="f" stroked="f" coordsize="21600,21600" o:gfxdata="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6jqlI1QAAAAkBAAAPAAAAAAAAAAEAIAAAACIAAABkcnMvZG93bnJl&#10;di54bWxQSwECFAAUAAAACACHTuJA1T2udgACAADYAwAADgAAAAAAAAABACAAAAAkAQAAZHJzL2Uy&#10;b0RvYy54bWxQSwUGAAAAAAYABgBZAQAAlgU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施工设备和临时设施的使用要求</w:t>
                      </w:r>
                    </w:p>
                  </w:txbxContent>
                </v:textbox>
              </v:shape>
            </w:pict>
          </mc:Fallback>
        </mc:AlternateContent>
      </w:r>
      <w:r>
        <w:rPr>
          <w:rFonts w:hint="eastAsia" w:ascii="宋体" w:hAnsi="宋体" w:cs="宋体"/>
          <w:color w:val="auto"/>
          <w:szCs w:val="21"/>
        </w:rPr>
        <w:t>外，承包人不得将上述施工设备和临时设施中的任何部分运出施工场地或挪作他用。</w:t>
      </w:r>
    </w:p>
    <w:p>
      <w:pPr>
        <w:tabs>
          <w:tab w:val="left" w:pos="540"/>
        </w:tabs>
        <w:adjustRightInd w:val="0"/>
        <w:snapToGrid w:val="0"/>
        <w:spacing w:beforeLines="100" w:line="240" w:lineRule="exact"/>
        <w:rPr>
          <w:rFonts w:ascii="宋体" w:hAnsi="宋体" w:cs="宋体"/>
          <w:b/>
          <w:color w:val="auto"/>
          <w:kern w:val="0"/>
          <w:szCs w:val="21"/>
          <w:u w:val="single"/>
        </w:rPr>
      </w:pPr>
      <w:r>
        <w:rPr>
          <w:rFonts w:hint="eastAsia" w:ascii="宋体" w:hAnsi="宋体" w:cs="宋体"/>
          <w:b/>
          <w:color w:val="auto"/>
          <w:kern w:val="0"/>
          <w:szCs w:val="21"/>
          <w:u w:val="single"/>
        </w:rPr>
        <w:t xml:space="preserve">                                                                                </w:t>
      </w:r>
    </w:p>
    <w:p>
      <w:pPr>
        <w:tabs>
          <w:tab w:val="left" w:pos="540"/>
        </w:tabs>
        <w:adjustRightInd w:val="0"/>
        <w:snapToGrid w:val="0"/>
        <w:spacing w:beforeLines="100" w:line="240" w:lineRule="exact"/>
        <w:ind w:right="-238"/>
        <w:rPr>
          <w:rFonts w:ascii="宋体" w:hAnsi="宋体" w:cs="宋体"/>
          <w:b/>
          <w:color w:val="auto"/>
          <w:kern w:val="0"/>
          <w:szCs w:val="21"/>
        </w:rPr>
      </w:pPr>
    </w:p>
    <w:p>
      <w:pPr>
        <w:tabs>
          <w:tab w:val="left" w:pos="540"/>
        </w:tabs>
        <w:adjustRightInd w:val="0"/>
        <w:snapToGrid w:val="0"/>
        <w:spacing w:beforeLines="100" w:line="360" w:lineRule="auto"/>
        <w:ind w:right="-238"/>
        <w:rPr>
          <w:rFonts w:ascii="宋体" w:hAnsi="宋体" w:cs="宋体"/>
          <w:b/>
          <w:color w:val="auto"/>
          <w:kern w:val="0"/>
          <w:szCs w:val="21"/>
        </w:rPr>
      </w:pPr>
      <w:r>
        <w:rPr>
          <w:rFonts w:hint="eastAsia" w:ascii="宋体" w:hAnsi="宋体" w:cs="宋体"/>
          <w:b/>
          <w:color w:val="auto"/>
          <w:kern w:val="0"/>
          <w:szCs w:val="21"/>
        </w:rPr>
        <w:t>52  工程质量检查</w:t>
      </w:r>
    </w:p>
    <w:p>
      <w:pPr>
        <w:adjustRightInd w:val="0"/>
        <w:snapToGrid w:val="0"/>
        <w:spacing w:line="360" w:lineRule="auto"/>
        <w:rPr>
          <w:rFonts w:ascii="宋体" w:hAnsi="宋体" w:cs="宋体"/>
          <w:b/>
          <w:color w:val="auto"/>
          <w:szCs w:val="21"/>
        </w:rPr>
      </w:pPr>
      <w:r>
        <w:rPr>
          <w:rFonts w:hint="eastAsia" w:ascii="宋体" w:hAnsi="宋体" w:cs="宋体"/>
          <w:b/>
          <w:color w:val="auto"/>
          <w:szCs w:val="21"/>
        </w:rPr>
        <w:t xml:space="preserve">52.1 </w:t>
      </w:r>
    </w:p>
    <w:p>
      <w:pPr>
        <w:adjustRightInd w:val="0"/>
        <w:snapToGrid w:val="0"/>
        <w:spacing w:line="360" w:lineRule="auto"/>
        <w:ind w:left="1619" w:leftChars="771"/>
        <w:rPr>
          <w:rFonts w:ascii="宋体" w:hAnsi="宋体" w:cs="宋体"/>
          <w:color w:val="auto"/>
          <w:szCs w:val="21"/>
        </w:rPr>
      </w:pPr>
      <w:r>
        <w:rPr>
          <w:rFonts w:ascii="宋体" w:hAnsi="宋体" w:cs="宋体"/>
          <w:color w:val="auto"/>
          <w:szCs w:val="21"/>
        </w:rPr>
        <mc:AlternateContent>
          <mc:Choice Requires="wps">
            <w:drawing>
              <wp:anchor distT="0" distB="0" distL="114300" distR="114300" simplePos="0" relativeHeight="251732992" behindDoc="0" locked="0" layoutInCell="1" allowOverlap="1">
                <wp:simplePos x="0" y="0"/>
                <wp:positionH relativeFrom="column">
                  <wp:posOffset>-73660</wp:posOffset>
                </wp:positionH>
                <wp:positionV relativeFrom="paragraph">
                  <wp:posOffset>5715</wp:posOffset>
                </wp:positionV>
                <wp:extent cx="988060" cy="522605"/>
                <wp:effectExtent l="0" t="0" r="0" b="0"/>
                <wp:wrapNone/>
                <wp:docPr id="195" name="文本框 195"/>
                <wp:cNvGraphicFramePr/>
                <a:graphic xmlns:a="http://schemas.openxmlformats.org/drawingml/2006/main">
                  <a:graphicData uri="http://schemas.microsoft.com/office/word/2010/wordprocessingShape">
                    <wps:wsp>
                      <wps:cNvSpPr txBox="1">
                        <a:spLocks noChangeArrowheads="1"/>
                      </wps:cNvSpPr>
                      <wps:spPr bwMode="auto">
                        <a:xfrm>
                          <a:off x="0" y="0"/>
                          <a:ext cx="988060" cy="522605"/>
                        </a:xfrm>
                        <a:prstGeom prst="rect">
                          <a:avLst/>
                        </a:prstGeom>
                        <a:noFill/>
                        <a:ln>
                          <a:noFill/>
                        </a:ln>
                        <a:effectLst/>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承包人对工程</w:t>
                            </w:r>
                          </w:p>
                          <w:p>
                            <w:pPr>
                              <w:spacing w:line="200" w:lineRule="exact"/>
                              <w:rPr>
                                <w:rFonts w:ascii="楷体_GB2312" w:hAnsi="宋体"/>
                                <w:b/>
                                <w:color w:val="000000"/>
                                <w:sz w:val="18"/>
                                <w:szCs w:val="18"/>
                              </w:rPr>
                            </w:pPr>
                            <w:r>
                              <w:rPr>
                                <w:rFonts w:hint="eastAsia" w:ascii="楷体_GB2312" w:hAnsi="宋体"/>
                                <w:b/>
                                <w:color w:val="000000"/>
                                <w:sz w:val="18"/>
                                <w:szCs w:val="18"/>
                              </w:rPr>
                              <w:t>质量检查的义</w:t>
                            </w:r>
                          </w:p>
                          <w:p>
                            <w:pPr>
                              <w:spacing w:line="200" w:lineRule="exact"/>
                              <w:rPr>
                                <w:rFonts w:ascii="楷体_GB2312" w:hAnsi="宋体"/>
                                <w:b/>
                                <w:color w:val="000000"/>
                                <w:sz w:val="18"/>
                                <w:szCs w:val="18"/>
                              </w:rPr>
                            </w:pPr>
                            <w:r>
                              <w:rPr>
                                <w:rFonts w:hint="eastAsia" w:ascii="楷体_GB2312" w:hAnsi="宋体"/>
                                <w:b/>
                                <w:color w:val="000000"/>
                                <w:sz w:val="18"/>
                                <w:szCs w:val="18"/>
                              </w:rPr>
                              <w:t>务</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8pt;margin-top:0.45pt;height:41.15pt;width:77.8pt;z-index:251732992;mso-width-relative:page;mso-height-relative:page;" filled="f" stroked="f" coordsize="21600,21600" o:gfxdata="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KbvpUdUAAAAHAQAADwAAAAAAAAABACAAAAAiAAAAZHJzL2Rvd25y&#10;ZXYueG1sUEsBAhQAFAAAAAgAh07iQINNPvABAgAA2AMAAA4AAAAAAAAAAQAgAAAAJAEAAGRycy9l&#10;Mm9Eb2MueG1sUEsFBgAAAAAGAAYAWQEAAJcFA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承包人对工程</w:t>
                      </w:r>
                    </w:p>
                    <w:p>
                      <w:pPr>
                        <w:spacing w:line="200" w:lineRule="exact"/>
                        <w:rPr>
                          <w:rFonts w:ascii="楷体_GB2312" w:hAnsi="宋体"/>
                          <w:b/>
                          <w:color w:val="000000"/>
                          <w:sz w:val="18"/>
                          <w:szCs w:val="18"/>
                        </w:rPr>
                      </w:pPr>
                      <w:r>
                        <w:rPr>
                          <w:rFonts w:hint="eastAsia" w:ascii="楷体_GB2312" w:hAnsi="宋体"/>
                          <w:b/>
                          <w:color w:val="000000"/>
                          <w:sz w:val="18"/>
                          <w:szCs w:val="18"/>
                        </w:rPr>
                        <w:t>质量检查的义</w:t>
                      </w:r>
                    </w:p>
                    <w:p>
                      <w:pPr>
                        <w:spacing w:line="200" w:lineRule="exact"/>
                        <w:rPr>
                          <w:rFonts w:ascii="楷体_GB2312" w:hAnsi="宋体"/>
                          <w:b/>
                          <w:color w:val="000000"/>
                          <w:sz w:val="18"/>
                          <w:szCs w:val="18"/>
                        </w:rPr>
                      </w:pPr>
                      <w:r>
                        <w:rPr>
                          <w:rFonts w:hint="eastAsia" w:ascii="楷体_GB2312" w:hAnsi="宋体"/>
                          <w:b/>
                          <w:color w:val="000000"/>
                          <w:sz w:val="18"/>
                          <w:szCs w:val="18"/>
                        </w:rPr>
                        <w:t>务</w:t>
                      </w:r>
                    </w:p>
                  </w:txbxContent>
                </v:textbox>
              </v:shape>
            </w:pict>
          </mc:Fallback>
        </mc:AlternateContent>
      </w:r>
      <w:r>
        <w:rPr>
          <w:rFonts w:hint="eastAsia" w:ascii="宋体" w:hAnsi="宋体" w:cs="宋体"/>
          <w:color w:val="auto"/>
          <w:szCs w:val="21"/>
        </w:rPr>
        <w:t>承包人应按照标准与规范、设计要求以及监理工程师依据合同约定发出的指令施工，确保工程质量，随时接受监理工程师的检查，并为监理工程师的检查（包括监理工程师到施工场地，或合同约定的其他地方察看和查阅施工原始记录等）提供便利和协助。</w:t>
      </w:r>
    </w:p>
    <w:p>
      <w:pPr>
        <w:tabs>
          <w:tab w:val="left" w:pos="540"/>
        </w:tabs>
        <w:adjustRightInd w:val="0"/>
        <w:snapToGrid w:val="0"/>
        <w:spacing w:line="360" w:lineRule="auto"/>
        <w:rPr>
          <w:rFonts w:ascii="宋体" w:hAnsi="宋体" w:cs="宋体"/>
          <w:b/>
          <w:color w:val="auto"/>
          <w:szCs w:val="21"/>
        </w:rPr>
      </w:pPr>
      <w:r>
        <w:rPr>
          <w:rFonts w:hint="eastAsia" w:ascii="宋体" w:hAnsi="宋体" w:cs="宋体"/>
          <w:b/>
          <w:color w:val="auto"/>
          <w:szCs w:val="21"/>
        </w:rPr>
        <w:t xml:space="preserve">52.2 </w:t>
      </w:r>
      <w:r>
        <w:rPr>
          <w:rFonts w:hint="eastAsia" w:ascii="宋体" w:hAnsi="宋体" w:cs="宋体"/>
          <w:b/>
          <w:color w:val="auto"/>
          <w:szCs w:val="21"/>
          <w:u w:val="dotted"/>
        </w:rPr>
        <w:t xml:space="preserve">                                                                                                        </w:t>
      </w:r>
    </w:p>
    <w:p>
      <w:pPr>
        <w:adjustRightInd w:val="0"/>
        <w:snapToGrid w:val="0"/>
        <w:spacing w:line="360" w:lineRule="auto"/>
        <w:ind w:left="1619" w:leftChars="771"/>
        <w:rPr>
          <w:rFonts w:ascii="宋体" w:hAnsi="宋体" w:cs="宋体"/>
          <w:color w:val="auto"/>
          <w:szCs w:val="21"/>
        </w:rPr>
      </w:pPr>
      <w:r>
        <w:rPr>
          <w:rFonts w:ascii="宋体" w:hAnsi="宋体" w:cs="宋体"/>
          <w:color w:val="auto"/>
          <w:szCs w:val="21"/>
        </w:rPr>
        <mc:AlternateContent>
          <mc:Choice Requires="wps">
            <w:drawing>
              <wp:anchor distT="0" distB="0" distL="114300" distR="114300" simplePos="0" relativeHeight="251945984" behindDoc="0" locked="0" layoutInCell="1" allowOverlap="1">
                <wp:simplePos x="0" y="0"/>
                <wp:positionH relativeFrom="column">
                  <wp:posOffset>-73660</wp:posOffset>
                </wp:positionH>
                <wp:positionV relativeFrom="paragraph">
                  <wp:posOffset>8890</wp:posOffset>
                </wp:positionV>
                <wp:extent cx="873760" cy="448310"/>
                <wp:effectExtent l="0" t="0" r="0" b="0"/>
                <wp:wrapNone/>
                <wp:docPr id="194" name="文本框 194"/>
                <wp:cNvGraphicFramePr/>
                <a:graphic xmlns:a="http://schemas.openxmlformats.org/drawingml/2006/main">
                  <a:graphicData uri="http://schemas.microsoft.com/office/word/2010/wordprocessingShape">
                    <wps:wsp>
                      <wps:cNvSpPr txBox="1">
                        <a:spLocks noChangeArrowheads="1"/>
                      </wps:cNvSpPr>
                      <wps:spPr bwMode="auto">
                        <a:xfrm>
                          <a:off x="0" y="0"/>
                          <a:ext cx="873760" cy="448310"/>
                        </a:xfrm>
                        <a:prstGeom prst="rect">
                          <a:avLst/>
                        </a:prstGeom>
                        <a:noFill/>
                        <a:ln>
                          <a:noFill/>
                        </a:ln>
                        <a:effectLst/>
                      </wps:spPr>
                      <wps:txbx>
                        <w:txbxContent>
                          <w:p>
                            <w:pPr>
                              <w:spacing w:line="240" w:lineRule="exact"/>
                              <w:rPr>
                                <w:rFonts w:ascii="楷体_GB2312" w:hAnsi="宋体"/>
                                <w:sz w:val="18"/>
                                <w:szCs w:val="18"/>
                              </w:rPr>
                            </w:pPr>
                            <w:r>
                              <w:rPr>
                                <w:rFonts w:hint="eastAsia" w:ascii="楷体_GB2312" w:hAnsi="宋体"/>
                                <w:b/>
                                <w:color w:val="000000"/>
                                <w:sz w:val="18"/>
                                <w:szCs w:val="18"/>
                              </w:rPr>
                              <w:t>工程质量检查的要求</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8pt;margin-top:0.7pt;height:35.3pt;width:68.8pt;z-index:251945984;mso-width-relative:page;mso-height-relative:page;" filled="f" stroked="f" coordsize="21600,21600" o:gfxdata="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ARqWpPVAAAACAEAAA8AAAAAAAAAAQAgAAAAIgAAAGRycy9kb3du&#10;cmV2LnhtbFBLAQIUABQAAAAIAIdO4kAsspS8AgIAANgDAAAOAAAAAAAAAAEAIAAAACQBAABkcnMv&#10;ZTJvRG9jLnhtbFBLBQYAAAAABgAGAFkBAACYBQAAAAA=&#10;">
                <v:fill on="f" focussize="0,0"/>
                <v:stroke on="f"/>
                <v:imagedata o:title=""/>
                <o:lock v:ext="edit" aspectratio="f"/>
                <v:textbox>
                  <w:txbxContent>
                    <w:p>
                      <w:pPr>
                        <w:spacing w:line="240" w:lineRule="exact"/>
                        <w:rPr>
                          <w:rFonts w:ascii="楷体_GB2312" w:hAnsi="宋体"/>
                          <w:sz w:val="18"/>
                          <w:szCs w:val="18"/>
                        </w:rPr>
                      </w:pPr>
                      <w:r>
                        <w:rPr>
                          <w:rFonts w:hint="eastAsia" w:ascii="楷体_GB2312" w:hAnsi="宋体"/>
                          <w:b/>
                          <w:color w:val="000000"/>
                          <w:sz w:val="18"/>
                          <w:szCs w:val="18"/>
                        </w:rPr>
                        <w:t>工程质量检查的要求</w:t>
                      </w:r>
                    </w:p>
                  </w:txbxContent>
                </v:textbox>
              </v:shape>
            </w:pict>
          </mc:Fallback>
        </mc:AlternateContent>
      </w:r>
      <w:r>
        <w:rPr>
          <w:rFonts w:hint="eastAsia" w:ascii="宋体" w:hAnsi="宋体" w:cs="宋体"/>
          <w:color w:val="auto"/>
          <w:szCs w:val="21"/>
        </w:rPr>
        <w:t>承包人应按照合同约定对合同工程的所有部位及其施工工艺进行全过程的质量检查，并做好详细记录，编制工程质量报表，提交监理工程师核实并由其报发包人审批。发包人应通知监理工程师及时对合同工程的所有部位及其施工工艺进行检查；发现质量不合格的，监理工程师应迅速向承包人发出书面指令，通知承包人立即拆除和重新施工。即使经监理工程师检查，也不能免除承包人按照合同约定应承担的任何责任和应履行的任何义务。</w:t>
      </w:r>
    </w:p>
    <w:p>
      <w:pPr>
        <w:tabs>
          <w:tab w:val="left" w:pos="540"/>
        </w:tabs>
        <w:adjustRightInd w:val="0"/>
        <w:snapToGrid w:val="0"/>
        <w:spacing w:line="360" w:lineRule="auto"/>
        <w:rPr>
          <w:rFonts w:ascii="宋体" w:hAnsi="宋体" w:cs="宋体"/>
          <w:b/>
          <w:color w:val="auto"/>
          <w:szCs w:val="21"/>
        </w:rPr>
      </w:pPr>
      <w:r>
        <w:rPr>
          <w:rFonts w:hint="eastAsia" w:ascii="宋体" w:hAnsi="宋体" w:cs="宋体"/>
          <w:b/>
          <w:color w:val="auto"/>
          <w:szCs w:val="21"/>
        </w:rPr>
        <w:t xml:space="preserve">52.3 </w:t>
      </w:r>
      <w:r>
        <w:rPr>
          <w:rFonts w:hint="eastAsia" w:ascii="宋体" w:hAnsi="宋体" w:cs="宋体"/>
          <w:b/>
          <w:color w:val="auto"/>
          <w:szCs w:val="21"/>
          <w:u w:val="dotted"/>
        </w:rPr>
        <w:t xml:space="preserve">                                                                                                        </w:t>
      </w:r>
    </w:p>
    <w:p>
      <w:pPr>
        <w:adjustRightInd w:val="0"/>
        <w:snapToGrid w:val="0"/>
        <w:spacing w:line="360" w:lineRule="auto"/>
        <w:ind w:left="1619" w:leftChars="771"/>
        <w:rPr>
          <w:rFonts w:ascii="宋体" w:hAnsi="宋体" w:cs="宋体"/>
          <w:color w:val="auto"/>
          <w:szCs w:val="21"/>
        </w:rPr>
      </w:pPr>
      <w:r>
        <w:rPr>
          <w:rFonts w:ascii="宋体" w:hAnsi="宋体" w:cs="宋体"/>
          <w:color w:val="auto"/>
          <w:szCs w:val="21"/>
        </w:rPr>
        <mc:AlternateContent>
          <mc:Choice Requires="wps">
            <w:drawing>
              <wp:anchor distT="0" distB="0" distL="114300" distR="114300" simplePos="0" relativeHeight="251734016" behindDoc="0" locked="0" layoutInCell="1" allowOverlap="1">
                <wp:simplePos x="0" y="0"/>
                <wp:positionH relativeFrom="column">
                  <wp:posOffset>-73660</wp:posOffset>
                </wp:positionH>
                <wp:positionV relativeFrom="paragraph">
                  <wp:posOffset>8890</wp:posOffset>
                </wp:positionV>
                <wp:extent cx="873760" cy="659765"/>
                <wp:effectExtent l="0" t="0" r="0" b="0"/>
                <wp:wrapNone/>
                <wp:docPr id="193" name="文本框 193"/>
                <wp:cNvGraphicFramePr/>
                <a:graphic xmlns:a="http://schemas.openxmlformats.org/drawingml/2006/main">
                  <a:graphicData uri="http://schemas.microsoft.com/office/word/2010/wordprocessingShape">
                    <wps:wsp>
                      <wps:cNvSpPr txBox="1">
                        <a:spLocks noChangeArrowheads="1"/>
                      </wps:cNvSpPr>
                      <wps:spPr bwMode="auto">
                        <a:xfrm>
                          <a:off x="0" y="0"/>
                          <a:ext cx="873760" cy="65976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工程质量不达标准的处理和责任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8pt;margin-top:0.7pt;height:51.95pt;width:68.8pt;z-index:251734016;mso-width-relative:page;mso-height-relative:page;" filled="f" stroked="f" coordsize="21600,21600" o:gfxdata="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LphSAHVAAAACQEAAA8AAAAAAAAAAQAgAAAAIgAAAGRycy9kb3du&#10;cmV2LnhtbFBLAQIUABQAAAAIAIdO4kC0ftN8AgIAANgDAAAOAAAAAAAAAAEAIAAAACQBAABkcnMv&#10;ZTJvRG9jLnhtbFBLBQYAAAAABgAGAFkBAACY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工程质量不达标准的处理和责任</w:t>
                      </w:r>
                    </w:p>
                  </w:txbxContent>
                </v:textbox>
              </v:shape>
            </w:pict>
          </mc:Fallback>
        </mc:AlternateContent>
      </w:r>
      <w:r>
        <w:rPr>
          <w:rFonts w:hint="eastAsia" w:ascii="宋体" w:hAnsi="宋体" w:cs="宋体"/>
          <w:color w:val="auto"/>
          <w:szCs w:val="21"/>
        </w:rPr>
        <w:t>发现工程质量达不到合同约定验收标准，承包人应拆除和重新施工，直到符合合同约定验收标准为止。因承包人的原因达不到合同约定验收标准的，由此增加的费用和（或）延误的工期由承包人承担；因发包人的原因达不到合同约定验收标准的，包括承包人拆除和重新施工费用在内的由此增加的费用和（或）延误的工期由发包人承担，并向承包人支付合理利润。</w:t>
      </w:r>
    </w:p>
    <w:p>
      <w:pPr>
        <w:tabs>
          <w:tab w:val="left" w:pos="540"/>
        </w:tabs>
        <w:adjustRightInd w:val="0"/>
        <w:snapToGrid w:val="0"/>
        <w:spacing w:line="360" w:lineRule="auto"/>
        <w:rPr>
          <w:rFonts w:ascii="宋体" w:hAnsi="宋体" w:cs="宋体"/>
          <w:b/>
          <w:color w:val="auto"/>
          <w:szCs w:val="21"/>
        </w:rPr>
      </w:pPr>
      <w:r>
        <w:rPr>
          <w:rFonts w:hint="eastAsia" w:ascii="宋体" w:hAnsi="宋体" w:cs="宋体"/>
          <w:b/>
          <w:color w:val="auto"/>
          <w:szCs w:val="21"/>
        </w:rPr>
        <w:t xml:space="preserve">52.4  </w:t>
      </w:r>
      <w:r>
        <w:rPr>
          <w:rFonts w:hint="eastAsia" w:ascii="宋体" w:hAnsi="宋体" w:cs="宋体"/>
          <w:b/>
          <w:color w:val="auto"/>
          <w:szCs w:val="21"/>
          <w:u w:val="dotted"/>
        </w:rPr>
        <w:t xml:space="preserve">                                                                                                        </w:t>
      </w:r>
    </w:p>
    <w:p>
      <w:pPr>
        <w:adjustRightInd w:val="0"/>
        <w:snapToGrid w:val="0"/>
        <w:spacing w:line="360" w:lineRule="auto"/>
        <w:ind w:left="1619" w:leftChars="771"/>
        <w:rPr>
          <w:rFonts w:ascii="宋体" w:hAnsi="宋体" w:cs="宋体"/>
          <w:color w:val="auto"/>
          <w:szCs w:val="21"/>
        </w:rPr>
      </w:pPr>
      <w:r>
        <w:rPr>
          <w:rFonts w:ascii="宋体" w:hAnsi="宋体" w:cs="宋体"/>
          <w:color w:val="auto"/>
          <w:szCs w:val="21"/>
        </w:rPr>
        <mc:AlternateContent>
          <mc:Choice Requires="wps">
            <w:drawing>
              <wp:anchor distT="0" distB="0" distL="114300" distR="114300" simplePos="0" relativeHeight="251735040" behindDoc="0" locked="0" layoutInCell="1" allowOverlap="1">
                <wp:simplePos x="0" y="0"/>
                <wp:positionH relativeFrom="column">
                  <wp:posOffset>-114300</wp:posOffset>
                </wp:positionH>
                <wp:positionV relativeFrom="paragraph">
                  <wp:posOffset>46355</wp:posOffset>
                </wp:positionV>
                <wp:extent cx="914400" cy="440055"/>
                <wp:effectExtent l="0" t="0" r="0" b="0"/>
                <wp:wrapNone/>
                <wp:docPr id="192" name="文本框 192"/>
                <wp:cNvGraphicFramePr/>
                <a:graphic xmlns:a="http://schemas.openxmlformats.org/drawingml/2006/main">
                  <a:graphicData uri="http://schemas.microsoft.com/office/word/2010/wordprocessingShape">
                    <wps:wsp>
                      <wps:cNvSpPr txBox="1">
                        <a:spLocks noChangeArrowheads="1"/>
                      </wps:cNvSpPr>
                      <wps:spPr bwMode="auto">
                        <a:xfrm>
                          <a:off x="0" y="0"/>
                          <a:ext cx="914400" cy="44005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质量检查不得影响施工</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65pt;height:34.65pt;width:72pt;z-index:251735040;mso-width-relative:page;mso-height-relative:page;" filled="f" stroked="f" coordsize="21600,21600" o:gfxdata="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I8aGEHUAAAACAEAAA8AAAAAAAAAAQAgAAAAIgAAAGRycy9kb3ducmV2Lnht&#10;bFBLAQIUABQAAAAIAIdO4kBFVgeQ/QEAANgDAAAOAAAAAAAAAAEAIAAAACMBAABkcnMvZTJvRG9j&#10;LnhtbFBLBQYAAAAABgAGAFkBAACS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质量检查不得影响施工</w:t>
                      </w:r>
                    </w:p>
                  </w:txbxContent>
                </v:textbox>
              </v:shape>
            </w:pict>
          </mc:Fallback>
        </mc:AlternateContent>
      </w:r>
      <w:r>
        <w:rPr>
          <w:rFonts w:hint="eastAsia" w:ascii="宋体" w:hAnsi="宋体" w:cs="宋体"/>
          <w:color w:val="auto"/>
          <w:szCs w:val="21"/>
        </w:rPr>
        <w:t>监理工程师对合同工程质量的检查，不得影响承包人的正常施工。如影响施工正常进行，承包人应向发包人、监理工程师发出书面改正通知；监理工程师应及时予以改正，否则承包人有权提出并得到补偿。</w:t>
      </w:r>
    </w:p>
    <w:p>
      <w:pPr>
        <w:tabs>
          <w:tab w:val="left" w:pos="540"/>
        </w:tabs>
        <w:adjustRightInd w:val="0"/>
        <w:snapToGrid w:val="0"/>
        <w:spacing w:line="360" w:lineRule="auto"/>
        <w:rPr>
          <w:rFonts w:ascii="宋体" w:hAnsi="宋体" w:cs="宋体"/>
          <w:b/>
          <w:color w:val="auto"/>
          <w:szCs w:val="21"/>
        </w:rPr>
      </w:pPr>
      <w:r>
        <w:rPr>
          <w:rFonts w:hint="eastAsia" w:ascii="宋体" w:hAnsi="宋体" w:cs="宋体"/>
          <w:b/>
          <w:color w:val="auto"/>
          <w:szCs w:val="21"/>
        </w:rPr>
        <w:t xml:space="preserve">52.5  </w:t>
      </w:r>
      <w:r>
        <w:rPr>
          <w:rFonts w:hint="eastAsia" w:ascii="宋体" w:hAnsi="宋体" w:cs="宋体"/>
          <w:b/>
          <w:color w:val="auto"/>
          <w:szCs w:val="21"/>
          <w:u w:val="dotted"/>
        </w:rPr>
        <w:t xml:space="preserve">                                                                                                        </w:t>
      </w:r>
    </w:p>
    <w:p>
      <w:pPr>
        <w:adjustRightInd w:val="0"/>
        <w:snapToGrid w:val="0"/>
        <w:spacing w:line="360" w:lineRule="auto"/>
        <w:ind w:left="1619" w:leftChars="771"/>
        <w:rPr>
          <w:rFonts w:ascii="宋体" w:hAnsi="宋体" w:cs="宋体"/>
          <w:color w:val="auto"/>
          <w:szCs w:val="21"/>
        </w:rPr>
      </w:pPr>
      <w:r>
        <w:rPr>
          <w:rFonts w:ascii="宋体" w:hAnsi="宋体" w:cs="宋体"/>
          <w:color w:val="auto"/>
          <w:szCs w:val="21"/>
        </w:rPr>
        <mc:AlternateContent>
          <mc:Choice Requires="wps">
            <w:drawing>
              <wp:anchor distT="0" distB="0" distL="114300" distR="114300" simplePos="0" relativeHeight="251947008" behindDoc="0" locked="0" layoutInCell="1" allowOverlap="1">
                <wp:simplePos x="0" y="0"/>
                <wp:positionH relativeFrom="column">
                  <wp:posOffset>-114300</wp:posOffset>
                </wp:positionH>
                <wp:positionV relativeFrom="paragraph">
                  <wp:posOffset>46355</wp:posOffset>
                </wp:positionV>
                <wp:extent cx="914400" cy="440055"/>
                <wp:effectExtent l="0" t="0" r="0" b="0"/>
                <wp:wrapNone/>
                <wp:docPr id="191" name="文本框 191"/>
                <wp:cNvGraphicFramePr/>
                <a:graphic xmlns:a="http://schemas.openxmlformats.org/drawingml/2006/main">
                  <a:graphicData uri="http://schemas.microsoft.com/office/word/2010/wordprocessingShape">
                    <wps:wsp>
                      <wps:cNvSpPr txBox="1">
                        <a:spLocks noChangeArrowheads="1"/>
                      </wps:cNvSpPr>
                      <wps:spPr bwMode="auto">
                        <a:xfrm>
                          <a:off x="0" y="0"/>
                          <a:ext cx="914400" cy="44005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现场工艺试验</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65pt;height:34.65pt;width:72pt;z-index:251947008;mso-width-relative:page;mso-height-relative:page;" filled="f" stroked="f" coordsize="21600,21600" o:gfxdata="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I8aGEHUAAAACAEAAA8AAAAAAAAAAQAgAAAAIgAAAGRycy9kb3ducmV2Lnht&#10;bFBLAQIUABQAAAAIAIdO4kDJNt+d/QEAANgDAAAOAAAAAAAAAAEAIAAAACMBAABkcnMvZTJvRG9j&#10;LnhtbFBLBQYAAAAABgAGAFkBAACS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现场工艺试验</w:t>
                      </w:r>
                    </w:p>
                  </w:txbxContent>
                </v:textbox>
              </v:shape>
            </w:pict>
          </mc:Fallback>
        </mc:AlternateContent>
      </w:r>
      <w:r>
        <w:rPr>
          <w:rFonts w:hint="eastAsia" w:ascii="宋体" w:hAnsi="宋体" w:cs="宋体"/>
          <w:color w:val="auto"/>
          <w:szCs w:val="21"/>
        </w:rPr>
        <w:t>如合同有约定或监理工程师发出书面指令，承包人应进行现场工艺试验。监理工程师报发包人批准后，认为有必要进行大型现场工艺试验的，承包人应根据监理工程师提出的书面要求，编制工艺试验措施计划，提交监理工程师确认并由其报发包人审批。除工程量清单中已经列有此类工作的支付项目和额度外，由此增加的费用和（或）延误的工期由发包人承担。</w:t>
      </w:r>
    </w:p>
    <w:p>
      <w:pPr>
        <w:adjustRightInd w:val="0"/>
        <w:snapToGrid w:val="0"/>
        <w:rPr>
          <w:rFonts w:ascii="宋体" w:hAnsi="宋体" w:cs="宋体"/>
          <w:b/>
          <w:color w:val="auto"/>
          <w:szCs w:val="21"/>
          <w:u w:val="single"/>
        </w:rPr>
      </w:pPr>
      <w:r>
        <w:rPr>
          <w:rFonts w:hint="eastAsia" w:ascii="宋体" w:hAnsi="宋体" w:cs="宋体"/>
          <w:b/>
          <w:color w:val="auto"/>
          <w:szCs w:val="21"/>
          <w:u w:val="single"/>
        </w:rPr>
        <w:t xml:space="preserve">                                                                                                              </w:t>
      </w:r>
    </w:p>
    <w:p>
      <w:pPr>
        <w:tabs>
          <w:tab w:val="left" w:pos="1620"/>
        </w:tabs>
        <w:rPr>
          <w:rFonts w:ascii="宋体" w:hAnsi="宋体" w:cs="宋体"/>
          <w:color w:val="auto"/>
          <w:szCs w:val="21"/>
        </w:rPr>
      </w:pPr>
    </w:p>
    <w:p>
      <w:pPr>
        <w:tabs>
          <w:tab w:val="left" w:pos="540"/>
        </w:tabs>
        <w:adjustRightInd w:val="0"/>
        <w:snapToGrid w:val="0"/>
        <w:spacing w:beforeLines="100" w:line="360" w:lineRule="auto"/>
        <w:ind w:right="-238"/>
        <w:rPr>
          <w:rFonts w:ascii="宋体" w:hAnsi="宋体" w:cs="宋体"/>
          <w:b/>
          <w:color w:val="auto"/>
          <w:kern w:val="0"/>
          <w:szCs w:val="21"/>
        </w:rPr>
      </w:pPr>
      <w:r>
        <w:rPr>
          <w:rFonts w:hint="eastAsia" w:ascii="宋体" w:hAnsi="宋体" w:cs="宋体"/>
          <w:b/>
          <w:color w:val="auto"/>
          <w:kern w:val="0"/>
          <w:szCs w:val="21"/>
        </w:rPr>
        <w:t>53  隐蔽工程和中间验收</w:t>
      </w:r>
    </w:p>
    <w:p>
      <w:pPr>
        <w:tabs>
          <w:tab w:val="left" w:pos="1320"/>
        </w:tabs>
        <w:adjustRightInd w:val="0"/>
        <w:snapToGrid w:val="0"/>
        <w:spacing w:line="360" w:lineRule="auto"/>
        <w:rPr>
          <w:rFonts w:ascii="宋体" w:hAnsi="宋体" w:cs="宋体"/>
          <w:b/>
          <w:color w:val="auto"/>
          <w:szCs w:val="21"/>
        </w:rPr>
      </w:pPr>
      <w:r>
        <w:rPr>
          <w:rFonts w:hint="eastAsia" w:ascii="宋体" w:hAnsi="宋体" w:cs="宋体"/>
          <w:b/>
          <w:color w:val="auto"/>
          <w:szCs w:val="21"/>
        </w:rPr>
        <w:t>53.1</w:t>
      </w:r>
    </w:p>
    <w:p>
      <w:pPr>
        <w:adjustRightInd w:val="0"/>
        <w:snapToGrid w:val="0"/>
        <w:spacing w:line="360" w:lineRule="auto"/>
        <w:ind w:left="1619" w:leftChars="771"/>
        <w:rPr>
          <w:rFonts w:ascii="宋体" w:hAnsi="宋体" w:cs="宋体"/>
          <w:color w:val="auto"/>
          <w:szCs w:val="21"/>
        </w:rPr>
      </w:pPr>
      <w:r>
        <w:rPr>
          <w:rFonts w:ascii="宋体" w:hAnsi="宋体" w:cs="宋体"/>
          <w:color w:val="auto"/>
          <w:szCs w:val="21"/>
        </w:rPr>
        <mc:AlternateContent>
          <mc:Choice Requires="wps">
            <w:drawing>
              <wp:anchor distT="0" distB="0" distL="114300" distR="114300" simplePos="0" relativeHeight="251736064" behindDoc="0" locked="0" layoutInCell="1" allowOverlap="1">
                <wp:simplePos x="0" y="0"/>
                <wp:positionH relativeFrom="column">
                  <wp:posOffset>-73660</wp:posOffset>
                </wp:positionH>
                <wp:positionV relativeFrom="paragraph">
                  <wp:posOffset>17780</wp:posOffset>
                </wp:positionV>
                <wp:extent cx="873760" cy="454660"/>
                <wp:effectExtent l="0" t="0" r="0" b="0"/>
                <wp:wrapNone/>
                <wp:docPr id="190" name="文本框 190"/>
                <wp:cNvGraphicFramePr/>
                <a:graphic xmlns:a="http://schemas.openxmlformats.org/drawingml/2006/main">
                  <a:graphicData uri="http://schemas.microsoft.com/office/word/2010/wordprocessingShape">
                    <wps:wsp>
                      <wps:cNvSpPr txBox="1">
                        <a:spLocks noChangeArrowheads="1"/>
                      </wps:cNvSpPr>
                      <wps:spPr bwMode="auto">
                        <a:xfrm>
                          <a:off x="0" y="0"/>
                          <a:ext cx="873760" cy="45466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隐蔽工程和中间验收的通知</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8pt;margin-top:1.4pt;height:35.8pt;width:68.8pt;z-index:251736064;mso-width-relative:page;mso-height-relative:page;" filled="f" stroked="f" coordsize="21600,21600" o:gfxdata="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OosgOzUAAAACAEAAA8AAAAAAAAAAQAgAAAAIgAAAGRycy9kb3ducmV2&#10;LnhtbFBLAQIUABQAAAAIAIdO4kDUEMyZAAIAANgDAAAOAAAAAAAAAAEAIAAAACMBAABkcnMvZTJv&#10;RG9jLnhtbFBLBQYAAAAABgAGAFkBAACV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隐蔽工程和中间验收的通知</w:t>
                      </w:r>
                    </w:p>
                  </w:txbxContent>
                </v:textbox>
              </v:shape>
            </w:pict>
          </mc:Fallback>
        </mc:AlternateContent>
      </w:r>
      <w:r>
        <w:rPr>
          <w:rFonts w:hint="eastAsia" w:ascii="宋体" w:hAnsi="宋体" w:cs="宋体"/>
          <w:color w:val="auto"/>
          <w:szCs w:val="21"/>
        </w:rPr>
        <w:t>没有经监理工程师验收同意，任何工程均不得覆盖或隐蔽。隐蔽工程覆盖前或中间验收部位具备专用条款约定的验收条件时，承包人应进行自检，并在隐蔽或中间验收前48小时向监理工程师提出隐蔽工程或中间验收申请，通知监理工程师验收。通知的内容包括工程隐蔽或中间验收的内容、时间、地点，以及自检记录和必要的验收资料。承包人应准备验收记录，并提供必要的资料和协助。</w:t>
      </w:r>
    </w:p>
    <w:p>
      <w:pPr>
        <w:tabs>
          <w:tab w:val="left" w:pos="720"/>
        </w:tabs>
        <w:adjustRightInd w:val="0"/>
        <w:snapToGrid w:val="0"/>
        <w:spacing w:line="360" w:lineRule="auto"/>
        <w:rPr>
          <w:rFonts w:ascii="宋体" w:hAnsi="宋体" w:cs="宋体"/>
          <w:color w:val="auto"/>
          <w:szCs w:val="21"/>
        </w:rPr>
      </w:pPr>
      <w:r>
        <w:rPr>
          <w:rFonts w:hint="eastAsia" w:ascii="宋体" w:hAnsi="宋体" w:cs="宋体"/>
          <w:b/>
          <w:color w:val="auto"/>
          <w:szCs w:val="21"/>
        </w:rPr>
        <w:t xml:space="preserve">53.2 </w:t>
      </w:r>
      <w:r>
        <w:rPr>
          <w:rFonts w:hint="eastAsia" w:ascii="宋体" w:hAnsi="宋体" w:cs="宋体"/>
          <w:color w:val="auto"/>
          <w:szCs w:val="21"/>
        </w:rPr>
        <w:t xml:space="preserve"> </w:t>
      </w:r>
      <w:r>
        <w:rPr>
          <w:rFonts w:hint="eastAsia" w:ascii="宋体" w:hAnsi="宋体" w:cs="宋体"/>
          <w:color w:val="auto"/>
          <w:szCs w:val="21"/>
          <w:u w:val="dotted"/>
        </w:rPr>
        <w:t xml:space="preserve">                                                                         </w:t>
      </w:r>
    </w:p>
    <w:p>
      <w:pPr>
        <w:adjustRightInd w:val="0"/>
        <w:snapToGrid w:val="0"/>
        <w:spacing w:line="360" w:lineRule="auto"/>
        <w:ind w:left="1619" w:leftChars="771"/>
        <w:rPr>
          <w:rFonts w:ascii="宋体" w:hAnsi="宋体" w:cs="宋体"/>
          <w:color w:val="auto"/>
          <w:szCs w:val="21"/>
        </w:rPr>
      </w:pPr>
      <w:r>
        <w:rPr>
          <w:rFonts w:ascii="宋体" w:hAnsi="宋体" w:cs="宋体"/>
          <w:color w:val="auto"/>
          <w:szCs w:val="21"/>
        </w:rPr>
        <mc:AlternateContent>
          <mc:Choice Requires="wps">
            <w:drawing>
              <wp:anchor distT="0" distB="0" distL="114300" distR="114300" simplePos="0" relativeHeight="251737088" behindDoc="0" locked="0" layoutInCell="1" allowOverlap="1">
                <wp:simplePos x="0" y="0"/>
                <wp:positionH relativeFrom="column">
                  <wp:posOffset>-114300</wp:posOffset>
                </wp:positionH>
                <wp:positionV relativeFrom="paragraph">
                  <wp:posOffset>52070</wp:posOffset>
                </wp:positionV>
                <wp:extent cx="914400" cy="466725"/>
                <wp:effectExtent l="0" t="0" r="0" b="0"/>
                <wp:wrapNone/>
                <wp:docPr id="189" name="文本框 189"/>
                <wp:cNvGraphicFramePr/>
                <a:graphic xmlns:a="http://schemas.openxmlformats.org/drawingml/2006/main">
                  <a:graphicData uri="http://schemas.microsoft.com/office/word/2010/wordprocessingShape">
                    <wps:wsp>
                      <wps:cNvSpPr txBox="1">
                        <a:spLocks noChangeArrowheads="1"/>
                      </wps:cNvSpPr>
                      <wps:spPr bwMode="auto">
                        <a:xfrm>
                          <a:off x="0" y="0"/>
                          <a:ext cx="914400" cy="46672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参加验收的限制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4.1pt;height:36.75pt;width:72pt;z-index:251737088;mso-width-relative:page;mso-height-relative:page;" filled="f" stroked="f" coordsize="21600,21600" o:gfxdata="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eo09G1QAAAAgBAAAPAAAAAAAAAAEAIAAAACIAAABkcnMvZG93bnJl&#10;di54bWxQSwECFAAUAAAACACHTuJArTvBEAACAADYAwAADgAAAAAAAAABACAAAAAkAQAAZHJzL2Uy&#10;b0RvYy54bWxQSwUGAAAAAAYABgBZAQAAlg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参加验收的限制</w:t>
                      </w:r>
                    </w:p>
                  </w:txbxContent>
                </v:textbox>
              </v:shape>
            </w:pict>
          </mc:Fallback>
        </mc:AlternateContent>
      </w:r>
      <w:r>
        <w:rPr>
          <w:rFonts w:hint="eastAsia" w:ascii="宋体" w:hAnsi="宋体" w:cs="宋体"/>
          <w:color w:val="auto"/>
          <w:szCs w:val="21"/>
        </w:rPr>
        <w:t>如果监理工程师不能按时参加验收，应至少提前24小时发出延期验收指令并书面说明理由，延期不得超过48小时。如果监理工程师或其委派的代表未发出延期验收指令也未到场验收，承包人可自行验收，并认为该验收是经监理工程师同意下完成的；由此增加的费用和（或）延误的工期由发包人承担，并向承包人支付合理利润。验收完成后，承包人应立即向监理工程师提交验收记录，监理工程师应予认可。监理工程师事后对验收记录有疑问的，可按照第54.1款规定重新验收。</w:t>
      </w:r>
    </w:p>
    <w:p>
      <w:pPr>
        <w:tabs>
          <w:tab w:val="left" w:pos="720"/>
        </w:tabs>
        <w:adjustRightInd w:val="0"/>
        <w:snapToGrid w:val="0"/>
        <w:spacing w:line="360" w:lineRule="auto"/>
        <w:rPr>
          <w:rFonts w:ascii="宋体" w:hAnsi="宋体" w:cs="宋体"/>
          <w:color w:val="auto"/>
          <w:szCs w:val="21"/>
        </w:rPr>
      </w:pPr>
      <w:r>
        <w:rPr>
          <w:rFonts w:hint="eastAsia" w:ascii="宋体" w:hAnsi="宋体" w:cs="宋体"/>
          <w:b/>
          <w:color w:val="auto"/>
          <w:szCs w:val="21"/>
        </w:rPr>
        <w:t xml:space="preserve">53.3 </w:t>
      </w:r>
      <w:r>
        <w:rPr>
          <w:rFonts w:hint="eastAsia" w:ascii="宋体" w:hAnsi="宋体" w:cs="宋体"/>
          <w:color w:val="auto"/>
          <w:szCs w:val="21"/>
        </w:rPr>
        <w:t xml:space="preserve"> </w:t>
      </w:r>
      <w:r>
        <w:rPr>
          <w:rFonts w:hint="eastAsia" w:ascii="宋体" w:hAnsi="宋体" w:cs="宋体"/>
          <w:color w:val="auto"/>
          <w:szCs w:val="21"/>
          <w:u w:val="dotted"/>
        </w:rPr>
        <w:t xml:space="preserve">                                                                         </w:t>
      </w:r>
    </w:p>
    <w:p>
      <w:pPr>
        <w:tabs>
          <w:tab w:val="left" w:pos="2160"/>
        </w:tabs>
        <w:adjustRightInd w:val="0"/>
        <w:snapToGrid w:val="0"/>
        <w:spacing w:line="360" w:lineRule="auto"/>
        <w:ind w:left="1619" w:leftChars="771"/>
        <w:rPr>
          <w:rFonts w:ascii="宋体" w:hAnsi="宋体" w:cs="宋体"/>
          <w:color w:val="auto"/>
          <w:szCs w:val="21"/>
        </w:rPr>
      </w:pPr>
      <w:r>
        <w:rPr>
          <w:rFonts w:ascii="宋体" w:hAnsi="宋体" w:cs="宋体"/>
          <w:color w:val="auto"/>
          <w:szCs w:val="21"/>
        </w:rPr>
        <mc:AlternateContent>
          <mc:Choice Requires="wps">
            <w:drawing>
              <wp:anchor distT="0" distB="0" distL="114300" distR="114300" simplePos="0" relativeHeight="251738112" behindDoc="0" locked="0" layoutInCell="1" allowOverlap="1">
                <wp:simplePos x="0" y="0"/>
                <wp:positionH relativeFrom="column">
                  <wp:posOffset>-114300</wp:posOffset>
                </wp:positionH>
                <wp:positionV relativeFrom="paragraph">
                  <wp:posOffset>3810</wp:posOffset>
                </wp:positionV>
                <wp:extent cx="914400" cy="476250"/>
                <wp:effectExtent l="0" t="0" r="0" b="0"/>
                <wp:wrapNone/>
                <wp:docPr id="188" name="文本框 188"/>
                <wp:cNvGraphicFramePr/>
                <a:graphic xmlns:a="http://schemas.openxmlformats.org/drawingml/2006/main">
                  <a:graphicData uri="http://schemas.microsoft.com/office/word/2010/wordprocessingShape">
                    <wps:wsp>
                      <wps:cNvSpPr txBox="1">
                        <a:spLocks noChangeArrowheads="1"/>
                      </wps:cNvSpPr>
                      <wps:spPr bwMode="auto">
                        <a:xfrm>
                          <a:off x="0" y="0"/>
                          <a:ext cx="914400" cy="47625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验收结果的确认</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3pt;height:37.5pt;width:72pt;z-index:251738112;mso-width-relative:page;mso-height-relative:page;" filled="f" stroked="f" coordsize="21600,21600" o:gfxdata="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0kHFrNQAAAAHAQAADwAAAAAAAAABACAAAAAiAAAAZHJzL2Rvd25yZXYu&#10;eG1sUEsBAhQAFAAAAAgAh07iQEzXhYj/AQAA2AMAAA4AAAAAAAAAAQAgAAAAIwEAAGRycy9lMm9E&#10;b2MueG1sUEsFBgAAAAAGAAYAWQEAAJQF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验收结果的确认</w:t>
                      </w:r>
                    </w:p>
                  </w:txbxContent>
                </v:textbox>
              </v:shape>
            </w:pict>
          </mc:Fallback>
        </mc:AlternateContent>
      </w:r>
      <w:r>
        <w:rPr>
          <w:rFonts w:hint="eastAsia" w:ascii="宋体" w:hAnsi="宋体" w:cs="宋体"/>
          <w:color w:val="auto"/>
          <w:szCs w:val="21"/>
        </w:rPr>
        <w:t>验收合格的，监理工程师应在验收记录上签字，并形成验收文件，承包人可进行隐蔽或继续施工。验收合格24小时后，监理工程师仍不在验收记录上签字，视为监理工程师已认可验收记录。</w:t>
      </w:r>
    </w:p>
    <w:p>
      <w:pPr>
        <w:tabs>
          <w:tab w:val="left" w:pos="2160"/>
        </w:tabs>
        <w:adjustRightInd w:val="0"/>
        <w:snapToGrid w:val="0"/>
        <w:spacing w:line="360" w:lineRule="auto"/>
        <w:ind w:left="1619" w:leftChars="771"/>
        <w:rPr>
          <w:rFonts w:ascii="宋体" w:hAnsi="宋体" w:cs="宋体"/>
          <w:color w:val="auto"/>
          <w:szCs w:val="21"/>
        </w:rPr>
      </w:pPr>
      <w:r>
        <w:rPr>
          <w:rFonts w:hint="eastAsia" w:ascii="宋体" w:hAnsi="宋体" w:cs="宋体"/>
          <w:color w:val="auto"/>
          <w:szCs w:val="21"/>
        </w:rPr>
        <w:t>验收不合格的，承包人应按照监理工程师的指令修改后重新验收，由此增加的费用和（或）延误的工期由承包人承担。</w:t>
      </w:r>
    </w:p>
    <w:p>
      <w:pPr>
        <w:tabs>
          <w:tab w:val="left" w:pos="540"/>
        </w:tabs>
        <w:adjustRightInd w:val="0"/>
        <w:snapToGrid w:val="0"/>
        <w:spacing w:line="360" w:lineRule="auto"/>
        <w:rPr>
          <w:rFonts w:ascii="宋体" w:hAnsi="宋体" w:cs="宋体"/>
          <w:color w:val="auto"/>
          <w:szCs w:val="21"/>
        </w:rPr>
      </w:pPr>
      <w:r>
        <w:rPr>
          <w:rFonts w:ascii="宋体" w:hAnsi="宋体" w:cs="宋体"/>
          <w:color w:val="auto"/>
          <w:szCs w:val="21"/>
        </w:rPr>
        <mc:AlternateContent>
          <mc:Choice Requires="wps">
            <w:drawing>
              <wp:anchor distT="0" distB="0" distL="114300" distR="114300" simplePos="0" relativeHeight="251739136" behindDoc="0" locked="0" layoutInCell="1" allowOverlap="1">
                <wp:simplePos x="0" y="0"/>
                <wp:positionH relativeFrom="column">
                  <wp:posOffset>-114300</wp:posOffset>
                </wp:positionH>
                <wp:positionV relativeFrom="paragraph">
                  <wp:posOffset>245110</wp:posOffset>
                </wp:positionV>
                <wp:extent cx="914400" cy="396240"/>
                <wp:effectExtent l="0" t="0" r="0" b="0"/>
                <wp:wrapNone/>
                <wp:docPr id="187" name="文本框 187"/>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隐蔽工程的拍摄或照相</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3pt;height:31.2pt;width:72pt;z-index:251739136;mso-width-relative:page;mso-height-relative:page;" filled="f" stroked="f" coordsize="21600,21600" o:gfxdata="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FIIsrLXAAAACgEAAA8AAAAAAAAAAQAgAAAAIgAAAGRycy9kb3du&#10;cmV2LnhtbFBLAQIUABQAAAAIAIdO4kAk3r03AAIAANgDAAAOAAAAAAAAAAEAIAAAACYBAABkcnMv&#10;ZTJvRG9jLnhtbFBLBQYAAAAABgAGAFkBAACY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隐蔽工程的拍摄或照相</w:t>
                      </w:r>
                    </w:p>
                  </w:txbxContent>
                </v:textbox>
              </v:shape>
            </w:pict>
          </mc:Fallback>
        </mc:AlternateContent>
      </w:r>
      <w:r>
        <w:rPr>
          <w:rFonts w:hint="eastAsia" w:ascii="宋体" w:hAnsi="宋体" w:cs="宋体"/>
          <w:b/>
          <w:color w:val="auto"/>
          <w:szCs w:val="21"/>
        </w:rPr>
        <w:t xml:space="preserve">53.4 </w:t>
      </w:r>
      <w:r>
        <w:rPr>
          <w:rFonts w:hint="eastAsia" w:ascii="宋体" w:hAnsi="宋体" w:cs="宋体"/>
          <w:color w:val="auto"/>
          <w:szCs w:val="21"/>
        </w:rPr>
        <w:t xml:space="preserve"> </w:t>
      </w:r>
      <w:r>
        <w:rPr>
          <w:rFonts w:hint="eastAsia" w:ascii="宋体" w:hAnsi="宋体" w:cs="宋体"/>
          <w:color w:val="auto"/>
          <w:szCs w:val="21"/>
          <w:u w:val="dotted"/>
        </w:rPr>
        <w:t xml:space="preserve">                                                                                                       </w:t>
      </w:r>
    </w:p>
    <w:p>
      <w:pPr>
        <w:adjustRightInd w:val="0"/>
        <w:snapToGrid w:val="0"/>
        <w:spacing w:line="360" w:lineRule="auto"/>
        <w:ind w:left="1619" w:leftChars="771"/>
        <w:rPr>
          <w:rFonts w:ascii="宋体" w:hAnsi="宋体" w:cs="宋体"/>
          <w:color w:val="auto"/>
          <w:szCs w:val="21"/>
        </w:rPr>
      </w:pPr>
      <w:r>
        <w:rPr>
          <w:rFonts w:hint="eastAsia" w:ascii="宋体" w:hAnsi="宋体" w:cs="宋体"/>
          <w:color w:val="auto"/>
          <w:szCs w:val="21"/>
        </w:rPr>
        <w:t>如监理工程师有指令，承包人应对隐蔽工程进行拍摄或照相，保证监理工程师能充分检查和测量隐蔽的工程。</w:t>
      </w:r>
    </w:p>
    <w:p>
      <w:pPr>
        <w:tabs>
          <w:tab w:val="left" w:pos="540"/>
        </w:tabs>
        <w:adjustRightInd w:val="0"/>
        <w:snapToGrid w:val="0"/>
        <w:spacing w:line="360" w:lineRule="auto"/>
        <w:rPr>
          <w:rFonts w:ascii="宋体" w:hAnsi="宋体" w:cs="宋体"/>
          <w:b/>
          <w:color w:val="auto"/>
          <w:szCs w:val="21"/>
        </w:rPr>
      </w:pPr>
      <w:r>
        <w:rPr>
          <w:rFonts w:ascii="宋体" w:hAnsi="宋体" w:cs="宋体"/>
          <w:color w:val="auto"/>
          <w:szCs w:val="21"/>
        </w:rPr>
        <mc:AlternateContent>
          <mc:Choice Requires="wps">
            <w:drawing>
              <wp:anchor distT="0" distB="0" distL="114300" distR="114300" simplePos="0" relativeHeight="251948032" behindDoc="0" locked="0" layoutInCell="1" allowOverlap="1">
                <wp:simplePos x="0" y="0"/>
                <wp:positionH relativeFrom="column">
                  <wp:posOffset>-114300</wp:posOffset>
                </wp:positionH>
                <wp:positionV relativeFrom="paragraph">
                  <wp:posOffset>245110</wp:posOffset>
                </wp:positionV>
                <wp:extent cx="914400" cy="396240"/>
                <wp:effectExtent l="0" t="0" r="0" b="0"/>
                <wp:wrapNone/>
                <wp:docPr id="186" name="文本框 186"/>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pPr>
                              <w:spacing w:line="240" w:lineRule="exact"/>
                              <w:rPr>
                                <w:rFonts w:ascii="宋体" w:hAnsi="宋体"/>
                                <w:sz w:val="18"/>
                                <w:szCs w:val="18"/>
                              </w:rPr>
                            </w:pPr>
                            <w:r>
                              <w:rPr>
                                <w:rFonts w:hint="eastAsia" w:ascii="楷体_GB2312" w:hAnsi="宋体"/>
                                <w:b/>
                                <w:color w:val="000000"/>
                                <w:sz w:val="18"/>
                                <w:szCs w:val="18"/>
                              </w:rPr>
                              <w:t>承包人私自隐蔽</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3pt;height:31.2pt;width:72pt;z-index:251948032;mso-width-relative:page;mso-height-relative:page;" filled="f" stroked="f" coordsize="21600,21600" o:gfxdata="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FIIsrLXAAAACgEAAA8AAAAAAAAAAQAgAAAAIgAAAGRycy9kb3du&#10;cmV2LnhtbFBLAQIUABQAAAAIAIdO4kCgAQozAAIAANgDAAAOAAAAAAAAAAEAIAAAACYBAABkcnMv&#10;ZTJvRG9jLnhtbFBLBQYAAAAABgAGAFkBAACYBQAAAAA=&#10;">
                <v:fill on="f" focussize="0,0"/>
                <v:stroke on="f"/>
                <v:imagedata o:title=""/>
                <o:lock v:ext="edit" aspectratio="f"/>
                <v:textbox>
                  <w:txbxContent>
                    <w:p>
                      <w:pPr>
                        <w:spacing w:line="240" w:lineRule="exact"/>
                        <w:rPr>
                          <w:rFonts w:ascii="宋体" w:hAnsi="宋体"/>
                          <w:sz w:val="18"/>
                          <w:szCs w:val="18"/>
                        </w:rPr>
                      </w:pPr>
                      <w:r>
                        <w:rPr>
                          <w:rFonts w:hint="eastAsia" w:ascii="楷体_GB2312" w:hAnsi="宋体"/>
                          <w:b/>
                          <w:color w:val="000000"/>
                          <w:sz w:val="18"/>
                          <w:szCs w:val="18"/>
                        </w:rPr>
                        <w:t>承包人私自隐蔽</w:t>
                      </w:r>
                    </w:p>
                  </w:txbxContent>
                </v:textbox>
              </v:shape>
            </w:pict>
          </mc:Fallback>
        </mc:AlternateContent>
      </w:r>
      <w:r>
        <w:rPr>
          <w:rFonts w:hint="eastAsia" w:ascii="宋体" w:hAnsi="宋体" w:cs="宋体"/>
          <w:b/>
          <w:color w:val="auto"/>
          <w:szCs w:val="21"/>
        </w:rPr>
        <w:t xml:space="preserve">53.5  </w:t>
      </w:r>
      <w:r>
        <w:rPr>
          <w:rFonts w:hint="eastAsia" w:ascii="宋体" w:hAnsi="宋体" w:cs="宋体"/>
          <w:b/>
          <w:color w:val="auto"/>
          <w:szCs w:val="21"/>
          <w:u w:val="dotted"/>
        </w:rPr>
        <w:t xml:space="preserve">                                                                                                       </w:t>
      </w:r>
    </w:p>
    <w:p>
      <w:pPr>
        <w:adjustRightInd w:val="0"/>
        <w:snapToGrid w:val="0"/>
        <w:spacing w:line="360" w:lineRule="auto"/>
        <w:ind w:left="1619" w:leftChars="771"/>
        <w:rPr>
          <w:rFonts w:ascii="宋体" w:hAnsi="宋体" w:cs="宋体"/>
          <w:color w:val="auto"/>
          <w:szCs w:val="21"/>
          <w:u w:val="single"/>
        </w:rPr>
      </w:pPr>
      <w:r>
        <w:rPr>
          <w:rFonts w:hint="eastAsia" w:ascii="宋体" w:hAnsi="宋体" w:cs="宋体"/>
          <w:color w:val="auto"/>
          <w:szCs w:val="21"/>
        </w:rPr>
        <w:t>承包人未通知监理工程师到场验收，私自将隐蔽工程覆盖的，监理工程师有权指令承包人进行钻孔探测或剥露验收，由此增加的费用和（或）延误的工期由承包人承担。</w:t>
      </w:r>
    </w:p>
    <w:p>
      <w:pPr>
        <w:adjustRightInd w:val="0"/>
        <w:snapToGrid w:val="0"/>
        <w:rPr>
          <w:rFonts w:ascii="宋体" w:hAnsi="宋体" w:cs="宋体"/>
          <w:b/>
          <w:color w:val="auto"/>
          <w:szCs w:val="21"/>
          <w:u w:val="single"/>
        </w:rPr>
      </w:pPr>
      <w:r>
        <w:rPr>
          <w:rFonts w:hint="eastAsia" w:ascii="宋体" w:hAnsi="宋体" w:cs="宋体"/>
          <w:b/>
          <w:color w:val="auto"/>
          <w:szCs w:val="21"/>
          <w:u w:val="single"/>
        </w:rPr>
        <w:t xml:space="preserve">                                                                                                              </w:t>
      </w:r>
    </w:p>
    <w:p>
      <w:pPr>
        <w:tabs>
          <w:tab w:val="left" w:pos="540"/>
        </w:tabs>
        <w:adjustRightInd w:val="0"/>
        <w:snapToGrid w:val="0"/>
        <w:spacing w:beforeLines="100"/>
        <w:ind w:right="-238" w:firstLine="480"/>
        <w:rPr>
          <w:rFonts w:ascii="宋体" w:hAnsi="宋体" w:cs="宋体"/>
          <w:color w:val="auto"/>
          <w:kern w:val="0"/>
          <w:szCs w:val="21"/>
        </w:rPr>
      </w:pPr>
    </w:p>
    <w:p>
      <w:pPr>
        <w:tabs>
          <w:tab w:val="left" w:pos="540"/>
        </w:tabs>
        <w:adjustRightInd w:val="0"/>
        <w:snapToGrid w:val="0"/>
        <w:spacing w:beforeLines="100" w:line="360" w:lineRule="auto"/>
        <w:ind w:right="-238"/>
        <w:rPr>
          <w:rFonts w:ascii="宋体" w:hAnsi="宋体" w:cs="宋体"/>
          <w:b/>
          <w:color w:val="auto"/>
          <w:kern w:val="0"/>
          <w:szCs w:val="21"/>
        </w:rPr>
      </w:pPr>
      <w:r>
        <w:rPr>
          <w:rFonts w:hint="eastAsia" w:ascii="宋体" w:hAnsi="宋体" w:cs="宋体"/>
          <w:b/>
          <w:color w:val="auto"/>
          <w:kern w:val="0"/>
          <w:szCs w:val="21"/>
        </w:rPr>
        <w:t>54  重新验收和额外检查检验</w:t>
      </w:r>
    </w:p>
    <w:p>
      <w:pPr>
        <w:adjustRightInd w:val="0"/>
        <w:snapToGrid w:val="0"/>
        <w:spacing w:line="360" w:lineRule="auto"/>
        <w:rPr>
          <w:rFonts w:ascii="宋体" w:hAnsi="宋体" w:cs="宋体"/>
          <w:b/>
          <w:color w:val="auto"/>
          <w:szCs w:val="21"/>
        </w:rPr>
      </w:pPr>
      <w:r>
        <w:rPr>
          <w:rFonts w:ascii="宋体" w:hAnsi="宋体" w:cs="宋体"/>
          <w:color w:val="auto"/>
          <w:szCs w:val="21"/>
        </w:rPr>
        <mc:AlternateContent>
          <mc:Choice Requires="wps">
            <w:drawing>
              <wp:anchor distT="0" distB="0" distL="114300" distR="114300" simplePos="0" relativeHeight="251740160" behindDoc="0" locked="0" layoutInCell="1" allowOverlap="1">
                <wp:simplePos x="0" y="0"/>
                <wp:positionH relativeFrom="column">
                  <wp:posOffset>-114300</wp:posOffset>
                </wp:positionH>
                <wp:positionV relativeFrom="paragraph">
                  <wp:posOffset>246380</wp:posOffset>
                </wp:positionV>
                <wp:extent cx="800100" cy="285750"/>
                <wp:effectExtent l="0" t="0" r="0" b="0"/>
                <wp:wrapNone/>
                <wp:docPr id="185" name="文本框 185"/>
                <wp:cNvGraphicFramePr/>
                <a:graphic xmlns:a="http://schemas.openxmlformats.org/drawingml/2006/main">
                  <a:graphicData uri="http://schemas.microsoft.com/office/word/2010/wordprocessingShape">
                    <wps:wsp>
                      <wps:cNvSpPr txBox="1">
                        <a:spLocks noChangeArrowheads="1"/>
                      </wps:cNvSpPr>
                      <wps:spPr bwMode="auto">
                        <a:xfrm>
                          <a:off x="0" y="0"/>
                          <a:ext cx="800100" cy="28575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重新验收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4pt;height:22.5pt;width:63pt;z-index:251740160;mso-width-relative:page;mso-height-relative:page;" filled="f" stroked="f" coordsize="21600,21600" o:gfxdata="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txwhb1QAAAAkBAAAPAAAAAAAAAAEAIAAAACIAAABkcnMvZG93bnJl&#10;di54bWxQSwECFAAUAAAACACHTuJAJbyEnAACAADYAwAADgAAAAAAAAABACAAAAAkAQAAZHJzL2Uy&#10;b0RvYy54bWxQSwUGAAAAAAYABgBZAQAAlg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重新验收</w:t>
                      </w:r>
                    </w:p>
                  </w:txbxContent>
                </v:textbox>
              </v:shape>
            </w:pict>
          </mc:Fallback>
        </mc:AlternateContent>
      </w:r>
      <w:r>
        <w:rPr>
          <w:rFonts w:hint="eastAsia" w:ascii="宋体" w:hAnsi="宋体" w:cs="宋体"/>
          <w:b/>
          <w:color w:val="auto"/>
          <w:szCs w:val="21"/>
        </w:rPr>
        <w:t>54.1</w:t>
      </w:r>
    </w:p>
    <w:p>
      <w:pPr>
        <w:adjustRightInd w:val="0"/>
        <w:snapToGrid w:val="0"/>
        <w:spacing w:line="360" w:lineRule="auto"/>
        <w:ind w:left="1619" w:leftChars="771"/>
        <w:rPr>
          <w:rFonts w:ascii="宋体" w:hAnsi="宋体" w:cs="宋体"/>
          <w:color w:val="auto"/>
          <w:szCs w:val="21"/>
        </w:rPr>
      </w:pPr>
      <w:r>
        <w:rPr>
          <w:rFonts w:hint="eastAsia" w:ascii="宋体" w:hAnsi="宋体" w:cs="宋体"/>
          <w:color w:val="auto"/>
          <w:szCs w:val="21"/>
        </w:rPr>
        <w:t>当监理工程师对已经覆盖的隐蔽工程有疑问，要求重新验收时，承包人应按照要求对已覆盖的部位进行钻孔探测或剥露，并在验收后重新覆盖恢复原状。验收合格的，由此增加的费用和（或）延误的工期由发包人承担，并向承包人支付合理利润；验收不合格的，承包人应按照监理工程师的指令重新返工，直到验收合格为止，由此增加的费用和（或）延误的工期由承包人承担。</w:t>
      </w:r>
    </w:p>
    <w:p>
      <w:pPr>
        <w:tabs>
          <w:tab w:val="left" w:pos="540"/>
          <w:tab w:val="left" w:pos="720"/>
        </w:tabs>
        <w:adjustRightInd w:val="0"/>
        <w:snapToGrid w:val="0"/>
        <w:spacing w:line="360" w:lineRule="auto"/>
        <w:rPr>
          <w:rFonts w:ascii="宋体" w:hAnsi="宋体" w:cs="宋体"/>
          <w:b/>
          <w:color w:val="auto"/>
          <w:szCs w:val="21"/>
        </w:rPr>
      </w:pPr>
      <w:r>
        <w:rPr>
          <w:rFonts w:hint="eastAsia" w:ascii="宋体" w:hAnsi="宋体" w:cs="宋体"/>
          <w:b/>
          <w:color w:val="auto"/>
          <w:szCs w:val="21"/>
        </w:rPr>
        <w:t xml:space="preserve">54.2 </w:t>
      </w:r>
      <w:r>
        <w:rPr>
          <w:rFonts w:hint="eastAsia" w:ascii="宋体" w:hAnsi="宋体" w:cs="宋体"/>
          <w:b/>
          <w:color w:val="auto"/>
          <w:szCs w:val="21"/>
          <w:u w:val="dotted"/>
        </w:rPr>
        <w:t xml:space="preserve">                                                                                                       </w:t>
      </w:r>
    </w:p>
    <w:p>
      <w:pPr>
        <w:adjustRightInd w:val="0"/>
        <w:snapToGrid w:val="0"/>
        <w:spacing w:line="360" w:lineRule="auto"/>
        <w:ind w:left="1619" w:leftChars="771"/>
        <w:rPr>
          <w:rFonts w:ascii="宋体" w:hAnsi="宋体" w:cs="宋体"/>
          <w:color w:val="auto"/>
          <w:szCs w:val="21"/>
        </w:rPr>
      </w:pPr>
      <w:r>
        <w:rPr>
          <w:rFonts w:ascii="宋体" w:hAnsi="宋体" w:cs="宋体"/>
          <w:color w:val="auto"/>
          <w:szCs w:val="21"/>
        </w:rPr>
        <mc:AlternateContent>
          <mc:Choice Requires="wps">
            <w:drawing>
              <wp:anchor distT="0" distB="0" distL="114300" distR="114300" simplePos="0" relativeHeight="251741184" behindDoc="0" locked="0" layoutInCell="1" allowOverlap="1">
                <wp:simplePos x="0" y="0"/>
                <wp:positionH relativeFrom="column">
                  <wp:posOffset>-114300</wp:posOffset>
                </wp:positionH>
                <wp:positionV relativeFrom="paragraph">
                  <wp:posOffset>7620</wp:posOffset>
                </wp:positionV>
                <wp:extent cx="970280" cy="627380"/>
                <wp:effectExtent l="0" t="0" r="0" b="0"/>
                <wp:wrapNone/>
                <wp:docPr id="184" name="文本框 184"/>
                <wp:cNvGraphicFramePr/>
                <a:graphic xmlns:a="http://schemas.openxmlformats.org/drawingml/2006/main">
                  <a:graphicData uri="http://schemas.microsoft.com/office/word/2010/wordprocessingShape">
                    <wps:wsp>
                      <wps:cNvSpPr txBox="1">
                        <a:spLocks noChangeArrowheads="1"/>
                      </wps:cNvSpPr>
                      <wps:spPr bwMode="auto">
                        <a:xfrm>
                          <a:off x="0" y="0"/>
                          <a:ext cx="970280" cy="62738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额外检查检验</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6pt;height:49.4pt;width:76.4pt;z-index:251741184;mso-width-relative:page;mso-height-relative:page;" filled="f" stroked="f" coordsize="21600,21600" o:gfxdata="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MMYFonVAAAACQEAAA8AAAAAAAAAAQAgAAAAIgAAAGRycy9kb3ducmV2&#10;LnhtbFBLAQIUABQAAAAIAIdO4kATN9fY/wEAANgDAAAOAAAAAAAAAAEAIAAAACQBAABkcnMvZTJv&#10;RG9jLnhtbFBLBQYAAAAABgAGAFkBAACV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额外检查检验</w:t>
                      </w:r>
                    </w:p>
                  </w:txbxContent>
                </v:textbox>
              </v:shape>
            </w:pict>
          </mc:Fallback>
        </mc:AlternateContent>
      </w:r>
      <w:r>
        <w:rPr>
          <w:rFonts w:hint="eastAsia" w:ascii="宋体" w:hAnsi="宋体" w:cs="宋体"/>
          <w:color w:val="auto"/>
          <w:szCs w:val="21"/>
        </w:rPr>
        <w:t>当监理工程师指令承包人进行合同中没有约定的检查检验，以核实合同工程某一部位或某种材料和工程设备等产品是否有缺陷时，承包人应按照要求进行检查检验。存在缺陷的，分别按照第50.5款、第52.3款规定处理；没有缺陷的，检查检验的费用和（或）延误的工期由发包人承担，并向承包人支付合理利润。</w:t>
      </w:r>
    </w:p>
    <w:p>
      <w:pPr>
        <w:adjustRightInd w:val="0"/>
        <w:snapToGrid w:val="0"/>
        <w:spacing w:line="360" w:lineRule="auto"/>
        <w:rPr>
          <w:rFonts w:ascii="宋体" w:hAnsi="宋体" w:cs="宋体"/>
          <w:b/>
          <w:color w:val="auto"/>
          <w:szCs w:val="21"/>
          <w:u w:val="single"/>
        </w:rPr>
      </w:pPr>
      <w:r>
        <w:rPr>
          <w:rFonts w:hint="eastAsia" w:ascii="宋体" w:hAnsi="宋体" w:cs="宋体"/>
          <w:b/>
          <w:color w:val="auto"/>
          <w:szCs w:val="21"/>
          <w:u w:val="single"/>
        </w:rPr>
        <w:t xml:space="preserve">                                                                                                             </w:t>
      </w:r>
    </w:p>
    <w:p>
      <w:pPr>
        <w:tabs>
          <w:tab w:val="left" w:pos="540"/>
        </w:tabs>
        <w:adjustRightInd w:val="0"/>
        <w:snapToGrid w:val="0"/>
        <w:spacing w:beforeLines="100" w:line="360" w:lineRule="auto"/>
        <w:ind w:right="-238"/>
        <w:rPr>
          <w:rFonts w:ascii="宋体" w:hAnsi="宋体" w:cs="宋体"/>
          <w:b/>
          <w:color w:val="auto"/>
          <w:kern w:val="0"/>
          <w:szCs w:val="21"/>
        </w:rPr>
      </w:pPr>
      <w:r>
        <w:rPr>
          <w:rFonts w:hint="eastAsia" w:ascii="宋体" w:hAnsi="宋体" w:cs="宋体"/>
          <w:b/>
          <w:color w:val="auto"/>
          <w:kern w:val="0"/>
          <w:szCs w:val="21"/>
        </w:rPr>
        <w:t>55  工程试车</w:t>
      </w:r>
    </w:p>
    <w:p>
      <w:pPr>
        <w:adjustRightInd w:val="0"/>
        <w:snapToGrid w:val="0"/>
        <w:spacing w:line="360" w:lineRule="auto"/>
        <w:ind w:left="-2" w:leftChars="-1" w:firstLine="1"/>
        <w:rPr>
          <w:rFonts w:ascii="宋体" w:hAnsi="宋体" w:cs="宋体"/>
          <w:b/>
          <w:color w:val="auto"/>
          <w:szCs w:val="21"/>
        </w:rPr>
      </w:pPr>
      <w:r>
        <w:rPr>
          <w:rFonts w:hint="eastAsia" w:ascii="宋体" w:hAnsi="宋体" w:cs="宋体"/>
          <w:b/>
          <w:color w:val="auto"/>
          <w:szCs w:val="21"/>
        </w:rPr>
        <w:t xml:space="preserve">55.1 </w:t>
      </w:r>
    </w:p>
    <w:p>
      <w:pPr>
        <w:adjustRightInd w:val="0"/>
        <w:snapToGrid w:val="0"/>
        <w:spacing w:line="360" w:lineRule="auto"/>
        <w:ind w:left="1620"/>
        <w:rPr>
          <w:rFonts w:ascii="宋体" w:hAnsi="宋体" w:cs="宋体"/>
          <w:color w:val="auto"/>
          <w:szCs w:val="21"/>
        </w:rPr>
      </w:pPr>
      <w:r>
        <w:rPr>
          <w:rFonts w:ascii="宋体" w:hAnsi="宋体" w:cs="宋体"/>
          <w:color w:val="auto"/>
          <w:szCs w:val="21"/>
        </w:rPr>
        <mc:AlternateContent>
          <mc:Choice Requires="wps">
            <w:drawing>
              <wp:anchor distT="0" distB="0" distL="114300" distR="114300" simplePos="0" relativeHeight="251805696" behindDoc="0" locked="0" layoutInCell="1" allowOverlap="1">
                <wp:simplePos x="0" y="0"/>
                <wp:positionH relativeFrom="column">
                  <wp:posOffset>-114300</wp:posOffset>
                </wp:positionH>
                <wp:positionV relativeFrom="paragraph">
                  <wp:posOffset>16510</wp:posOffset>
                </wp:positionV>
                <wp:extent cx="800100" cy="297180"/>
                <wp:effectExtent l="0" t="0" r="0" b="0"/>
                <wp:wrapNone/>
                <wp:docPr id="183" name="文本框 183"/>
                <wp:cNvGraphicFramePr/>
                <a:graphic xmlns:a="http://schemas.openxmlformats.org/drawingml/2006/main">
                  <a:graphicData uri="http://schemas.microsoft.com/office/word/2010/wordprocessingShape">
                    <wps:wsp>
                      <wps:cNvSpPr txBox="1">
                        <a:spLocks noChangeArrowheads="1"/>
                      </wps:cNvSpPr>
                      <wps:spPr bwMode="auto">
                        <a:xfrm>
                          <a:off x="0" y="0"/>
                          <a:ext cx="800100" cy="297180"/>
                        </a:xfrm>
                        <a:prstGeom prst="rect">
                          <a:avLst/>
                        </a:prstGeom>
                        <a:noFill/>
                        <a:ln>
                          <a:noFill/>
                        </a:ln>
                        <a:effectLst/>
                      </wps:spPr>
                      <wps:txbx>
                        <w:txbxContent>
                          <w:p>
                            <w:pPr>
                              <w:rPr>
                                <w:rFonts w:ascii="楷体_GB2312" w:hAnsi="宋体"/>
                                <w:sz w:val="18"/>
                                <w:szCs w:val="18"/>
                              </w:rPr>
                            </w:pPr>
                            <w:r>
                              <w:rPr>
                                <w:rFonts w:hint="eastAsia" w:ascii="楷体_GB2312" w:hAnsi="宋体"/>
                                <w:b/>
                                <w:color w:val="000000"/>
                                <w:sz w:val="18"/>
                                <w:szCs w:val="18"/>
                              </w:rPr>
                              <w:t>试车内容</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3pt;height:23.4pt;width:63pt;z-index:251805696;mso-width-relative:page;mso-height-relative:page;" filled="f" stroked="f" coordsize="21600,21600" o:gfxdata="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wd7K/1AAAAAgBAAAPAAAAAAAAAAEAIAAAACIAAABkcnMvZG93bnJl&#10;di54bWxQSwECFAAUAAAACACHTuJAOiCKugECAADYAwAADgAAAAAAAAABACAAAAAjAQAAZHJzL2Uy&#10;b0RvYy54bWxQSwUGAAAAAAYABgBZAQAAlgUAAAAA&#10;">
                <v:fill on="f" focussize="0,0"/>
                <v:stroke on="f"/>
                <v:imagedata o:title=""/>
                <o:lock v:ext="edit" aspectratio="f"/>
                <v:textbox>
                  <w:txbxContent>
                    <w:p>
                      <w:pPr>
                        <w:rPr>
                          <w:rFonts w:ascii="楷体_GB2312" w:hAnsi="宋体"/>
                          <w:sz w:val="18"/>
                          <w:szCs w:val="18"/>
                        </w:rPr>
                      </w:pPr>
                      <w:r>
                        <w:rPr>
                          <w:rFonts w:hint="eastAsia" w:ascii="楷体_GB2312" w:hAnsi="宋体"/>
                          <w:b/>
                          <w:color w:val="000000"/>
                          <w:sz w:val="18"/>
                          <w:szCs w:val="18"/>
                        </w:rPr>
                        <w:t>试车内容</w:t>
                      </w:r>
                    </w:p>
                  </w:txbxContent>
                </v:textbox>
              </v:shape>
            </w:pict>
          </mc:Fallback>
        </mc:AlternateContent>
      </w:r>
      <w:r>
        <w:rPr>
          <w:rFonts w:hint="eastAsia" w:ascii="宋体" w:hAnsi="宋体" w:cs="宋体"/>
          <w:color w:val="auto"/>
          <w:szCs w:val="21"/>
        </w:rPr>
        <w:t>按照合同约定需要试车的，试车的内容应与承包人承包的安装范围相一致。</w:t>
      </w:r>
    </w:p>
    <w:p>
      <w:pPr>
        <w:tabs>
          <w:tab w:val="left" w:pos="540"/>
        </w:tabs>
        <w:adjustRightInd w:val="0"/>
        <w:snapToGrid w:val="0"/>
        <w:spacing w:line="360" w:lineRule="auto"/>
        <w:rPr>
          <w:rFonts w:ascii="宋体" w:hAnsi="宋体" w:cs="宋体"/>
          <w:b/>
          <w:color w:val="auto"/>
          <w:szCs w:val="21"/>
          <w:u w:val="dotted"/>
        </w:rPr>
      </w:pPr>
      <w:r>
        <w:rPr>
          <w:rFonts w:hint="eastAsia" w:ascii="宋体" w:hAnsi="宋体" w:cs="宋体"/>
          <w:b/>
          <w:color w:val="auto"/>
          <w:szCs w:val="21"/>
        </w:rPr>
        <w:t xml:space="preserve">55.2  </w:t>
      </w:r>
      <w:r>
        <w:rPr>
          <w:rFonts w:hint="eastAsia" w:ascii="宋体" w:hAnsi="宋体" w:cs="宋体"/>
          <w:b/>
          <w:color w:val="auto"/>
          <w:szCs w:val="21"/>
          <w:u w:val="dotted"/>
        </w:rPr>
        <w:t xml:space="preserve">                                                                                                        </w:t>
      </w:r>
    </w:p>
    <w:p>
      <w:pPr>
        <w:adjustRightInd w:val="0"/>
        <w:snapToGrid w:val="0"/>
        <w:spacing w:line="360" w:lineRule="auto"/>
        <w:ind w:left="1619" w:leftChars="771"/>
        <w:rPr>
          <w:rFonts w:ascii="宋体" w:hAnsi="宋体" w:cs="宋体"/>
          <w:color w:val="auto"/>
          <w:szCs w:val="21"/>
        </w:rPr>
      </w:pPr>
      <w:r>
        <w:rPr>
          <w:rFonts w:ascii="宋体" w:hAnsi="宋体" w:cs="宋体"/>
          <w:color w:val="auto"/>
          <w:szCs w:val="21"/>
        </w:rPr>
        <mc:AlternateContent>
          <mc:Choice Requires="wps">
            <w:drawing>
              <wp:anchor distT="0" distB="0" distL="114300" distR="114300" simplePos="0" relativeHeight="251806720" behindDoc="0" locked="0" layoutInCell="1" allowOverlap="1">
                <wp:simplePos x="0" y="0"/>
                <wp:positionH relativeFrom="column">
                  <wp:posOffset>-114300</wp:posOffset>
                </wp:positionH>
                <wp:positionV relativeFrom="paragraph">
                  <wp:posOffset>3175</wp:posOffset>
                </wp:positionV>
                <wp:extent cx="914400" cy="469265"/>
                <wp:effectExtent l="0" t="0" r="0" b="0"/>
                <wp:wrapNone/>
                <wp:docPr id="182" name="文本框 182"/>
                <wp:cNvGraphicFramePr/>
                <a:graphic xmlns:a="http://schemas.openxmlformats.org/drawingml/2006/main">
                  <a:graphicData uri="http://schemas.microsoft.com/office/word/2010/wordprocessingShape">
                    <wps:wsp>
                      <wps:cNvSpPr txBox="1">
                        <a:spLocks noChangeArrowheads="1"/>
                      </wps:cNvSpPr>
                      <wps:spPr bwMode="auto">
                        <a:xfrm>
                          <a:off x="0" y="0"/>
                          <a:ext cx="914400" cy="469265"/>
                        </a:xfrm>
                        <a:prstGeom prst="rect">
                          <a:avLst/>
                        </a:prstGeom>
                        <a:noFill/>
                        <a:ln>
                          <a:noFill/>
                        </a:ln>
                        <a:effectLst/>
                      </wps:spPr>
                      <wps:txbx>
                        <w:txbxContent>
                          <w:p>
                            <w:pPr>
                              <w:jc w:val="left"/>
                              <w:rPr>
                                <w:rFonts w:ascii="楷体_GB2312" w:hAnsi="宋体"/>
                                <w:b/>
                                <w:color w:val="000000"/>
                                <w:sz w:val="18"/>
                                <w:szCs w:val="18"/>
                              </w:rPr>
                            </w:pPr>
                            <w:r>
                              <w:rPr>
                                <w:rFonts w:hint="eastAsia" w:ascii="楷体_GB2312" w:hAnsi="宋体"/>
                                <w:b/>
                                <w:color w:val="000000"/>
                                <w:sz w:val="18"/>
                                <w:szCs w:val="18"/>
                              </w:rPr>
                              <w:t>单机试车的通知和限制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25pt;height:36.95pt;width:72pt;z-index:251806720;mso-width-relative:page;mso-height-relative:page;" filled="f" stroked="f" coordsize="21600,21600" o:gfxdata="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JsH9tnUAAAABwEAAA8AAAAAAAAAAQAgAAAAIgAAAGRycy9kb3ducmV2&#10;LnhtbFBLAQIUABQAAAAIAIdO4kCH1Ze7AAIAANgDAAAOAAAAAAAAAAEAIAAAACMBAABkcnMvZTJv&#10;RG9jLnhtbFBLBQYAAAAABgAGAFkBAACVBQAAAAA=&#10;">
                <v:fill on="f" focussize="0,0"/>
                <v:stroke on="f"/>
                <v:imagedata o:title=""/>
                <o:lock v:ext="edit" aspectratio="f"/>
                <v:textbox>
                  <w:txbxContent>
                    <w:p>
                      <w:pPr>
                        <w:jc w:val="left"/>
                        <w:rPr>
                          <w:rFonts w:ascii="楷体_GB2312" w:hAnsi="宋体"/>
                          <w:b/>
                          <w:color w:val="000000"/>
                          <w:sz w:val="18"/>
                          <w:szCs w:val="18"/>
                        </w:rPr>
                      </w:pPr>
                      <w:r>
                        <w:rPr>
                          <w:rFonts w:hint="eastAsia" w:ascii="楷体_GB2312" w:hAnsi="宋体"/>
                          <w:b/>
                          <w:color w:val="000000"/>
                          <w:sz w:val="18"/>
                          <w:szCs w:val="18"/>
                        </w:rPr>
                        <w:t>单机试车的通知和限制</w:t>
                      </w:r>
                    </w:p>
                  </w:txbxContent>
                </v:textbox>
              </v:shape>
            </w:pict>
          </mc:Fallback>
        </mc:AlternateContent>
      </w:r>
      <w:r>
        <w:rPr>
          <w:rFonts w:hint="eastAsia" w:ascii="宋体" w:hAnsi="宋体" w:cs="宋体"/>
          <w:color w:val="auto"/>
          <w:szCs w:val="21"/>
        </w:rPr>
        <w:t>设备安装工程具备单机无负荷试车条件时，承包人应组织试车，并在试车前48小时以书面形式通知监理工程师。通知包括试车内容、时间和地点。承包人应自行准备试车记录，发包人应为承包人试车提供便利和协助。</w:t>
      </w:r>
    </w:p>
    <w:p>
      <w:pPr>
        <w:adjustRightInd w:val="0"/>
        <w:snapToGrid w:val="0"/>
        <w:spacing w:line="360" w:lineRule="auto"/>
        <w:ind w:left="1619" w:leftChars="771"/>
        <w:rPr>
          <w:rFonts w:ascii="宋体" w:hAnsi="宋体" w:cs="宋体"/>
          <w:color w:val="auto"/>
          <w:szCs w:val="21"/>
        </w:rPr>
      </w:pPr>
      <w:r>
        <w:rPr>
          <w:rFonts w:hint="eastAsia" w:ascii="宋体" w:hAnsi="宋体" w:cs="宋体"/>
          <w:color w:val="auto"/>
          <w:szCs w:val="21"/>
        </w:rPr>
        <w:t>监理工程师不能按时参加试车的，应在开始试车前至少提前24小时发出延期试车指令并书面说明理由，延期不能超过48小时。监理工程师未发出延期试车指令也未能按时参加试车的，承包人可自行试车，并认为试车是经监理工程师同意下完成的。试车完成后，承包人应立即向监理工程师提交试车记录，监理工程师应予认可。</w:t>
      </w:r>
    </w:p>
    <w:p>
      <w:pPr>
        <w:adjustRightInd w:val="0"/>
        <w:snapToGrid w:val="0"/>
        <w:spacing w:line="360" w:lineRule="auto"/>
        <w:rPr>
          <w:rFonts w:ascii="宋体" w:hAnsi="宋体" w:cs="宋体"/>
          <w:color w:val="auto"/>
          <w:szCs w:val="21"/>
          <w:u w:val="dotted"/>
        </w:rPr>
      </w:pPr>
      <w:r>
        <w:rPr>
          <w:rFonts w:hint="eastAsia" w:ascii="宋体" w:hAnsi="宋体" w:cs="宋体"/>
          <w:b/>
          <w:color w:val="auto"/>
          <w:szCs w:val="21"/>
        </w:rPr>
        <w:t xml:space="preserve">55.3 </w:t>
      </w:r>
      <w:r>
        <w:rPr>
          <w:rFonts w:hint="eastAsia" w:ascii="宋体" w:hAnsi="宋体" w:cs="宋体"/>
          <w:color w:val="auto"/>
          <w:szCs w:val="21"/>
        </w:rPr>
        <w:t xml:space="preserve"> </w:t>
      </w:r>
      <w:r>
        <w:rPr>
          <w:rFonts w:hint="eastAsia" w:ascii="宋体" w:hAnsi="宋体" w:cs="宋体"/>
          <w:color w:val="auto"/>
          <w:szCs w:val="21"/>
          <w:u w:val="dotted"/>
        </w:rPr>
        <w:t xml:space="preserve">                                                                                                       </w:t>
      </w:r>
    </w:p>
    <w:p>
      <w:pPr>
        <w:adjustRightInd w:val="0"/>
        <w:snapToGrid w:val="0"/>
        <w:spacing w:line="360" w:lineRule="auto"/>
        <w:ind w:left="1619" w:leftChars="771"/>
        <w:rPr>
          <w:rFonts w:ascii="宋体" w:hAnsi="宋体" w:cs="宋体"/>
          <w:color w:val="auto"/>
          <w:szCs w:val="21"/>
        </w:rPr>
      </w:pPr>
      <w:r>
        <w:rPr>
          <w:rFonts w:ascii="宋体" w:hAnsi="宋体" w:cs="宋体"/>
          <w:color w:val="auto"/>
          <w:szCs w:val="21"/>
        </w:rPr>
        <mc:AlternateContent>
          <mc:Choice Requires="wps">
            <w:drawing>
              <wp:anchor distT="0" distB="0" distL="114300" distR="114300" simplePos="0" relativeHeight="251807744" behindDoc="0" locked="0" layoutInCell="1" allowOverlap="1">
                <wp:simplePos x="0" y="0"/>
                <wp:positionH relativeFrom="column">
                  <wp:posOffset>-73660</wp:posOffset>
                </wp:positionH>
                <wp:positionV relativeFrom="paragraph">
                  <wp:posOffset>635</wp:posOffset>
                </wp:positionV>
                <wp:extent cx="873760" cy="471805"/>
                <wp:effectExtent l="0" t="0" r="0" b="0"/>
                <wp:wrapNone/>
                <wp:docPr id="181" name="文本框 181"/>
                <wp:cNvGraphicFramePr/>
                <a:graphic xmlns:a="http://schemas.openxmlformats.org/drawingml/2006/main">
                  <a:graphicData uri="http://schemas.microsoft.com/office/word/2010/wordprocessingShape">
                    <wps:wsp>
                      <wps:cNvSpPr txBox="1">
                        <a:spLocks noChangeArrowheads="1"/>
                      </wps:cNvSpPr>
                      <wps:spPr bwMode="auto">
                        <a:xfrm>
                          <a:off x="0" y="0"/>
                          <a:ext cx="873760" cy="471805"/>
                        </a:xfrm>
                        <a:prstGeom prst="rect">
                          <a:avLst/>
                        </a:prstGeom>
                        <a:noFill/>
                        <a:ln>
                          <a:noFill/>
                        </a:ln>
                        <a:effectLst/>
                      </wps:spPr>
                      <wps:txbx>
                        <w:txbxContent>
                          <w:p>
                            <w:pPr>
                              <w:jc w:val="left"/>
                              <w:rPr>
                                <w:rFonts w:ascii="楷体_GB2312" w:hAnsi="宋体"/>
                                <w:b/>
                                <w:color w:val="000000"/>
                                <w:sz w:val="18"/>
                                <w:szCs w:val="18"/>
                              </w:rPr>
                            </w:pPr>
                            <w:r>
                              <w:rPr>
                                <w:rFonts w:hint="eastAsia" w:ascii="楷体_GB2312" w:hAnsi="宋体"/>
                                <w:b/>
                                <w:color w:val="000000"/>
                                <w:sz w:val="18"/>
                                <w:szCs w:val="18"/>
                              </w:rPr>
                              <w:t>单机试车结果的确认</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8pt;margin-top:0.05pt;height:37.15pt;width:68.8pt;z-index:251807744;mso-width-relative:page;mso-height-relative:page;" filled="f" stroked="f" coordsize="21600,21600" o:gfxdata="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KAs6D1AAAAAcBAAAPAAAAAAAAAAEAIAAAACIAAABkcnMvZG93bnJl&#10;di54bWxQSwECFAAUAAAACACHTuJASbFnogECAADYAwAADgAAAAAAAAABACAAAAAjAQAAZHJzL2Uy&#10;b0RvYy54bWxQSwUGAAAAAAYABgBZAQAAlgUAAAAA&#10;">
                <v:fill on="f" focussize="0,0"/>
                <v:stroke on="f"/>
                <v:imagedata o:title=""/>
                <o:lock v:ext="edit" aspectratio="f"/>
                <v:textbox>
                  <w:txbxContent>
                    <w:p>
                      <w:pPr>
                        <w:jc w:val="left"/>
                        <w:rPr>
                          <w:rFonts w:ascii="楷体_GB2312" w:hAnsi="宋体"/>
                          <w:b/>
                          <w:color w:val="000000"/>
                          <w:sz w:val="18"/>
                          <w:szCs w:val="18"/>
                        </w:rPr>
                      </w:pPr>
                      <w:r>
                        <w:rPr>
                          <w:rFonts w:hint="eastAsia" w:ascii="楷体_GB2312" w:hAnsi="宋体"/>
                          <w:b/>
                          <w:color w:val="000000"/>
                          <w:sz w:val="18"/>
                          <w:szCs w:val="18"/>
                        </w:rPr>
                        <w:t>单机试车结果的确认</w:t>
                      </w:r>
                    </w:p>
                  </w:txbxContent>
                </v:textbox>
              </v:shape>
            </w:pict>
          </mc:Fallback>
        </mc:AlternateContent>
      </w:r>
      <w:r>
        <w:rPr>
          <w:rFonts w:hint="eastAsia" w:ascii="宋体" w:hAnsi="宋体" w:cs="宋体"/>
          <w:color w:val="auto"/>
          <w:szCs w:val="21"/>
        </w:rPr>
        <w:t>单机试车合格，监理工程师应在试车记录上签字，承包人可继续施工或申请办理竣工验收手续。单机试车合格24小时后，监理工程师仍不在试车记录上签字的，视为监理工程师已认可试车记录。</w:t>
      </w:r>
    </w:p>
    <w:p>
      <w:pPr>
        <w:adjustRightInd w:val="0"/>
        <w:snapToGrid w:val="0"/>
        <w:spacing w:line="360" w:lineRule="auto"/>
        <w:rPr>
          <w:rFonts w:ascii="宋体" w:hAnsi="宋体" w:cs="宋体"/>
          <w:b/>
          <w:color w:val="auto"/>
          <w:szCs w:val="21"/>
          <w:u w:val="dotted"/>
        </w:rPr>
      </w:pPr>
      <w:r>
        <w:rPr>
          <w:rFonts w:hint="eastAsia" w:ascii="宋体" w:hAnsi="宋体" w:cs="宋体"/>
          <w:b/>
          <w:color w:val="auto"/>
          <w:szCs w:val="21"/>
        </w:rPr>
        <w:t xml:space="preserve">55.4  </w:t>
      </w:r>
      <w:r>
        <w:rPr>
          <w:rFonts w:hint="eastAsia" w:ascii="宋体" w:hAnsi="宋体" w:cs="宋体"/>
          <w:b/>
          <w:color w:val="auto"/>
          <w:szCs w:val="21"/>
          <w:u w:val="dotted"/>
        </w:rPr>
        <w:t xml:space="preserve">                                                                                                        </w:t>
      </w:r>
    </w:p>
    <w:p>
      <w:pPr>
        <w:adjustRightInd w:val="0"/>
        <w:snapToGrid w:val="0"/>
        <w:spacing w:line="360" w:lineRule="auto"/>
        <w:ind w:left="1619" w:leftChars="771"/>
        <w:rPr>
          <w:rFonts w:ascii="宋体" w:hAnsi="宋体" w:cs="宋体"/>
          <w:color w:val="auto"/>
          <w:szCs w:val="21"/>
        </w:rPr>
      </w:pPr>
      <w:r>
        <w:rPr>
          <w:rFonts w:ascii="宋体" w:hAnsi="宋体" w:cs="宋体"/>
          <w:color w:val="auto"/>
          <w:szCs w:val="21"/>
        </w:rPr>
        <mc:AlternateContent>
          <mc:Choice Requires="wps">
            <w:drawing>
              <wp:anchor distT="0" distB="0" distL="114300" distR="114300" simplePos="0" relativeHeight="251808768" behindDoc="0" locked="0" layoutInCell="1" allowOverlap="1">
                <wp:simplePos x="0" y="0"/>
                <wp:positionH relativeFrom="column">
                  <wp:posOffset>-73660</wp:posOffset>
                </wp:positionH>
                <wp:positionV relativeFrom="paragraph">
                  <wp:posOffset>11430</wp:posOffset>
                </wp:positionV>
                <wp:extent cx="873760" cy="492760"/>
                <wp:effectExtent l="0" t="0" r="0" b="0"/>
                <wp:wrapNone/>
                <wp:docPr id="180" name="文本框 180"/>
                <wp:cNvGraphicFramePr/>
                <a:graphic xmlns:a="http://schemas.openxmlformats.org/drawingml/2006/main">
                  <a:graphicData uri="http://schemas.microsoft.com/office/word/2010/wordprocessingShape">
                    <wps:wsp>
                      <wps:cNvSpPr txBox="1">
                        <a:spLocks noChangeArrowheads="1"/>
                      </wps:cNvSpPr>
                      <wps:spPr bwMode="auto">
                        <a:xfrm>
                          <a:off x="0" y="0"/>
                          <a:ext cx="873760" cy="492760"/>
                        </a:xfrm>
                        <a:prstGeom prst="rect">
                          <a:avLst/>
                        </a:prstGeom>
                        <a:noFill/>
                        <a:ln>
                          <a:noFill/>
                        </a:ln>
                        <a:effectLst/>
                      </wps:spPr>
                      <wps:txbx>
                        <w:txbxContent>
                          <w:p>
                            <w:pPr>
                              <w:jc w:val="left"/>
                              <w:rPr>
                                <w:rFonts w:ascii="楷体_GB2312" w:hAnsi="宋体"/>
                                <w:b/>
                                <w:color w:val="000000"/>
                                <w:sz w:val="18"/>
                                <w:szCs w:val="18"/>
                              </w:rPr>
                            </w:pPr>
                            <w:r>
                              <w:rPr>
                                <w:rFonts w:hint="eastAsia" w:ascii="楷体_GB2312" w:hAnsi="宋体"/>
                                <w:b/>
                                <w:color w:val="000000"/>
                                <w:sz w:val="18"/>
                                <w:szCs w:val="18"/>
                              </w:rPr>
                              <w:t>联动试车通知和结果的确认</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8pt;margin-top:0.9pt;height:38.8pt;width:68.8pt;z-index:251808768;mso-width-relative:page;mso-height-relative:page;" filled="f" stroked="f" coordsize="21600,21600" o:gfxdata="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CcVsADVAAAACAEAAA8AAAAAAAAAAQAgAAAAIgAAAGRycy9kb3ducmV2&#10;LnhtbFBLAQIUABQAAAAIAIdO4kASgiuT/wEAANgDAAAOAAAAAAAAAAEAIAAAACQBAABkcnMvZTJv&#10;RG9jLnhtbFBLBQYAAAAABgAGAFkBAACVBQAAAAA=&#10;">
                <v:fill on="f" focussize="0,0"/>
                <v:stroke on="f"/>
                <v:imagedata o:title=""/>
                <o:lock v:ext="edit" aspectratio="f"/>
                <v:textbox>
                  <w:txbxContent>
                    <w:p>
                      <w:pPr>
                        <w:jc w:val="left"/>
                        <w:rPr>
                          <w:rFonts w:ascii="楷体_GB2312" w:hAnsi="宋体"/>
                          <w:b/>
                          <w:color w:val="000000"/>
                          <w:sz w:val="18"/>
                          <w:szCs w:val="18"/>
                        </w:rPr>
                      </w:pPr>
                      <w:r>
                        <w:rPr>
                          <w:rFonts w:hint="eastAsia" w:ascii="楷体_GB2312" w:hAnsi="宋体"/>
                          <w:b/>
                          <w:color w:val="000000"/>
                          <w:sz w:val="18"/>
                          <w:szCs w:val="18"/>
                        </w:rPr>
                        <w:t>联动试车通知和结果的确认</w:t>
                      </w:r>
                    </w:p>
                  </w:txbxContent>
                </v:textbox>
              </v:shape>
            </w:pict>
          </mc:Fallback>
        </mc:AlternateContent>
      </w:r>
      <w:r>
        <w:rPr>
          <w:rFonts w:hint="eastAsia" w:ascii="宋体" w:hAnsi="宋体" w:cs="宋体"/>
          <w:color w:val="auto"/>
          <w:szCs w:val="21"/>
        </w:rPr>
        <w:t>设备安装工程具备联动无负荷试车条件时，发包人应组织试车，并在试车前48小时以书面形式通知承包人。通知包括试车内容、时间、地点和对承包人的要求，承包人应按照要求做好准备工作。试车合格，合同双方当事人均应在试车记录上签字。</w:t>
      </w:r>
    </w:p>
    <w:p>
      <w:pPr>
        <w:adjustRightInd w:val="0"/>
        <w:snapToGrid w:val="0"/>
        <w:spacing w:line="360" w:lineRule="auto"/>
        <w:rPr>
          <w:rFonts w:ascii="宋体" w:hAnsi="宋体" w:cs="宋体"/>
          <w:b/>
          <w:color w:val="auto"/>
          <w:szCs w:val="21"/>
          <w:u w:val="dotted"/>
        </w:rPr>
      </w:pPr>
      <w:r>
        <w:rPr>
          <w:rFonts w:hint="eastAsia" w:ascii="宋体" w:hAnsi="宋体" w:cs="宋体"/>
          <w:b/>
          <w:color w:val="auto"/>
          <w:szCs w:val="21"/>
        </w:rPr>
        <w:t xml:space="preserve">55.5  </w:t>
      </w:r>
      <w:r>
        <w:rPr>
          <w:rFonts w:hint="eastAsia" w:ascii="宋体" w:hAnsi="宋体" w:cs="宋体"/>
          <w:b/>
          <w:color w:val="auto"/>
          <w:szCs w:val="21"/>
          <w:u w:val="dotted"/>
        </w:rPr>
        <w:t xml:space="preserve">                                                                                                        </w:t>
      </w:r>
    </w:p>
    <w:p>
      <w:pPr>
        <w:adjustRightInd w:val="0"/>
        <w:snapToGrid w:val="0"/>
        <w:spacing w:line="360" w:lineRule="auto"/>
        <w:ind w:left="1620"/>
        <w:rPr>
          <w:rFonts w:ascii="宋体" w:hAnsi="宋体" w:cs="宋体"/>
          <w:color w:val="auto"/>
          <w:szCs w:val="21"/>
        </w:rPr>
      </w:pPr>
      <w:r>
        <w:rPr>
          <w:rFonts w:ascii="宋体" w:hAnsi="宋体" w:cs="宋体"/>
          <w:color w:val="auto"/>
          <w:szCs w:val="21"/>
        </w:rPr>
        <mc:AlternateContent>
          <mc:Choice Requires="wps">
            <w:drawing>
              <wp:anchor distT="0" distB="0" distL="114300" distR="114300" simplePos="0" relativeHeight="251809792" behindDoc="0" locked="0" layoutInCell="1" allowOverlap="1">
                <wp:simplePos x="0" y="0"/>
                <wp:positionH relativeFrom="column">
                  <wp:posOffset>-114300</wp:posOffset>
                </wp:positionH>
                <wp:positionV relativeFrom="paragraph">
                  <wp:posOffset>-6350</wp:posOffset>
                </wp:positionV>
                <wp:extent cx="883920" cy="427990"/>
                <wp:effectExtent l="0" t="0" r="0" b="0"/>
                <wp:wrapNone/>
                <wp:docPr id="179" name="文本框 179"/>
                <wp:cNvGraphicFramePr/>
                <a:graphic xmlns:a="http://schemas.openxmlformats.org/drawingml/2006/main">
                  <a:graphicData uri="http://schemas.microsoft.com/office/word/2010/wordprocessingShape">
                    <wps:wsp>
                      <wps:cNvSpPr txBox="1">
                        <a:spLocks noChangeArrowheads="1"/>
                      </wps:cNvSpPr>
                      <wps:spPr bwMode="auto">
                        <a:xfrm>
                          <a:off x="0" y="0"/>
                          <a:ext cx="883920" cy="427990"/>
                        </a:xfrm>
                        <a:prstGeom prst="rect">
                          <a:avLst/>
                        </a:prstGeom>
                        <a:noFill/>
                        <a:ln>
                          <a:noFill/>
                        </a:ln>
                        <a:effectLst/>
                      </wps:spPr>
                      <wps:txbx>
                        <w:txbxContent>
                          <w:p>
                            <w:pPr>
                              <w:spacing w:line="240" w:lineRule="exact"/>
                              <w:rPr>
                                <w:rFonts w:ascii="楷体_GB2312" w:hAnsi="宋体"/>
                                <w:sz w:val="18"/>
                                <w:szCs w:val="18"/>
                              </w:rPr>
                            </w:pPr>
                            <w:r>
                              <w:rPr>
                                <w:rFonts w:hint="eastAsia" w:ascii="楷体_GB2312" w:hAnsi="宋体"/>
                                <w:b/>
                                <w:color w:val="000000"/>
                                <w:sz w:val="18"/>
                                <w:szCs w:val="18"/>
                              </w:rPr>
                              <w:t>试车费用和不达要求处理</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5pt;height:33.7pt;width:69.6pt;z-index:251809792;mso-width-relative:page;mso-height-relative:page;" filled="f" stroked="f" coordsize="21600,21600" o:gfxdata="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CCYfOHWAAAACQEAAA8AAAAAAAAAAQAgAAAAIgAAAGRycy9kb3du&#10;cmV2LnhtbFBLAQIUABQAAAAIAIdO4kAD9jLlAQIAANgDAAAOAAAAAAAAAAEAIAAAACUBAABkcnMv&#10;ZTJvRG9jLnhtbFBLBQYAAAAABgAGAFkBAACYBQAAAAA=&#10;">
                <v:fill on="f" focussize="0,0"/>
                <v:stroke on="f"/>
                <v:imagedata o:title=""/>
                <o:lock v:ext="edit" aspectratio="f"/>
                <v:textbox>
                  <w:txbxContent>
                    <w:p>
                      <w:pPr>
                        <w:spacing w:line="240" w:lineRule="exact"/>
                        <w:rPr>
                          <w:rFonts w:ascii="楷体_GB2312" w:hAnsi="宋体"/>
                          <w:sz w:val="18"/>
                          <w:szCs w:val="18"/>
                        </w:rPr>
                      </w:pPr>
                      <w:r>
                        <w:rPr>
                          <w:rFonts w:hint="eastAsia" w:ascii="楷体_GB2312" w:hAnsi="宋体"/>
                          <w:b/>
                          <w:color w:val="000000"/>
                          <w:sz w:val="18"/>
                          <w:szCs w:val="18"/>
                        </w:rPr>
                        <w:t>试车费用和不达要求处理</w:t>
                      </w:r>
                    </w:p>
                  </w:txbxContent>
                </v:textbox>
              </v:shape>
            </w:pict>
          </mc:Fallback>
        </mc:AlternateContent>
      </w:r>
      <w:r>
        <w:rPr>
          <w:rFonts w:hint="eastAsia" w:ascii="宋体" w:hAnsi="宋体" w:cs="宋体"/>
          <w:color w:val="auto"/>
          <w:szCs w:val="21"/>
        </w:rPr>
        <w:t xml:space="preserve">试车费用，除已含在合同价款外，由发包人承担。试车达不到验收要求的，按照下列规定处理： </w:t>
      </w:r>
    </w:p>
    <w:p>
      <w:pPr>
        <w:numPr>
          <w:ilvl w:val="0"/>
          <w:numId w:val="26"/>
        </w:numPr>
        <w:tabs>
          <w:tab w:val="left" w:pos="1080"/>
          <w:tab w:val="left" w:pos="1620"/>
        </w:tabs>
        <w:adjustRightInd w:val="0"/>
        <w:snapToGrid w:val="0"/>
        <w:spacing w:line="360" w:lineRule="auto"/>
        <w:ind w:left="1619" w:leftChars="771"/>
        <w:rPr>
          <w:rFonts w:ascii="宋体" w:hAnsi="宋体" w:cs="宋体"/>
          <w:color w:val="auto"/>
          <w:szCs w:val="21"/>
        </w:rPr>
      </w:pPr>
      <w:r>
        <w:rPr>
          <w:rFonts w:hint="eastAsia" w:ascii="宋体" w:hAnsi="宋体" w:cs="宋体"/>
          <w:color w:val="auto"/>
          <w:szCs w:val="21"/>
        </w:rPr>
        <w:t>由于设计原因试车达不到验收要求，发包人应要求设计人修改设计，承包人按照修改后的设计重新安装。发包人承担修改设计、拆除及重新安装的全部费用和延误的工期。</w:t>
      </w:r>
    </w:p>
    <w:p>
      <w:pPr>
        <w:numPr>
          <w:ilvl w:val="0"/>
          <w:numId w:val="26"/>
        </w:numPr>
        <w:tabs>
          <w:tab w:val="left" w:pos="1080"/>
          <w:tab w:val="left" w:pos="1620"/>
        </w:tabs>
        <w:adjustRightInd w:val="0"/>
        <w:snapToGrid w:val="0"/>
        <w:spacing w:line="360" w:lineRule="auto"/>
        <w:ind w:left="1619" w:leftChars="771"/>
        <w:rPr>
          <w:rFonts w:ascii="宋体" w:hAnsi="宋体" w:cs="宋体"/>
          <w:color w:val="auto"/>
          <w:szCs w:val="21"/>
        </w:rPr>
      </w:pPr>
      <w:r>
        <w:rPr>
          <w:rFonts w:hint="eastAsia" w:ascii="宋体" w:hAnsi="宋体" w:cs="宋体"/>
          <w:color w:val="auto"/>
          <w:szCs w:val="21"/>
        </w:rPr>
        <w:t>由于设备制造质量原因试车达不到验收要求，由该责任方重新购置或修理，承包人负责拆除和重新安装。设备由承包人采购的，由承包人承担修理或重新采购、拆除及重新安装的费用和延误的工期；设备由发包人供应的，发包人承担上述各项费用和延误的工期。</w:t>
      </w:r>
    </w:p>
    <w:p>
      <w:pPr>
        <w:numPr>
          <w:ilvl w:val="0"/>
          <w:numId w:val="26"/>
        </w:numPr>
        <w:tabs>
          <w:tab w:val="left" w:pos="1080"/>
          <w:tab w:val="left" w:pos="1980"/>
        </w:tabs>
        <w:adjustRightInd w:val="0"/>
        <w:snapToGrid w:val="0"/>
        <w:spacing w:line="360" w:lineRule="auto"/>
        <w:ind w:left="1617" w:leftChars="770"/>
        <w:rPr>
          <w:rFonts w:ascii="宋体" w:hAnsi="宋体" w:cs="宋体"/>
          <w:color w:val="auto"/>
          <w:szCs w:val="21"/>
        </w:rPr>
      </w:pPr>
      <w:r>
        <w:rPr>
          <w:rFonts w:hint="eastAsia" w:ascii="宋体" w:hAnsi="宋体" w:cs="宋体"/>
          <w:color w:val="auto"/>
          <w:szCs w:val="21"/>
        </w:rPr>
        <w:t>由于承包人施工原因试车达不到验收要求，承包人应按照监理工程师要求重新安装和试车，并承担拆除、重新安装和重新试车的费用和延误的工期。</w:t>
      </w:r>
    </w:p>
    <w:p>
      <w:pPr>
        <w:adjustRightInd w:val="0"/>
        <w:snapToGrid w:val="0"/>
        <w:rPr>
          <w:rFonts w:ascii="宋体" w:hAnsi="宋体" w:cs="宋体"/>
          <w:b/>
          <w:color w:val="auto"/>
          <w:szCs w:val="21"/>
          <w:u w:val="dotted"/>
        </w:rPr>
      </w:pPr>
      <w:r>
        <w:rPr>
          <w:rFonts w:hint="eastAsia" w:ascii="宋体" w:hAnsi="宋体" w:cs="宋体"/>
          <w:b/>
          <w:color w:val="auto"/>
          <w:szCs w:val="21"/>
        </w:rPr>
        <w:t xml:space="preserve">55.6  </w:t>
      </w:r>
      <w:r>
        <w:rPr>
          <w:rFonts w:hint="eastAsia" w:ascii="宋体" w:hAnsi="宋体" w:cs="宋体"/>
          <w:b/>
          <w:color w:val="auto"/>
          <w:szCs w:val="21"/>
          <w:u w:val="dotted"/>
        </w:rPr>
        <w:t xml:space="preserve">                                                                                                        </w:t>
      </w:r>
    </w:p>
    <w:p>
      <w:pPr>
        <w:adjustRightInd w:val="0"/>
        <w:snapToGrid w:val="0"/>
        <w:spacing w:line="360" w:lineRule="auto"/>
        <w:ind w:left="1619" w:leftChars="771"/>
        <w:rPr>
          <w:rFonts w:ascii="宋体" w:hAnsi="宋体" w:cs="宋体"/>
          <w:color w:val="auto"/>
          <w:kern w:val="0"/>
          <w:szCs w:val="21"/>
        </w:rPr>
      </w:pPr>
      <w:r>
        <w:rPr>
          <w:rFonts w:ascii="宋体" w:hAnsi="宋体" w:cs="宋体"/>
          <w:color w:val="auto"/>
          <w:kern w:val="0"/>
          <w:szCs w:val="21"/>
        </w:rPr>
        <mc:AlternateContent>
          <mc:Choice Requires="wps">
            <w:drawing>
              <wp:anchor distT="0" distB="0" distL="114300" distR="114300" simplePos="0" relativeHeight="251810816" behindDoc="0" locked="0" layoutInCell="1" allowOverlap="1">
                <wp:simplePos x="0" y="0"/>
                <wp:positionH relativeFrom="column">
                  <wp:posOffset>-114300</wp:posOffset>
                </wp:positionH>
                <wp:positionV relativeFrom="paragraph">
                  <wp:posOffset>10160</wp:posOffset>
                </wp:positionV>
                <wp:extent cx="800100" cy="297180"/>
                <wp:effectExtent l="0" t="0" r="0" b="0"/>
                <wp:wrapNone/>
                <wp:docPr id="178" name="文本框 178"/>
                <wp:cNvGraphicFramePr/>
                <a:graphic xmlns:a="http://schemas.openxmlformats.org/drawingml/2006/main">
                  <a:graphicData uri="http://schemas.microsoft.com/office/word/2010/wordprocessingShape">
                    <wps:wsp>
                      <wps:cNvSpPr txBox="1">
                        <a:spLocks noChangeArrowheads="1"/>
                      </wps:cNvSpPr>
                      <wps:spPr bwMode="auto">
                        <a:xfrm>
                          <a:off x="0" y="0"/>
                          <a:ext cx="800100" cy="29718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投料试车</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8pt;height:23.4pt;width:63pt;z-index:251810816;mso-width-relative:page;mso-height-relative:page;" filled="f" stroked="f" coordsize="21600,21600" o:gfxdata="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NZztIDUAAAACAEAAA8AAAAAAAAAAQAgAAAAIgAAAGRycy9kb3ducmV2&#10;LnhtbFBLAQIUABQAAAAIAIdO4kDT+gFQAAIAANgDAAAOAAAAAAAAAAEAIAAAACMBAABkcnMvZTJv&#10;RG9jLnhtbFBLBQYAAAAABgAGAFkBAACV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投料试车</w:t>
                      </w:r>
                    </w:p>
                  </w:txbxContent>
                </v:textbox>
              </v:shape>
            </w:pict>
          </mc:Fallback>
        </mc:AlternateContent>
      </w:r>
      <w:r>
        <w:rPr>
          <w:rFonts w:hint="eastAsia" w:ascii="宋体" w:hAnsi="宋体" w:cs="宋体"/>
          <w:color w:val="auto"/>
          <w:kern w:val="0"/>
          <w:szCs w:val="21"/>
        </w:rPr>
        <w:t>投料试车应在永久工程竣工验收后，由发包人负责。如果发包人要求在永久工程竣工验收前进行试车或需要承包人配合时，应事先取得承包人同意，并另行签订补充协议。</w:t>
      </w:r>
    </w:p>
    <w:p>
      <w:pPr>
        <w:adjustRightInd w:val="0"/>
        <w:snapToGrid w:val="0"/>
        <w:spacing w:line="240" w:lineRule="exact"/>
        <w:rPr>
          <w:rFonts w:ascii="宋体" w:hAnsi="宋体" w:cs="宋体"/>
          <w:b/>
          <w:color w:val="auto"/>
          <w:szCs w:val="21"/>
          <w:u w:val="single"/>
        </w:rPr>
      </w:pPr>
      <w:r>
        <w:rPr>
          <w:rFonts w:hint="eastAsia" w:ascii="宋体" w:hAnsi="宋体" w:cs="宋体"/>
          <w:b/>
          <w:color w:val="auto"/>
          <w:szCs w:val="21"/>
          <w:u w:val="single"/>
        </w:rPr>
        <w:t xml:space="preserve">                                                                                                              </w:t>
      </w:r>
    </w:p>
    <w:p>
      <w:pPr>
        <w:tabs>
          <w:tab w:val="left" w:pos="540"/>
        </w:tabs>
        <w:adjustRightInd w:val="0"/>
        <w:snapToGrid w:val="0"/>
        <w:spacing w:beforeLines="100" w:line="240" w:lineRule="exact"/>
        <w:ind w:right="-238"/>
        <w:rPr>
          <w:rFonts w:ascii="宋体" w:hAnsi="宋体" w:cs="宋体"/>
          <w:b/>
          <w:color w:val="auto"/>
          <w:kern w:val="0"/>
          <w:szCs w:val="21"/>
        </w:rPr>
      </w:pPr>
    </w:p>
    <w:p>
      <w:pPr>
        <w:tabs>
          <w:tab w:val="left" w:pos="540"/>
        </w:tabs>
        <w:adjustRightInd w:val="0"/>
        <w:snapToGrid w:val="0"/>
        <w:spacing w:beforeLines="100" w:line="360" w:lineRule="auto"/>
        <w:ind w:right="-238"/>
        <w:rPr>
          <w:rFonts w:ascii="宋体" w:hAnsi="宋体" w:cs="宋体"/>
          <w:b/>
          <w:color w:val="auto"/>
          <w:kern w:val="0"/>
          <w:szCs w:val="21"/>
        </w:rPr>
      </w:pPr>
      <w:r>
        <w:rPr>
          <w:rFonts w:hint="eastAsia" w:ascii="宋体" w:hAnsi="宋体" w:cs="宋体"/>
          <w:b/>
          <w:color w:val="auto"/>
          <w:kern w:val="0"/>
          <w:szCs w:val="21"/>
        </w:rPr>
        <w:t>56  工程变更</w:t>
      </w:r>
    </w:p>
    <w:p>
      <w:pPr>
        <w:adjustRightInd w:val="0"/>
        <w:snapToGrid w:val="0"/>
        <w:spacing w:line="360" w:lineRule="auto"/>
        <w:rPr>
          <w:rFonts w:ascii="宋体" w:hAnsi="宋体" w:cs="宋体"/>
          <w:b/>
          <w:color w:val="auto"/>
          <w:kern w:val="0"/>
          <w:szCs w:val="21"/>
        </w:rPr>
      </w:pPr>
      <w:r>
        <w:rPr>
          <w:rFonts w:hint="eastAsia" w:ascii="宋体" w:hAnsi="宋体" w:cs="宋体"/>
          <w:b/>
          <w:color w:val="auto"/>
          <w:kern w:val="0"/>
          <w:szCs w:val="21"/>
        </w:rPr>
        <w:t>56.1</w:t>
      </w:r>
    </w:p>
    <w:p>
      <w:pPr>
        <w:adjustRightInd w:val="0"/>
        <w:snapToGrid w:val="0"/>
        <w:spacing w:line="360" w:lineRule="auto"/>
        <w:ind w:left="1619" w:leftChars="771"/>
        <w:rPr>
          <w:rFonts w:ascii="宋体" w:hAnsi="宋体" w:cs="宋体"/>
          <w:color w:val="auto"/>
          <w:kern w:val="0"/>
          <w:szCs w:val="21"/>
        </w:rPr>
      </w:pPr>
      <w:r>
        <w:rPr>
          <w:rFonts w:ascii="宋体" w:hAnsi="宋体" w:cs="宋体"/>
          <w:color w:val="auto"/>
          <w:kern w:val="0"/>
          <w:szCs w:val="21"/>
        </w:rPr>
        <mc:AlternateContent>
          <mc:Choice Requires="wps">
            <w:drawing>
              <wp:anchor distT="0" distB="0" distL="114300" distR="114300" simplePos="0" relativeHeight="251951104" behindDoc="0" locked="0" layoutInCell="1" allowOverlap="1">
                <wp:simplePos x="0" y="0"/>
                <wp:positionH relativeFrom="column">
                  <wp:posOffset>-114300</wp:posOffset>
                </wp:positionH>
                <wp:positionV relativeFrom="paragraph">
                  <wp:posOffset>1270</wp:posOffset>
                </wp:positionV>
                <wp:extent cx="1028700" cy="297180"/>
                <wp:effectExtent l="0" t="0" r="0" b="0"/>
                <wp:wrapNone/>
                <wp:docPr id="177" name="文本框 177"/>
                <wp:cNvGraphicFramePr/>
                <a:graphic xmlns:a="http://schemas.openxmlformats.org/drawingml/2006/main">
                  <a:graphicData uri="http://schemas.microsoft.com/office/word/2010/wordprocessingShape">
                    <wps:wsp>
                      <wps:cNvSpPr txBox="1">
                        <a:spLocks noChangeArrowheads="1"/>
                      </wps:cNvSpPr>
                      <wps:spPr bwMode="auto">
                        <a:xfrm>
                          <a:off x="0" y="0"/>
                          <a:ext cx="1028700" cy="29718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工程变更权限</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1pt;height:23.4pt;width:81pt;z-index:251951104;mso-width-relative:page;mso-height-relative:page;" filled="f" stroked="f" coordsize="21600,21600" o:gfxdata="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JrMkyrTAAAABwEAAA8AAAAAAAAAAQAgAAAAIgAAAGRycy9kb3ducmV2&#10;LnhtbFBLAQIUABQAAAAIAIdO4kA0G3wQAQIAANkDAAAOAAAAAAAAAAEAIAAAACIBAABkcnMvZTJv&#10;RG9jLnhtbFBLBQYAAAAABgAGAFkBAACV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工程变更权限</w:t>
                      </w:r>
                    </w:p>
                  </w:txbxContent>
                </v:textbox>
              </v:shape>
            </w:pict>
          </mc:Fallback>
        </mc:AlternateContent>
      </w:r>
      <w:r>
        <w:rPr>
          <w:rFonts w:hint="eastAsia" w:ascii="宋体" w:hAnsi="宋体" w:cs="宋体"/>
          <w:color w:val="auto"/>
          <w:kern w:val="0"/>
          <w:szCs w:val="21"/>
        </w:rPr>
        <w:t>合同履行期间，经发包人批准，监理工程师可按照第56.3款约定的变更程序向承包人发出变更指令，承包人应按照合同约定实施变更工作。</w:t>
      </w:r>
    </w:p>
    <w:p>
      <w:pPr>
        <w:adjustRightInd w:val="0"/>
        <w:snapToGrid w:val="0"/>
        <w:spacing w:line="360" w:lineRule="auto"/>
        <w:ind w:left="1619" w:leftChars="771"/>
        <w:rPr>
          <w:rFonts w:ascii="宋体" w:hAnsi="宋体" w:cs="宋体"/>
          <w:color w:val="auto"/>
          <w:kern w:val="0"/>
          <w:szCs w:val="21"/>
        </w:rPr>
      </w:pPr>
      <w:r>
        <w:rPr>
          <w:rFonts w:hint="eastAsia" w:ascii="宋体" w:hAnsi="宋体" w:cs="宋体"/>
          <w:color w:val="auto"/>
          <w:kern w:val="0"/>
          <w:szCs w:val="21"/>
        </w:rPr>
        <w:t>没有经发包人批准也没有监理工程师的工程变更指令，承包人应按照合同约定施工，无权对合同工程作出任何变更。</w:t>
      </w:r>
    </w:p>
    <w:p>
      <w:pPr>
        <w:adjustRightInd w:val="0"/>
        <w:snapToGrid w:val="0"/>
        <w:spacing w:line="360" w:lineRule="auto"/>
        <w:ind w:left="1619" w:leftChars="771"/>
        <w:rPr>
          <w:rFonts w:ascii="宋体" w:hAnsi="宋体" w:cs="宋体"/>
          <w:color w:val="auto"/>
          <w:kern w:val="0"/>
          <w:szCs w:val="21"/>
        </w:rPr>
      </w:pPr>
      <w:r>
        <w:rPr>
          <w:rFonts w:hint="eastAsia" w:ascii="宋体" w:hAnsi="宋体" w:cs="宋体"/>
          <w:color w:val="auto"/>
          <w:kern w:val="0"/>
          <w:szCs w:val="21"/>
        </w:rPr>
        <w:t>工程量偏差不属于工程变更，该项工程量增减不需要任何指令。</w:t>
      </w:r>
    </w:p>
    <w:p>
      <w:pPr>
        <w:adjustRightInd w:val="0"/>
        <w:snapToGrid w:val="0"/>
        <w:rPr>
          <w:rFonts w:ascii="宋体" w:hAnsi="宋体" w:cs="宋体"/>
          <w:color w:val="auto"/>
          <w:kern w:val="0"/>
          <w:szCs w:val="21"/>
        </w:rPr>
      </w:pPr>
      <w:r>
        <w:rPr>
          <w:rFonts w:hint="eastAsia" w:ascii="宋体" w:hAnsi="宋体" w:cs="宋体"/>
          <w:b/>
          <w:color w:val="auto"/>
          <w:kern w:val="0"/>
          <w:szCs w:val="21"/>
        </w:rPr>
        <w:t xml:space="preserve">56.2 </w:t>
      </w:r>
      <w:r>
        <w:rPr>
          <w:rFonts w:hint="eastAsia" w:ascii="宋体" w:hAnsi="宋体" w:cs="宋体"/>
          <w:color w:val="auto"/>
          <w:kern w:val="0"/>
          <w:szCs w:val="21"/>
        </w:rPr>
        <w:t xml:space="preserve"> </w:t>
      </w:r>
      <w:r>
        <w:rPr>
          <w:rFonts w:hint="eastAsia" w:ascii="宋体" w:hAnsi="宋体" w:cs="宋体"/>
          <w:color w:val="auto"/>
          <w:kern w:val="0"/>
          <w:szCs w:val="21"/>
          <w:u w:val="dotted"/>
        </w:rPr>
        <w:t xml:space="preserve">                                                                                                        </w:t>
      </w:r>
    </w:p>
    <w:p>
      <w:pPr>
        <w:adjustRightInd w:val="0"/>
        <w:snapToGrid w:val="0"/>
        <w:spacing w:line="360" w:lineRule="auto"/>
        <w:ind w:left="1619" w:leftChars="771"/>
        <w:rPr>
          <w:rFonts w:ascii="宋体" w:hAnsi="宋体" w:cs="宋体"/>
          <w:color w:val="auto"/>
          <w:kern w:val="0"/>
          <w:szCs w:val="21"/>
        </w:rPr>
      </w:pPr>
      <w:r>
        <w:rPr>
          <w:rFonts w:ascii="宋体" w:hAnsi="宋体" w:cs="宋体"/>
          <w:color w:val="auto"/>
          <w:kern w:val="0"/>
          <w:szCs w:val="21"/>
        </w:rPr>
        <mc:AlternateContent>
          <mc:Choice Requires="wps">
            <w:drawing>
              <wp:anchor distT="0" distB="0" distL="114300" distR="114300" simplePos="0" relativeHeight="251952128" behindDoc="0" locked="0" layoutInCell="1" allowOverlap="1">
                <wp:simplePos x="0" y="0"/>
                <wp:positionH relativeFrom="column">
                  <wp:posOffset>-114300</wp:posOffset>
                </wp:positionH>
                <wp:positionV relativeFrom="paragraph">
                  <wp:posOffset>69850</wp:posOffset>
                </wp:positionV>
                <wp:extent cx="914400" cy="396240"/>
                <wp:effectExtent l="0" t="0" r="0" b="0"/>
                <wp:wrapNone/>
                <wp:docPr id="176" name="文本框 176"/>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工程变更内容</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5.5pt;height:31.2pt;width:72pt;z-index:251952128;mso-width-relative:page;mso-height-relative:page;" filled="f" stroked="f" coordsize="21600,21600" o:gfxdata="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wPpe1dYAAAAJAQAADwAAAAAAAAABACAAAAAiAAAAZHJzL2Rvd25y&#10;ZXYueG1sUEsBAhQAFAAAAAgAh07iQOVH5/EAAgAA2AMAAA4AAAAAAAAAAQAgAAAAJQEAAGRycy9l&#10;Mm9Eb2MueG1sUEsFBgAAAAAGAAYAWQEAAJcF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工程变更内容</w:t>
                      </w:r>
                    </w:p>
                  </w:txbxContent>
                </v:textbox>
              </v:shape>
            </w:pict>
          </mc:Fallback>
        </mc:AlternateContent>
      </w:r>
      <w:r>
        <w:rPr>
          <w:rFonts w:hint="eastAsia" w:ascii="宋体" w:hAnsi="宋体" w:cs="宋体"/>
          <w:color w:val="auto"/>
          <w:kern w:val="0"/>
          <w:szCs w:val="21"/>
        </w:rPr>
        <w:t>合同履行期间，发包人可对合同工程或其任何部分的形式、质量或数量作出变更。发生下列情形之一，应按照本条规定进行变更。</w:t>
      </w:r>
    </w:p>
    <w:p>
      <w:pPr>
        <w:adjustRightInd w:val="0"/>
        <w:snapToGrid w:val="0"/>
        <w:spacing w:line="360" w:lineRule="auto"/>
        <w:ind w:left="1619" w:leftChars="771"/>
        <w:rPr>
          <w:rFonts w:ascii="宋体" w:hAnsi="宋体" w:cs="宋体"/>
          <w:color w:val="auto"/>
          <w:kern w:val="0"/>
          <w:szCs w:val="21"/>
        </w:rPr>
      </w:pPr>
      <w:r>
        <w:rPr>
          <w:rFonts w:hint="eastAsia" w:ascii="宋体" w:hAnsi="宋体" w:cs="宋体"/>
          <w:color w:val="auto"/>
          <w:kern w:val="0"/>
          <w:szCs w:val="21"/>
        </w:rPr>
        <w:t>(1) 改变合同工程中任何工程数量（不含工程量的偏差）；</w:t>
      </w:r>
    </w:p>
    <w:p>
      <w:pPr>
        <w:adjustRightInd w:val="0"/>
        <w:snapToGrid w:val="0"/>
        <w:spacing w:line="360" w:lineRule="auto"/>
        <w:ind w:left="1619" w:leftChars="771"/>
        <w:rPr>
          <w:rFonts w:ascii="宋体" w:hAnsi="宋体" w:cs="宋体"/>
          <w:color w:val="auto"/>
          <w:kern w:val="0"/>
          <w:szCs w:val="21"/>
        </w:rPr>
      </w:pPr>
      <w:r>
        <w:rPr>
          <w:rFonts w:hint="eastAsia" w:ascii="宋体" w:hAnsi="宋体" w:cs="宋体"/>
          <w:color w:val="auto"/>
          <w:kern w:val="0"/>
          <w:szCs w:val="21"/>
        </w:rPr>
        <w:t xml:space="preserve">(2) 删减任何工作，但删减的工作不能转由发包人或其他人实施；   </w:t>
      </w:r>
    </w:p>
    <w:p>
      <w:pPr>
        <w:adjustRightInd w:val="0"/>
        <w:snapToGrid w:val="0"/>
        <w:spacing w:line="360" w:lineRule="auto"/>
        <w:ind w:left="1619" w:leftChars="771"/>
        <w:rPr>
          <w:rFonts w:ascii="宋体" w:hAnsi="宋体" w:cs="宋体"/>
          <w:color w:val="auto"/>
          <w:kern w:val="0"/>
          <w:szCs w:val="21"/>
        </w:rPr>
      </w:pPr>
      <w:r>
        <w:rPr>
          <w:rFonts w:hint="eastAsia" w:ascii="宋体" w:hAnsi="宋体" w:cs="宋体"/>
          <w:color w:val="auto"/>
          <w:kern w:val="0"/>
          <w:szCs w:val="21"/>
        </w:rPr>
        <w:t>(3) 改变任何工作内容的性质、质量或其他特征；</w:t>
      </w:r>
    </w:p>
    <w:p>
      <w:pPr>
        <w:adjustRightInd w:val="0"/>
        <w:snapToGrid w:val="0"/>
        <w:spacing w:line="360" w:lineRule="auto"/>
        <w:ind w:left="1619" w:leftChars="771" w:firstLine="1"/>
        <w:rPr>
          <w:rFonts w:ascii="宋体" w:hAnsi="宋体" w:cs="宋体"/>
          <w:color w:val="auto"/>
          <w:kern w:val="0"/>
          <w:szCs w:val="21"/>
        </w:rPr>
      </w:pPr>
      <w:r>
        <w:rPr>
          <w:rFonts w:hint="eastAsia" w:ascii="宋体" w:hAnsi="宋体" w:cs="宋体"/>
          <w:color w:val="auto"/>
          <w:kern w:val="0"/>
          <w:szCs w:val="21"/>
        </w:rPr>
        <w:t>(4) 改变工程任何部分的标高、基线、位置和(或)尺寸；</w:t>
      </w:r>
    </w:p>
    <w:p>
      <w:pPr>
        <w:adjustRightInd w:val="0"/>
        <w:snapToGrid w:val="0"/>
        <w:spacing w:line="360" w:lineRule="auto"/>
        <w:ind w:left="1619" w:leftChars="771" w:firstLine="1"/>
        <w:rPr>
          <w:rFonts w:ascii="宋体" w:hAnsi="宋体" w:cs="宋体"/>
          <w:color w:val="auto"/>
          <w:kern w:val="0"/>
          <w:szCs w:val="21"/>
        </w:rPr>
      </w:pPr>
      <w:r>
        <w:rPr>
          <w:rFonts w:hint="eastAsia" w:ascii="宋体" w:hAnsi="宋体" w:cs="宋体"/>
          <w:color w:val="auto"/>
          <w:kern w:val="0"/>
          <w:szCs w:val="21"/>
        </w:rPr>
        <w:t>(5) 为完成永久工程所必须的任何额外工作；</w:t>
      </w:r>
    </w:p>
    <w:p>
      <w:pPr>
        <w:adjustRightInd w:val="0"/>
        <w:snapToGrid w:val="0"/>
        <w:spacing w:line="360" w:lineRule="auto"/>
        <w:ind w:left="1619" w:leftChars="771" w:firstLine="1"/>
        <w:rPr>
          <w:rFonts w:ascii="宋体" w:hAnsi="宋体" w:cs="宋体"/>
          <w:color w:val="auto"/>
          <w:kern w:val="0"/>
          <w:szCs w:val="21"/>
        </w:rPr>
      </w:pPr>
      <w:r>
        <w:rPr>
          <w:rFonts w:hint="eastAsia" w:ascii="宋体" w:hAnsi="宋体" w:cs="宋体"/>
          <w:color w:val="auto"/>
          <w:kern w:val="0"/>
          <w:szCs w:val="21"/>
        </w:rPr>
        <w:t>(6) 改变合同工程的施工时间和已批准的施工工艺或顺序。</w:t>
      </w:r>
    </w:p>
    <w:p>
      <w:pPr>
        <w:adjustRightInd w:val="0"/>
        <w:snapToGrid w:val="0"/>
        <w:spacing w:line="360" w:lineRule="auto"/>
        <w:ind w:left="1619" w:leftChars="771" w:firstLine="1"/>
        <w:rPr>
          <w:rFonts w:ascii="宋体" w:hAnsi="宋体" w:cs="宋体"/>
          <w:color w:val="auto"/>
          <w:kern w:val="0"/>
          <w:szCs w:val="21"/>
        </w:rPr>
      </w:pPr>
      <w:r>
        <w:rPr>
          <w:rFonts w:hint="eastAsia" w:ascii="宋体" w:hAnsi="宋体" w:cs="宋体"/>
          <w:color w:val="auto"/>
          <w:kern w:val="0"/>
          <w:szCs w:val="21"/>
        </w:rPr>
        <w:t>但对合同工程工期、质量标准等实质性变更的，应在作出变更前，与承包人签订补充协议书，作为本合同的补充文件。</w:t>
      </w:r>
    </w:p>
    <w:p>
      <w:pPr>
        <w:adjustRightInd w:val="0"/>
        <w:snapToGrid w:val="0"/>
        <w:rPr>
          <w:rFonts w:ascii="宋体" w:hAnsi="宋体" w:cs="宋体"/>
          <w:b/>
          <w:color w:val="auto"/>
          <w:kern w:val="0"/>
          <w:szCs w:val="21"/>
        </w:rPr>
      </w:pPr>
      <w:r>
        <w:rPr>
          <w:rFonts w:hint="eastAsia" w:ascii="宋体" w:hAnsi="宋体" w:cs="宋体"/>
          <w:b/>
          <w:color w:val="auto"/>
          <w:kern w:val="0"/>
          <w:szCs w:val="21"/>
        </w:rPr>
        <w:t xml:space="preserve">56.3  </w:t>
      </w:r>
      <w:r>
        <w:rPr>
          <w:rFonts w:hint="eastAsia" w:ascii="宋体" w:hAnsi="宋体" w:cs="宋体"/>
          <w:b/>
          <w:color w:val="auto"/>
          <w:kern w:val="0"/>
          <w:szCs w:val="21"/>
          <w:u w:val="dotted"/>
        </w:rPr>
        <w:t xml:space="preserve">                                                                                                        </w:t>
      </w:r>
    </w:p>
    <w:p>
      <w:pPr>
        <w:adjustRightInd w:val="0"/>
        <w:snapToGrid w:val="0"/>
        <w:spacing w:line="360" w:lineRule="auto"/>
        <w:ind w:left="1619" w:leftChars="771"/>
        <w:rPr>
          <w:rFonts w:ascii="宋体" w:hAnsi="宋体" w:cs="宋体"/>
          <w:color w:val="auto"/>
          <w:kern w:val="0"/>
          <w:szCs w:val="21"/>
        </w:rPr>
      </w:pPr>
      <w:r>
        <w:rPr>
          <w:rFonts w:ascii="宋体" w:hAnsi="宋体" w:cs="宋体"/>
          <w:color w:val="auto"/>
          <w:kern w:val="0"/>
          <w:szCs w:val="21"/>
        </w:rPr>
        <mc:AlternateContent>
          <mc:Choice Requires="wps">
            <w:drawing>
              <wp:anchor distT="0" distB="0" distL="114300" distR="114300" simplePos="0" relativeHeight="251950080" behindDoc="0" locked="0" layoutInCell="1" allowOverlap="1">
                <wp:simplePos x="0" y="0"/>
                <wp:positionH relativeFrom="column">
                  <wp:posOffset>-114300</wp:posOffset>
                </wp:positionH>
                <wp:positionV relativeFrom="paragraph">
                  <wp:posOffset>15875</wp:posOffset>
                </wp:positionV>
                <wp:extent cx="914400" cy="556895"/>
                <wp:effectExtent l="0" t="0" r="0" b="0"/>
                <wp:wrapNone/>
                <wp:docPr id="175" name="文本框 175"/>
                <wp:cNvGraphicFramePr/>
                <a:graphic xmlns:a="http://schemas.openxmlformats.org/drawingml/2006/main">
                  <a:graphicData uri="http://schemas.microsoft.com/office/word/2010/wordprocessingShape">
                    <wps:wsp>
                      <wps:cNvSpPr txBox="1">
                        <a:spLocks noChangeArrowheads="1"/>
                      </wps:cNvSpPr>
                      <wps:spPr bwMode="auto">
                        <a:xfrm>
                          <a:off x="0" y="0"/>
                          <a:ext cx="914400" cy="55689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工程变更程序</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5pt;height:43.85pt;width:72pt;z-index:251950080;mso-width-relative:page;mso-height-relative:page;" filled="f" stroked="f" coordsize="21600,21600" o:gfxdata="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UMP/Y1QAAAAgBAAAPAAAAAAAAAAEAIAAAACIAAABkcnMvZG93bnJl&#10;di54bWxQSwECFAAUAAAACACHTuJACj2GsgACAADYAwAADgAAAAAAAAABACAAAAAkAQAAZHJzL2Uy&#10;b0RvYy54bWxQSwUGAAAAAAYABgBZAQAAlg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工程变更程序</w:t>
                      </w:r>
                    </w:p>
                  </w:txbxContent>
                </v:textbox>
              </v:shape>
            </w:pict>
          </mc:Fallback>
        </mc:AlternateContent>
      </w:r>
      <w:bookmarkStart w:id="301" w:name="OLE_LINK1"/>
      <w:r>
        <w:rPr>
          <w:rFonts w:hint="eastAsia" w:ascii="宋体" w:hAnsi="宋体" w:cs="宋体"/>
          <w:color w:val="auto"/>
          <w:kern w:val="0"/>
          <w:szCs w:val="21"/>
        </w:rPr>
        <w:t>合同工程发生变更</w:t>
      </w:r>
      <w:bookmarkEnd w:id="301"/>
      <w:r>
        <w:rPr>
          <w:rFonts w:hint="eastAsia" w:ascii="宋体" w:hAnsi="宋体" w:cs="宋体"/>
          <w:color w:val="auto"/>
          <w:kern w:val="0"/>
          <w:szCs w:val="21"/>
        </w:rPr>
        <w:t>，合同双方当事人以及监理工程师、造价工程师应遵循下列程序实施工程变更的相关工作。</w:t>
      </w:r>
    </w:p>
    <w:p>
      <w:pPr>
        <w:adjustRightInd w:val="0"/>
        <w:snapToGrid w:val="0"/>
        <w:spacing w:line="360" w:lineRule="auto"/>
        <w:ind w:left="1619" w:leftChars="771"/>
        <w:rPr>
          <w:rFonts w:ascii="宋体" w:hAnsi="宋体" w:cs="宋体"/>
          <w:color w:val="auto"/>
          <w:kern w:val="0"/>
          <w:szCs w:val="21"/>
        </w:rPr>
      </w:pPr>
      <w:r>
        <w:rPr>
          <w:rFonts w:hint="eastAsia" w:ascii="宋体" w:hAnsi="宋体" w:cs="宋体"/>
          <w:color w:val="auto"/>
          <w:kern w:val="0"/>
          <w:szCs w:val="21"/>
        </w:rPr>
        <w:t>(1)合同工程可能发生或发生工程变更时，监理工程师或承包人可依据下列情况及时提出。</w:t>
      </w:r>
    </w:p>
    <w:p>
      <w:pPr>
        <w:adjustRightInd w:val="0"/>
        <w:snapToGrid w:val="0"/>
        <w:spacing w:line="360" w:lineRule="auto"/>
        <w:ind w:left="1620"/>
        <w:rPr>
          <w:rFonts w:ascii="宋体" w:hAnsi="宋体" w:cs="宋体"/>
          <w:color w:val="auto"/>
          <w:kern w:val="0"/>
          <w:szCs w:val="21"/>
        </w:rPr>
      </w:pPr>
      <w:r>
        <w:rPr>
          <w:rFonts w:hint="eastAsia" w:ascii="宋体" w:hAnsi="宋体" w:cs="宋体"/>
          <w:color w:val="auto"/>
          <w:kern w:val="0"/>
          <w:szCs w:val="21"/>
        </w:rPr>
        <w:t>1）合同工程可能发生第56.2款所列情形的，监理工程师可向承包人发出变更意向书，并附必要的施工设计图纸及其说明等资料。承包人应在收到变更意向书后的7天内，向监理工程师书面提交包括拟实施变更工作的计划、措施、竣工时间、修改内容和所需金额等在内的实施方案。发包人应在收到实施方案后的7天内予以答复；同意承包人提交的实施方案的，监理工程师应在收到实施方案后的14天内发出变更指令。</w:t>
      </w:r>
    </w:p>
    <w:p>
      <w:pPr>
        <w:adjustRightInd w:val="0"/>
        <w:snapToGrid w:val="0"/>
        <w:spacing w:line="360" w:lineRule="auto"/>
        <w:ind w:left="1620"/>
        <w:rPr>
          <w:rFonts w:ascii="宋体" w:hAnsi="宋体" w:cs="宋体"/>
          <w:color w:val="auto"/>
          <w:kern w:val="0"/>
          <w:szCs w:val="21"/>
        </w:rPr>
      </w:pPr>
      <w:r>
        <w:rPr>
          <w:rFonts w:hint="eastAsia" w:ascii="宋体" w:hAnsi="宋体" w:cs="宋体"/>
          <w:color w:val="auto"/>
          <w:kern w:val="0"/>
          <w:szCs w:val="21"/>
        </w:rPr>
        <w:t>2）合同工程发生第56.2款所列情形的，监理工程师应至少提前14天以书面形式向承包人发出变更指令，并提供变更的施工设计图纸及其说明等资料。</w:t>
      </w:r>
    </w:p>
    <w:p>
      <w:pPr>
        <w:adjustRightInd w:val="0"/>
        <w:snapToGrid w:val="0"/>
        <w:spacing w:line="360" w:lineRule="auto"/>
        <w:ind w:left="1620"/>
        <w:rPr>
          <w:rFonts w:ascii="宋体" w:hAnsi="宋体" w:cs="宋体"/>
          <w:color w:val="auto"/>
          <w:kern w:val="0"/>
          <w:szCs w:val="21"/>
        </w:rPr>
      </w:pPr>
      <w:r>
        <w:rPr>
          <w:rFonts w:hint="eastAsia" w:ascii="宋体" w:hAnsi="宋体" w:cs="宋体"/>
          <w:color w:val="auto"/>
          <w:kern w:val="0"/>
          <w:szCs w:val="21"/>
        </w:rPr>
        <w:t>3）承包人收到发包人为实施合同工程所提供的施工设计图纸和文件，经检查认为存在第56.2款所列情形的，可向监理工程师提出书面建议。监理工程师收到承包人书面建议后，应提出确认意见并报发包人审批；确认存在变更的，监理工程师应在收到承包人书面建议后的14天内发出变更指令。不同意作为变更的，应由监理工程师书面答复承包人。</w:t>
      </w:r>
    </w:p>
    <w:p>
      <w:pPr>
        <w:adjustRightInd w:val="0"/>
        <w:snapToGrid w:val="0"/>
        <w:spacing w:line="360" w:lineRule="auto"/>
        <w:ind w:left="1620"/>
        <w:rPr>
          <w:rFonts w:ascii="宋体" w:hAnsi="宋体" w:cs="宋体"/>
          <w:color w:val="auto"/>
          <w:kern w:val="0"/>
          <w:szCs w:val="21"/>
        </w:rPr>
      </w:pPr>
      <w:r>
        <w:rPr>
          <w:rFonts w:hint="eastAsia" w:ascii="宋体" w:hAnsi="宋体" w:cs="宋体"/>
          <w:color w:val="auto"/>
          <w:kern w:val="0"/>
          <w:szCs w:val="21"/>
        </w:rPr>
        <w:t>4）若承包人收到监理工程师的变更意向书后认为难以实施此项变更的，应立即通知监理工程师，说明原因并附详细依据。监理工程师与合同双方当事人协商后确定撤销、改变或不改变原变更意向书。</w:t>
      </w:r>
    </w:p>
    <w:p>
      <w:pPr>
        <w:adjustRightInd w:val="0"/>
        <w:snapToGrid w:val="0"/>
        <w:spacing w:line="360" w:lineRule="auto"/>
        <w:ind w:left="1620"/>
        <w:rPr>
          <w:rFonts w:ascii="宋体" w:hAnsi="宋体" w:cs="宋体"/>
          <w:color w:val="auto"/>
          <w:kern w:val="0"/>
          <w:szCs w:val="21"/>
        </w:rPr>
      </w:pPr>
      <w:r>
        <w:rPr>
          <w:rFonts w:hint="eastAsia" w:ascii="宋体" w:hAnsi="宋体" w:cs="宋体"/>
          <w:color w:val="auto"/>
          <w:kern w:val="0"/>
          <w:szCs w:val="21"/>
        </w:rPr>
        <w:t>(2）承包人应在收到监理工程师发出变更指令或变更意向书后的14天内，向发包人提交工程变更报告，并抄送监理工程师、造价工程师。报告内容应包括变更原因、根据第72条约定详细开列变更工作的价格组成和依据，并附变更的施工设计图纸及其相关说明。</w:t>
      </w:r>
    </w:p>
    <w:p>
      <w:pPr>
        <w:adjustRightInd w:val="0"/>
        <w:snapToGrid w:val="0"/>
        <w:spacing w:line="360" w:lineRule="auto"/>
        <w:ind w:left="1620"/>
        <w:rPr>
          <w:rFonts w:ascii="宋体" w:hAnsi="宋体" w:cs="宋体"/>
          <w:color w:val="auto"/>
          <w:kern w:val="0"/>
          <w:szCs w:val="21"/>
        </w:rPr>
      </w:pPr>
      <w:r>
        <w:rPr>
          <w:rFonts w:hint="eastAsia" w:ascii="宋体" w:hAnsi="宋体" w:cs="宋体"/>
          <w:color w:val="auto"/>
          <w:kern w:val="0"/>
          <w:szCs w:val="21"/>
        </w:rPr>
        <w:t>变更工作影响工期的，承包人应提出调整工期的要求。发包人认为有必要时，可要求承包人提交提前或者延长工期的施工进度计划或相应施工措施等资料。</w:t>
      </w:r>
    </w:p>
    <w:p>
      <w:pPr>
        <w:adjustRightInd w:val="0"/>
        <w:snapToGrid w:val="0"/>
        <w:spacing w:line="360" w:lineRule="auto"/>
        <w:ind w:left="1620"/>
        <w:rPr>
          <w:rFonts w:ascii="宋体" w:hAnsi="宋体" w:cs="宋体"/>
          <w:color w:val="auto"/>
          <w:kern w:val="0"/>
          <w:szCs w:val="21"/>
        </w:rPr>
      </w:pPr>
      <w:r>
        <w:rPr>
          <w:rFonts w:hint="eastAsia" w:ascii="宋体" w:hAnsi="宋体" w:cs="宋体"/>
          <w:color w:val="auto"/>
          <w:kern w:val="0"/>
          <w:szCs w:val="21"/>
        </w:rPr>
        <w:t>(3)发包人在收到承包人工程变更报告后，应通知监理工程师、造价工程师及时对报告内容予以核实，并在收到报告后的14天内予以确定或提出修改意见。发包人在收到承包人工程变更报告后的14天内未确定也未提出修改意见的，视为承包人提交的工程变更报告已被认可。</w:t>
      </w:r>
    </w:p>
    <w:p>
      <w:pPr>
        <w:adjustRightInd w:val="0"/>
        <w:snapToGrid w:val="0"/>
        <w:spacing w:line="360" w:lineRule="auto"/>
        <w:ind w:left="1575" w:leftChars="750"/>
        <w:rPr>
          <w:rFonts w:ascii="宋体" w:hAnsi="宋体" w:cs="宋体"/>
          <w:b/>
          <w:color w:val="auto"/>
          <w:kern w:val="0"/>
          <w:szCs w:val="21"/>
        </w:rPr>
      </w:pPr>
      <w:r>
        <w:rPr>
          <w:rFonts w:hint="eastAsia" w:ascii="宋体" w:hAnsi="宋体" w:cs="宋体"/>
          <w:color w:val="auto"/>
          <w:kern w:val="0"/>
          <w:szCs w:val="21"/>
        </w:rPr>
        <w:t>(4)承包人应在发包人确定工程变更报告后的7天内，按照监理工程师发出的变更指令及时组织实施变更工作。否则，由此引起的损失和（或）延误的工期由承包人承担。</w:t>
      </w:r>
    </w:p>
    <w:p>
      <w:pPr>
        <w:adjustRightInd w:val="0"/>
        <w:snapToGrid w:val="0"/>
        <w:rPr>
          <w:rFonts w:ascii="宋体" w:hAnsi="宋体" w:cs="宋体"/>
          <w:b/>
          <w:color w:val="auto"/>
          <w:kern w:val="0"/>
          <w:szCs w:val="21"/>
        </w:rPr>
      </w:pPr>
      <w:r>
        <w:rPr>
          <w:rFonts w:hint="eastAsia" w:ascii="宋体" w:hAnsi="宋体" w:cs="宋体"/>
          <w:b/>
          <w:color w:val="auto"/>
          <w:kern w:val="0"/>
          <w:szCs w:val="21"/>
        </w:rPr>
        <w:t xml:space="preserve">56.4  </w:t>
      </w:r>
      <w:r>
        <w:rPr>
          <w:rFonts w:hint="eastAsia" w:ascii="宋体" w:hAnsi="宋体" w:cs="宋体"/>
          <w:b/>
          <w:color w:val="auto"/>
          <w:kern w:val="0"/>
          <w:szCs w:val="21"/>
          <w:u w:val="dotted"/>
        </w:rPr>
        <w:t xml:space="preserve">                                                                                                        </w:t>
      </w:r>
    </w:p>
    <w:p>
      <w:pPr>
        <w:adjustRightInd w:val="0"/>
        <w:snapToGrid w:val="0"/>
        <w:spacing w:line="360" w:lineRule="auto"/>
        <w:ind w:left="1619" w:leftChars="771"/>
        <w:rPr>
          <w:rFonts w:ascii="宋体" w:hAnsi="宋体" w:cs="宋体"/>
          <w:color w:val="auto"/>
          <w:kern w:val="0"/>
          <w:szCs w:val="21"/>
        </w:rPr>
      </w:pPr>
      <w:r>
        <w:rPr>
          <w:rFonts w:ascii="宋体" w:hAnsi="宋体" w:cs="宋体"/>
          <w:color w:val="auto"/>
          <w:kern w:val="0"/>
          <w:szCs w:val="21"/>
        </w:rPr>
        <mc:AlternateContent>
          <mc:Choice Requires="wps">
            <w:drawing>
              <wp:anchor distT="0" distB="0" distL="114300" distR="114300" simplePos="0" relativeHeight="251953152" behindDoc="0" locked="0" layoutInCell="1" allowOverlap="1">
                <wp:simplePos x="0" y="0"/>
                <wp:positionH relativeFrom="column">
                  <wp:posOffset>-114300</wp:posOffset>
                </wp:positionH>
                <wp:positionV relativeFrom="paragraph">
                  <wp:posOffset>7620</wp:posOffset>
                </wp:positionV>
                <wp:extent cx="914400" cy="412115"/>
                <wp:effectExtent l="0" t="0" r="0" b="0"/>
                <wp:wrapNone/>
                <wp:docPr id="174" name="文本框 174"/>
                <wp:cNvGraphicFramePr/>
                <a:graphic xmlns:a="http://schemas.openxmlformats.org/drawingml/2006/main">
                  <a:graphicData uri="http://schemas.microsoft.com/office/word/2010/wordprocessingShape">
                    <wps:wsp>
                      <wps:cNvSpPr txBox="1">
                        <a:spLocks noChangeArrowheads="1"/>
                      </wps:cNvSpPr>
                      <wps:spPr bwMode="auto">
                        <a:xfrm>
                          <a:off x="0" y="0"/>
                          <a:ext cx="914400" cy="41211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承包人提出工程变更建议</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6pt;height:32.45pt;width:72pt;z-index:251953152;mso-width-relative:page;mso-height-relative:page;" filled="f" stroked="f" coordsize="21600,21600" o:gfxdata="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D7hOtdQAAAAIAQAADwAAAAAAAAABACAAAAAiAAAAZHJzL2Rvd25yZXYu&#10;eG1sUEsBAhQAFAAAAAgAh07iQJ/ZGjz/AQAA2AMAAA4AAAAAAAAAAQAgAAAAIwEAAGRycy9lMm9E&#10;b2MueG1sUEsFBgAAAAAGAAYAWQEAAJQF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承包人提出工程变更建议</w:t>
                      </w:r>
                    </w:p>
                  </w:txbxContent>
                </v:textbox>
              </v:shape>
            </w:pict>
          </mc:Fallback>
        </mc:AlternateContent>
      </w:r>
      <w:r>
        <w:rPr>
          <w:rFonts w:hint="eastAsia" w:ascii="宋体" w:hAnsi="宋体" w:cs="宋体"/>
          <w:color w:val="auto"/>
          <w:kern w:val="0"/>
          <w:szCs w:val="21"/>
        </w:rPr>
        <w:t>合同履行期间，承包人可提出工程变更建议。变更建议应以书面形式向监理工程师提出，同时抄送发包人，详细说明变更的原因、变更方案及合同价格的增减情况，并附必要的施工设计图纸及其说明等资料。变更建议被采纳的，监理工程师应按照第56.3款规定向承包人发出变更指令。</w:t>
      </w:r>
    </w:p>
    <w:p>
      <w:pPr>
        <w:adjustRightInd w:val="0"/>
        <w:snapToGrid w:val="0"/>
        <w:spacing w:line="360" w:lineRule="auto"/>
        <w:ind w:left="1619" w:leftChars="771"/>
        <w:rPr>
          <w:rFonts w:ascii="宋体" w:hAnsi="宋体" w:cs="宋体"/>
          <w:color w:val="auto"/>
          <w:kern w:val="0"/>
          <w:szCs w:val="21"/>
        </w:rPr>
      </w:pPr>
      <w:r>
        <w:rPr>
          <w:rFonts w:hint="eastAsia" w:ascii="宋体" w:hAnsi="宋体" w:cs="宋体"/>
          <w:color w:val="auto"/>
          <w:kern w:val="0"/>
          <w:szCs w:val="21"/>
        </w:rPr>
        <w:t>发包人采纳承包人的建议，给发包人带来降低合同价款、缩短工期或提交工程经济效益等利益的，发包人应按照国家有关规定并在专用条款中约定的计算方法予以奖励。</w:t>
      </w:r>
    </w:p>
    <w:p>
      <w:pPr>
        <w:adjustRightInd w:val="0"/>
        <w:snapToGrid w:val="0"/>
        <w:rPr>
          <w:rFonts w:ascii="宋体" w:hAnsi="宋体" w:cs="宋体"/>
          <w:b/>
          <w:color w:val="auto"/>
          <w:kern w:val="0"/>
          <w:szCs w:val="21"/>
        </w:rPr>
      </w:pPr>
      <w:r>
        <w:rPr>
          <w:rFonts w:hint="eastAsia" w:ascii="宋体" w:hAnsi="宋体" w:cs="宋体"/>
          <w:b/>
          <w:color w:val="auto"/>
          <w:kern w:val="0"/>
          <w:szCs w:val="21"/>
        </w:rPr>
        <w:t xml:space="preserve">56.5  </w:t>
      </w:r>
      <w:r>
        <w:rPr>
          <w:rFonts w:hint="eastAsia" w:ascii="宋体" w:hAnsi="宋体" w:cs="宋体"/>
          <w:b/>
          <w:color w:val="auto"/>
          <w:kern w:val="0"/>
          <w:szCs w:val="21"/>
          <w:u w:val="dotted"/>
        </w:rPr>
        <w:t xml:space="preserve">                                                                                                        </w:t>
      </w:r>
    </w:p>
    <w:p>
      <w:pPr>
        <w:adjustRightInd w:val="0"/>
        <w:snapToGrid w:val="0"/>
        <w:spacing w:line="360" w:lineRule="auto"/>
        <w:ind w:left="1619" w:leftChars="771"/>
        <w:rPr>
          <w:rFonts w:ascii="宋体" w:hAnsi="宋体" w:cs="宋体"/>
          <w:color w:val="auto"/>
          <w:kern w:val="0"/>
          <w:szCs w:val="21"/>
        </w:rPr>
      </w:pPr>
      <w:r>
        <w:rPr>
          <w:rFonts w:ascii="宋体" w:hAnsi="宋体" w:cs="宋体"/>
          <w:color w:val="auto"/>
          <w:kern w:val="0"/>
          <w:szCs w:val="21"/>
        </w:rPr>
        <mc:AlternateContent>
          <mc:Choice Requires="wps">
            <w:drawing>
              <wp:anchor distT="0" distB="0" distL="114300" distR="114300" simplePos="0" relativeHeight="251949056" behindDoc="0" locked="0" layoutInCell="1" allowOverlap="1">
                <wp:simplePos x="0" y="0"/>
                <wp:positionH relativeFrom="column">
                  <wp:posOffset>-114300</wp:posOffset>
                </wp:positionH>
                <wp:positionV relativeFrom="paragraph">
                  <wp:posOffset>15240</wp:posOffset>
                </wp:positionV>
                <wp:extent cx="914400" cy="588010"/>
                <wp:effectExtent l="0" t="0" r="0" b="0"/>
                <wp:wrapNone/>
                <wp:docPr id="173" name="文本框 173"/>
                <wp:cNvGraphicFramePr/>
                <a:graphic xmlns:a="http://schemas.openxmlformats.org/drawingml/2006/main">
                  <a:graphicData uri="http://schemas.microsoft.com/office/word/2010/wordprocessingShape">
                    <wps:wsp>
                      <wps:cNvSpPr txBox="1">
                        <a:spLocks noChangeArrowheads="1"/>
                      </wps:cNvSpPr>
                      <wps:spPr bwMode="auto">
                        <a:xfrm>
                          <a:off x="0" y="0"/>
                          <a:ext cx="914400" cy="58801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工程变更导致合同价款和工期的调整</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pt;height:46.3pt;width:72pt;z-index:251949056;mso-width-relative:page;mso-height-relative:page;" filled="f" stroked="f" coordsize="21600,21600" o:gfxdata="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C8ysRLVAAAACAEAAA8AAAAAAAAAAQAgAAAAIgAAAGRycy9kb3ducmV2&#10;LnhtbFBLAQIUABQAAAAIAIdO4kByzXOM/wEAANgDAAAOAAAAAAAAAAEAIAAAACQBAABkcnMvZTJv&#10;RG9jLnhtbFBLBQYAAAAABgAGAFkBAACV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工程变更导致合同价款和工期的调整</w:t>
                      </w:r>
                    </w:p>
                  </w:txbxContent>
                </v:textbox>
              </v:shape>
            </w:pict>
          </mc:Fallback>
        </mc:AlternateContent>
      </w:r>
      <w:r>
        <w:rPr>
          <w:rFonts w:hint="eastAsia" w:ascii="宋体" w:hAnsi="宋体" w:cs="宋体"/>
          <w:color w:val="auto"/>
          <w:kern w:val="0"/>
          <w:szCs w:val="21"/>
        </w:rPr>
        <w:t>工程变更不应使合同作废或无效。工程变更应按照第72条规定确定变更的工程款；影响工期的，工期应相应调整。但由于下列原因引起的变更，承包人无权要求任何额外或附加的费用，工期不予顺延：</w:t>
      </w:r>
    </w:p>
    <w:p>
      <w:pPr>
        <w:numPr>
          <w:ilvl w:val="0"/>
          <w:numId w:val="27"/>
        </w:numPr>
        <w:adjustRightInd w:val="0"/>
        <w:snapToGrid w:val="0"/>
        <w:spacing w:line="360" w:lineRule="auto"/>
        <w:ind w:left="1620"/>
        <w:rPr>
          <w:rFonts w:ascii="宋体" w:hAnsi="宋体" w:cs="宋体"/>
          <w:color w:val="auto"/>
          <w:kern w:val="0"/>
          <w:szCs w:val="21"/>
        </w:rPr>
      </w:pPr>
      <w:r>
        <w:rPr>
          <w:rFonts w:hint="eastAsia" w:ascii="宋体" w:hAnsi="宋体" w:cs="宋体"/>
          <w:color w:val="auto"/>
          <w:kern w:val="0"/>
          <w:szCs w:val="21"/>
        </w:rPr>
        <w:t>为了便于组织施工而采取的技术措施变更或临时工程变更；</w:t>
      </w:r>
    </w:p>
    <w:p>
      <w:pPr>
        <w:numPr>
          <w:ilvl w:val="0"/>
          <w:numId w:val="27"/>
        </w:numPr>
        <w:adjustRightInd w:val="0"/>
        <w:snapToGrid w:val="0"/>
        <w:spacing w:line="360" w:lineRule="auto"/>
        <w:ind w:left="2459" w:leftChars="771" w:hanging="840" w:hangingChars="400"/>
        <w:rPr>
          <w:rFonts w:ascii="宋体" w:hAnsi="宋体" w:cs="宋体"/>
          <w:color w:val="auto"/>
          <w:kern w:val="0"/>
          <w:szCs w:val="21"/>
        </w:rPr>
      </w:pPr>
      <w:r>
        <w:rPr>
          <w:rFonts w:hint="eastAsia" w:ascii="宋体" w:hAnsi="宋体" w:cs="宋体"/>
          <w:color w:val="auto"/>
          <w:kern w:val="0"/>
          <w:szCs w:val="21"/>
        </w:rPr>
        <w:t>为了施工安全、避免干扰等原因而采取的技术措施变更或临时工程变</w:t>
      </w:r>
    </w:p>
    <w:p>
      <w:pPr>
        <w:adjustRightInd w:val="0"/>
        <w:snapToGrid w:val="0"/>
        <w:spacing w:line="360" w:lineRule="auto"/>
        <w:ind w:left="1619" w:firstLine="1"/>
        <w:rPr>
          <w:rFonts w:ascii="宋体" w:hAnsi="宋体" w:cs="宋体"/>
          <w:color w:val="auto"/>
          <w:kern w:val="0"/>
          <w:szCs w:val="21"/>
        </w:rPr>
      </w:pPr>
      <w:r>
        <w:rPr>
          <w:rFonts w:hint="eastAsia" w:ascii="宋体" w:hAnsi="宋体" w:cs="宋体"/>
          <w:color w:val="auto"/>
          <w:kern w:val="0"/>
          <w:szCs w:val="21"/>
        </w:rPr>
        <w:t>更；</w:t>
      </w:r>
    </w:p>
    <w:p>
      <w:pPr>
        <w:numPr>
          <w:ilvl w:val="0"/>
          <w:numId w:val="27"/>
        </w:numPr>
        <w:adjustRightInd w:val="0"/>
        <w:snapToGrid w:val="0"/>
        <w:spacing w:line="360" w:lineRule="auto"/>
        <w:ind w:left="1620"/>
        <w:rPr>
          <w:rFonts w:ascii="宋体" w:hAnsi="宋体" w:cs="宋体"/>
          <w:color w:val="auto"/>
          <w:kern w:val="0"/>
          <w:szCs w:val="21"/>
        </w:rPr>
      </w:pPr>
      <w:r>
        <w:rPr>
          <w:rFonts w:hint="eastAsia" w:ascii="宋体" w:hAnsi="宋体" w:cs="宋体"/>
          <w:color w:val="auto"/>
          <w:kern w:val="0"/>
          <w:szCs w:val="21"/>
        </w:rPr>
        <w:t>因承包人违约、过错或承包人引起的其他变更。</w:t>
      </w:r>
    </w:p>
    <w:p>
      <w:pPr>
        <w:adjustRightInd w:val="0"/>
        <w:snapToGrid w:val="0"/>
        <w:spacing w:line="360" w:lineRule="auto"/>
        <w:rPr>
          <w:rFonts w:ascii="宋体" w:hAnsi="宋体" w:cs="宋体"/>
          <w:b/>
          <w:color w:val="auto"/>
          <w:kern w:val="0"/>
          <w:szCs w:val="21"/>
          <w:u w:val="single"/>
        </w:rPr>
      </w:pPr>
      <w:r>
        <w:rPr>
          <w:rFonts w:hint="eastAsia" w:ascii="宋体" w:hAnsi="宋体" w:cs="宋体"/>
          <w:b/>
          <w:color w:val="auto"/>
          <w:kern w:val="0"/>
          <w:szCs w:val="21"/>
          <w:u w:val="single"/>
        </w:rPr>
        <w:t xml:space="preserve">                                                                                                           </w:t>
      </w:r>
    </w:p>
    <w:p>
      <w:pPr>
        <w:tabs>
          <w:tab w:val="left" w:pos="540"/>
        </w:tabs>
        <w:adjustRightInd w:val="0"/>
        <w:snapToGrid w:val="0"/>
        <w:spacing w:beforeLines="100" w:line="360" w:lineRule="auto"/>
        <w:ind w:right="-238"/>
        <w:rPr>
          <w:rFonts w:ascii="宋体" w:hAnsi="宋体" w:cs="宋体"/>
          <w:b/>
          <w:color w:val="auto"/>
          <w:kern w:val="0"/>
          <w:szCs w:val="21"/>
        </w:rPr>
      </w:pPr>
      <w:r>
        <w:rPr>
          <w:rFonts w:hint="eastAsia" w:ascii="宋体" w:hAnsi="宋体" w:cs="宋体"/>
          <w:b/>
          <w:color w:val="auto"/>
          <w:kern w:val="0"/>
          <w:szCs w:val="21"/>
        </w:rPr>
        <w:t>57  竣工验收条件</w:t>
      </w:r>
    </w:p>
    <w:p>
      <w:pPr>
        <w:adjustRightInd w:val="0"/>
        <w:snapToGrid w:val="0"/>
        <w:spacing w:line="360" w:lineRule="auto"/>
        <w:rPr>
          <w:rFonts w:ascii="宋体" w:hAnsi="宋体" w:cs="宋体"/>
          <w:b/>
          <w:color w:val="auto"/>
          <w:szCs w:val="21"/>
        </w:rPr>
      </w:pPr>
      <w:r>
        <w:rPr>
          <w:rFonts w:hint="eastAsia" w:ascii="宋体" w:hAnsi="宋体" w:cs="宋体"/>
          <w:b/>
          <w:color w:val="auto"/>
          <w:szCs w:val="21"/>
        </w:rPr>
        <w:t>57.1</w:t>
      </w:r>
    </w:p>
    <w:p>
      <w:pPr>
        <w:spacing w:line="360" w:lineRule="auto"/>
        <w:ind w:left="1618" w:hanging="1"/>
        <w:rPr>
          <w:rFonts w:ascii="宋体" w:hAnsi="宋体" w:cs="宋体"/>
          <w:color w:val="auto"/>
          <w:szCs w:val="21"/>
        </w:rPr>
      </w:pPr>
      <w:r>
        <w:rPr>
          <w:rFonts w:ascii="宋体" w:hAnsi="宋体" w:cs="宋体"/>
          <w:color w:val="auto"/>
          <w:szCs w:val="21"/>
        </w:rPr>
        <mc:AlternateContent>
          <mc:Choice Requires="wps">
            <w:drawing>
              <wp:anchor distT="0" distB="0" distL="114300" distR="114300" simplePos="0" relativeHeight="252053504" behindDoc="0" locked="0" layoutInCell="1" allowOverlap="1">
                <wp:simplePos x="0" y="0"/>
                <wp:positionH relativeFrom="column">
                  <wp:posOffset>-114300</wp:posOffset>
                </wp:positionH>
                <wp:positionV relativeFrom="paragraph">
                  <wp:posOffset>12700</wp:posOffset>
                </wp:positionV>
                <wp:extent cx="914400" cy="422910"/>
                <wp:effectExtent l="0" t="0" r="0" b="0"/>
                <wp:wrapNone/>
                <wp:docPr id="172" name="文本框 172"/>
                <wp:cNvGraphicFramePr/>
                <a:graphic xmlns:a="http://schemas.openxmlformats.org/drawingml/2006/main">
                  <a:graphicData uri="http://schemas.microsoft.com/office/word/2010/wordprocessingShape">
                    <wps:wsp>
                      <wps:cNvSpPr txBox="1">
                        <a:spLocks noChangeArrowheads="1"/>
                      </wps:cNvSpPr>
                      <wps:spPr bwMode="auto">
                        <a:xfrm>
                          <a:off x="0" y="0"/>
                          <a:ext cx="914400" cy="42291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竣工验收条件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pt;height:33.3pt;width:72pt;z-index:252053504;mso-width-relative:page;mso-height-relative:page;" filled="f" stroked="f" coordsize="21600,21600" o:gfxdata="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CjoeU3VAAAACAEAAA8AAAAAAAAAAQAgAAAAIgAAAGRycy9kb3ducmV2&#10;LnhtbFBLAQIUABQAAAAIAIdO4kAIVVIl/wEAANgDAAAOAAAAAAAAAAEAIAAAACQBAABkcnMvZTJv&#10;RG9jLnhtbFBLBQYAAAAABgAGAFkBAACV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竣工验收条件</w:t>
                      </w:r>
                    </w:p>
                  </w:txbxContent>
                </v:textbox>
              </v:shape>
            </w:pict>
          </mc:Fallback>
        </mc:AlternateContent>
      </w:r>
      <w:r>
        <w:rPr>
          <w:rFonts w:hint="eastAsia" w:ascii="宋体" w:hAnsi="宋体" w:cs="宋体"/>
          <w:color w:val="auto"/>
          <w:szCs w:val="21"/>
        </w:rPr>
        <w:t>承包人实施、完成合同工程的全部工作内容，经自检评定并符合下列条件的，则认为合同工程已具备竣工验收条件。</w:t>
      </w:r>
    </w:p>
    <w:p>
      <w:pPr>
        <w:spacing w:line="360" w:lineRule="auto"/>
        <w:ind w:left="1618" w:hanging="1"/>
        <w:rPr>
          <w:rFonts w:ascii="宋体" w:hAnsi="宋体" w:cs="宋体"/>
          <w:color w:val="auto"/>
          <w:szCs w:val="21"/>
        </w:rPr>
      </w:pPr>
      <w:r>
        <w:rPr>
          <w:rFonts w:hint="eastAsia" w:ascii="宋体" w:hAnsi="宋体" w:cs="宋体"/>
          <w:color w:val="auto"/>
          <w:szCs w:val="21"/>
        </w:rPr>
        <w:t>(1）除监理工程师同意列入缺陷责任期内完成的尾工（甩项）工程和缺陷修补工作外，包括合同约定的试验、检验和验收等工作在内的合同范围内全部工作均已完成，并符合施工设计图纸和合同约定的要求；</w:t>
      </w:r>
    </w:p>
    <w:p>
      <w:pPr>
        <w:spacing w:line="360" w:lineRule="auto"/>
        <w:ind w:left="1680" w:leftChars="800"/>
        <w:rPr>
          <w:rFonts w:ascii="宋体" w:hAnsi="宋体" w:cs="宋体"/>
          <w:color w:val="auto"/>
          <w:szCs w:val="21"/>
        </w:rPr>
      </w:pPr>
      <w:r>
        <w:rPr>
          <w:rFonts w:hint="eastAsia" w:ascii="宋体" w:hAnsi="宋体" w:cs="宋体"/>
          <w:color w:val="auto"/>
          <w:szCs w:val="21"/>
        </w:rPr>
        <w:t>(2）已按照合同约定的内容和份数备齐了符合国家或行业、省要求的竣工资料（质量控制资料、竣工结算文件等）；</w:t>
      </w:r>
    </w:p>
    <w:p>
      <w:pPr>
        <w:spacing w:line="360" w:lineRule="auto"/>
        <w:ind w:left="1618" w:hanging="1"/>
        <w:rPr>
          <w:rFonts w:ascii="宋体" w:hAnsi="宋体" w:cs="宋体"/>
          <w:color w:val="auto"/>
          <w:szCs w:val="21"/>
        </w:rPr>
      </w:pPr>
      <w:r>
        <w:rPr>
          <w:rFonts w:hint="eastAsia" w:ascii="宋体" w:hAnsi="宋体" w:cs="宋体"/>
          <w:color w:val="auto"/>
          <w:szCs w:val="21"/>
        </w:rPr>
        <w:t>(3）已按照监理工程师的指令编制了在缺陷责任期内完成的尾工（甩项）工程和缺陷修补工作清单，以及相应的实施计划；</w:t>
      </w:r>
    </w:p>
    <w:p>
      <w:pPr>
        <w:spacing w:line="360" w:lineRule="auto"/>
        <w:ind w:firstLine="1417" w:firstLineChars="675"/>
        <w:rPr>
          <w:rFonts w:ascii="宋体" w:hAnsi="宋体" w:cs="宋体"/>
          <w:color w:val="auto"/>
          <w:szCs w:val="21"/>
        </w:rPr>
      </w:pPr>
      <w:r>
        <w:rPr>
          <w:rFonts w:hint="eastAsia" w:ascii="宋体" w:hAnsi="宋体" w:cs="宋体"/>
          <w:color w:val="auto"/>
          <w:szCs w:val="21"/>
        </w:rPr>
        <w:t>(4）监理工程师要求在竣工验收前应完成的其他工作：</w:t>
      </w:r>
    </w:p>
    <w:p>
      <w:pPr>
        <w:spacing w:line="360" w:lineRule="auto"/>
        <w:ind w:firstLine="1417" w:firstLineChars="675"/>
        <w:rPr>
          <w:rFonts w:ascii="宋体" w:hAnsi="宋体" w:cs="宋体"/>
          <w:color w:val="auto"/>
          <w:szCs w:val="21"/>
        </w:rPr>
      </w:pPr>
      <w:r>
        <w:rPr>
          <w:rFonts w:hint="eastAsia" w:ascii="宋体" w:hAnsi="宋体" w:cs="宋体"/>
          <w:color w:val="auto"/>
          <w:szCs w:val="21"/>
        </w:rPr>
        <w:t>(5）监理工程师要求提交的竣工验收资料清单。</w:t>
      </w:r>
    </w:p>
    <w:p>
      <w:pPr>
        <w:adjustRightInd w:val="0"/>
        <w:snapToGrid w:val="0"/>
        <w:spacing w:line="360" w:lineRule="auto"/>
        <w:rPr>
          <w:rFonts w:ascii="宋体" w:hAnsi="宋体" w:cs="宋体"/>
          <w:color w:val="auto"/>
          <w:szCs w:val="21"/>
        </w:rPr>
      </w:pPr>
      <w:r>
        <w:rPr>
          <w:rFonts w:hint="eastAsia" w:ascii="宋体" w:hAnsi="宋体" w:cs="宋体"/>
          <w:b/>
          <w:color w:val="auto"/>
          <w:szCs w:val="21"/>
        </w:rPr>
        <w:t xml:space="preserve">57.2 </w:t>
      </w:r>
      <w:r>
        <w:rPr>
          <w:rFonts w:hint="eastAsia" w:ascii="宋体" w:hAnsi="宋体" w:cs="宋体"/>
          <w:color w:val="auto"/>
          <w:szCs w:val="21"/>
        </w:rPr>
        <w:t xml:space="preserve"> </w:t>
      </w:r>
      <w:r>
        <w:rPr>
          <w:rFonts w:hint="eastAsia" w:ascii="宋体" w:hAnsi="宋体" w:cs="宋体"/>
          <w:color w:val="auto"/>
          <w:szCs w:val="21"/>
          <w:u w:val="dotted"/>
        </w:rPr>
        <w:t xml:space="preserve">                                                                              </w:t>
      </w:r>
    </w:p>
    <w:p>
      <w:pPr>
        <w:adjustRightInd w:val="0"/>
        <w:snapToGrid w:val="0"/>
        <w:spacing w:line="360" w:lineRule="auto"/>
        <w:ind w:left="1619" w:leftChars="771"/>
        <w:rPr>
          <w:rFonts w:ascii="宋体" w:hAnsi="宋体" w:cs="宋体"/>
          <w:color w:val="auto"/>
          <w:szCs w:val="21"/>
        </w:rPr>
      </w:pPr>
      <w:r>
        <w:rPr>
          <w:rFonts w:hint="eastAsia" w:ascii="宋体" w:hAnsi="宋体" w:cs="宋体"/>
          <w:color w:val="auto"/>
          <w:szCs w:val="21"/>
        </w:rPr>
        <w:t>承包人</w:t>
      </w:r>
      <w:r>
        <w:rPr>
          <w:rFonts w:ascii="宋体" w:hAnsi="宋体" w:cs="宋体"/>
          <w:color w:val="auto"/>
          <w:szCs w:val="21"/>
        </w:rPr>
        <mc:AlternateContent>
          <mc:Choice Requires="wps">
            <w:drawing>
              <wp:anchor distT="0" distB="0" distL="114300" distR="114300" simplePos="0" relativeHeight="251811840" behindDoc="0" locked="0" layoutInCell="1" allowOverlap="1">
                <wp:simplePos x="0" y="0"/>
                <wp:positionH relativeFrom="column">
                  <wp:posOffset>-114300</wp:posOffset>
                </wp:positionH>
                <wp:positionV relativeFrom="paragraph">
                  <wp:posOffset>12700</wp:posOffset>
                </wp:positionV>
                <wp:extent cx="914400" cy="422910"/>
                <wp:effectExtent l="0" t="0" r="0" b="0"/>
                <wp:wrapNone/>
                <wp:docPr id="171" name="文本框 171"/>
                <wp:cNvGraphicFramePr/>
                <a:graphic xmlns:a="http://schemas.openxmlformats.org/drawingml/2006/main">
                  <a:graphicData uri="http://schemas.microsoft.com/office/word/2010/wordprocessingShape">
                    <wps:wsp>
                      <wps:cNvSpPr txBox="1">
                        <a:spLocks noChangeArrowheads="1"/>
                      </wps:cNvSpPr>
                      <wps:spPr bwMode="auto">
                        <a:xfrm>
                          <a:off x="0" y="0"/>
                          <a:ext cx="914400" cy="422910"/>
                        </a:xfrm>
                        <a:prstGeom prst="rect">
                          <a:avLst/>
                        </a:prstGeom>
                        <a:noFill/>
                        <a:ln>
                          <a:noFill/>
                        </a:ln>
                        <a:effectLst/>
                      </wps:spPr>
                      <wps:txbx>
                        <w:txbxContent>
                          <w:p>
                            <w:pPr>
                              <w:spacing w:line="240" w:lineRule="exact"/>
                              <w:rPr>
                                <w:rFonts w:ascii="宋体" w:hAnsi="宋体"/>
                                <w:sz w:val="18"/>
                                <w:szCs w:val="18"/>
                              </w:rPr>
                            </w:pPr>
                            <w:r>
                              <w:rPr>
                                <w:rFonts w:hint="eastAsia" w:ascii="楷体_GB2312" w:hAnsi="宋体"/>
                                <w:b/>
                                <w:color w:val="000000"/>
                                <w:sz w:val="18"/>
                                <w:szCs w:val="18"/>
                              </w:rPr>
                              <w:t>提交竣工验收申请报告</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pt;height:33.3pt;width:72pt;z-index:251811840;mso-width-relative:page;mso-height-relative:page;" filled="f" stroked="f" coordsize="21600,21600" o:gfxdata="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CjoeU3VAAAACAEAAA8AAAAAAAAAAQAgAAAAIgAAAGRycy9kb3ducmV2&#10;LnhtbFBLAQIUABQAAAAIAIdO4kCENYoo/wEAANgDAAAOAAAAAAAAAAEAIAAAACQBAABkcnMvZTJv&#10;RG9jLnhtbFBLBQYAAAAABgAGAFkBAACVBQAAAAA=&#10;">
                <v:fill on="f" focussize="0,0"/>
                <v:stroke on="f"/>
                <v:imagedata o:title=""/>
                <o:lock v:ext="edit" aspectratio="f"/>
                <v:textbox>
                  <w:txbxContent>
                    <w:p>
                      <w:pPr>
                        <w:spacing w:line="240" w:lineRule="exact"/>
                        <w:rPr>
                          <w:rFonts w:ascii="宋体" w:hAnsi="宋体"/>
                          <w:sz w:val="18"/>
                          <w:szCs w:val="18"/>
                        </w:rPr>
                      </w:pPr>
                      <w:r>
                        <w:rPr>
                          <w:rFonts w:hint="eastAsia" w:ascii="楷体_GB2312" w:hAnsi="宋体"/>
                          <w:b/>
                          <w:color w:val="000000"/>
                          <w:sz w:val="18"/>
                          <w:szCs w:val="18"/>
                        </w:rPr>
                        <w:t>提交竣工验收申请报告</w:t>
                      </w:r>
                    </w:p>
                  </w:txbxContent>
                </v:textbox>
              </v:shape>
            </w:pict>
          </mc:Fallback>
        </mc:AlternateContent>
      </w:r>
      <w:r>
        <w:rPr>
          <w:rFonts w:hint="eastAsia" w:ascii="宋体" w:hAnsi="宋体" w:cs="宋体"/>
          <w:color w:val="auto"/>
          <w:szCs w:val="21"/>
        </w:rPr>
        <w:t>认为合同工程具备竣工验收条件的，应按照国家或行业、省规定的工程竣工验收技术资料格式和要求，及时向发包人提交竣工验收申请报告和符合要求的完整竣工资料，合同双方当事人应按照第58条规定进行验收。</w:t>
      </w:r>
    </w:p>
    <w:p>
      <w:pPr>
        <w:adjustRightInd w:val="0"/>
        <w:snapToGrid w:val="0"/>
        <w:spacing w:line="360" w:lineRule="auto"/>
        <w:rPr>
          <w:rFonts w:ascii="宋体" w:hAnsi="宋体" w:cs="宋体"/>
          <w:b/>
          <w:color w:val="auto"/>
          <w:szCs w:val="21"/>
        </w:rPr>
      </w:pPr>
      <w:r>
        <w:rPr>
          <w:rFonts w:hint="eastAsia" w:ascii="宋体" w:hAnsi="宋体" w:cs="宋体"/>
          <w:b/>
          <w:color w:val="auto"/>
          <w:szCs w:val="21"/>
        </w:rPr>
        <w:t xml:space="preserve">57.3  </w:t>
      </w:r>
      <w:r>
        <w:rPr>
          <w:rFonts w:hint="eastAsia" w:ascii="宋体" w:hAnsi="宋体" w:cs="宋体"/>
          <w:b/>
          <w:color w:val="auto"/>
          <w:szCs w:val="21"/>
          <w:u w:val="dotted"/>
        </w:rPr>
        <w:t xml:space="preserve">                                                                                                        </w:t>
      </w:r>
    </w:p>
    <w:p>
      <w:pPr>
        <w:adjustRightInd w:val="0"/>
        <w:snapToGrid w:val="0"/>
        <w:spacing w:line="360" w:lineRule="auto"/>
        <w:ind w:left="1619" w:leftChars="771"/>
        <w:rPr>
          <w:rFonts w:ascii="宋体" w:hAnsi="宋体" w:cs="宋体"/>
          <w:color w:val="auto"/>
          <w:szCs w:val="21"/>
        </w:rPr>
      </w:pPr>
      <w:r>
        <w:rPr>
          <w:rFonts w:ascii="宋体" w:hAnsi="宋体" w:cs="宋体"/>
          <w:color w:val="auto"/>
          <w:szCs w:val="21"/>
        </w:rPr>
        <mc:AlternateContent>
          <mc:Choice Requires="wps">
            <w:drawing>
              <wp:anchor distT="0" distB="0" distL="114300" distR="114300" simplePos="0" relativeHeight="251812864" behindDoc="0" locked="0" layoutInCell="1" allowOverlap="1">
                <wp:simplePos x="0" y="0"/>
                <wp:positionH relativeFrom="column">
                  <wp:posOffset>-114300</wp:posOffset>
                </wp:positionH>
                <wp:positionV relativeFrom="paragraph">
                  <wp:posOffset>38735</wp:posOffset>
                </wp:positionV>
                <wp:extent cx="873760" cy="407035"/>
                <wp:effectExtent l="0" t="0" r="0" b="0"/>
                <wp:wrapNone/>
                <wp:docPr id="170" name="文本框 170"/>
                <wp:cNvGraphicFramePr/>
                <a:graphic xmlns:a="http://schemas.openxmlformats.org/drawingml/2006/main">
                  <a:graphicData uri="http://schemas.microsoft.com/office/word/2010/wordprocessingShape">
                    <wps:wsp>
                      <wps:cNvSpPr txBox="1">
                        <a:spLocks noChangeArrowheads="1"/>
                      </wps:cNvSpPr>
                      <wps:spPr bwMode="auto">
                        <a:xfrm>
                          <a:off x="0" y="0"/>
                          <a:ext cx="873760" cy="40703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竣工验收条件的限制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05pt;height:32.05pt;width:68.8pt;z-index:251812864;mso-width-relative:page;mso-height-relative:page;" filled="f" stroked="f" coordsize="21600,21600" o:gfxdata="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NwfxE3VAAAACAEAAA8AAAAAAAAAAQAgAAAAIgAAAGRycy9kb3du&#10;cmV2LnhtbFBLAQIUABQAAAAIAIdO4kDB0wy9AgIAANgDAAAOAAAAAAAAAAEAIAAAACQBAABkcnMv&#10;ZTJvRG9jLnhtbFBLBQYAAAAABgAGAFkBAACY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竣工验收条件的限制</w:t>
                      </w:r>
                    </w:p>
                  </w:txbxContent>
                </v:textbox>
              </v:shape>
            </w:pict>
          </mc:Fallback>
        </mc:AlternateContent>
      </w:r>
      <w:r>
        <w:rPr>
          <w:rFonts w:hint="eastAsia" w:ascii="宋体" w:hAnsi="宋体" w:cs="宋体"/>
          <w:color w:val="auto"/>
          <w:szCs w:val="21"/>
        </w:rPr>
        <w:t>如果承包人不按照规定提交竣工资料或提交的资料不符合要求，则认为合同工程尚未具备竣工验收条件。</w:t>
      </w:r>
    </w:p>
    <w:p>
      <w:pPr>
        <w:adjustRightInd w:val="0"/>
        <w:snapToGrid w:val="0"/>
        <w:rPr>
          <w:rFonts w:ascii="宋体" w:hAnsi="宋体" w:cs="宋体"/>
          <w:b/>
          <w:color w:val="auto"/>
          <w:szCs w:val="21"/>
          <w:u w:val="single"/>
        </w:rPr>
      </w:pPr>
      <w:r>
        <w:rPr>
          <w:rFonts w:hint="eastAsia" w:ascii="宋体" w:hAnsi="宋体" w:cs="宋体"/>
          <w:b/>
          <w:color w:val="auto"/>
          <w:szCs w:val="21"/>
          <w:u w:val="single"/>
        </w:rPr>
        <w:t xml:space="preserve">                                                                                                               </w:t>
      </w:r>
    </w:p>
    <w:p>
      <w:pPr>
        <w:tabs>
          <w:tab w:val="left" w:pos="540"/>
        </w:tabs>
        <w:adjustRightInd w:val="0"/>
        <w:snapToGrid w:val="0"/>
        <w:spacing w:beforeLines="100"/>
        <w:ind w:right="-238" w:firstLine="480"/>
        <w:rPr>
          <w:rFonts w:ascii="宋体" w:hAnsi="宋体" w:cs="宋体"/>
          <w:b/>
          <w:color w:val="auto"/>
          <w:kern w:val="0"/>
          <w:szCs w:val="21"/>
        </w:rPr>
      </w:pPr>
    </w:p>
    <w:p>
      <w:pPr>
        <w:tabs>
          <w:tab w:val="left" w:pos="540"/>
        </w:tabs>
        <w:adjustRightInd w:val="0"/>
        <w:snapToGrid w:val="0"/>
        <w:spacing w:beforeLines="100"/>
        <w:ind w:right="-238"/>
        <w:rPr>
          <w:rFonts w:ascii="宋体" w:hAnsi="宋体" w:cs="宋体"/>
          <w:b/>
          <w:color w:val="auto"/>
          <w:kern w:val="0"/>
          <w:szCs w:val="21"/>
        </w:rPr>
      </w:pPr>
      <w:r>
        <w:rPr>
          <w:rFonts w:hint="eastAsia" w:ascii="宋体" w:hAnsi="宋体" w:cs="宋体"/>
          <w:b/>
          <w:color w:val="auto"/>
          <w:kern w:val="0"/>
          <w:szCs w:val="21"/>
        </w:rPr>
        <w:t>58  竣工验收</w:t>
      </w:r>
    </w:p>
    <w:p>
      <w:pPr>
        <w:tabs>
          <w:tab w:val="left" w:pos="1620"/>
        </w:tabs>
        <w:adjustRightInd w:val="0"/>
        <w:snapToGrid w:val="0"/>
        <w:spacing w:line="360" w:lineRule="auto"/>
        <w:rPr>
          <w:rFonts w:ascii="宋体" w:hAnsi="宋体" w:cs="宋体"/>
          <w:b/>
          <w:color w:val="auto"/>
          <w:szCs w:val="21"/>
        </w:rPr>
      </w:pPr>
      <w:r>
        <w:rPr>
          <w:rFonts w:ascii="宋体" w:hAnsi="宋体" w:cs="宋体"/>
          <w:color w:val="auto"/>
          <w:szCs w:val="21"/>
        </w:rPr>
        <mc:AlternateContent>
          <mc:Choice Requires="wps">
            <w:drawing>
              <wp:anchor distT="0" distB="0" distL="114300" distR="114300" simplePos="0" relativeHeight="251962368" behindDoc="0" locked="0" layoutInCell="1" allowOverlap="1">
                <wp:simplePos x="0" y="0"/>
                <wp:positionH relativeFrom="column">
                  <wp:posOffset>-114300</wp:posOffset>
                </wp:positionH>
                <wp:positionV relativeFrom="paragraph">
                  <wp:posOffset>257810</wp:posOffset>
                </wp:positionV>
                <wp:extent cx="873760" cy="407670"/>
                <wp:effectExtent l="0" t="0" r="0" b="0"/>
                <wp:wrapNone/>
                <wp:docPr id="169" name="文本框 169"/>
                <wp:cNvGraphicFramePr/>
                <a:graphic xmlns:a="http://schemas.openxmlformats.org/drawingml/2006/main">
                  <a:graphicData uri="http://schemas.microsoft.com/office/word/2010/wordprocessingShape">
                    <wps:wsp>
                      <wps:cNvSpPr txBox="1">
                        <a:spLocks noChangeArrowheads="1"/>
                      </wps:cNvSpPr>
                      <wps:spPr bwMode="auto">
                        <a:xfrm>
                          <a:off x="0" y="0"/>
                          <a:ext cx="873760" cy="40767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竣工验收标准</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0.3pt;height:32.1pt;width:68.8pt;z-index:251962368;mso-width-relative:page;mso-height-relative:page;" filled="f" stroked="f" coordsize="21600,21600" o:gfxdata="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J7JEI1gAAAAoBAAAPAAAAAAAAAAEAIAAAACIAAABkcnMvZG93&#10;bnJldi54bWxQSwECFAAUAAAACACHTuJAOX9X6QICAADYAwAADgAAAAAAAAABACAAAAAlAQAAZHJz&#10;L2Uyb0RvYy54bWxQSwUGAAAAAAYABgBZAQAAmQ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竣工验收标准</w:t>
                      </w:r>
                    </w:p>
                  </w:txbxContent>
                </v:textbox>
              </v:shape>
            </w:pict>
          </mc:Fallback>
        </mc:AlternateContent>
      </w:r>
      <w:r>
        <w:rPr>
          <w:rFonts w:hint="eastAsia" w:ascii="宋体" w:hAnsi="宋体" w:cs="宋体"/>
          <w:b/>
          <w:color w:val="auto"/>
          <w:szCs w:val="21"/>
        </w:rPr>
        <w:t>58.1</w:t>
      </w:r>
    </w:p>
    <w:p>
      <w:pPr>
        <w:spacing w:line="360" w:lineRule="auto"/>
        <w:ind w:left="1619" w:leftChars="771"/>
        <w:rPr>
          <w:rFonts w:ascii="宋体" w:hAnsi="宋体" w:cs="宋体"/>
          <w:color w:val="auto"/>
          <w:szCs w:val="21"/>
        </w:rPr>
      </w:pPr>
      <w:r>
        <w:rPr>
          <w:rFonts w:hint="eastAsia" w:ascii="宋体" w:hAnsi="宋体" w:cs="宋体"/>
          <w:color w:val="auto"/>
          <w:szCs w:val="21"/>
        </w:rPr>
        <w:t>合同双方当事人应在专用条款中约定合同工程竣工验收标准，但约定的竣工验收标准应符合国家或行业、省的有关规定。</w:t>
      </w:r>
    </w:p>
    <w:p>
      <w:pPr>
        <w:spacing w:line="360" w:lineRule="auto"/>
        <w:ind w:left="1619" w:leftChars="771"/>
        <w:rPr>
          <w:rFonts w:ascii="宋体" w:hAnsi="宋体" w:cs="宋体"/>
          <w:color w:val="auto"/>
          <w:szCs w:val="21"/>
        </w:rPr>
      </w:pPr>
      <w:r>
        <w:rPr>
          <w:rFonts w:hint="eastAsia" w:ascii="宋体" w:hAnsi="宋体" w:cs="宋体"/>
          <w:color w:val="auto"/>
          <w:szCs w:val="21"/>
        </w:rPr>
        <w:t>合同工程需要进行国家验收的，竣工验收是国家验收的一部分。</w:t>
      </w:r>
    </w:p>
    <w:p>
      <w:pPr>
        <w:tabs>
          <w:tab w:val="left" w:pos="1620"/>
        </w:tabs>
        <w:adjustRightInd w:val="0"/>
        <w:snapToGrid w:val="0"/>
        <w:spacing w:line="480" w:lineRule="auto"/>
        <w:rPr>
          <w:rFonts w:ascii="宋体" w:hAnsi="宋体" w:cs="宋体"/>
          <w:color w:val="auto"/>
          <w:szCs w:val="21"/>
        </w:rPr>
      </w:pPr>
      <w:r>
        <w:rPr>
          <w:rFonts w:ascii="宋体" w:hAnsi="宋体" w:cs="宋体"/>
          <w:color w:val="auto"/>
          <w:szCs w:val="21"/>
        </w:rPr>
        <mc:AlternateContent>
          <mc:Choice Requires="wps">
            <w:drawing>
              <wp:anchor distT="0" distB="0" distL="114300" distR="114300" simplePos="0" relativeHeight="251963392" behindDoc="0" locked="0" layoutInCell="1" allowOverlap="1">
                <wp:simplePos x="0" y="0"/>
                <wp:positionH relativeFrom="column">
                  <wp:posOffset>-114300</wp:posOffset>
                </wp:positionH>
                <wp:positionV relativeFrom="paragraph">
                  <wp:posOffset>257810</wp:posOffset>
                </wp:positionV>
                <wp:extent cx="873760" cy="407670"/>
                <wp:effectExtent l="0" t="0" r="0" b="0"/>
                <wp:wrapNone/>
                <wp:docPr id="168" name="文本框 168"/>
                <wp:cNvGraphicFramePr/>
                <a:graphic xmlns:a="http://schemas.openxmlformats.org/drawingml/2006/main">
                  <a:graphicData uri="http://schemas.microsoft.com/office/word/2010/wordprocessingShape">
                    <wps:wsp>
                      <wps:cNvSpPr txBox="1">
                        <a:spLocks noChangeArrowheads="1"/>
                      </wps:cNvSpPr>
                      <wps:spPr bwMode="auto">
                        <a:xfrm>
                          <a:off x="0" y="0"/>
                          <a:ext cx="873760" cy="40767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核查竣工验收条件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0.3pt;height:32.1pt;width:68.8pt;z-index:251963392;mso-width-relative:page;mso-height-relative:page;" filled="f" stroked="f" coordsize="21600,21600" o:gfxdata="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J7JEI1gAAAAoBAAAPAAAAAAAAAAEAIAAAACIAAABkcnMvZG93&#10;bnJldi54bWxQSwECFAAUAAAACACHTuJAvaDg7QICAADYAwAADgAAAAAAAAABACAAAAAlAQAAZHJz&#10;L2Uyb0RvYy54bWxQSwUGAAAAAAYABgBZAQAAmQ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核查竣工验收条件</w:t>
                      </w:r>
                    </w:p>
                  </w:txbxContent>
                </v:textbox>
              </v:shape>
            </w:pict>
          </mc:Fallback>
        </mc:AlternateContent>
      </w:r>
      <w:r>
        <w:rPr>
          <w:rFonts w:hint="eastAsia" w:ascii="宋体" w:hAnsi="宋体" w:cs="宋体"/>
          <w:b/>
          <w:color w:val="auto"/>
          <w:szCs w:val="21"/>
        </w:rPr>
        <w:t>58.2</w:t>
      </w:r>
      <w:r>
        <w:rPr>
          <w:rFonts w:hint="eastAsia" w:ascii="宋体" w:hAnsi="宋体" w:cs="宋体"/>
          <w:color w:val="auto"/>
          <w:szCs w:val="21"/>
          <w:u w:val="dotted"/>
        </w:rPr>
        <w:t xml:space="preserve">                                                                             </w:t>
      </w:r>
    </w:p>
    <w:p>
      <w:pPr>
        <w:spacing w:line="360" w:lineRule="auto"/>
        <w:ind w:left="1619" w:leftChars="771"/>
        <w:rPr>
          <w:rFonts w:ascii="宋体" w:hAnsi="宋体" w:cs="宋体"/>
          <w:color w:val="auto"/>
          <w:szCs w:val="21"/>
        </w:rPr>
      </w:pPr>
      <w:r>
        <w:rPr>
          <w:rFonts w:hint="eastAsia" w:ascii="宋体" w:hAnsi="宋体" w:cs="宋体"/>
          <w:color w:val="auto"/>
          <w:szCs w:val="21"/>
        </w:rPr>
        <w:t>发包人收到承包人按照第57.2 款规定提交的竣工验收申请报告后，应及时通知监理工程师核查合同工程是否具备竣工验收条件。</w:t>
      </w:r>
    </w:p>
    <w:p>
      <w:pPr>
        <w:spacing w:line="360" w:lineRule="auto"/>
        <w:ind w:left="1619" w:leftChars="771"/>
        <w:rPr>
          <w:rFonts w:ascii="宋体" w:hAnsi="宋体" w:cs="宋体"/>
          <w:color w:val="auto"/>
          <w:szCs w:val="21"/>
        </w:rPr>
      </w:pPr>
      <w:r>
        <w:rPr>
          <w:rFonts w:hint="eastAsia" w:ascii="宋体" w:hAnsi="宋体" w:cs="宋体"/>
          <w:color w:val="auto"/>
          <w:szCs w:val="21"/>
        </w:rPr>
        <w:t>(1）经核查未具备竣工验收条件的，监理工程师应在收到竣工验收申请报告后的14天内通知承包人，指出在颁发接收证书前承包人应进一步完成的工作内容。承包人完成监理工程师通知的全部工作内容后，应再次提交竣工验收申请报告，直至监理工程师同意为止。</w:t>
      </w:r>
    </w:p>
    <w:p>
      <w:pPr>
        <w:spacing w:line="360" w:lineRule="auto"/>
        <w:ind w:left="1619" w:leftChars="771"/>
        <w:rPr>
          <w:rFonts w:ascii="宋体" w:hAnsi="宋体" w:cs="宋体"/>
          <w:color w:val="auto"/>
          <w:szCs w:val="21"/>
        </w:rPr>
      </w:pPr>
      <w:r>
        <w:rPr>
          <w:rFonts w:hint="eastAsia" w:ascii="宋体" w:hAnsi="宋体" w:cs="宋体"/>
          <w:color w:val="auto"/>
          <w:szCs w:val="21"/>
        </w:rPr>
        <w:t>(2）经核查已具备竣工验收条件的，监理工程师应在收到竣工验收申请报告后的14天内书面提请发包人组织合同工程验收。</w:t>
      </w:r>
    </w:p>
    <w:p>
      <w:pPr>
        <w:tabs>
          <w:tab w:val="left" w:pos="1620"/>
        </w:tabs>
        <w:adjustRightInd w:val="0"/>
        <w:snapToGrid w:val="0"/>
        <w:spacing w:line="480" w:lineRule="auto"/>
        <w:rPr>
          <w:rFonts w:ascii="宋体" w:hAnsi="宋体" w:cs="宋体"/>
          <w:b/>
          <w:color w:val="auto"/>
          <w:szCs w:val="21"/>
        </w:rPr>
      </w:pPr>
      <w:r>
        <w:rPr>
          <w:rFonts w:ascii="宋体" w:hAnsi="宋体" w:cs="宋体"/>
          <w:color w:val="auto"/>
          <w:szCs w:val="21"/>
        </w:rPr>
        <mc:AlternateContent>
          <mc:Choice Requires="wps">
            <w:drawing>
              <wp:anchor distT="0" distB="0" distL="114300" distR="114300" simplePos="0" relativeHeight="251813888" behindDoc="0" locked="0" layoutInCell="1" allowOverlap="1">
                <wp:simplePos x="0" y="0"/>
                <wp:positionH relativeFrom="column">
                  <wp:posOffset>-114300</wp:posOffset>
                </wp:positionH>
                <wp:positionV relativeFrom="paragraph">
                  <wp:posOffset>257810</wp:posOffset>
                </wp:positionV>
                <wp:extent cx="873760" cy="407670"/>
                <wp:effectExtent l="0" t="0" r="0" b="0"/>
                <wp:wrapNone/>
                <wp:docPr id="167" name="文本框 167"/>
                <wp:cNvGraphicFramePr/>
                <a:graphic xmlns:a="http://schemas.openxmlformats.org/drawingml/2006/main">
                  <a:graphicData uri="http://schemas.microsoft.com/office/word/2010/wordprocessingShape">
                    <wps:wsp>
                      <wps:cNvSpPr txBox="1">
                        <a:spLocks noChangeArrowheads="1"/>
                      </wps:cNvSpPr>
                      <wps:spPr bwMode="auto">
                        <a:xfrm>
                          <a:off x="0" y="0"/>
                          <a:ext cx="873760" cy="40767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完成验收和确认</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0.3pt;height:32.1pt;width:68.8pt;z-index:251813888;mso-width-relative:page;mso-height-relative:page;" filled="f" stroked="f" coordsize="21600,21600" o:gfxdata="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AnskQjWAAAACgEAAA8AAAAAAAAAAQAgAAAAIgAAAGRycy9kb3du&#10;cmV2LnhtbFBLAQIUABQAAAAIAIdO4kABQlnXAQIAANgDAAAOAAAAAAAAAAEAIAAAACUBAABkcnMv&#10;ZTJvRG9jLnhtbFBLBQYAAAAABgAGAFkBAACY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完成验收和确认</w:t>
                      </w:r>
                    </w:p>
                  </w:txbxContent>
                </v:textbox>
              </v:shape>
            </w:pict>
          </mc:Fallback>
        </mc:AlternateContent>
      </w:r>
      <w:r>
        <w:rPr>
          <w:rFonts w:hint="eastAsia" w:ascii="宋体" w:hAnsi="宋体" w:cs="宋体"/>
          <w:b/>
          <w:color w:val="auto"/>
          <w:szCs w:val="21"/>
        </w:rPr>
        <w:t xml:space="preserve">58.3 </w:t>
      </w:r>
      <w:r>
        <w:rPr>
          <w:rFonts w:hint="eastAsia" w:ascii="宋体" w:hAnsi="宋体" w:cs="宋体"/>
          <w:b/>
          <w:color w:val="auto"/>
          <w:szCs w:val="21"/>
          <w:u w:val="dotted"/>
        </w:rPr>
        <w:t xml:space="preserve">                                                                             </w:t>
      </w:r>
    </w:p>
    <w:p>
      <w:pPr>
        <w:adjustRightInd w:val="0"/>
        <w:snapToGrid w:val="0"/>
        <w:spacing w:line="360" w:lineRule="auto"/>
        <w:ind w:left="1619" w:leftChars="771"/>
        <w:rPr>
          <w:rFonts w:ascii="宋体" w:hAnsi="宋体" w:cs="宋体"/>
          <w:color w:val="auto"/>
          <w:szCs w:val="21"/>
        </w:rPr>
      </w:pPr>
      <w:r>
        <w:rPr>
          <w:rFonts w:hint="eastAsia" w:ascii="宋体" w:hAnsi="宋体" w:cs="宋体"/>
          <w:color w:val="auto"/>
          <w:szCs w:val="21"/>
        </w:rPr>
        <w:t>经监理工程师按照第58.2 款规定核查合同工程已具备竣工验收条件的，发包人应在收到监理工程师书面提请后的28天内，根据合同约定的竣工验收标准和施工设计图纸等文件，按照第19.5款规定组织参加验收各方完成合同工程验收，并在竣工验收后14天内予以确认或提出修改意见。</w:t>
      </w:r>
    </w:p>
    <w:p>
      <w:pPr>
        <w:adjustRightInd w:val="0"/>
        <w:snapToGrid w:val="0"/>
        <w:spacing w:line="360" w:lineRule="auto"/>
        <w:ind w:left="1619" w:leftChars="771"/>
        <w:rPr>
          <w:rFonts w:ascii="宋体" w:hAnsi="宋体" w:cs="宋体"/>
          <w:color w:val="auto"/>
          <w:szCs w:val="21"/>
        </w:rPr>
      </w:pPr>
      <w:r>
        <w:rPr>
          <w:rFonts w:hint="eastAsia" w:ascii="宋体" w:hAnsi="宋体" w:cs="宋体"/>
          <w:color w:val="auto"/>
          <w:szCs w:val="21"/>
        </w:rPr>
        <w:t>竣工验收完成后，承包人应及时向发包人提交竣工验收记录。竣工验收合格的，发包人及参加验收各方应及时在竣工验收记录上签字，并由监理工程师会同参加验收各方形成合同工程竣工验收报告。</w:t>
      </w:r>
    </w:p>
    <w:p>
      <w:pPr>
        <w:adjustRightInd w:val="0"/>
        <w:snapToGrid w:val="0"/>
        <w:spacing w:line="480" w:lineRule="auto"/>
        <w:ind w:left="1423" w:leftChars="1" w:hanging="1421" w:hangingChars="674"/>
        <w:rPr>
          <w:rFonts w:ascii="宋体" w:hAnsi="宋体" w:cs="宋体"/>
          <w:color w:val="auto"/>
          <w:szCs w:val="21"/>
        </w:rPr>
      </w:pPr>
      <w:r>
        <w:rPr>
          <w:rFonts w:hint="eastAsia" w:ascii="宋体" w:hAnsi="宋体" w:cs="宋体"/>
          <w:b/>
          <w:color w:val="auto"/>
          <w:szCs w:val="21"/>
        </w:rPr>
        <w:t>58.4</w:t>
      </w:r>
      <w:r>
        <w:rPr>
          <w:rFonts w:hint="eastAsia" w:ascii="宋体" w:hAnsi="宋体" w:cs="宋体"/>
          <w:color w:val="auto"/>
          <w:szCs w:val="21"/>
        </w:rPr>
        <w:t xml:space="preserve">  </w:t>
      </w:r>
      <w:r>
        <w:rPr>
          <w:rFonts w:hint="eastAsia" w:ascii="宋体" w:hAnsi="宋体" w:cs="宋体"/>
          <w:color w:val="auto"/>
          <w:szCs w:val="21"/>
          <w:u w:val="dotted"/>
        </w:rPr>
        <w:t xml:space="preserve">                                                                                                        </w:t>
      </w:r>
    </w:p>
    <w:p>
      <w:pPr>
        <w:adjustRightInd w:val="0"/>
        <w:snapToGrid w:val="0"/>
        <w:spacing w:line="360" w:lineRule="auto"/>
        <w:ind w:left="1619" w:leftChars="771"/>
        <w:rPr>
          <w:rFonts w:ascii="宋体" w:hAnsi="宋体" w:cs="宋体"/>
          <w:color w:val="auto"/>
          <w:szCs w:val="21"/>
        </w:rPr>
      </w:pPr>
      <w:r>
        <w:rPr>
          <w:rFonts w:ascii="宋体" w:hAnsi="宋体" w:cs="宋体"/>
          <w:color w:val="auto"/>
          <w:szCs w:val="21"/>
        </w:rPr>
        <mc:AlternateContent>
          <mc:Choice Requires="wps">
            <w:drawing>
              <wp:anchor distT="0" distB="0" distL="114300" distR="114300" simplePos="0" relativeHeight="251814912" behindDoc="0" locked="0" layoutInCell="1" allowOverlap="1">
                <wp:simplePos x="0" y="0"/>
                <wp:positionH relativeFrom="column">
                  <wp:posOffset>-114300</wp:posOffset>
                </wp:positionH>
                <wp:positionV relativeFrom="paragraph">
                  <wp:posOffset>19685</wp:posOffset>
                </wp:positionV>
                <wp:extent cx="873760" cy="451485"/>
                <wp:effectExtent l="0" t="0" r="0" b="0"/>
                <wp:wrapNone/>
                <wp:docPr id="166" name="文本框 166"/>
                <wp:cNvGraphicFramePr/>
                <a:graphic xmlns:a="http://schemas.openxmlformats.org/drawingml/2006/main">
                  <a:graphicData uri="http://schemas.microsoft.com/office/word/2010/wordprocessingShape">
                    <wps:wsp>
                      <wps:cNvSpPr txBox="1">
                        <a:spLocks noChangeArrowheads="1"/>
                      </wps:cNvSpPr>
                      <wps:spPr bwMode="auto">
                        <a:xfrm>
                          <a:off x="0" y="0"/>
                          <a:ext cx="873760" cy="45148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组织验收的限制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55pt;height:35.55pt;width:68.8pt;z-index:251814912;mso-width-relative:page;mso-height-relative:page;" filled="f" stroked="f" coordsize="21600,21600" o:gfxdata="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CW1iu3WAAAACAEAAA8AAAAAAAAAAQAgAAAAIgAAAGRycy9kb3du&#10;cmV2LnhtbFBLAQIUABQAAAAIAIdO4kDDyk9gAQIAANgDAAAOAAAAAAAAAAEAIAAAACUBAABkcnMv&#10;ZTJvRG9jLnhtbFBLBQYAAAAABgAGAFkBAACY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组织验收的限制</w:t>
                      </w:r>
                    </w:p>
                  </w:txbxContent>
                </v:textbox>
              </v:shape>
            </w:pict>
          </mc:Fallback>
        </mc:AlternateContent>
      </w:r>
      <w:r>
        <w:rPr>
          <w:rFonts w:hint="eastAsia" w:ascii="宋体" w:hAnsi="宋体" w:cs="宋体"/>
          <w:color w:val="auto"/>
          <w:szCs w:val="21"/>
        </w:rPr>
        <w:t>发包人未按照第58.3款规定完成合同工程验收，或验收后14天内未予确认也未提出修改意见，视为承包人提交的竣工验收申请报告已被认可。</w:t>
      </w:r>
    </w:p>
    <w:p>
      <w:pPr>
        <w:adjustRightInd w:val="0"/>
        <w:snapToGrid w:val="0"/>
        <w:spacing w:line="360" w:lineRule="auto"/>
        <w:ind w:left="1619" w:leftChars="771"/>
        <w:rPr>
          <w:rFonts w:ascii="宋体" w:hAnsi="宋体" w:cs="宋体"/>
          <w:color w:val="auto"/>
          <w:szCs w:val="21"/>
        </w:rPr>
      </w:pPr>
      <w:r>
        <w:rPr>
          <w:rFonts w:hint="eastAsia" w:ascii="宋体" w:hAnsi="宋体" w:cs="宋体"/>
          <w:color w:val="auto"/>
          <w:szCs w:val="21"/>
        </w:rPr>
        <w:t>竣工验收申请报告被认可，则表明已完成合同工程，视为竣工验收合格，但由于不可抗力事件致使发包人不能完成验收的除外。</w:t>
      </w:r>
    </w:p>
    <w:p>
      <w:pPr>
        <w:tabs>
          <w:tab w:val="left" w:pos="1620"/>
        </w:tabs>
        <w:adjustRightInd w:val="0"/>
        <w:snapToGrid w:val="0"/>
        <w:spacing w:line="480" w:lineRule="auto"/>
        <w:rPr>
          <w:rFonts w:ascii="宋体" w:hAnsi="宋体" w:cs="宋体"/>
          <w:b/>
          <w:color w:val="auto"/>
          <w:szCs w:val="21"/>
        </w:rPr>
      </w:pPr>
      <w:r>
        <w:rPr>
          <w:rFonts w:hint="eastAsia" w:ascii="宋体" w:hAnsi="宋体" w:cs="宋体"/>
          <w:b/>
          <w:color w:val="auto"/>
          <w:szCs w:val="21"/>
        </w:rPr>
        <w:t xml:space="preserve">58.5 </w:t>
      </w:r>
      <w:r>
        <w:rPr>
          <w:rFonts w:hint="eastAsia" w:ascii="宋体" w:hAnsi="宋体" w:cs="宋体"/>
          <w:b/>
          <w:color w:val="auto"/>
          <w:szCs w:val="21"/>
          <w:u w:val="dotted"/>
        </w:rPr>
        <w:t xml:space="preserve">                                                                                                        </w:t>
      </w:r>
    </w:p>
    <w:p>
      <w:pPr>
        <w:adjustRightInd w:val="0"/>
        <w:snapToGrid w:val="0"/>
        <w:spacing w:line="360" w:lineRule="auto"/>
        <w:ind w:left="1619" w:leftChars="771"/>
        <w:rPr>
          <w:rFonts w:ascii="宋体" w:hAnsi="宋体" w:cs="宋体"/>
          <w:color w:val="auto"/>
          <w:szCs w:val="21"/>
        </w:rPr>
      </w:pPr>
      <w:r>
        <w:rPr>
          <w:rFonts w:ascii="宋体" w:hAnsi="宋体" w:cs="宋体"/>
          <w:color w:val="auto"/>
          <w:szCs w:val="21"/>
        </w:rPr>
        <mc:AlternateContent>
          <mc:Choice Requires="wps">
            <w:drawing>
              <wp:anchor distT="0" distB="0" distL="114300" distR="114300" simplePos="0" relativeHeight="251815936" behindDoc="0" locked="0" layoutInCell="1" allowOverlap="1">
                <wp:simplePos x="0" y="0"/>
                <wp:positionH relativeFrom="column">
                  <wp:posOffset>-114300</wp:posOffset>
                </wp:positionH>
                <wp:positionV relativeFrom="paragraph">
                  <wp:posOffset>19685</wp:posOffset>
                </wp:positionV>
                <wp:extent cx="914400" cy="396240"/>
                <wp:effectExtent l="0" t="0" r="0" b="0"/>
                <wp:wrapNone/>
                <wp:docPr id="165" name="文本框 165"/>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不组织验收的责任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55pt;height:31.2pt;width:72pt;z-index:251815936;mso-width-relative:page;mso-height-relative:page;" filled="f" stroked="f" coordsize="21600,21600" o:gfxdata="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mq/5N1QAAAAgBAAAPAAAAAAAAAAEAIAAAACIAAABkcnMvZG93bnJl&#10;di54bWxQSwECFAAUAAAACACHTuJAj9fuFgACAADYAwAADgAAAAAAAAABACAAAAAkAQAAZHJzL2Uy&#10;b0RvYy54bWxQSwUGAAAAAAYABgBZAQAAlg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不组织验收的责任</w:t>
                      </w:r>
                    </w:p>
                  </w:txbxContent>
                </v:textbox>
              </v:shape>
            </w:pict>
          </mc:Fallback>
        </mc:AlternateContent>
      </w:r>
      <w:r>
        <w:rPr>
          <w:rFonts w:hint="eastAsia" w:ascii="宋体" w:hAnsi="宋体" w:cs="宋体"/>
          <w:color w:val="auto"/>
          <w:szCs w:val="21"/>
        </w:rPr>
        <w:t>发包人未按照第58.3款规定完成合同工程验收，从收到监理工程师书面提请后的第29天起承担合同工程照管责任和其他一切意外责任。</w:t>
      </w:r>
    </w:p>
    <w:p>
      <w:pPr>
        <w:tabs>
          <w:tab w:val="left" w:pos="1620"/>
        </w:tabs>
        <w:adjustRightInd w:val="0"/>
        <w:snapToGrid w:val="0"/>
        <w:spacing w:line="360" w:lineRule="auto"/>
        <w:rPr>
          <w:rFonts w:ascii="宋体" w:hAnsi="宋体" w:cs="宋体"/>
          <w:color w:val="auto"/>
          <w:szCs w:val="21"/>
        </w:rPr>
      </w:pPr>
      <w:r>
        <w:rPr>
          <w:rFonts w:hint="eastAsia" w:ascii="宋体" w:hAnsi="宋体" w:cs="宋体"/>
          <w:b/>
          <w:color w:val="auto"/>
          <w:szCs w:val="21"/>
        </w:rPr>
        <w:t>58.6</w:t>
      </w:r>
      <w:r>
        <w:rPr>
          <w:rFonts w:hint="eastAsia" w:ascii="宋体" w:hAnsi="宋体" w:cs="宋体"/>
          <w:color w:val="auto"/>
          <w:szCs w:val="21"/>
        </w:rPr>
        <w:t xml:space="preserve"> </w:t>
      </w:r>
      <w:r>
        <w:rPr>
          <w:rFonts w:hint="eastAsia" w:ascii="宋体" w:hAnsi="宋体" w:cs="宋体"/>
          <w:color w:val="auto"/>
          <w:szCs w:val="21"/>
          <w:u w:val="dotted"/>
        </w:rPr>
        <w:t xml:space="preserve">                                                                                                        </w:t>
      </w:r>
    </w:p>
    <w:p>
      <w:pPr>
        <w:spacing w:line="360" w:lineRule="auto"/>
        <w:ind w:left="1620" w:leftChars="771" w:hanging="1"/>
        <w:rPr>
          <w:rFonts w:ascii="宋体" w:hAnsi="宋体" w:cs="宋体"/>
          <w:color w:val="auto"/>
          <w:szCs w:val="21"/>
        </w:rPr>
      </w:pPr>
      <w:r>
        <w:rPr>
          <w:rFonts w:hint="eastAsia" w:ascii="宋体" w:hAnsi="宋体" w:cs="宋体"/>
          <w:color w:val="auto"/>
          <w:szCs w:val="21"/>
        </w:rPr>
        <w:t>竣工</w:t>
      </w:r>
      <w:r>
        <w:rPr>
          <w:rFonts w:ascii="宋体" w:hAnsi="宋体" w:cs="宋体"/>
          <w:color w:val="auto"/>
          <w:szCs w:val="21"/>
        </w:rPr>
        <mc:AlternateContent>
          <mc:Choice Requires="wps">
            <w:drawing>
              <wp:anchor distT="0" distB="0" distL="114300" distR="114300" simplePos="0" relativeHeight="251964416" behindDoc="0" locked="0" layoutInCell="1" allowOverlap="1">
                <wp:simplePos x="0" y="0"/>
                <wp:positionH relativeFrom="column">
                  <wp:posOffset>-114300</wp:posOffset>
                </wp:positionH>
                <wp:positionV relativeFrom="paragraph">
                  <wp:posOffset>4445</wp:posOffset>
                </wp:positionV>
                <wp:extent cx="914400" cy="395605"/>
                <wp:effectExtent l="0" t="0" r="0" b="0"/>
                <wp:wrapNone/>
                <wp:docPr id="164" name="文本框 164"/>
                <wp:cNvGraphicFramePr/>
                <a:graphic xmlns:a="http://schemas.openxmlformats.org/drawingml/2006/main">
                  <a:graphicData uri="http://schemas.microsoft.com/office/word/2010/wordprocessingShape">
                    <wps:wsp>
                      <wps:cNvSpPr txBox="1">
                        <a:spLocks noChangeArrowheads="1"/>
                      </wps:cNvSpPr>
                      <wps:spPr bwMode="auto">
                        <a:xfrm>
                          <a:off x="0" y="0"/>
                          <a:ext cx="914400" cy="39560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接收工程</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35pt;height:31.15pt;width:72pt;z-index:251964416;mso-width-relative:page;mso-height-relative:page;" filled="f" stroked="f" coordsize="21600,21600" o:gfxdata="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B+AkL/UAAAABwEAAA8AAAAAAAAAAQAgAAAAIgAAAGRycy9kb3ducmV2&#10;LnhtbFBLAQIUABQAAAAIAIdO4kBZzPHzAAIAANgDAAAOAAAAAAAAAAEAIAAAACMBAABkcnMvZTJv&#10;RG9jLnhtbFBLBQYAAAAABgAGAFkBAACV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接收工程</w:t>
                      </w:r>
                    </w:p>
                  </w:txbxContent>
                </v:textbox>
              </v:shape>
            </w:pict>
          </mc:Fallback>
        </mc:AlternateContent>
      </w:r>
      <w:r>
        <w:rPr>
          <w:rFonts w:hint="eastAsia" w:ascii="宋体" w:hAnsi="宋体" w:cs="宋体"/>
          <w:color w:val="auto"/>
          <w:szCs w:val="21"/>
        </w:rPr>
        <w:t>验收合格的，发包人应接收工程，并在收到承包人提交的竣工验收申请报告后的56天内向承包人颁发工程接收证书。</w:t>
      </w:r>
    </w:p>
    <w:p>
      <w:pPr>
        <w:spacing w:line="360" w:lineRule="auto"/>
        <w:ind w:left="1620" w:leftChars="771" w:hanging="1"/>
        <w:rPr>
          <w:rFonts w:ascii="宋体" w:hAnsi="宋体" w:cs="宋体"/>
          <w:color w:val="auto"/>
          <w:szCs w:val="21"/>
        </w:rPr>
      </w:pPr>
      <w:r>
        <w:rPr>
          <w:rFonts w:hint="eastAsia" w:ascii="宋体" w:hAnsi="宋体" w:cs="宋体"/>
          <w:color w:val="auto"/>
          <w:szCs w:val="21"/>
        </w:rPr>
        <w:t>竣工验收后，发包人同意接收工程但提出限期整修和完善要求的，发包人应缓发工程接收证书。承包人整修和完善工作完成后，监理工程师核查达到要求的，发包人应向承包人颁发工程接收证书。</w:t>
      </w:r>
    </w:p>
    <w:p>
      <w:pPr>
        <w:spacing w:line="360" w:lineRule="auto"/>
        <w:ind w:left="1619" w:leftChars="771" w:firstLine="1"/>
        <w:rPr>
          <w:rFonts w:ascii="宋体" w:hAnsi="宋体" w:cs="宋体"/>
          <w:color w:val="auto"/>
          <w:szCs w:val="21"/>
        </w:rPr>
      </w:pPr>
      <w:r>
        <w:rPr>
          <w:rFonts w:hint="eastAsia" w:ascii="宋体" w:hAnsi="宋体" w:cs="宋体"/>
          <w:color w:val="auto"/>
          <w:szCs w:val="21"/>
        </w:rPr>
        <w:t>竣工验收后，发包人不同意接收工程的，监理工程师应按照竣工验收提出的修改意见发出指令，要求承包人对合同工程不合格部分返工重做或补救处理，并承担由此产生的费用。承包人在完成合同工程不合格部分的返工重做或补救处理后，应再次提交竣工验收申请报告。</w:t>
      </w:r>
    </w:p>
    <w:p>
      <w:pPr>
        <w:tabs>
          <w:tab w:val="left" w:pos="1620"/>
        </w:tabs>
        <w:adjustRightInd w:val="0"/>
        <w:snapToGrid w:val="0"/>
        <w:spacing w:line="360" w:lineRule="auto"/>
        <w:rPr>
          <w:rFonts w:ascii="宋体" w:hAnsi="宋体" w:cs="宋体"/>
          <w:b/>
          <w:color w:val="auto"/>
          <w:szCs w:val="21"/>
        </w:rPr>
      </w:pPr>
      <w:r>
        <w:rPr>
          <w:rFonts w:hint="eastAsia" w:ascii="宋体" w:hAnsi="宋体" w:cs="宋体"/>
          <w:b/>
          <w:color w:val="auto"/>
          <w:szCs w:val="21"/>
        </w:rPr>
        <w:t xml:space="preserve">58.7 </w:t>
      </w:r>
      <w:r>
        <w:rPr>
          <w:rFonts w:hint="eastAsia" w:ascii="宋体" w:hAnsi="宋体" w:cs="宋体"/>
          <w:b/>
          <w:color w:val="auto"/>
          <w:szCs w:val="21"/>
          <w:u w:val="dotted"/>
        </w:rPr>
        <w:t xml:space="preserve">                                                                                                        </w:t>
      </w:r>
    </w:p>
    <w:p>
      <w:pPr>
        <w:adjustRightInd w:val="0"/>
        <w:snapToGrid w:val="0"/>
        <w:spacing w:line="360" w:lineRule="auto"/>
        <w:ind w:left="1619" w:leftChars="771"/>
        <w:rPr>
          <w:rFonts w:ascii="宋体" w:hAnsi="宋体" w:cs="宋体"/>
          <w:color w:val="auto"/>
          <w:szCs w:val="21"/>
        </w:rPr>
      </w:pPr>
      <w:r>
        <w:rPr>
          <w:rFonts w:ascii="宋体" w:hAnsi="宋体" w:cs="宋体"/>
          <w:color w:val="auto"/>
          <w:szCs w:val="21"/>
        </w:rPr>
        <mc:AlternateContent>
          <mc:Choice Requires="wps">
            <w:drawing>
              <wp:anchor distT="0" distB="0" distL="114300" distR="114300" simplePos="0" relativeHeight="251965440" behindDoc="0" locked="0" layoutInCell="1" allowOverlap="1">
                <wp:simplePos x="0" y="0"/>
                <wp:positionH relativeFrom="column">
                  <wp:posOffset>-114300</wp:posOffset>
                </wp:positionH>
                <wp:positionV relativeFrom="paragraph">
                  <wp:posOffset>4445</wp:posOffset>
                </wp:positionV>
                <wp:extent cx="914400" cy="395605"/>
                <wp:effectExtent l="0" t="0" r="0" b="0"/>
                <wp:wrapNone/>
                <wp:docPr id="163" name="文本框 163"/>
                <wp:cNvGraphicFramePr/>
                <a:graphic xmlns:a="http://schemas.openxmlformats.org/drawingml/2006/main">
                  <a:graphicData uri="http://schemas.microsoft.com/office/word/2010/wordprocessingShape">
                    <wps:wsp>
                      <wps:cNvSpPr txBox="1">
                        <a:spLocks noChangeArrowheads="1"/>
                      </wps:cNvSpPr>
                      <wps:spPr bwMode="auto">
                        <a:xfrm>
                          <a:off x="0" y="0"/>
                          <a:ext cx="914400" cy="395605"/>
                        </a:xfrm>
                        <a:prstGeom prst="rect">
                          <a:avLst/>
                        </a:prstGeom>
                        <a:noFill/>
                        <a:ln>
                          <a:noFill/>
                        </a:ln>
                        <a:effectLst/>
                      </wps:spPr>
                      <wps:txbx>
                        <w:txbxContent>
                          <w:p>
                            <w:pPr>
                              <w:spacing w:line="240" w:lineRule="exact"/>
                              <w:rPr>
                                <w:rFonts w:ascii="宋体" w:hAnsi="宋体"/>
                                <w:sz w:val="18"/>
                                <w:szCs w:val="18"/>
                              </w:rPr>
                            </w:pPr>
                            <w:r>
                              <w:rPr>
                                <w:rFonts w:hint="eastAsia" w:ascii="楷体_GB2312" w:hAnsi="宋体"/>
                                <w:b/>
                                <w:color w:val="000000"/>
                                <w:sz w:val="18"/>
                                <w:szCs w:val="18"/>
                              </w:rPr>
                              <w:t>竣工日期的写明</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35pt;height:31.15pt;width:72pt;z-index:251965440;mso-width-relative:page;mso-height-relative:page;" filled="f" stroked="f" coordsize="21600,21600" o:gfxdata="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B+AkL/UAAAABwEAAA8AAAAAAAAAAQAgAAAAIgAAAGRycy9kb3ducmV2&#10;LnhtbFBLAQIUABQAAAAIAIdO4kDF0vbsAAIAANgDAAAOAAAAAAAAAAEAIAAAACMBAABkcnMvZTJv&#10;RG9jLnhtbFBLBQYAAAAABgAGAFkBAACVBQAAAAA=&#10;">
                <v:fill on="f" focussize="0,0"/>
                <v:stroke on="f"/>
                <v:imagedata o:title=""/>
                <o:lock v:ext="edit" aspectratio="f"/>
                <v:textbox>
                  <w:txbxContent>
                    <w:p>
                      <w:pPr>
                        <w:spacing w:line="240" w:lineRule="exact"/>
                        <w:rPr>
                          <w:rFonts w:ascii="宋体" w:hAnsi="宋体"/>
                          <w:sz w:val="18"/>
                          <w:szCs w:val="18"/>
                        </w:rPr>
                      </w:pPr>
                      <w:r>
                        <w:rPr>
                          <w:rFonts w:hint="eastAsia" w:ascii="楷体_GB2312" w:hAnsi="宋体"/>
                          <w:b/>
                          <w:color w:val="000000"/>
                          <w:sz w:val="18"/>
                          <w:szCs w:val="18"/>
                        </w:rPr>
                        <w:t>竣工日期的写明</w:t>
                      </w:r>
                    </w:p>
                  </w:txbxContent>
                </v:textbox>
              </v:shape>
            </w:pict>
          </mc:Fallback>
        </mc:AlternateContent>
      </w:r>
      <w:r>
        <w:rPr>
          <w:rFonts w:hint="eastAsia" w:ascii="宋体" w:hAnsi="宋体" w:cs="宋体"/>
          <w:color w:val="auto"/>
          <w:szCs w:val="21"/>
        </w:rPr>
        <w:t>竣工验收合格的合同工程，发包人应按照第38.2款规定在工程接收证书上写明合同工程的实际竣工日期。</w:t>
      </w:r>
    </w:p>
    <w:p>
      <w:pPr>
        <w:tabs>
          <w:tab w:val="left" w:pos="1620"/>
        </w:tabs>
        <w:adjustRightInd w:val="0"/>
        <w:snapToGrid w:val="0"/>
        <w:spacing w:line="360" w:lineRule="auto"/>
        <w:rPr>
          <w:rFonts w:ascii="宋体" w:hAnsi="宋体" w:cs="宋体"/>
          <w:b/>
          <w:color w:val="auto"/>
          <w:szCs w:val="21"/>
        </w:rPr>
      </w:pPr>
      <w:r>
        <w:rPr>
          <w:rFonts w:hint="eastAsia" w:ascii="宋体" w:hAnsi="宋体" w:cs="宋体"/>
          <w:b/>
          <w:color w:val="auto"/>
          <w:szCs w:val="21"/>
        </w:rPr>
        <w:t xml:space="preserve">58.8  </w:t>
      </w:r>
      <w:r>
        <w:rPr>
          <w:rFonts w:hint="eastAsia" w:ascii="宋体" w:hAnsi="宋体" w:cs="宋体"/>
          <w:b/>
          <w:color w:val="auto"/>
          <w:szCs w:val="21"/>
          <w:u w:val="dotted"/>
        </w:rPr>
        <w:t xml:space="preserve">                                                                                                        </w:t>
      </w:r>
    </w:p>
    <w:p>
      <w:pPr>
        <w:adjustRightInd w:val="0"/>
        <w:snapToGrid w:val="0"/>
        <w:spacing w:line="360" w:lineRule="auto"/>
        <w:ind w:left="1619" w:leftChars="771"/>
        <w:rPr>
          <w:rFonts w:ascii="宋体" w:hAnsi="宋体" w:cs="宋体"/>
          <w:color w:val="auto"/>
          <w:szCs w:val="21"/>
        </w:rPr>
      </w:pPr>
      <w:r>
        <w:rPr>
          <w:rFonts w:ascii="宋体" w:hAnsi="宋体" w:cs="宋体"/>
          <w:color w:val="auto"/>
          <w:szCs w:val="21"/>
        </w:rPr>
        <mc:AlternateContent>
          <mc:Choice Requires="wps">
            <w:drawing>
              <wp:anchor distT="0" distB="0" distL="114300" distR="114300" simplePos="0" relativeHeight="251966464" behindDoc="0" locked="0" layoutInCell="1" allowOverlap="1">
                <wp:simplePos x="0" y="0"/>
                <wp:positionH relativeFrom="column">
                  <wp:posOffset>-114300</wp:posOffset>
                </wp:positionH>
                <wp:positionV relativeFrom="paragraph">
                  <wp:posOffset>4445</wp:posOffset>
                </wp:positionV>
                <wp:extent cx="914400" cy="1252855"/>
                <wp:effectExtent l="0" t="0" r="0" b="0"/>
                <wp:wrapNone/>
                <wp:docPr id="162" name="文本框 162"/>
                <wp:cNvGraphicFramePr/>
                <a:graphic xmlns:a="http://schemas.openxmlformats.org/drawingml/2006/main">
                  <a:graphicData uri="http://schemas.microsoft.com/office/word/2010/wordprocessingShape">
                    <wps:wsp>
                      <wps:cNvSpPr txBox="1">
                        <a:spLocks noChangeArrowheads="1"/>
                      </wps:cNvSpPr>
                      <wps:spPr bwMode="auto">
                        <a:xfrm>
                          <a:off x="0" y="0"/>
                          <a:ext cx="914400" cy="125285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单位工程或工程部位验收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35pt;height:98.65pt;width:72pt;z-index:251966464;mso-width-relative:page;mso-height-relative:page;" filled="f" stroked="f" coordsize="21600,21600" o:gfxdata="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Oj9ys1QAAAAgBAAAPAAAAAAAAAAEAIAAAACIAAABkcnMvZG93bnJl&#10;di54bWxQSwECFAAUAAAACACHTuJAiHzfHgACAADZAwAADgAAAAAAAAABACAAAAAkAQAAZHJzL2Uy&#10;b0RvYy54bWxQSwUGAAAAAAYABgBZAQAAlg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单位工程或工程部位验收</w:t>
                      </w:r>
                    </w:p>
                  </w:txbxContent>
                </v:textbox>
              </v:shape>
            </w:pict>
          </mc:Fallback>
        </mc:AlternateContent>
      </w:r>
      <w:r>
        <w:rPr>
          <w:rFonts w:hint="eastAsia" w:ascii="宋体" w:hAnsi="宋体" w:cs="宋体"/>
          <w:color w:val="auto"/>
          <w:szCs w:val="21"/>
        </w:rPr>
        <w:t>发包人要求某一单位工程或任一工程部位提前办理竣工验收的，应与承包人签订单位工程或工程部位竣工验收协议，作为本合同的附件。</w:t>
      </w:r>
    </w:p>
    <w:p>
      <w:pPr>
        <w:spacing w:line="360" w:lineRule="auto"/>
        <w:ind w:left="1619" w:leftChars="771"/>
        <w:rPr>
          <w:rFonts w:ascii="宋体" w:hAnsi="宋体" w:cs="宋体"/>
          <w:color w:val="auto"/>
          <w:szCs w:val="21"/>
        </w:rPr>
      </w:pPr>
      <w:r>
        <w:rPr>
          <w:rFonts w:hint="eastAsia" w:ascii="宋体" w:hAnsi="宋体" w:cs="宋体"/>
          <w:color w:val="auto"/>
          <w:szCs w:val="21"/>
        </w:rPr>
        <w:t>（1）发包人根据合同进度计划安排，在全部工程竣工前需要使用已经竣工的单位工程或工程部位时，或承包人提出经发包人同意时，可进行单位工程或工程部位验收。验收的程序可参照第57条和本条上述相关条款规定进行。验收合格后，发包人应向承包人颁发单位工程或工程部位接收证书，并负责照管。单位工程或工程部位的验收成果和结论，作为全部工程竣工验收申请报告的附件。</w:t>
      </w:r>
    </w:p>
    <w:p>
      <w:pPr>
        <w:spacing w:line="360" w:lineRule="auto"/>
        <w:ind w:left="1619" w:leftChars="771"/>
        <w:rPr>
          <w:rFonts w:ascii="宋体" w:hAnsi="宋体" w:cs="宋体"/>
          <w:color w:val="auto"/>
          <w:szCs w:val="21"/>
        </w:rPr>
      </w:pPr>
      <w:r>
        <w:rPr>
          <w:rFonts w:hint="eastAsia" w:ascii="宋体" w:hAnsi="宋体" w:cs="宋体"/>
          <w:color w:val="auto"/>
          <w:szCs w:val="21"/>
        </w:rPr>
        <w:t>（2）发包人在全部工程竣工前，使用已接收的单位工程或工程部位导致承包人费用增加的，发包人应承担由此增加的费用和（或）延误的工期，并向承包人支付合理利润。</w:t>
      </w:r>
    </w:p>
    <w:p>
      <w:pPr>
        <w:adjustRightInd w:val="0"/>
        <w:snapToGrid w:val="0"/>
        <w:spacing w:line="360" w:lineRule="auto"/>
        <w:rPr>
          <w:rFonts w:ascii="宋体" w:hAnsi="宋体" w:cs="宋体"/>
          <w:b/>
          <w:color w:val="auto"/>
          <w:szCs w:val="21"/>
        </w:rPr>
      </w:pPr>
      <w:r>
        <w:rPr>
          <w:rFonts w:hint="eastAsia" w:ascii="宋体" w:hAnsi="宋体" w:cs="宋体"/>
          <w:b/>
          <w:color w:val="auto"/>
          <w:szCs w:val="21"/>
        </w:rPr>
        <w:t xml:space="preserve">58.9  </w:t>
      </w:r>
      <w:r>
        <w:rPr>
          <w:rFonts w:hint="eastAsia" w:ascii="宋体" w:hAnsi="宋体" w:cs="宋体"/>
          <w:b/>
          <w:color w:val="auto"/>
          <w:szCs w:val="21"/>
          <w:u w:val="dotted"/>
        </w:rPr>
        <w:t xml:space="preserve">                                                                                                        </w:t>
      </w:r>
    </w:p>
    <w:p>
      <w:pPr>
        <w:spacing w:line="360" w:lineRule="auto"/>
        <w:ind w:left="1619" w:leftChars="771"/>
        <w:rPr>
          <w:rFonts w:ascii="宋体" w:hAnsi="宋体" w:cs="宋体"/>
          <w:color w:val="auto"/>
          <w:szCs w:val="21"/>
        </w:rPr>
      </w:pPr>
      <w:r>
        <w:rPr>
          <w:rFonts w:ascii="宋体" w:hAnsi="宋体" w:cs="宋体"/>
          <w:color w:val="auto"/>
          <w:szCs w:val="21"/>
        </w:rPr>
        <mc:AlternateContent>
          <mc:Choice Requires="wps">
            <w:drawing>
              <wp:anchor distT="0" distB="0" distL="114300" distR="114300" simplePos="0" relativeHeight="251967488" behindDoc="0" locked="0" layoutInCell="1" allowOverlap="1">
                <wp:simplePos x="0" y="0"/>
                <wp:positionH relativeFrom="column">
                  <wp:posOffset>-114300</wp:posOffset>
                </wp:positionH>
                <wp:positionV relativeFrom="paragraph">
                  <wp:posOffset>3810</wp:posOffset>
                </wp:positionV>
                <wp:extent cx="914400" cy="590550"/>
                <wp:effectExtent l="0" t="0" r="0" b="0"/>
                <wp:wrapNone/>
                <wp:docPr id="161" name="文本框 161"/>
                <wp:cNvGraphicFramePr/>
                <a:graphic xmlns:a="http://schemas.openxmlformats.org/drawingml/2006/main">
                  <a:graphicData uri="http://schemas.microsoft.com/office/word/2010/wordprocessingShape">
                    <wps:wsp>
                      <wps:cNvSpPr txBox="1">
                        <a:spLocks noChangeArrowheads="1"/>
                      </wps:cNvSpPr>
                      <wps:spPr bwMode="auto">
                        <a:xfrm>
                          <a:off x="0" y="0"/>
                          <a:ext cx="914400" cy="590550"/>
                        </a:xfrm>
                        <a:prstGeom prst="rect">
                          <a:avLst/>
                        </a:prstGeom>
                        <a:noFill/>
                        <a:ln>
                          <a:noFill/>
                        </a:ln>
                        <a:effectLst/>
                      </wps:spPr>
                      <wps:txbx>
                        <w:txbxContent>
                          <w:p>
                            <w:pPr>
                              <w:spacing w:line="240" w:lineRule="exact"/>
                              <w:rPr>
                                <w:rFonts w:ascii="楷体_GB2312" w:hAnsi="宋体"/>
                                <w:sz w:val="18"/>
                                <w:szCs w:val="18"/>
                              </w:rPr>
                            </w:pPr>
                            <w:r>
                              <w:rPr>
                                <w:rFonts w:hint="eastAsia" w:ascii="楷体_GB2312" w:hAnsi="宋体"/>
                                <w:b/>
                                <w:color w:val="000000"/>
                                <w:sz w:val="18"/>
                                <w:szCs w:val="18"/>
                              </w:rPr>
                              <w:t>施工期运行</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3pt;height:46.5pt;width:72pt;z-index:251967488;mso-width-relative:page;mso-height-relative:page;" filled="f" stroked="f" coordsize="21600,21600" o:gfxdata="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t9Ap+9QAAAAHAQAADwAAAAAAAAABACAAAAAiAAAAZHJzL2Rvd25yZXYu&#10;eG1sUEsBAhQAFAAAAAgAh07iQIQtSer/AQAA2AMAAA4AAAAAAAAAAQAgAAAAIwEAAGRycy9lMm9E&#10;b2MueG1sUEsFBgAAAAAGAAYAWQEAAJQFAAAAAA==&#10;">
                <v:fill on="f" focussize="0,0"/>
                <v:stroke on="f"/>
                <v:imagedata o:title=""/>
                <o:lock v:ext="edit" aspectratio="f"/>
                <v:textbox>
                  <w:txbxContent>
                    <w:p>
                      <w:pPr>
                        <w:spacing w:line="240" w:lineRule="exact"/>
                        <w:rPr>
                          <w:rFonts w:ascii="楷体_GB2312" w:hAnsi="宋体"/>
                          <w:sz w:val="18"/>
                          <w:szCs w:val="18"/>
                        </w:rPr>
                      </w:pPr>
                      <w:r>
                        <w:rPr>
                          <w:rFonts w:hint="eastAsia" w:ascii="楷体_GB2312" w:hAnsi="宋体"/>
                          <w:b/>
                          <w:color w:val="000000"/>
                          <w:sz w:val="18"/>
                          <w:szCs w:val="18"/>
                        </w:rPr>
                        <w:t>施工期运行</w:t>
                      </w:r>
                    </w:p>
                  </w:txbxContent>
                </v:textbox>
              </v:shape>
            </w:pict>
          </mc:Fallback>
        </mc:AlternateContent>
      </w:r>
      <w:r>
        <w:rPr>
          <w:rFonts w:hint="eastAsia" w:ascii="宋体" w:hAnsi="宋体" w:cs="宋体"/>
          <w:color w:val="auto"/>
          <w:szCs w:val="21"/>
        </w:rPr>
        <w:t>合同工程尚未全部竣工（其中某项或某几项单位工程或工程部位已竣工），根据合同约定需要在施工期运行的，应由发包人按照第58.8款规定验收合格，并确保安全后，才能投入施工期运行。</w:t>
      </w:r>
    </w:p>
    <w:p>
      <w:pPr>
        <w:spacing w:line="360" w:lineRule="auto"/>
        <w:ind w:left="1619" w:leftChars="771"/>
        <w:rPr>
          <w:rFonts w:ascii="宋体" w:hAnsi="宋体" w:cs="宋体"/>
          <w:color w:val="auto"/>
          <w:szCs w:val="21"/>
        </w:rPr>
      </w:pPr>
      <w:r>
        <w:rPr>
          <w:rFonts w:hint="eastAsia" w:ascii="宋体" w:hAnsi="宋体" w:cs="宋体"/>
          <w:color w:val="auto"/>
          <w:szCs w:val="21"/>
        </w:rPr>
        <w:t>在施工期运行中，发现单位工程或工程部位存在缺陷或损坏的，由承包人按照第59.3款规定进行修复。</w:t>
      </w:r>
    </w:p>
    <w:p>
      <w:pPr>
        <w:adjustRightInd w:val="0"/>
        <w:snapToGrid w:val="0"/>
        <w:spacing w:line="480" w:lineRule="auto"/>
        <w:rPr>
          <w:rFonts w:ascii="宋体" w:hAnsi="宋体" w:cs="宋体"/>
          <w:b/>
          <w:color w:val="auto"/>
          <w:szCs w:val="21"/>
        </w:rPr>
      </w:pPr>
      <w:r>
        <w:rPr>
          <w:rFonts w:hint="eastAsia" w:ascii="宋体" w:hAnsi="宋体" w:cs="宋体"/>
          <w:b/>
          <w:color w:val="auto"/>
          <w:szCs w:val="21"/>
        </w:rPr>
        <w:t xml:space="preserve">58.10  </w:t>
      </w:r>
      <w:r>
        <w:rPr>
          <w:rFonts w:hint="eastAsia" w:ascii="宋体" w:hAnsi="宋体" w:cs="宋体"/>
          <w:b/>
          <w:color w:val="auto"/>
          <w:szCs w:val="21"/>
          <w:u w:val="dotted"/>
        </w:rPr>
        <w:t xml:space="preserve">                                                                                                        </w:t>
      </w:r>
    </w:p>
    <w:p>
      <w:pPr>
        <w:spacing w:line="360" w:lineRule="auto"/>
        <w:ind w:left="1619" w:leftChars="771"/>
        <w:rPr>
          <w:rFonts w:ascii="宋体" w:hAnsi="宋体" w:cs="宋体"/>
          <w:color w:val="auto"/>
          <w:szCs w:val="21"/>
        </w:rPr>
      </w:pPr>
      <w:r>
        <w:rPr>
          <w:rFonts w:ascii="宋体" w:hAnsi="宋体" w:cs="宋体"/>
          <w:color w:val="auto"/>
          <w:szCs w:val="21"/>
        </w:rPr>
        <mc:AlternateContent>
          <mc:Choice Requires="wps">
            <w:drawing>
              <wp:anchor distT="0" distB="0" distL="114300" distR="114300" simplePos="0" relativeHeight="251968512" behindDoc="0" locked="0" layoutInCell="1" allowOverlap="1">
                <wp:simplePos x="0" y="0"/>
                <wp:positionH relativeFrom="column">
                  <wp:posOffset>-114300</wp:posOffset>
                </wp:positionH>
                <wp:positionV relativeFrom="paragraph">
                  <wp:posOffset>3810</wp:posOffset>
                </wp:positionV>
                <wp:extent cx="914400" cy="590550"/>
                <wp:effectExtent l="0" t="0" r="0" b="0"/>
                <wp:wrapNone/>
                <wp:docPr id="160" name="文本框 160"/>
                <wp:cNvGraphicFramePr/>
                <a:graphic xmlns:a="http://schemas.openxmlformats.org/drawingml/2006/main">
                  <a:graphicData uri="http://schemas.microsoft.com/office/word/2010/wordprocessingShape">
                    <wps:wsp>
                      <wps:cNvSpPr txBox="1">
                        <a:spLocks noChangeArrowheads="1"/>
                      </wps:cNvSpPr>
                      <wps:spPr bwMode="auto">
                        <a:xfrm>
                          <a:off x="0" y="0"/>
                          <a:ext cx="914400" cy="59055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竣工清场</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3pt;height:46.5pt;width:72pt;z-index:251968512;mso-width-relative:page;mso-height-relative:page;" filled="f" stroked="f" coordsize="21600,21600" o:gfxdata="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t9Ap+9QAAAAHAQAADwAAAAAAAAABACAAAAAiAAAAZHJzL2Rvd25yZXYu&#10;eG1sUEsBAhQAFAAAAAgAh07iQADy/u7/AQAA2AMAAA4AAAAAAAAAAQAgAAAAIwEAAGRycy9lMm9E&#10;b2MueG1sUEsFBgAAAAAGAAYAWQEAAJQF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竣工清场</w:t>
                      </w:r>
                    </w:p>
                  </w:txbxContent>
                </v:textbox>
              </v:shape>
            </w:pict>
          </mc:Fallback>
        </mc:AlternateContent>
      </w:r>
      <w:r>
        <w:rPr>
          <w:rFonts w:hint="eastAsia" w:ascii="宋体" w:hAnsi="宋体" w:cs="宋体"/>
          <w:color w:val="auto"/>
          <w:szCs w:val="21"/>
        </w:rPr>
        <w:t>专用条款没有约定的，工程接收证书颁发后，承包人应按照下列要求对施工场地进行清理，直至监理工程师检验合格为止。竣工清场费用由承包人承担。</w:t>
      </w:r>
    </w:p>
    <w:p>
      <w:pPr>
        <w:spacing w:line="360" w:lineRule="auto"/>
        <w:ind w:firstLine="1417" w:firstLineChars="675"/>
        <w:rPr>
          <w:rFonts w:ascii="宋体" w:hAnsi="宋体" w:cs="宋体"/>
          <w:color w:val="auto"/>
          <w:szCs w:val="21"/>
        </w:rPr>
      </w:pPr>
      <w:r>
        <w:rPr>
          <w:rFonts w:hint="eastAsia" w:ascii="宋体" w:hAnsi="宋体" w:cs="宋体"/>
          <w:color w:val="auto"/>
          <w:szCs w:val="21"/>
        </w:rPr>
        <w:t>（1）施工场地内残留的垃圾已全部清除出场；</w:t>
      </w:r>
    </w:p>
    <w:p>
      <w:pPr>
        <w:spacing w:line="360" w:lineRule="auto"/>
        <w:ind w:firstLine="1417" w:firstLineChars="675"/>
        <w:rPr>
          <w:rFonts w:ascii="宋体" w:hAnsi="宋体" w:cs="宋体"/>
          <w:color w:val="auto"/>
          <w:szCs w:val="21"/>
        </w:rPr>
      </w:pPr>
      <w:r>
        <w:rPr>
          <w:rFonts w:hint="eastAsia" w:ascii="宋体" w:hAnsi="宋体" w:cs="宋体"/>
          <w:color w:val="auto"/>
          <w:szCs w:val="21"/>
        </w:rPr>
        <w:t>（2）临时设施已拆除，场地已按照合同要求进行清理、平整或复原；</w:t>
      </w:r>
    </w:p>
    <w:p>
      <w:pPr>
        <w:spacing w:line="360" w:lineRule="auto"/>
        <w:ind w:left="1619" w:leftChars="771"/>
        <w:rPr>
          <w:rFonts w:ascii="宋体" w:hAnsi="宋体" w:cs="宋体"/>
          <w:color w:val="auto"/>
          <w:szCs w:val="21"/>
        </w:rPr>
      </w:pPr>
      <w:r>
        <w:rPr>
          <w:rFonts w:hint="eastAsia" w:ascii="宋体" w:hAnsi="宋体" w:cs="宋体"/>
          <w:color w:val="auto"/>
          <w:szCs w:val="21"/>
        </w:rPr>
        <w:t>（3）按照合同约定应撤离的承包人设备和剩余的材料，包括废弃的施工设备和材料，已按照计划撤离施工场地；</w:t>
      </w:r>
    </w:p>
    <w:p>
      <w:pPr>
        <w:spacing w:line="360" w:lineRule="auto"/>
        <w:ind w:left="1619" w:leftChars="771"/>
        <w:rPr>
          <w:rFonts w:ascii="宋体" w:hAnsi="宋体" w:cs="宋体"/>
          <w:color w:val="auto"/>
          <w:szCs w:val="21"/>
        </w:rPr>
      </w:pPr>
      <w:r>
        <w:rPr>
          <w:rFonts w:hint="eastAsia" w:ascii="宋体" w:hAnsi="宋体" w:cs="宋体"/>
          <w:color w:val="auto"/>
          <w:szCs w:val="21"/>
        </w:rPr>
        <w:t>（4）建筑物周边及其附近道路、河道的施工堆积物，已按照监理工程师指令全部清理；</w:t>
      </w:r>
    </w:p>
    <w:p>
      <w:pPr>
        <w:spacing w:line="360" w:lineRule="auto"/>
        <w:ind w:firstLine="1417" w:firstLineChars="675"/>
        <w:rPr>
          <w:rFonts w:ascii="宋体" w:hAnsi="宋体" w:cs="宋体"/>
          <w:color w:val="auto"/>
          <w:szCs w:val="21"/>
        </w:rPr>
      </w:pPr>
      <w:r>
        <w:rPr>
          <w:rFonts w:hint="eastAsia" w:ascii="宋体" w:hAnsi="宋体" w:cs="宋体"/>
          <w:color w:val="auto"/>
          <w:szCs w:val="21"/>
        </w:rPr>
        <w:t>（5）监理工程师指令的其他场地清理工作已全部完成。</w:t>
      </w:r>
    </w:p>
    <w:p>
      <w:pPr>
        <w:spacing w:line="360" w:lineRule="auto"/>
        <w:ind w:left="1619" w:leftChars="771"/>
        <w:rPr>
          <w:rFonts w:ascii="宋体" w:hAnsi="宋体" w:cs="宋体"/>
          <w:color w:val="auto"/>
          <w:szCs w:val="21"/>
        </w:rPr>
      </w:pPr>
      <w:r>
        <w:rPr>
          <w:rFonts w:hint="eastAsia" w:ascii="宋体" w:hAnsi="宋体" w:cs="宋体"/>
          <w:color w:val="auto"/>
          <w:szCs w:val="21"/>
        </w:rPr>
        <w:t>如承包人未按照监理工程师的要求恢复临时占地，或者场地清理未达到合同约定的，发包人可自行或委托第三方恢复或清理，所发生的费用从应支付或将支付给承包人的款项中扣除。</w:t>
      </w:r>
    </w:p>
    <w:p>
      <w:pPr>
        <w:adjustRightInd w:val="0"/>
        <w:snapToGrid w:val="0"/>
        <w:spacing w:line="480" w:lineRule="auto"/>
        <w:rPr>
          <w:rFonts w:ascii="宋体" w:hAnsi="宋体" w:cs="宋体"/>
          <w:b/>
          <w:color w:val="auto"/>
          <w:szCs w:val="21"/>
        </w:rPr>
      </w:pPr>
      <w:r>
        <w:rPr>
          <w:rFonts w:hint="eastAsia" w:ascii="宋体" w:hAnsi="宋体" w:cs="宋体"/>
          <w:b/>
          <w:color w:val="auto"/>
          <w:szCs w:val="21"/>
        </w:rPr>
        <w:t xml:space="preserve">58.11 </w:t>
      </w:r>
      <w:r>
        <w:rPr>
          <w:rFonts w:hint="eastAsia" w:ascii="宋体" w:hAnsi="宋体" w:cs="宋体"/>
          <w:b/>
          <w:color w:val="auto"/>
          <w:szCs w:val="21"/>
          <w:u w:val="dotted"/>
        </w:rPr>
        <w:t xml:space="preserve">                                                                                                        </w:t>
      </w:r>
    </w:p>
    <w:p>
      <w:pPr>
        <w:spacing w:line="360" w:lineRule="auto"/>
        <w:ind w:left="1619" w:leftChars="771"/>
        <w:rPr>
          <w:rFonts w:ascii="宋体" w:hAnsi="宋体" w:cs="宋体"/>
          <w:color w:val="auto"/>
          <w:szCs w:val="21"/>
        </w:rPr>
      </w:pPr>
      <w:r>
        <w:rPr>
          <w:rFonts w:ascii="宋体" w:hAnsi="宋体" w:cs="宋体"/>
          <w:color w:val="auto"/>
          <w:szCs w:val="21"/>
        </w:rPr>
        <mc:AlternateContent>
          <mc:Choice Requires="wps">
            <w:drawing>
              <wp:anchor distT="0" distB="0" distL="114300" distR="114300" simplePos="0" relativeHeight="251969536" behindDoc="0" locked="0" layoutInCell="1" allowOverlap="1">
                <wp:simplePos x="0" y="0"/>
                <wp:positionH relativeFrom="column">
                  <wp:posOffset>-114300</wp:posOffset>
                </wp:positionH>
                <wp:positionV relativeFrom="paragraph">
                  <wp:posOffset>3810</wp:posOffset>
                </wp:positionV>
                <wp:extent cx="914400" cy="590550"/>
                <wp:effectExtent l="0" t="0" r="0" b="0"/>
                <wp:wrapNone/>
                <wp:docPr id="159" name="文本框 159"/>
                <wp:cNvGraphicFramePr/>
                <a:graphic xmlns:a="http://schemas.openxmlformats.org/drawingml/2006/main">
                  <a:graphicData uri="http://schemas.microsoft.com/office/word/2010/wordprocessingShape">
                    <wps:wsp>
                      <wps:cNvSpPr txBox="1">
                        <a:spLocks noChangeArrowheads="1"/>
                      </wps:cNvSpPr>
                      <wps:spPr bwMode="auto">
                        <a:xfrm>
                          <a:off x="0" y="0"/>
                          <a:ext cx="914400" cy="59055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施工队伍的撤离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3pt;height:46.5pt;width:72pt;z-index:251969536;mso-width-relative:page;mso-height-relative:page;" filled="f" stroked="f" coordsize="21600,21600" o:gfxdata="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t9Ap+9QAAAAHAQAADwAAAAAAAAABACAAAAAiAAAAZHJzL2Rvd25yZXYu&#10;eG1sUEsBAhQAFAAAAAgAh07iQM/G9Cv/AQAA2AMAAA4AAAAAAAAAAQAgAAAAIwEAAGRycy9lMm9E&#10;b2MueG1sUEsFBgAAAAAGAAYAWQEAAJQF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施工队伍的撤离</w:t>
                      </w:r>
                    </w:p>
                  </w:txbxContent>
                </v:textbox>
              </v:shape>
            </w:pict>
          </mc:Fallback>
        </mc:AlternateContent>
      </w:r>
      <w:r>
        <w:rPr>
          <w:rFonts w:hint="eastAsia" w:ascii="宋体" w:hAnsi="宋体" w:cs="宋体"/>
          <w:color w:val="auto"/>
          <w:szCs w:val="21"/>
        </w:rPr>
        <w:t>工程接收证书颁发后的56天内，除经监理工程师同意需在缺陷责任期内继续工作的人员、使用的施工设备和临时设施外，其余的人员、施工设备和临时设备均应撤离施工场地或拆除。除专用条款另有约定外，缺陷责任期满时，承包人的人员和施工设备应全部撤离施工场地。</w:t>
      </w:r>
    </w:p>
    <w:p>
      <w:pPr>
        <w:tabs>
          <w:tab w:val="left" w:pos="1620"/>
        </w:tabs>
        <w:adjustRightInd w:val="0"/>
        <w:snapToGrid w:val="0"/>
        <w:spacing w:line="480" w:lineRule="auto"/>
        <w:rPr>
          <w:rFonts w:ascii="宋体" w:hAnsi="宋体" w:cs="宋体"/>
          <w:color w:val="auto"/>
          <w:szCs w:val="21"/>
        </w:rPr>
      </w:pPr>
      <w:r>
        <w:rPr>
          <w:rFonts w:ascii="宋体" w:hAnsi="宋体" w:cs="宋体"/>
          <w:color w:val="auto"/>
          <w:szCs w:val="21"/>
        </w:rPr>
        <mc:AlternateContent>
          <mc:Choice Requires="wps">
            <w:drawing>
              <wp:anchor distT="0" distB="0" distL="114300" distR="114300" simplePos="0" relativeHeight="251816960" behindDoc="0" locked="0" layoutInCell="1" allowOverlap="1">
                <wp:simplePos x="0" y="0"/>
                <wp:positionH relativeFrom="column">
                  <wp:posOffset>-66675</wp:posOffset>
                </wp:positionH>
                <wp:positionV relativeFrom="paragraph">
                  <wp:posOffset>299085</wp:posOffset>
                </wp:positionV>
                <wp:extent cx="914400" cy="591185"/>
                <wp:effectExtent l="0" t="0" r="0" b="0"/>
                <wp:wrapNone/>
                <wp:docPr id="158" name="文本框 158"/>
                <wp:cNvGraphicFramePr/>
                <a:graphic xmlns:a="http://schemas.openxmlformats.org/drawingml/2006/main">
                  <a:graphicData uri="http://schemas.microsoft.com/office/word/2010/wordprocessingShape">
                    <wps:wsp>
                      <wps:cNvSpPr txBox="1">
                        <a:spLocks noChangeArrowheads="1"/>
                      </wps:cNvSpPr>
                      <wps:spPr bwMode="auto">
                        <a:xfrm>
                          <a:off x="0" y="0"/>
                          <a:ext cx="914400" cy="59118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使用未验收或验收未通过工程的责任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25pt;margin-top:23.55pt;height:46.55pt;width:72pt;z-index:251816960;mso-width-relative:page;mso-height-relative:page;" filled="f" stroked="f" coordsize="21600,21600" o:gfxdata="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FGnFEdcAAAAKAQAADwAAAAAAAAABACAAAAAiAAAAZHJzL2Rvd25y&#10;ZXYueG1sUEsBAhQAFAAAAAgAh07iQOTqZGT/AQAA2AMAAA4AAAAAAAAAAQAgAAAAJgEAAGRycy9l&#10;Mm9Eb2MueG1sUEsFBgAAAAAGAAYAWQEAAJcF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使用未验收或验收未通过工程的责任</w:t>
                      </w:r>
                    </w:p>
                  </w:txbxContent>
                </v:textbox>
              </v:shape>
            </w:pict>
          </mc:Fallback>
        </mc:AlternateContent>
      </w:r>
      <w:r>
        <w:rPr>
          <w:rFonts w:hint="eastAsia" w:ascii="宋体" w:hAnsi="宋体" w:cs="宋体"/>
          <w:b/>
          <w:color w:val="auto"/>
          <w:szCs w:val="21"/>
        </w:rPr>
        <w:t>58.12</w:t>
      </w:r>
      <w:r>
        <w:rPr>
          <w:rFonts w:hint="eastAsia" w:ascii="宋体" w:hAnsi="宋体" w:cs="宋体"/>
          <w:color w:val="auto"/>
          <w:szCs w:val="21"/>
        </w:rPr>
        <w:t xml:space="preserve"> </w:t>
      </w:r>
      <w:r>
        <w:rPr>
          <w:rFonts w:hint="eastAsia" w:ascii="宋体" w:hAnsi="宋体" w:cs="宋体"/>
          <w:color w:val="auto"/>
          <w:szCs w:val="21"/>
          <w:u w:val="dotted"/>
        </w:rPr>
        <w:t xml:space="preserve">                                                                                                       </w:t>
      </w:r>
      <w:r>
        <w:rPr>
          <w:rFonts w:hint="eastAsia" w:ascii="宋体" w:hAnsi="宋体" w:cs="宋体"/>
          <w:color w:val="auto"/>
          <w:szCs w:val="21"/>
        </w:rPr>
        <w:t xml:space="preserve"> </w:t>
      </w:r>
    </w:p>
    <w:p>
      <w:pPr>
        <w:adjustRightInd w:val="0"/>
        <w:snapToGrid w:val="0"/>
        <w:spacing w:line="360" w:lineRule="auto"/>
        <w:ind w:left="1619" w:leftChars="771"/>
        <w:rPr>
          <w:rFonts w:ascii="宋体" w:hAnsi="宋体" w:cs="宋体"/>
          <w:color w:val="auto"/>
          <w:kern w:val="0"/>
          <w:szCs w:val="21"/>
        </w:rPr>
      </w:pPr>
      <w:r>
        <w:rPr>
          <w:rFonts w:hint="eastAsia" w:ascii="宋体" w:hAnsi="宋体" w:cs="宋体"/>
          <w:color w:val="auto"/>
          <w:kern w:val="0"/>
          <w:szCs w:val="21"/>
        </w:rPr>
        <w:t>合同工程未经竣工验收或竣工验收不合格的，发包人不得使用。发包人强行使用的，由此发生的质量问题及其他问题，由发包人承担责任。</w:t>
      </w:r>
    </w:p>
    <w:p>
      <w:pPr>
        <w:tabs>
          <w:tab w:val="left" w:pos="1620"/>
        </w:tabs>
        <w:adjustRightInd w:val="0"/>
        <w:snapToGrid w:val="0"/>
        <w:spacing w:line="480" w:lineRule="auto"/>
        <w:rPr>
          <w:rFonts w:ascii="宋体" w:hAnsi="宋体" w:cs="宋体"/>
          <w:b/>
          <w:color w:val="auto"/>
          <w:szCs w:val="21"/>
        </w:rPr>
      </w:pPr>
    </w:p>
    <w:p>
      <w:pPr>
        <w:tabs>
          <w:tab w:val="left" w:pos="1620"/>
        </w:tabs>
        <w:adjustRightInd w:val="0"/>
        <w:snapToGrid w:val="0"/>
        <w:spacing w:line="480" w:lineRule="auto"/>
        <w:rPr>
          <w:rFonts w:ascii="宋体" w:hAnsi="宋体" w:cs="宋体"/>
          <w:b/>
          <w:color w:val="auto"/>
          <w:szCs w:val="21"/>
        </w:rPr>
      </w:pPr>
      <w:r>
        <w:rPr>
          <w:rFonts w:hint="eastAsia" w:ascii="宋体" w:hAnsi="宋体" w:cs="宋体"/>
          <w:b/>
          <w:color w:val="auto"/>
          <w:szCs w:val="21"/>
        </w:rPr>
        <w:t xml:space="preserve">58.13 </w:t>
      </w:r>
      <w:r>
        <w:rPr>
          <w:rFonts w:hint="eastAsia" w:ascii="宋体" w:hAnsi="宋体" w:cs="宋体"/>
          <w:b/>
          <w:color w:val="auto"/>
          <w:szCs w:val="21"/>
          <w:u w:val="dotted"/>
        </w:rPr>
        <w:t xml:space="preserve">                                                                                                        </w:t>
      </w:r>
    </w:p>
    <w:p>
      <w:pPr>
        <w:adjustRightInd w:val="0"/>
        <w:snapToGrid w:val="0"/>
        <w:spacing w:line="360" w:lineRule="auto"/>
        <w:ind w:left="1619" w:leftChars="771"/>
        <w:rPr>
          <w:rFonts w:ascii="宋体" w:hAnsi="宋体" w:cs="宋体"/>
          <w:color w:val="auto"/>
          <w:kern w:val="0"/>
          <w:szCs w:val="21"/>
        </w:rPr>
      </w:pPr>
      <w:r>
        <w:rPr>
          <w:rFonts w:ascii="宋体" w:hAnsi="宋体" w:cs="宋体"/>
          <w:color w:val="auto"/>
          <w:kern w:val="0"/>
          <w:szCs w:val="21"/>
        </w:rPr>
        <mc:AlternateContent>
          <mc:Choice Requires="wps">
            <w:drawing>
              <wp:anchor distT="0" distB="0" distL="114300" distR="114300" simplePos="0" relativeHeight="251817984" behindDoc="0" locked="0" layoutInCell="1" allowOverlap="1">
                <wp:simplePos x="0" y="0"/>
                <wp:positionH relativeFrom="column">
                  <wp:posOffset>-114300</wp:posOffset>
                </wp:positionH>
                <wp:positionV relativeFrom="paragraph">
                  <wp:posOffset>13335</wp:posOffset>
                </wp:positionV>
                <wp:extent cx="914400" cy="406400"/>
                <wp:effectExtent l="0" t="0" r="0" b="0"/>
                <wp:wrapNone/>
                <wp:docPr id="157" name="文本框 157"/>
                <wp:cNvGraphicFramePr/>
                <a:graphic xmlns:a="http://schemas.openxmlformats.org/drawingml/2006/main">
                  <a:graphicData uri="http://schemas.microsoft.com/office/word/2010/wordprocessingShape">
                    <wps:wsp>
                      <wps:cNvSpPr txBox="1">
                        <a:spLocks noChangeArrowheads="1"/>
                      </wps:cNvSpPr>
                      <wps:spPr bwMode="auto">
                        <a:xfrm>
                          <a:off x="0" y="0"/>
                          <a:ext cx="914400" cy="40640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工程竣工质量争议的责任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05pt;height:32pt;width:72pt;z-index:251817984;mso-width-relative:page;mso-height-relative:page;" filled="f" stroked="f" coordsize="21600,21600" o:gfxdata="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R/M+L1QAAAAgBAAAPAAAAAAAAAAEAIAAAACIAAABkcnMvZG93bnJldi54&#10;bWxQSwECFAAUAAAACACHTuJANrCcxv0BAADYAwAADgAAAAAAAAABACAAAAAkAQAAZHJzL2Uyb0Rv&#10;Yy54bWxQSwUGAAAAAAYABgBZAQAAkw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工程竣工质量争议的责任</w:t>
                      </w:r>
                    </w:p>
                  </w:txbxContent>
                </v:textbox>
              </v:shape>
            </w:pict>
          </mc:Fallback>
        </mc:AlternateContent>
      </w:r>
      <w:r>
        <w:rPr>
          <w:rFonts w:hint="eastAsia" w:ascii="宋体" w:hAnsi="宋体" w:cs="宋体"/>
          <w:color w:val="auto"/>
          <w:kern w:val="0"/>
          <w:szCs w:val="21"/>
        </w:rPr>
        <w:t>合同工程竣工验收时发生工程质量争议，经第86.4款规定调解或认定工程质量符合合同要求的，由发包人承担由此增加的费用和（或）延误的工期。</w:t>
      </w:r>
    </w:p>
    <w:p>
      <w:pPr>
        <w:adjustRightInd w:val="0"/>
        <w:snapToGrid w:val="0"/>
        <w:rPr>
          <w:rFonts w:ascii="宋体" w:hAnsi="宋体" w:cs="宋体"/>
          <w:b/>
          <w:color w:val="auto"/>
          <w:szCs w:val="21"/>
          <w:u w:val="single"/>
        </w:rPr>
      </w:pPr>
      <w:r>
        <w:rPr>
          <w:rFonts w:hint="eastAsia" w:ascii="宋体" w:hAnsi="宋体" w:cs="宋体"/>
          <w:b/>
          <w:color w:val="auto"/>
          <w:szCs w:val="21"/>
          <w:u w:val="single"/>
        </w:rPr>
        <w:t xml:space="preserve">                                                                                                              </w:t>
      </w:r>
    </w:p>
    <w:p>
      <w:pPr>
        <w:tabs>
          <w:tab w:val="left" w:pos="1620"/>
        </w:tabs>
        <w:rPr>
          <w:rFonts w:ascii="宋体" w:hAnsi="宋体" w:cs="宋体"/>
          <w:color w:val="auto"/>
          <w:szCs w:val="21"/>
        </w:rPr>
      </w:pPr>
    </w:p>
    <w:p>
      <w:pPr>
        <w:tabs>
          <w:tab w:val="left" w:pos="540"/>
        </w:tabs>
        <w:adjustRightInd w:val="0"/>
        <w:snapToGrid w:val="0"/>
        <w:spacing w:beforeLines="150" w:line="360" w:lineRule="auto"/>
        <w:ind w:right="-238"/>
        <w:rPr>
          <w:rFonts w:ascii="宋体" w:hAnsi="宋体" w:cs="宋体"/>
          <w:b/>
          <w:color w:val="auto"/>
          <w:kern w:val="0"/>
          <w:szCs w:val="21"/>
        </w:rPr>
      </w:pPr>
      <w:r>
        <w:rPr>
          <w:rFonts w:hint="eastAsia" w:ascii="宋体" w:hAnsi="宋体" w:cs="宋体"/>
          <w:b/>
          <w:color w:val="auto"/>
          <w:kern w:val="0"/>
          <w:szCs w:val="21"/>
        </w:rPr>
        <w:t>59  缺陷责任与质量保修</w:t>
      </w:r>
    </w:p>
    <w:p>
      <w:pPr>
        <w:adjustRightInd w:val="0"/>
        <w:snapToGrid w:val="0"/>
        <w:spacing w:line="360" w:lineRule="auto"/>
        <w:rPr>
          <w:rFonts w:ascii="宋体" w:hAnsi="宋体" w:cs="宋体"/>
          <w:b/>
          <w:color w:val="auto"/>
          <w:szCs w:val="21"/>
        </w:rPr>
      </w:pPr>
      <w:r>
        <w:rPr>
          <w:rFonts w:ascii="宋体" w:hAnsi="宋体" w:cs="宋体"/>
          <w:color w:val="auto"/>
          <w:szCs w:val="21"/>
        </w:rPr>
        <mc:AlternateContent>
          <mc:Choice Requires="wps">
            <w:drawing>
              <wp:anchor distT="0" distB="0" distL="114300" distR="114300" simplePos="0" relativeHeight="251970560" behindDoc="0" locked="0" layoutInCell="1" allowOverlap="1">
                <wp:simplePos x="0" y="0"/>
                <wp:positionH relativeFrom="column">
                  <wp:posOffset>-114300</wp:posOffset>
                </wp:positionH>
                <wp:positionV relativeFrom="paragraph">
                  <wp:posOffset>287020</wp:posOffset>
                </wp:positionV>
                <wp:extent cx="967740" cy="429895"/>
                <wp:effectExtent l="0" t="0" r="0" b="0"/>
                <wp:wrapNone/>
                <wp:docPr id="156" name="文本框 156"/>
                <wp:cNvGraphicFramePr/>
                <a:graphic xmlns:a="http://schemas.openxmlformats.org/drawingml/2006/main">
                  <a:graphicData uri="http://schemas.microsoft.com/office/word/2010/wordprocessingShape">
                    <wps:wsp>
                      <wps:cNvSpPr txBox="1">
                        <a:spLocks noChangeArrowheads="1"/>
                      </wps:cNvSpPr>
                      <wps:spPr bwMode="auto">
                        <a:xfrm>
                          <a:off x="0" y="0"/>
                          <a:ext cx="967740" cy="42989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缺陷责任期</w:t>
                            </w:r>
                          </w:p>
                          <w:p>
                            <w:pPr>
                              <w:spacing w:line="240" w:lineRule="exact"/>
                              <w:rPr>
                                <w:rFonts w:ascii="宋体" w:hAnsi="宋体"/>
                                <w:sz w:val="18"/>
                                <w:szCs w:val="18"/>
                              </w:rPr>
                            </w:pPr>
                            <w:r>
                              <w:rPr>
                                <w:rFonts w:hint="eastAsia" w:ascii="楷体_GB2312" w:hAnsi="宋体"/>
                                <w:b/>
                                <w:color w:val="000000"/>
                                <w:sz w:val="18"/>
                                <w:szCs w:val="18"/>
                              </w:rPr>
                              <w:t>计算</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2.6pt;height:33.85pt;width:76.2pt;z-index:251970560;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cWb+ndgAAAAKAQAADwAAAAAAAAABACAAAAAiAAAAZHJzL2Rv&#10;d25yZXYueG1sUEsBAhQAFAAAAAgAh07iQIseCGABAgAA2AMAAA4AAAAAAAAAAQAgAAAAJwEAAGRy&#10;cy9lMm9Eb2MueG1sUEsFBgAAAAAGAAYAWQEAAJoF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缺陷责任期</w:t>
                      </w:r>
                    </w:p>
                    <w:p>
                      <w:pPr>
                        <w:spacing w:line="240" w:lineRule="exact"/>
                        <w:rPr>
                          <w:rFonts w:ascii="宋体" w:hAnsi="宋体"/>
                          <w:sz w:val="18"/>
                          <w:szCs w:val="18"/>
                        </w:rPr>
                      </w:pPr>
                      <w:r>
                        <w:rPr>
                          <w:rFonts w:hint="eastAsia" w:ascii="楷体_GB2312" w:hAnsi="宋体"/>
                          <w:b/>
                          <w:color w:val="000000"/>
                          <w:sz w:val="18"/>
                          <w:szCs w:val="18"/>
                        </w:rPr>
                        <w:t>计算</w:t>
                      </w:r>
                    </w:p>
                  </w:txbxContent>
                </v:textbox>
              </v:shape>
            </w:pict>
          </mc:Fallback>
        </mc:AlternateContent>
      </w:r>
      <w:r>
        <w:rPr>
          <w:rFonts w:hint="eastAsia" w:ascii="宋体" w:hAnsi="宋体" w:cs="宋体"/>
          <w:b/>
          <w:color w:val="auto"/>
          <w:szCs w:val="21"/>
        </w:rPr>
        <w:t xml:space="preserve">59.1  </w:t>
      </w:r>
    </w:p>
    <w:p>
      <w:pPr>
        <w:spacing w:line="360" w:lineRule="auto"/>
        <w:ind w:firstLine="1377" w:firstLineChars="656"/>
        <w:rPr>
          <w:rFonts w:ascii="宋体" w:hAnsi="宋体" w:cs="宋体"/>
          <w:color w:val="auto"/>
          <w:szCs w:val="21"/>
        </w:rPr>
      </w:pPr>
      <w:r>
        <w:rPr>
          <w:rFonts w:hint="eastAsia" w:ascii="宋体" w:hAnsi="宋体" w:cs="宋体"/>
          <w:color w:val="auto"/>
          <w:szCs w:val="21"/>
        </w:rPr>
        <w:t>合同双方当事人应在专用条款中约定缺陷责任期。</w:t>
      </w:r>
    </w:p>
    <w:p>
      <w:pPr>
        <w:adjustRightInd w:val="0"/>
        <w:snapToGrid w:val="0"/>
        <w:spacing w:line="360" w:lineRule="auto"/>
        <w:ind w:left="1575" w:leftChars="750"/>
        <w:rPr>
          <w:rFonts w:ascii="宋体" w:hAnsi="宋体" w:cs="宋体"/>
          <w:b/>
          <w:color w:val="auto"/>
          <w:szCs w:val="21"/>
        </w:rPr>
      </w:pPr>
      <w:r>
        <w:rPr>
          <w:rFonts w:hint="eastAsia" w:ascii="宋体" w:hAnsi="宋体" w:cs="宋体"/>
          <w:color w:val="auto"/>
          <w:szCs w:val="21"/>
        </w:rPr>
        <w:t>缺陷责任期自实际竣工之日起计算。在全部工程竣工验收前，已经发包人提前验收的单位工程，其缺陷责任期的起算日期相应提前。</w:t>
      </w:r>
    </w:p>
    <w:p>
      <w:pPr>
        <w:adjustRightInd w:val="0"/>
        <w:snapToGrid w:val="0"/>
        <w:spacing w:line="360" w:lineRule="auto"/>
        <w:rPr>
          <w:rFonts w:ascii="宋体" w:hAnsi="宋体" w:cs="宋体"/>
          <w:b/>
          <w:color w:val="auto"/>
          <w:szCs w:val="21"/>
        </w:rPr>
      </w:pPr>
      <w:r>
        <w:rPr>
          <w:rFonts w:ascii="宋体" w:hAnsi="宋体" w:cs="宋体"/>
          <w:color w:val="auto"/>
          <w:szCs w:val="21"/>
        </w:rPr>
        <mc:AlternateContent>
          <mc:Choice Requires="wps">
            <w:drawing>
              <wp:anchor distT="0" distB="0" distL="114300" distR="114300" simplePos="0" relativeHeight="251971584" behindDoc="0" locked="0" layoutInCell="1" allowOverlap="1">
                <wp:simplePos x="0" y="0"/>
                <wp:positionH relativeFrom="column">
                  <wp:posOffset>-114300</wp:posOffset>
                </wp:positionH>
                <wp:positionV relativeFrom="paragraph">
                  <wp:posOffset>287020</wp:posOffset>
                </wp:positionV>
                <wp:extent cx="967740" cy="429895"/>
                <wp:effectExtent l="0" t="0" r="0" b="0"/>
                <wp:wrapNone/>
                <wp:docPr id="155" name="文本框 155"/>
                <wp:cNvGraphicFramePr/>
                <a:graphic xmlns:a="http://schemas.openxmlformats.org/drawingml/2006/main">
                  <a:graphicData uri="http://schemas.microsoft.com/office/word/2010/wordprocessingShape">
                    <wps:wsp>
                      <wps:cNvSpPr txBox="1">
                        <a:spLocks noChangeArrowheads="1"/>
                      </wps:cNvSpPr>
                      <wps:spPr bwMode="auto">
                        <a:xfrm>
                          <a:off x="0" y="0"/>
                          <a:ext cx="967740" cy="42989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缺陷责任期</w:t>
                            </w:r>
                          </w:p>
                          <w:p>
                            <w:pPr>
                              <w:spacing w:line="240" w:lineRule="exact"/>
                              <w:rPr>
                                <w:rFonts w:ascii="楷体_GB2312" w:hAnsi="宋体"/>
                                <w:b/>
                                <w:color w:val="000000"/>
                                <w:sz w:val="18"/>
                                <w:szCs w:val="18"/>
                              </w:rPr>
                            </w:pPr>
                            <w:r>
                              <w:rPr>
                                <w:rFonts w:hint="eastAsia" w:ascii="楷体_GB2312" w:hAnsi="宋体"/>
                                <w:b/>
                                <w:color w:val="000000"/>
                                <w:sz w:val="18"/>
                                <w:szCs w:val="18"/>
                              </w:rPr>
                              <w:t>延长</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2.6pt;height:33.85pt;width:76.2pt;z-index:251971584;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cWb+ndgAAAAKAQAADwAAAAAAAAABACAAAAAiAAAAZHJzL2Rv&#10;d25yZXYueG1sUEsBAhQAFAAAAAgAh07iQAd+0G0BAgAA2AMAAA4AAAAAAAAAAQAgAAAAJwEAAGRy&#10;cy9lMm9Eb2MueG1sUEsFBgAAAAAGAAYAWQEAAJoF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缺陷责任期</w:t>
                      </w:r>
                    </w:p>
                    <w:p>
                      <w:pPr>
                        <w:spacing w:line="240" w:lineRule="exact"/>
                        <w:rPr>
                          <w:rFonts w:ascii="楷体_GB2312" w:hAnsi="宋体"/>
                          <w:b/>
                          <w:color w:val="000000"/>
                          <w:sz w:val="18"/>
                          <w:szCs w:val="18"/>
                        </w:rPr>
                      </w:pPr>
                      <w:r>
                        <w:rPr>
                          <w:rFonts w:hint="eastAsia" w:ascii="楷体_GB2312" w:hAnsi="宋体"/>
                          <w:b/>
                          <w:color w:val="000000"/>
                          <w:sz w:val="18"/>
                          <w:szCs w:val="18"/>
                        </w:rPr>
                        <w:t>延长</w:t>
                      </w:r>
                    </w:p>
                  </w:txbxContent>
                </v:textbox>
              </v:shape>
            </w:pict>
          </mc:Fallback>
        </mc:AlternateContent>
      </w:r>
      <w:r>
        <w:rPr>
          <w:rFonts w:hint="eastAsia" w:ascii="宋体" w:hAnsi="宋体" w:cs="宋体"/>
          <w:b/>
          <w:color w:val="auto"/>
          <w:szCs w:val="21"/>
        </w:rPr>
        <w:t xml:space="preserve">59.2  </w:t>
      </w:r>
      <w:r>
        <w:rPr>
          <w:rFonts w:hint="eastAsia" w:ascii="宋体" w:hAnsi="宋体" w:cs="宋体"/>
          <w:b/>
          <w:color w:val="auto"/>
          <w:szCs w:val="21"/>
          <w:u w:val="dotted"/>
        </w:rPr>
        <w:t xml:space="preserve">                                                                              </w:t>
      </w:r>
    </w:p>
    <w:p>
      <w:pPr>
        <w:spacing w:line="360" w:lineRule="auto"/>
        <w:ind w:left="1619" w:leftChars="771"/>
        <w:rPr>
          <w:rFonts w:ascii="宋体" w:hAnsi="宋体" w:cs="宋体"/>
          <w:color w:val="auto"/>
          <w:szCs w:val="21"/>
        </w:rPr>
      </w:pPr>
      <w:r>
        <w:rPr>
          <w:rFonts w:hint="eastAsia" w:ascii="宋体" w:hAnsi="宋体" w:cs="宋体"/>
          <w:color w:val="auto"/>
          <w:szCs w:val="21"/>
        </w:rPr>
        <w:t>由于承包人原因造成某项缺陷或损坏使某项工程或工程设备不能按照原定目标使用而需要再次检查、检验和修复的，发包人有权要求承包人相应延长缺陷责任期，但缺陷责任期最长不超过2年。</w:t>
      </w:r>
    </w:p>
    <w:p>
      <w:pPr>
        <w:adjustRightInd w:val="0"/>
        <w:snapToGrid w:val="0"/>
        <w:spacing w:line="360" w:lineRule="auto"/>
        <w:rPr>
          <w:rFonts w:ascii="宋体" w:hAnsi="宋体" w:cs="宋体"/>
          <w:b/>
          <w:color w:val="auto"/>
          <w:szCs w:val="21"/>
        </w:rPr>
      </w:pPr>
      <w:r>
        <w:rPr>
          <w:rFonts w:ascii="宋体" w:hAnsi="宋体" w:cs="宋体"/>
          <w:color w:val="auto"/>
          <w:szCs w:val="21"/>
        </w:rPr>
        <mc:AlternateContent>
          <mc:Choice Requires="wps">
            <w:drawing>
              <wp:anchor distT="0" distB="0" distL="114300" distR="114300" simplePos="0" relativeHeight="251972608" behindDoc="0" locked="0" layoutInCell="1" allowOverlap="1">
                <wp:simplePos x="0" y="0"/>
                <wp:positionH relativeFrom="column">
                  <wp:posOffset>-114300</wp:posOffset>
                </wp:positionH>
                <wp:positionV relativeFrom="paragraph">
                  <wp:posOffset>287020</wp:posOffset>
                </wp:positionV>
                <wp:extent cx="967740" cy="429895"/>
                <wp:effectExtent l="0" t="0" r="0" b="0"/>
                <wp:wrapNone/>
                <wp:docPr id="154" name="文本框 154"/>
                <wp:cNvGraphicFramePr/>
                <a:graphic xmlns:a="http://schemas.openxmlformats.org/drawingml/2006/main">
                  <a:graphicData uri="http://schemas.microsoft.com/office/word/2010/wordprocessingShape">
                    <wps:wsp>
                      <wps:cNvSpPr txBox="1">
                        <a:spLocks noChangeArrowheads="1"/>
                      </wps:cNvSpPr>
                      <wps:spPr bwMode="auto">
                        <a:xfrm>
                          <a:off x="0" y="0"/>
                          <a:ext cx="967740" cy="42989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缺陷责任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2.6pt;height:33.85pt;width:76.2pt;z-index:251972608;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cWb+ndgAAAAKAQAADwAAAAAAAAABACAAAAAiAAAAZHJzL2Rv&#10;d25yZXYueG1sUEsBAhQAFAAAAAgAh07iQIOhZ2kBAgAA2AMAAA4AAAAAAAAAAQAgAAAAJwEAAGRy&#10;cy9lMm9Eb2MueG1sUEsFBgAAAAAGAAYAWQEAAJoF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缺陷责任</w:t>
                      </w:r>
                    </w:p>
                  </w:txbxContent>
                </v:textbox>
              </v:shape>
            </w:pict>
          </mc:Fallback>
        </mc:AlternateContent>
      </w:r>
      <w:r>
        <w:rPr>
          <w:rFonts w:hint="eastAsia" w:ascii="宋体" w:hAnsi="宋体" w:cs="宋体"/>
          <w:b/>
          <w:color w:val="auto"/>
          <w:szCs w:val="21"/>
        </w:rPr>
        <w:t xml:space="preserve">59.3  </w:t>
      </w:r>
      <w:r>
        <w:rPr>
          <w:rFonts w:hint="eastAsia" w:ascii="宋体" w:hAnsi="宋体" w:cs="宋体"/>
          <w:b/>
          <w:color w:val="auto"/>
          <w:szCs w:val="21"/>
          <w:u w:val="dotted"/>
        </w:rPr>
        <w:t xml:space="preserve">                                                                              </w:t>
      </w:r>
    </w:p>
    <w:p>
      <w:pPr>
        <w:spacing w:line="360" w:lineRule="auto"/>
        <w:ind w:left="1619" w:leftChars="771"/>
        <w:rPr>
          <w:rFonts w:ascii="宋体" w:hAnsi="宋体" w:cs="宋体"/>
          <w:color w:val="auto"/>
          <w:szCs w:val="21"/>
        </w:rPr>
      </w:pPr>
      <w:r>
        <w:rPr>
          <w:rFonts w:hint="eastAsia" w:ascii="宋体" w:hAnsi="宋体" w:cs="宋体"/>
          <w:color w:val="auto"/>
          <w:szCs w:val="21"/>
        </w:rPr>
        <w:t>合同工程存在某项缺陷或损坏的，合同双方当事人应按照下列规定承担缺陷责任以及由此产生的费用。</w:t>
      </w:r>
    </w:p>
    <w:p>
      <w:pPr>
        <w:adjustRightInd w:val="0"/>
        <w:snapToGrid w:val="0"/>
        <w:spacing w:line="360" w:lineRule="auto"/>
        <w:ind w:firstLine="1377" w:firstLineChars="656"/>
        <w:rPr>
          <w:rFonts w:ascii="宋体" w:hAnsi="宋体" w:cs="宋体"/>
          <w:color w:val="auto"/>
          <w:kern w:val="0"/>
          <w:szCs w:val="21"/>
        </w:rPr>
      </w:pPr>
      <w:r>
        <w:rPr>
          <w:rFonts w:hint="eastAsia" w:ascii="宋体" w:hAnsi="宋体" w:cs="宋体"/>
          <w:color w:val="auto"/>
          <w:kern w:val="0"/>
          <w:szCs w:val="21"/>
        </w:rPr>
        <w:t>（1）承包人应在缺陷责任期内对已交付使用的工程承担缺陷责任。</w:t>
      </w:r>
    </w:p>
    <w:p>
      <w:pPr>
        <w:spacing w:line="360" w:lineRule="auto"/>
        <w:ind w:left="1575" w:leftChars="750"/>
        <w:rPr>
          <w:rFonts w:ascii="宋体" w:hAnsi="宋体" w:cs="宋体"/>
          <w:color w:val="auto"/>
          <w:szCs w:val="21"/>
        </w:rPr>
      </w:pPr>
      <w:r>
        <w:rPr>
          <w:rFonts w:hint="eastAsia" w:ascii="宋体" w:hAnsi="宋体" w:cs="宋体"/>
          <w:color w:val="auto"/>
          <w:szCs w:val="21"/>
        </w:rPr>
        <w:t>（2）缺陷责任期内，发包人对已接收使用的工程负责日常维护工作。发包人在使用过程中，发现已接收的工程存在新的缺陷或已修复的缺陷部位或部件又遭损坏的，应及时通知承包人修复，承包人应在收到通知后的7天内派人修复，直至检验合格为止。承包人未能在规定时间内修复的，发包人可自行或委托第三方修复，所需费用和利润按照本款第（3）点规定办理。</w:t>
      </w:r>
    </w:p>
    <w:p>
      <w:pPr>
        <w:spacing w:line="360" w:lineRule="auto"/>
        <w:ind w:left="1619" w:leftChars="771"/>
        <w:rPr>
          <w:rFonts w:ascii="宋体" w:hAnsi="宋体" w:cs="宋体"/>
          <w:color w:val="auto"/>
          <w:szCs w:val="21"/>
        </w:rPr>
      </w:pPr>
      <w:r>
        <w:rPr>
          <w:rFonts w:hint="eastAsia" w:ascii="宋体" w:hAnsi="宋体" w:cs="宋体"/>
          <w:color w:val="auto"/>
          <w:szCs w:val="21"/>
        </w:rPr>
        <w:t>（3）监理工程师应会同承包人共同查清缺陷和（或）损坏的原因，并由造价工程师提出或核实由此发生的费用。经查明，因承包人原因造成的，由承包人承担修复和查验的费用；因发包人的原因造成的，发包人承担修复和查验的费用，并向承包人支付合理利润。</w:t>
      </w:r>
    </w:p>
    <w:p>
      <w:pPr>
        <w:adjustRightInd w:val="0"/>
        <w:snapToGrid w:val="0"/>
        <w:spacing w:line="360" w:lineRule="auto"/>
        <w:rPr>
          <w:rFonts w:ascii="宋体" w:hAnsi="宋体" w:cs="宋体"/>
          <w:b/>
          <w:color w:val="auto"/>
          <w:szCs w:val="21"/>
        </w:rPr>
      </w:pPr>
      <w:r>
        <w:rPr>
          <w:rFonts w:ascii="宋体" w:hAnsi="宋体" w:cs="宋体"/>
          <w:color w:val="auto"/>
          <w:szCs w:val="21"/>
        </w:rPr>
        <mc:AlternateContent>
          <mc:Choice Requires="wps">
            <w:drawing>
              <wp:anchor distT="0" distB="0" distL="114300" distR="114300" simplePos="0" relativeHeight="251973632" behindDoc="0" locked="0" layoutInCell="1" allowOverlap="1">
                <wp:simplePos x="0" y="0"/>
                <wp:positionH relativeFrom="column">
                  <wp:posOffset>-114300</wp:posOffset>
                </wp:positionH>
                <wp:positionV relativeFrom="paragraph">
                  <wp:posOffset>287020</wp:posOffset>
                </wp:positionV>
                <wp:extent cx="967740" cy="429895"/>
                <wp:effectExtent l="0" t="0" r="0" b="0"/>
                <wp:wrapNone/>
                <wp:docPr id="153" name="文本框 153"/>
                <wp:cNvGraphicFramePr/>
                <a:graphic xmlns:a="http://schemas.openxmlformats.org/drawingml/2006/main">
                  <a:graphicData uri="http://schemas.microsoft.com/office/word/2010/wordprocessingShape">
                    <wps:wsp>
                      <wps:cNvSpPr txBox="1">
                        <a:spLocks noChangeArrowheads="1"/>
                      </wps:cNvSpPr>
                      <wps:spPr bwMode="auto">
                        <a:xfrm>
                          <a:off x="0" y="0"/>
                          <a:ext cx="967740" cy="42989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重新检（试）验</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2.6pt;height:33.85pt;width:76.2pt;z-index:251973632;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HFm/p3YAAAACgEAAA8AAAAAAAAAAQAgAAAAIgAAAGRycy9k&#10;b3ducmV2LnhtbFBLAQIUABQAAAAIAIdO4kAfv2B2AgIAANgDAAAOAAAAAAAAAAEAIAAAACcBAABk&#10;cnMvZTJvRG9jLnhtbFBLBQYAAAAABgAGAFkBAACb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重新检（试）验</w:t>
                      </w:r>
                    </w:p>
                  </w:txbxContent>
                </v:textbox>
              </v:shape>
            </w:pict>
          </mc:Fallback>
        </mc:AlternateContent>
      </w:r>
      <w:r>
        <w:rPr>
          <w:rFonts w:hint="eastAsia" w:ascii="宋体" w:hAnsi="宋体" w:cs="宋体"/>
          <w:b/>
          <w:color w:val="auto"/>
          <w:szCs w:val="21"/>
        </w:rPr>
        <w:t xml:space="preserve">59.4  </w:t>
      </w:r>
      <w:r>
        <w:rPr>
          <w:rFonts w:hint="eastAsia" w:ascii="宋体" w:hAnsi="宋体" w:cs="宋体"/>
          <w:b/>
          <w:color w:val="auto"/>
          <w:szCs w:val="21"/>
          <w:u w:val="dotted"/>
        </w:rPr>
        <w:t xml:space="preserve">                                                                            </w:t>
      </w:r>
    </w:p>
    <w:p>
      <w:pPr>
        <w:spacing w:line="360" w:lineRule="auto"/>
        <w:ind w:left="1619" w:leftChars="771"/>
        <w:rPr>
          <w:rFonts w:ascii="宋体" w:hAnsi="宋体" w:cs="宋体"/>
          <w:color w:val="auto"/>
          <w:szCs w:val="21"/>
        </w:rPr>
      </w:pPr>
      <w:r>
        <w:rPr>
          <w:rFonts w:hint="eastAsia" w:ascii="宋体" w:hAnsi="宋体" w:cs="宋体"/>
          <w:color w:val="auto"/>
          <w:szCs w:val="21"/>
        </w:rPr>
        <w:t>任何一项缺陷或损坏修复后，经检查证明其影响了工程或工程设备的使用性能，承包人应按照第54条规定重新检（试）验，重新检（试）验的费用由责任方承担。</w:t>
      </w:r>
    </w:p>
    <w:p>
      <w:pPr>
        <w:adjustRightInd w:val="0"/>
        <w:snapToGrid w:val="0"/>
        <w:spacing w:line="480" w:lineRule="auto"/>
        <w:rPr>
          <w:rFonts w:ascii="宋体" w:hAnsi="宋体" w:cs="宋体"/>
          <w:b/>
          <w:color w:val="auto"/>
          <w:szCs w:val="21"/>
        </w:rPr>
      </w:pPr>
      <w:r>
        <w:rPr>
          <w:rFonts w:ascii="宋体" w:hAnsi="宋体" w:cs="宋体"/>
          <w:color w:val="auto"/>
          <w:szCs w:val="21"/>
        </w:rPr>
        <mc:AlternateContent>
          <mc:Choice Requires="wps">
            <w:drawing>
              <wp:anchor distT="0" distB="0" distL="114300" distR="114300" simplePos="0" relativeHeight="251974656" behindDoc="0" locked="0" layoutInCell="1" allowOverlap="1">
                <wp:simplePos x="0" y="0"/>
                <wp:positionH relativeFrom="column">
                  <wp:posOffset>-114300</wp:posOffset>
                </wp:positionH>
                <wp:positionV relativeFrom="paragraph">
                  <wp:posOffset>287020</wp:posOffset>
                </wp:positionV>
                <wp:extent cx="967740" cy="429895"/>
                <wp:effectExtent l="0" t="0" r="0" b="0"/>
                <wp:wrapNone/>
                <wp:docPr id="152" name="文本框 152"/>
                <wp:cNvGraphicFramePr/>
                <a:graphic xmlns:a="http://schemas.openxmlformats.org/drawingml/2006/main">
                  <a:graphicData uri="http://schemas.microsoft.com/office/word/2010/wordprocessingShape">
                    <wps:wsp>
                      <wps:cNvSpPr txBox="1">
                        <a:spLocks noChangeArrowheads="1"/>
                      </wps:cNvSpPr>
                      <wps:spPr bwMode="auto">
                        <a:xfrm>
                          <a:off x="0" y="0"/>
                          <a:ext cx="967740" cy="42989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承包人的进入权</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2.6pt;height:33.85pt;width:76.2pt;z-index:251974656;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cWb+ndgAAAAKAQAADwAAAAAAAAABACAAAAAiAAAAZHJzL2Rv&#10;d25yZXYueG1sUEsBAhQAFAAAAAgAh07iQJtg13IBAgAA2AMAAA4AAAAAAAAAAQAgAAAAJwEAAGRy&#10;cy9lMm9Eb2MueG1sUEsFBgAAAAAGAAYAWQEAAJoF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承包人的进入权</w:t>
                      </w:r>
                    </w:p>
                  </w:txbxContent>
                </v:textbox>
              </v:shape>
            </w:pict>
          </mc:Fallback>
        </mc:AlternateContent>
      </w:r>
      <w:r>
        <w:rPr>
          <w:rFonts w:hint="eastAsia" w:ascii="宋体" w:hAnsi="宋体" w:cs="宋体"/>
          <w:b/>
          <w:color w:val="auto"/>
          <w:szCs w:val="21"/>
        </w:rPr>
        <w:t xml:space="preserve">59.5  </w:t>
      </w:r>
      <w:r>
        <w:rPr>
          <w:rFonts w:hint="eastAsia" w:ascii="宋体" w:hAnsi="宋体" w:cs="宋体"/>
          <w:b/>
          <w:color w:val="auto"/>
          <w:szCs w:val="21"/>
          <w:u w:val="dotted"/>
        </w:rPr>
        <w:t xml:space="preserve">                                                                            </w:t>
      </w:r>
    </w:p>
    <w:p>
      <w:pPr>
        <w:spacing w:line="360" w:lineRule="auto"/>
        <w:ind w:left="1619" w:leftChars="771"/>
        <w:rPr>
          <w:rFonts w:ascii="宋体" w:hAnsi="宋体" w:cs="宋体"/>
          <w:b/>
          <w:color w:val="auto"/>
          <w:szCs w:val="21"/>
        </w:rPr>
      </w:pPr>
      <w:r>
        <w:rPr>
          <w:rFonts w:hint="eastAsia" w:ascii="宋体" w:hAnsi="宋体" w:cs="宋体"/>
          <w:color w:val="auto"/>
          <w:szCs w:val="21"/>
        </w:rPr>
        <w:t>缺陷责任期内承包人为缺陷修复工作需要，有权进入工程现场，但应遵守发包人的保安和保密等规定。</w:t>
      </w:r>
    </w:p>
    <w:p>
      <w:pPr>
        <w:adjustRightInd w:val="0"/>
        <w:snapToGrid w:val="0"/>
        <w:spacing w:line="360" w:lineRule="auto"/>
        <w:rPr>
          <w:rFonts w:ascii="宋体" w:hAnsi="宋体" w:cs="宋体"/>
          <w:b/>
          <w:color w:val="auto"/>
          <w:szCs w:val="21"/>
        </w:rPr>
      </w:pPr>
      <w:r>
        <w:rPr>
          <w:rFonts w:ascii="宋体" w:hAnsi="宋体" w:cs="宋体"/>
          <w:color w:val="auto"/>
          <w:szCs w:val="21"/>
        </w:rPr>
        <mc:AlternateContent>
          <mc:Choice Requires="wps">
            <w:drawing>
              <wp:anchor distT="0" distB="0" distL="114300" distR="114300" simplePos="0" relativeHeight="251975680" behindDoc="0" locked="0" layoutInCell="1" allowOverlap="1">
                <wp:simplePos x="0" y="0"/>
                <wp:positionH relativeFrom="column">
                  <wp:posOffset>-114300</wp:posOffset>
                </wp:positionH>
                <wp:positionV relativeFrom="paragraph">
                  <wp:posOffset>287020</wp:posOffset>
                </wp:positionV>
                <wp:extent cx="967740" cy="429895"/>
                <wp:effectExtent l="0" t="0" r="0" b="0"/>
                <wp:wrapNone/>
                <wp:docPr id="151" name="文本框 151"/>
                <wp:cNvGraphicFramePr/>
                <a:graphic xmlns:a="http://schemas.openxmlformats.org/drawingml/2006/main">
                  <a:graphicData uri="http://schemas.microsoft.com/office/word/2010/wordprocessingShape">
                    <wps:wsp>
                      <wps:cNvSpPr txBox="1">
                        <a:spLocks noChangeArrowheads="1"/>
                      </wps:cNvSpPr>
                      <wps:spPr bwMode="auto">
                        <a:xfrm>
                          <a:off x="0" y="0"/>
                          <a:ext cx="967740" cy="42989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颁发缺陷责任期终止证书</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2.6pt;height:33.85pt;width:76.2pt;z-index:251975680;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xZv6d2AAAAAoBAAAPAAAAAAAAAAEAIAAAACIAAABkcnMvZG93&#10;bnJldi54bWxQSwECFAAUAAAACACHTuJAFwAPfwACAADYAwAADgAAAAAAAAABACAAAAAnAQAAZHJz&#10;L2Uyb0RvYy54bWxQSwUGAAAAAAYABgBZAQAAmQ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颁发缺陷责任期终止证书</w:t>
                      </w:r>
                    </w:p>
                  </w:txbxContent>
                </v:textbox>
              </v:shape>
            </w:pict>
          </mc:Fallback>
        </mc:AlternateContent>
      </w:r>
      <w:r>
        <w:rPr>
          <w:rFonts w:hint="eastAsia" w:ascii="宋体" w:hAnsi="宋体" w:cs="宋体"/>
          <w:b/>
          <w:color w:val="auto"/>
          <w:szCs w:val="21"/>
        </w:rPr>
        <w:t xml:space="preserve">59.6  </w:t>
      </w:r>
      <w:r>
        <w:rPr>
          <w:rFonts w:hint="eastAsia" w:ascii="宋体" w:hAnsi="宋体" w:cs="宋体"/>
          <w:b/>
          <w:color w:val="auto"/>
          <w:szCs w:val="21"/>
          <w:u w:val="dotted"/>
        </w:rPr>
        <w:t xml:space="preserve">                                                                            </w:t>
      </w:r>
    </w:p>
    <w:p>
      <w:pPr>
        <w:spacing w:line="360" w:lineRule="auto"/>
        <w:ind w:left="1619" w:leftChars="771"/>
        <w:rPr>
          <w:rFonts w:ascii="宋体" w:hAnsi="宋体" w:cs="宋体"/>
          <w:b/>
          <w:color w:val="auto"/>
          <w:szCs w:val="21"/>
        </w:rPr>
      </w:pPr>
      <w:r>
        <w:rPr>
          <w:rFonts w:hint="eastAsia" w:ascii="宋体" w:hAnsi="宋体" w:cs="宋体"/>
          <w:color w:val="auto"/>
          <w:szCs w:val="21"/>
        </w:rPr>
        <w:t>在专用条款约定的缺陷责任期（包括第59.2款延长的期限）终止后的14天内，发包人应向承包人颁发缺陷责任期终止证书。</w:t>
      </w:r>
    </w:p>
    <w:p>
      <w:pPr>
        <w:adjustRightInd w:val="0"/>
        <w:snapToGrid w:val="0"/>
        <w:spacing w:line="360" w:lineRule="auto"/>
        <w:rPr>
          <w:rFonts w:ascii="宋体" w:hAnsi="宋体" w:cs="宋体"/>
          <w:b/>
          <w:color w:val="auto"/>
          <w:szCs w:val="21"/>
        </w:rPr>
      </w:pPr>
      <w:r>
        <w:rPr>
          <w:rFonts w:ascii="宋体" w:hAnsi="宋体" w:cs="宋体"/>
          <w:color w:val="auto"/>
          <w:szCs w:val="21"/>
        </w:rPr>
        <mc:AlternateContent>
          <mc:Choice Requires="wps">
            <w:drawing>
              <wp:anchor distT="0" distB="0" distL="114300" distR="114300" simplePos="0" relativeHeight="251819008" behindDoc="0" locked="0" layoutInCell="1" allowOverlap="1">
                <wp:simplePos x="0" y="0"/>
                <wp:positionH relativeFrom="column">
                  <wp:posOffset>-114300</wp:posOffset>
                </wp:positionH>
                <wp:positionV relativeFrom="paragraph">
                  <wp:posOffset>287020</wp:posOffset>
                </wp:positionV>
                <wp:extent cx="967740" cy="429895"/>
                <wp:effectExtent l="0" t="0" r="0" b="0"/>
                <wp:wrapNone/>
                <wp:docPr id="150" name="文本框 150"/>
                <wp:cNvGraphicFramePr/>
                <a:graphic xmlns:a="http://schemas.openxmlformats.org/drawingml/2006/main">
                  <a:graphicData uri="http://schemas.microsoft.com/office/word/2010/wordprocessingShape">
                    <wps:wsp>
                      <wps:cNvSpPr txBox="1">
                        <a:spLocks noChangeArrowheads="1"/>
                      </wps:cNvSpPr>
                      <wps:spPr bwMode="auto">
                        <a:xfrm>
                          <a:off x="0" y="0"/>
                          <a:ext cx="967740" cy="42989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签订工程质量保修书</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2.6pt;height:33.85pt;width:76.2pt;z-index:251819008;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xZv6d2AAAAAoBAAAPAAAAAAAAAAEAIAAAACIAAABkcnMvZG93&#10;bnJldi54bWxQSwECFAAUAAAACACHTuJAk9+4ewACAADYAwAADgAAAAAAAAABACAAAAAnAQAAZHJz&#10;L2Uyb0RvYy54bWxQSwUGAAAAAAYABgBZAQAAmQ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签订工程质量保修书</w:t>
                      </w:r>
                    </w:p>
                  </w:txbxContent>
                </v:textbox>
              </v:shape>
            </w:pict>
          </mc:Fallback>
        </mc:AlternateContent>
      </w:r>
      <w:r>
        <w:rPr>
          <w:rFonts w:hint="eastAsia" w:ascii="宋体" w:hAnsi="宋体" w:cs="宋体"/>
          <w:b/>
          <w:color w:val="auto"/>
          <w:szCs w:val="21"/>
        </w:rPr>
        <w:t xml:space="preserve">59.7  </w:t>
      </w:r>
      <w:r>
        <w:rPr>
          <w:rFonts w:hint="eastAsia" w:ascii="宋体" w:hAnsi="宋体" w:cs="宋体"/>
          <w:b/>
          <w:color w:val="auto"/>
          <w:szCs w:val="21"/>
          <w:u w:val="dotted"/>
        </w:rPr>
        <w:t xml:space="preserve">                                                                            </w:t>
      </w:r>
    </w:p>
    <w:p>
      <w:pPr>
        <w:adjustRightInd w:val="0"/>
        <w:snapToGrid w:val="0"/>
        <w:spacing w:line="360" w:lineRule="auto"/>
        <w:ind w:left="1619" w:leftChars="771"/>
        <w:rPr>
          <w:rFonts w:ascii="宋体" w:hAnsi="宋体" w:cs="宋体"/>
          <w:color w:val="auto"/>
          <w:kern w:val="0"/>
          <w:szCs w:val="21"/>
        </w:rPr>
      </w:pPr>
      <w:r>
        <w:rPr>
          <w:rFonts w:hint="eastAsia" w:ascii="宋体" w:hAnsi="宋体" w:cs="宋体"/>
          <w:color w:val="auto"/>
          <w:kern w:val="0"/>
          <w:szCs w:val="21"/>
        </w:rPr>
        <w:t>合同双方当事人应根据法律的有关规定，在承包人向发包人提交竣工验收申请报告前，共同签署合同工程质量保修书，作为本合同的附件。工程质量保修书应具体明确质量保修范围、期限、责任和费用等事项。</w:t>
      </w:r>
    </w:p>
    <w:p>
      <w:pPr>
        <w:adjustRightInd w:val="0"/>
        <w:snapToGrid w:val="0"/>
        <w:spacing w:line="480" w:lineRule="auto"/>
        <w:rPr>
          <w:rFonts w:ascii="宋体" w:hAnsi="宋体" w:cs="宋体"/>
          <w:color w:val="auto"/>
          <w:szCs w:val="21"/>
        </w:rPr>
      </w:pPr>
      <w:r>
        <w:rPr>
          <w:rFonts w:ascii="宋体" w:hAnsi="宋体" w:cs="宋体"/>
          <w:color w:val="auto"/>
          <w:szCs w:val="21"/>
        </w:rPr>
        <mc:AlternateContent>
          <mc:Choice Requires="wps">
            <w:drawing>
              <wp:anchor distT="0" distB="0" distL="114300" distR="114300" simplePos="0" relativeHeight="251976704" behindDoc="0" locked="0" layoutInCell="1" allowOverlap="1">
                <wp:simplePos x="0" y="0"/>
                <wp:positionH relativeFrom="column">
                  <wp:posOffset>-114300</wp:posOffset>
                </wp:positionH>
                <wp:positionV relativeFrom="paragraph">
                  <wp:posOffset>287020</wp:posOffset>
                </wp:positionV>
                <wp:extent cx="967740" cy="429895"/>
                <wp:effectExtent l="0" t="0" r="0" b="0"/>
                <wp:wrapNone/>
                <wp:docPr id="149" name="文本框 149"/>
                <wp:cNvGraphicFramePr/>
                <a:graphic xmlns:a="http://schemas.openxmlformats.org/drawingml/2006/main">
                  <a:graphicData uri="http://schemas.microsoft.com/office/word/2010/wordprocessingShape">
                    <wps:wsp>
                      <wps:cNvSpPr txBox="1">
                        <a:spLocks noChangeArrowheads="1"/>
                      </wps:cNvSpPr>
                      <wps:spPr bwMode="auto">
                        <a:xfrm>
                          <a:off x="0" y="0"/>
                          <a:ext cx="967740" cy="42989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质量保修期计算</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2.6pt;height:33.85pt;width:76.2pt;z-index:251976704;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cWb+ndgAAAAKAQAADwAAAAAAAAABACAAAAAiAAAAZHJzL2Rv&#10;d25yZXYueG1sUEsBAhQAFAAAAAgAh07iQNEMYLABAgAA2AMAAA4AAAAAAAAAAQAgAAAAJwEAAGRy&#10;cy9lMm9Eb2MueG1sUEsFBgAAAAAGAAYAWQEAAJoF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质量保修期计算</w:t>
                      </w:r>
                    </w:p>
                  </w:txbxContent>
                </v:textbox>
              </v:shape>
            </w:pict>
          </mc:Fallback>
        </mc:AlternateContent>
      </w:r>
      <w:r>
        <w:rPr>
          <w:rFonts w:hint="eastAsia" w:ascii="宋体" w:hAnsi="宋体" w:cs="宋体"/>
          <w:b/>
          <w:color w:val="auto"/>
          <w:szCs w:val="21"/>
        </w:rPr>
        <w:t xml:space="preserve">59.8 </w:t>
      </w:r>
      <w:r>
        <w:rPr>
          <w:rFonts w:hint="eastAsia" w:ascii="宋体" w:hAnsi="宋体" w:cs="宋体"/>
          <w:color w:val="auto"/>
          <w:szCs w:val="21"/>
        </w:rPr>
        <w:t xml:space="preserve"> </w:t>
      </w:r>
      <w:r>
        <w:rPr>
          <w:rFonts w:hint="eastAsia" w:ascii="宋体" w:hAnsi="宋体" w:cs="宋体"/>
          <w:color w:val="auto"/>
          <w:szCs w:val="21"/>
          <w:u w:val="dotted"/>
        </w:rPr>
        <w:t xml:space="preserve">                                                                            </w:t>
      </w:r>
    </w:p>
    <w:p>
      <w:pPr>
        <w:spacing w:line="360" w:lineRule="auto"/>
        <w:ind w:left="1619" w:leftChars="771"/>
        <w:rPr>
          <w:rFonts w:ascii="宋体" w:hAnsi="宋体" w:cs="宋体"/>
          <w:color w:val="auto"/>
          <w:szCs w:val="21"/>
        </w:rPr>
      </w:pPr>
      <w:r>
        <w:rPr>
          <w:rFonts w:hint="eastAsia" w:ascii="宋体" w:hAnsi="宋体" w:cs="宋体"/>
          <w:color w:val="auto"/>
          <w:szCs w:val="21"/>
        </w:rPr>
        <w:t>合同双方当事人应在专用条款和合同工程质量保修书中约定质量保修期。</w:t>
      </w:r>
    </w:p>
    <w:p>
      <w:pPr>
        <w:spacing w:line="360" w:lineRule="auto"/>
        <w:ind w:left="1619" w:leftChars="771"/>
        <w:rPr>
          <w:rFonts w:ascii="宋体" w:hAnsi="宋体" w:cs="宋体"/>
          <w:color w:val="auto"/>
          <w:szCs w:val="21"/>
        </w:rPr>
      </w:pPr>
      <w:r>
        <w:rPr>
          <w:rFonts w:hint="eastAsia" w:ascii="宋体" w:hAnsi="宋体" w:cs="宋体"/>
          <w:color w:val="auto"/>
          <w:szCs w:val="21"/>
        </w:rPr>
        <w:t>质量保修期自实际竣工之日起计算。在全部工程竣工验收前，已经发包人提前验收的单位工程，其质量保修期的起算日期相应提前。</w:t>
      </w:r>
    </w:p>
    <w:p>
      <w:pPr>
        <w:tabs>
          <w:tab w:val="left" w:pos="360"/>
          <w:tab w:val="left" w:pos="900"/>
        </w:tabs>
        <w:adjustRightInd w:val="0"/>
        <w:snapToGrid w:val="0"/>
        <w:spacing w:line="480" w:lineRule="auto"/>
        <w:rPr>
          <w:rFonts w:ascii="宋体" w:hAnsi="宋体" w:cs="宋体"/>
          <w:b/>
          <w:color w:val="auto"/>
          <w:szCs w:val="21"/>
          <w:u w:val="dotted"/>
        </w:rPr>
      </w:pPr>
      <w:r>
        <w:rPr>
          <w:rFonts w:hint="eastAsia" w:ascii="宋体" w:hAnsi="宋体" w:cs="宋体"/>
          <w:b/>
          <w:color w:val="auto"/>
          <w:szCs w:val="21"/>
        </w:rPr>
        <w:t xml:space="preserve">59.9  </w:t>
      </w:r>
      <w:r>
        <w:rPr>
          <w:rFonts w:hint="eastAsia" w:ascii="宋体" w:hAnsi="宋体" w:cs="宋体"/>
          <w:b/>
          <w:color w:val="auto"/>
          <w:szCs w:val="21"/>
          <w:u w:val="dotted"/>
        </w:rPr>
        <w:t xml:space="preserve">                                                                                                        </w:t>
      </w:r>
    </w:p>
    <w:p>
      <w:pPr>
        <w:adjustRightInd w:val="0"/>
        <w:snapToGrid w:val="0"/>
        <w:spacing w:line="360" w:lineRule="auto"/>
        <w:ind w:left="1619" w:leftChars="771"/>
        <w:rPr>
          <w:rFonts w:ascii="宋体" w:hAnsi="宋体" w:cs="宋体"/>
          <w:color w:val="auto"/>
          <w:szCs w:val="21"/>
        </w:rPr>
      </w:pPr>
      <w:r>
        <w:rPr>
          <w:rFonts w:ascii="宋体" w:hAnsi="宋体" w:cs="宋体"/>
          <w:color w:val="auto"/>
          <w:szCs w:val="21"/>
        </w:rPr>
        <mc:AlternateContent>
          <mc:Choice Requires="wps">
            <w:drawing>
              <wp:anchor distT="0" distB="0" distL="114300" distR="114300" simplePos="0" relativeHeight="251820032" behindDoc="0" locked="0" layoutInCell="1" allowOverlap="1">
                <wp:simplePos x="0" y="0"/>
                <wp:positionH relativeFrom="column">
                  <wp:posOffset>-73660</wp:posOffset>
                </wp:positionH>
                <wp:positionV relativeFrom="paragraph">
                  <wp:posOffset>15240</wp:posOffset>
                </wp:positionV>
                <wp:extent cx="988060" cy="365760"/>
                <wp:effectExtent l="0" t="0" r="0" b="0"/>
                <wp:wrapNone/>
                <wp:docPr id="148" name="文本框 148"/>
                <wp:cNvGraphicFramePr/>
                <a:graphic xmlns:a="http://schemas.openxmlformats.org/drawingml/2006/main">
                  <a:graphicData uri="http://schemas.microsoft.com/office/word/2010/wordprocessingShape">
                    <wps:wsp>
                      <wps:cNvSpPr txBox="1">
                        <a:spLocks noChangeArrowheads="1"/>
                      </wps:cNvSpPr>
                      <wps:spPr bwMode="auto">
                        <a:xfrm>
                          <a:off x="0" y="0"/>
                          <a:ext cx="988060" cy="365760"/>
                        </a:xfrm>
                        <a:prstGeom prst="rect">
                          <a:avLst/>
                        </a:prstGeom>
                        <a:noFill/>
                        <a:ln>
                          <a:noFill/>
                        </a:ln>
                        <a:effectLst/>
                      </wps:spPr>
                      <wps:txbx>
                        <w:txbxContent>
                          <w:p>
                            <w:pPr>
                              <w:rPr>
                                <w:rFonts w:ascii="楷体_GB2312" w:hAnsi="宋体"/>
                                <w:sz w:val="18"/>
                                <w:szCs w:val="18"/>
                              </w:rPr>
                            </w:pPr>
                            <w:r>
                              <w:rPr>
                                <w:rFonts w:hint="eastAsia" w:ascii="楷体_GB2312" w:hAnsi="宋体"/>
                                <w:b/>
                                <w:color w:val="000000"/>
                                <w:sz w:val="18"/>
                                <w:szCs w:val="18"/>
                              </w:rPr>
                              <w:t>工程质量保修</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8pt;margin-top:1.2pt;height:28.8pt;width:77.8pt;z-index:251820032;mso-width-relative:page;mso-height-relative:page;" filled="f" stroked="f" coordsize="21600,21600" o:gfxdata="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NWKJQ7VAAAACAEAAA8AAAAAAAAAAQAgAAAAIgAAAGRycy9kb3ducmV2&#10;LnhtbFBLAQIUABQAAAAIAIdO4kBGNOOr/wEAANgDAAAOAAAAAAAAAAEAIAAAACQBAABkcnMvZTJv&#10;RG9jLnhtbFBLBQYAAAAABgAGAFkBAACVBQAAAAA=&#10;">
                <v:fill on="f" focussize="0,0"/>
                <v:stroke on="f"/>
                <v:imagedata o:title=""/>
                <o:lock v:ext="edit" aspectratio="f"/>
                <v:textbox>
                  <w:txbxContent>
                    <w:p>
                      <w:pPr>
                        <w:rPr>
                          <w:rFonts w:ascii="楷体_GB2312" w:hAnsi="宋体"/>
                          <w:sz w:val="18"/>
                          <w:szCs w:val="18"/>
                        </w:rPr>
                      </w:pPr>
                      <w:r>
                        <w:rPr>
                          <w:rFonts w:hint="eastAsia" w:ascii="楷体_GB2312" w:hAnsi="宋体"/>
                          <w:b/>
                          <w:color w:val="000000"/>
                          <w:sz w:val="18"/>
                          <w:szCs w:val="18"/>
                        </w:rPr>
                        <w:t>工程质量保修</w:t>
                      </w:r>
                    </w:p>
                  </w:txbxContent>
                </v:textbox>
              </v:shape>
            </w:pict>
          </mc:Fallback>
        </mc:AlternateContent>
      </w:r>
      <w:r>
        <w:rPr>
          <w:rFonts w:hint="eastAsia" w:ascii="宋体" w:hAnsi="宋体" w:cs="宋体"/>
          <w:color w:val="auto"/>
          <w:szCs w:val="21"/>
        </w:rPr>
        <w:t>承包人应在质量保修期内对交付发包人使用的合同工程承担质量保修责任。合同工程出现质量问题的，承包人应立即实施保修；承包人保修工作完成后，发包人应及时组织验收。发生紧急抢修事故的，承包人应在接到通知后立即到达事故现场抢修。</w:t>
      </w:r>
    </w:p>
    <w:p>
      <w:pPr>
        <w:adjustRightInd w:val="0"/>
        <w:snapToGrid w:val="0"/>
        <w:spacing w:line="480" w:lineRule="auto"/>
        <w:rPr>
          <w:rFonts w:ascii="宋体" w:hAnsi="宋体" w:cs="宋体"/>
          <w:color w:val="auto"/>
          <w:szCs w:val="21"/>
          <w:u w:val="dotted"/>
        </w:rPr>
      </w:pPr>
      <w:r>
        <w:rPr>
          <w:rFonts w:ascii="宋体" w:hAnsi="宋体" w:cs="宋体"/>
          <w:color w:val="auto"/>
          <w:szCs w:val="21"/>
        </w:rPr>
        <mc:AlternateContent>
          <mc:Choice Requires="wps">
            <w:drawing>
              <wp:anchor distT="0" distB="0" distL="114300" distR="114300" simplePos="0" relativeHeight="251821056" behindDoc="0" locked="0" layoutInCell="1" allowOverlap="1">
                <wp:simplePos x="0" y="0"/>
                <wp:positionH relativeFrom="column">
                  <wp:posOffset>-66675</wp:posOffset>
                </wp:positionH>
                <wp:positionV relativeFrom="paragraph">
                  <wp:posOffset>198120</wp:posOffset>
                </wp:positionV>
                <wp:extent cx="959485" cy="513080"/>
                <wp:effectExtent l="0" t="0" r="0" b="0"/>
                <wp:wrapNone/>
                <wp:docPr id="147" name="文本框 147"/>
                <wp:cNvGraphicFramePr/>
                <a:graphic xmlns:a="http://schemas.openxmlformats.org/drawingml/2006/main">
                  <a:graphicData uri="http://schemas.microsoft.com/office/word/2010/wordprocessingShape">
                    <wps:wsp>
                      <wps:cNvSpPr txBox="1">
                        <a:spLocks noChangeArrowheads="1"/>
                      </wps:cNvSpPr>
                      <wps:spPr bwMode="auto">
                        <a:xfrm>
                          <a:off x="0" y="0"/>
                          <a:ext cx="959485" cy="513080"/>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修复质量缺陷以外的费用</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25pt;margin-top:15.6pt;height:40.4pt;width:75.55pt;z-index:251821056;mso-width-relative:page;mso-height-relative:page;" filled="f" stroked="f" coordsize="21600,21600" o:gfxdata="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j1AXw9cAAAAKAQAADwAAAAAAAAABACAAAAAiAAAAZHJzL2Rv&#10;d25yZXYueG1sUEsBAhQAFAAAAAgAh07iQIpKM70CAgAA2AMAAA4AAAAAAAAAAQAgAAAAJgEAAGRy&#10;cy9lMm9Eb2MueG1sUEsFBgAAAAAGAAYAWQEAAJoFA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修复质量缺陷以外的费用</w:t>
                      </w:r>
                    </w:p>
                  </w:txbxContent>
                </v:textbox>
              </v:shape>
            </w:pict>
          </mc:Fallback>
        </mc:AlternateContent>
      </w:r>
      <w:r>
        <w:rPr>
          <w:rFonts w:hint="eastAsia" w:ascii="宋体" w:hAnsi="宋体" w:cs="宋体"/>
          <w:b/>
          <w:color w:val="auto"/>
          <w:szCs w:val="21"/>
        </w:rPr>
        <w:t xml:space="preserve">59.10 </w:t>
      </w:r>
      <w:r>
        <w:rPr>
          <w:rFonts w:hint="eastAsia" w:ascii="宋体" w:hAnsi="宋体" w:cs="宋体"/>
          <w:color w:val="auto"/>
          <w:szCs w:val="21"/>
        </w:rPr>
        <w:t xml:space="preserve"> </w:t>
      </w:r>
      <w:r>
        <w:rPr>
          <w:rFonts w:hint="eastAsia" w:ascii="宋体" w:hAnsi="宋体" w:cs="宋体"/>
          <w:color w:val="auto"/>
          <w:szCs w:val="21"/>
          <w:u w:val="dotted"/>
        </w:rPr>
        <w:t xml:space="preserve">                                                                                                        </w:t>
      </w:r>
    </w:p>
    <w:p>
      <w:pPr>
        <w:adjustRightInd w:val="0"/>
        <w:snapToGrid w:val="0"/>
        <w:spacing w:line="360" w:lineRule="auto"/>
        <w:ind w:firstLine="1377" w:firstLineChars="656"/>
        <w:rPr>
          <w:rFonts w:ascii="宋体" w:hAnsi="宋体" w:cs="宋体"/>
          <w:color w:val="auto"/>
          <w:szCs w:val="21"/>
        </w:rPr>
      </w:pPr>
      <w:r>
        <w:rPr>
          <w:rFonts w:hint="eastAsia" w:ascii="宋体" w:hAnsi="宋体" w:cs="宋体"/>
          <w:color w:val="auto"/>
          <w:szCs w:val="21"/>
        </w:rPr>
        <w:t>承包人修复属于质量缺陷以外的费用，由责任方承担。</w:t>
      </w:r>
    </w:p>
    <w:p>
      <w:pPr>
        <w:adjustRightInd w:val="0"/>
        <w:snapToGrid w:val="0"/>
        <w:spacing w:line="360" w:lineRule="auto"/>
        <w:rPr>
          <w:rFonts w:ascii="宋体" w:hAnsi="宋体" w:cs="宋体"/>
          <w:color w:val="auto"/>
          <w:sz w:val="24"/>
          <w:szCs w:val="18"/>
          <w:u w:val="single"/>
        </w:rPr>
      </w:pPr>
      <w:r>
        <w:rPr>
          <w:rFonts w:hint="eastAsia" w:ascii="宋体" w:hAnsi="宋体" w:cs="宋体"/>
          <w:b/>
          <w:color w:val="auto"/>
          <w:szCs w:val="21"/>
          <w:u w:val="single"/>
        </w:rPr>
        <w:t xml:space="preserve">                                                                                 </w:t>
      </w:r>
      <w:r>
        <w:rPr>
          <w:rFonts w:hint="eastAsia" w:ascii="宋体" w:hAnsi="宋体" w:cs="宋体"/>
          <w:color w:val="auto"/>
          <w:szCs w:val="21"/>
          <w:u w:val="single"/>
        </w:rPr>
        <w:t xml:space="preserve">   </w:t>
      </w:r>
      <w:r>
        <w:rPr>
          <w:rFonts w:hint="eastAsia" w:ascii="宋体" w:hAnsi="宋体" w:cs="宋体"/>
          <w:color w:val="auto"/>
          <w:sz w:val="24"/>
          <w:szCs w:val="18"/>
          <w:u w:val="single"/>
        </w:rPr>
        <w:t xml:space="preserve">  </w:t>
      </w:r>
    </w:p>
    <w:p>
      <w:pPr>
        <w:tabs>
          <w:tab w:val="left" w:pos="1620"/>
        </w:tabs>
        <w:adjustRightInd w:val="0"/>
        <w:snapToGrid w:val="0"/>
        <w:spacing w:line="360" w:lineRule="auto"/>
        <w:outlineLvl w:val="1"/>
        <w:rPr>
          <w:rFonts w:ascii="宋体" w:hAnsi="宋体" w:cs="宋体"/>
          <w:b/>
          <w:color w:val="auto"/>
          <w:sz w:val="32"/>
          <w:szCs w:val="28"/>
        </w:rPr>
      </w:pPr>
      <w:r>
        <w:rPr>
          <w:rFonts w:hint="eastAsia" w:ascii="宋体" w:hAnsi="宋体" w:cs="宋体"/>
          <w:color w:val="auto"/>
          <w:sz w:val="24"/>
          <w:szCs w:val="28"/>
        </w:rPr>
        <w:t xml:space="preserve">                                 </w:t>
      </w:r>
      <w:r>
        <w:rPr>
          <w:rFonts w:hint="eastAsia" w:ascii="宋体" w:hAnsi="宋体" w:cs="宋体"/>
          <w:b/>
          <w:color w:val="auto"/>
          <w:sz w:val="32"/>
          <w:szCs w:val="28"/>
        </w:rPr>
        <w:t>六、造  价</w:t>
      </w:r>
    </w:p>
    <w:p>
      <w:pPr>
        <w:tabs>
          <w:tab w:val="left" w:pos="1620"/>
        </w:tabs>
        <w:adjustRightInd w:val="0"/>
        <w:snapToGrid w:val="0"/>
        <w:spacing w:line="360" w:lineRule="auto"/>
        <w:ind w:firstLine="4006" w:firstLineChars="1247"/>
        <w:outlineLvl w:val="1"/>
        <w:rPr>
          <w:rFonts w:ascii="宋体" w:hAnsi="宋体" w:cs="宋体"/>
          <w:b/>
          <w:color w:val="auto"/>
          <w:sz w:val="32"/>
          <w:szCs w:val="28"/>
        </w:rPr>
      </w:pPr>
    </w:p>
    <w:p>
      <w:pPr>
        <w:tabs>
          <w:tab w:val="left" w:pos="1620"/>
        </w:tabs>
        <w:adjustRightInd w:val="0"/>
        <w:snapToGrid w:val="0"/>
        <w:spacing w:line="360" w:lineRule="auto"/>
        <w:outlineLvl w:val="1"/>
        <w:rPr>
          <w:rFonts w:ascii="宋体" w:hAnsi="宋体" w:cs="宋体"/>
          <w:b/>
          <w:color w:val="auto"/>
          <w:szCs w:val="21"/>
        </w:rPr>
      </w:pPr>
      <w:r>
        <w:rPr>
          <w:rFonts w:hint="eastAsia" w:ascii="宋体" w:hAnsi="宋体" w:cs="宋体"/>
          <w:b/>
          <w:color w:val="auto"/>
          <w:szCs w:val="21"/>
        </w:rPr>
        <w:t>60  资金计划和安排</w:t>
      </w:r>
    </w:p>
    <w:p>
      <w:pPr>
        <w:adjustRightInd w:val="0"/>
        <w:snapToGrid w:val="0"/>
        <w:spacing w:line="360" w:lineRule="auto"/>
        <w:rPr>
          <w:rFonts w:ascii="宋体" w:hAnsi="宋体" w:cs="宋体"/>
          <w:b/>
          <w:color w:val="auto"/>
          <w:kern w:val="0"/>
          <w:szCs w:val="21"/>
        </w:rPr>
      </w:pPr>
      <w:r>
        <w:rPr>
          <w:rFonts w:hint="eastAsia" w:ascii="宋体" w:hAnsi="宋体" w:cs="宋体"/>
          <w:b/>
          <w:color w:val="auto"/>
          <w:kern w:val="0"/>
          <w:szCs w:val="21"/>
        </w:rPr>
        <w:t>60.1</w:t>
      </w:r>
    </w:p>
    <w:p>
      <w:pPr>
        <w:adjustRightInd w:val="0"/>
        <w:snapToGrid w:val="0"/>
        <w:spacing w:line="360" w:lineRule="auto"/>
        <w:ind w:left="1579" w:leftChars="752"/>
        <w:rPr>
          <w:rFonts w:ascii="宋体" w:hAnsi="宋体" w:cs="宋体"/>
          <w:b/>
          <w:color w:val="auto"/>
          <w:kern w:val="0"/>
          <w:szCs w:val="21"/>
        </w:rPr>
      </w:pPr>
      <w:r>
        <w:rPr>
          <w:rFonts w:ascii="宋体" w:hAnsi="宋体" w:cs="宋体"/>
          <w:color w:val="auto"/>
          <w:kern w:val="0"/>
          <w:szCs w:val="21"/>
        </w:rPr>
        <mc:AlternateContent>
          <mc:Choice Requires="wps">
            <w:drawing>
              <wp:anchor distT="0" distB="0" distL="114300" distR="114300" simplePos="0" relativeHeight="251822080" behindDoc="0" locked="0" layoutInCell="1" allowOverlap="1">
                <wp:simplePos x="0" y="0"/>
                <wp:positionH relativeFrom="column">
                  <wp:posOffset>-133350</wp:posOffset>
                </wp:positionH>
                <wp:positionV relativeFrom="paragraph">
                  <wp:posOffset>68580</wp:posOffset>
                </wp:positionV>
                <wp:extent cx="914400" cy="431800"/>
                <wp:effectExtent l="0" t="0" r="0" b="0"/>
                <wp:wrapNone/>
                <wp:docPr id="146" name="文本框 146"/>
                <wp:cNvGraphicFramePr/>
                <a:graphic xmlns:a="http://schemas.openxmlformats.org/drawingml/2006/main">
                  <a:graphicData uri="http://schemas.microsoft.com/office/word/2010/wordprocessingShape">
                    <wps:wsp>
                      <wps:cNvSpPr txBox="1">
                        <a:spLocks noChangeArrowheads="1"/>
                      </wps:cNvSpPr>
                      <wps:spPr bwMode="auto">
                        <a:xfrm>
                          <a:off x="0" y="0"/>
                          <a:ext cx="914400" cy="431800"/>
                        </a:xfrm>
                        <a:prstGeom prst="rect">
                          <a:avLst/>
                        </a:prstGeom>
                        <a:noFill/>
                        <a:ln>
                          <a:noFill/>
                        </a:ln>
                        <a:effectLst/>
                      </wps:spPr>
                      <wps:txbx>
                        <w:txbxContent>
                          <w:p>
                            <w:pPr>
                              <w:pStyle w:val="35"/>
                              <w:spacing w:line="220" w:lineRule="exact"/>
                              <w:rPr>
                                <w:rFonts w:ascii="楷体_GB2312" w:hAnsi="宋体"/>
                                <w:b/>
                                <w:bCs/>
                                <w:sz w:val="18"/>
                                <w:szCs w:val="18"/>
                              </w:rPr>
                            </w:pPr>
                            <w:r>
                              <w:rPr>
                                <w:rFonts w:hint="eastAsia" w:ascii="楷体_GB2312" w:hAnsi="宋体"/>
                                <w:b/>
                                <w:bCs/>
                                <w:sz w:val="18"/>
                                <w:szCs w:val="18"/>
                              </w:rPr>
                              <w:t>承包人提交资金需求计划书</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0.5pt;margin-top:5.4pt;height:34pt;width:72pt;z-index:251822080;mso-width-relative:page;mso-height-relative:page;" filled="f" stroked="f" coordsize="21600,21600" o:gfxdata="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NkL/c/WAAAACQEAAA8AAAAAAAAAAQAgAAAAIgAAAGRycy9kb3ducmV2&#10;LnhtbFBLAQIUABQAAAAIAIdO4kDjc1e1/gEAANgDAAAOAAAAAAAAAAEAIAAAACUBAABkcnMvZTJv&#10;RG9jLnhtbFBLBQYAAAAABgAGAFkBAACVBQAAAAA=&#10;">
                <v:fill on="f" focussize="0,0"/>
                <v:stroke on="f"/>
                <v:imagedata o:title=""/>
                <o:lock v:ext="edit" aspectratio="f"/>
                <v:textbox>
                  <w:txbxContent>
                    <w:p>
                      <w:pPr>
                        <w:pStyle w:val="35"/>
                        <w:spacing w:line="220" w:lineRule="exact"/>
                        <w:rPr>
                          <w:rFonts w:ascii="楷体_GB2312" w:hAnsi="宋体"/>
                          <w:b/>
                          <w:bCs/>
                          <w:sz w:val="18"/>
                          <w:szCs w:val="18"/>
                        </w:rPr>
                      </w:pPr>
                      <w:r>
                        <w:rPr>
                          <w:rFonts w:hint="eastAsia" w:ascii="楷体_GB2312" w:hAnsi="宋体"/>
                          <w:b/>
                          <w:bCs/>
                          <w:sz w:val="18"/>
                          <w:szCs w:val="18"/>
                        </w:rPr>
                        <w:t>承包人提交资金需求计划书</w:t>
                      </w:r>
                    </w:p>
                  </w:txbxContent>
                </v:textbox>
              </v:shape>
            </w:pict>
          </mc:Fallback>
        </mc:AlternateContent>
      </w:r>
      <w:r>
        <w:rPr>
          <w:rFonts w:hint="eastAsia" w:ascii="宋体" w:hAnsi="宋体" w:cs="宋体"/>
          <w:color w:val="auto"/>
          <w:kern w:val="0"/>
          <w:szCs w:val="21"/>
        </w:rPr>
        <w:t>工程进度计划被批准后，承包人应向发包人提交一份合同工程资金需求计划书；工程进度计划更新后，承包人应及时向发包人提交一份更新后的工程资金需求计划书。</w:t>
      </w:r>
    </w:p>
    <w:p>
      <w:pPr>
        <w:adjustRightInd w:val="0"/>
        <w:snapToGrid w:val="0"/>
        <w:ind w:left="1417" w:leftChars="1" w:hanging="1415" w:hangingChars="671"/>
        <w:rPr>
          <w:rFonts w:ascii="宋体" w:hAnsi="宋体" w:cs="宋体"/>
          <w:b/>
          <w:color w:val="auto"/>
          <w:kern w:val="0"/>
          <w:szCs w:val="21"/>
        </w:rPr>
      </w:pPr>
      <w:r>
        <w:rPr>
          <w:rFonts w:hint="eastAsia" w:ascii="宋体" w:hAnsi="宋体" w:cs="宋体"/>
          <w:b/>
          <w:color w:val="auto"/>
          <w:kern w:val="0"/>
          <w:szCs w:val="21"/>
        </w:rPr>
        <w:t xml:space="preserve">60.2  </w:t>
      </w:r>
      <w:r>
        <w:rPr>
          <w:rFonts w:hint="eastAsia" w:ascii="宋体" w:hAnsi="宋体" w:cs="宋体"/>
          <w:b/>
          <w:color w:val="auto"/>
          <w:kern w:val="0"/>
          <w:szCs w:val="21"/>
          <w:u w:val="dotted"/>
        </w:rPr>
        <w:t xml:space="preserve">                                                                                                        </w:t>
      </w:r>
    </w:p>
    <w:p>
      <w:pPr>
        <w:adjustRightInd w:val="0"/>
        <w:snapToGrid w:val="0"/>
        <w:spacing w:line="360" w:lineRule="auto"/>
        <w:ind w:left="1619" w:leftChars="771"/>
        <w:rPr>
          <w:rFonts w:ascii="宋体" w:hAnsi="宋体" w:cs="宋体"/>
          <w:color w:val="auto"/>
          <w:kern w:val="0"/>
          <w:szCs w:val="21"/>
        </w:rPr>
      </w:pPr>
      <w:r>
        <w:rPr>
          <w:rFonts w:ascii="宋体" w:hAnsi="宋体" w:cs="宋体"/>
          <w:color w:val="auto"/>
          <w:kern w:val="0"/>
          <w:szCs w:val="21"/>
        </w:rPr>
        <mc:AlternateContent>
          <mc:Choice Requires="wps">
            <w:drawing>
              <wp:anchor distT="0" distB="0" distL="114300" distR="114300" simplePos="0" relativeHeight="251823104" behindDoc="0" locked="0" layoutInCell="1" allowOverlap="1">
                <wp:simplePos x="0" y="0"/>
                <wp:positionH relativeFrom="column">
                  <wp:posOffset>-114300</wp:posOffset>
                </wp:positionH>
                <wp:positionV relativeFrom="paragraph">
                  <wp:posOffset>34290</wp:posOffset>
                </wp:positionV>
                <wp:extent cx="914400" cy="464820"/>
                <wp:effectExtent l="0" t="0" r="0" b="0"/>
                <wp:wrapNone/>
                <wp:docPr id="145" name="文本框 145"/>
                <wp:cNvGraphicFramePr/>
                <a:graphic xmlns:a="http://schemas.openxmlformats.org/drawingml/2006/main">
                  <a:graphicData uri="http://schemas.microsoft.com/office/word/2010/wordprocessingShape">
                    <wps:wsp>
                      <wps:cNvSpPr txBox="1">
                        <a:spLocks noChangeArrowheads="1"/>
                      </wps:cNvSpPr>
                      <wps:spPr bwMode="auto">
                        <a:xfrm>
                          <a:off x="0" y="0"/>
                          <a:ext cx="914400" cy="464820"/>
                        </a:xfrm>
                        <a:prstGeom prst="rect">
                          <a:avLst/>
                        </a:prstGeom>
                        <a:noFill/>
                        <a:ln>
                          <a:noFill/>
                        </a:ln>
                        <a:effectLst/>
                      </wps:spPr>
                      <wps:txbx>
                        <w:txbxContent>
                          <w:p>
                            <w:pPr>
                              <w:pStyle w:val="35"/>
                              <w:spacing w:line="220" w:lineRule="exact"/>
                              <w:rPr>
                                <w:rFonts w:ascii="楷体_GB2312" w:hAnsi="宋体"/>
                                <w:b/>
                                <w:bCs/>
                                <w:sz w:val="18"/>
                                <w:szCs w:val="18"/>
                              </w:rPr>
                            </w:pPr>
                            <w:r>
                              <w:rPr>
                                <w:rFonts w:hint="eastAsia" w:ascii="楷体_GB2312" w:hAnsi="宋体"/>
                                <w:b/>
                                <w:bCs/>
                                <w:sz w:val="18"/>
                                <w:szCs w:val="18"/>
                              </w:rPr>
                              <w:t>发包人提供资金安排证据</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7pt;height:36.6pt;width:72pt;z-index:251823104;mso-width-relative:page;mso-height-relative:page;" filled="f" stroked="f" coordsize="21600,21600" o:gfxdata="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P5awd7VAAAACAEAAA8AAAAAAAAAAQAgAAAAIgAAAGRycy9kb3ducmV2&#10;LnhtbFBLAQIUABQAAAAIAIdO4kCBYA+9/wEAANgDAAAOAAAAAAAAAAEAIAAAACQBAABkcnMvZTJv&#10;RG9jLnhtbFBLBQYAAAAABgAGAFkBAACVBQAAAAA=&#10;">
                <v:fill on="f" focussize="0,0"/>
                <v:stroke on="f"/>
                <v:imagedata o:title=""/>
                <o:lock v:ext="edit" aspectratio="f"/>
                <v:textbox>
                  <w:txbxContent>
                    <w:p>
                      <w:pPr>
                        <w:pStyle w:val="35"/>
                        <w:spacing w:line="220" w:lineRule="exact"/>
                        <w:rPr>
                          <w:rFonts w:ascii="楷体_GB2312" w:hAnsi="宋体"/>
                          <w:b/>
                          <w:bCs/>
                          <w:sz w:val="18"/>
                          <w:szCs w:val="18"/>
                        </w:rPr>
                      </w:pPr>
                      <w:r>
                        <w:rPr>
                          <w:rFonts w:hint="eastAsia" w:ascii="楷体_GB2312" w:hAnsi="宋体"/>
                          <w:b/>
                          <w:bCs/>
                          <w:sz w:val="18"/>
                          <w:szCs w:val="18"/>
                        </w:rPr>
                        <w:t>发包人提供资金安排证据</w:t>
                      </w:r>
                    </w:p>
                  </w:txbxContent>
                </v:textbox>
              </v:shape>
            </w:pict>
          </mc:Fallback>
        </mc:AlternateContent>
      </w:r>
      <w:r>
        <w:rPr>
          <w:rFonts w:hint="eastAsia" w:ascii="宋体" w:hAnsi="宋体" w:cs="宋体"/>
          <w:color w:val="auto"/>
          <w:kern w:val="0"/>
          <w:szCs w:val="21"/>
        </w:rPr>
        <w:t>发包人在收到承包人提交的工程资金需求计划书后28天内，应根据合同约定提供已做出资金安排的合理证据，表明自己有能力按照第78条规定支付合同价款。如果发包人对资金安排作出任何变更时，应及时将变更的详情通知承包人。</w:t>
      </w:r>
    </w:p>
    <w:p>
      <w:pPr>
        <w:tabs>
          <w:tab w:val="left" w:pos="1800"/>
        </w:tabs>
        <w:adjustRightInd w:val="0"/>
        <w:snapToGrid w:val="0"/>
        <w:spacing w:line="240" w:lineRule="exact"/>
        <w:rPr>
          <w:rFonts w:ascii="宋体" w:hAnsi="宋体" w:cs="宋体"/>
          <w:b/>
          <w:color w:val="auto"/>
          <w:kern w:val="0"/>
          <w:szCs w:val="21"/>
          <w:u w:val="single"/>
        </w:rPr>
      </w:pPr>
      <w:r>
        <w:rPr>
          <w:rFonts w:hint="eastAsia" w:ascii="宋体" w:hAnsi="宋体" w:cs="宋体"/>
          <w:b/>
          <w:color w:val="auto"/>
          <w:kern w:val="0"/>
          <w:szCs w:val="21"/>
          <w:u w:val="single"/>
        </w:rPr>
        <w:t xml:space="preserve">                                                                                                              </w:t>
      </w:r>
    </w:p>
    <w:p>
      <w:pPr>
        <w:tabs>
          <w:tab w:val="left" w:pos="1620"/>
        </w:tabs>
        <w:spacing w:line="240" w:lineRule="exact"/>
        <w:rPr>
          <w:rFonts w:ascii="宋体" w:hAnsi="宋体" w:cs="宋体"/>
          <w:b/>
          <w:color w:val="auto"/>
          <w:szCs w:val="21"/>
        </w:rPr>
      </w:pPr>
    </w:p>
    <w:p>
      <w:pPr>
        <w:tabs>
          <w:tab w:val="left" w:pos="540"/>
        </w:tabs>
        <w:adjustRightInd w:val="0"/>
        <w:snapToGrid w:val="0"/>
        <w:spacing w:beforeLines="100"/>
        <w:ind w:right="-238"/>
        <w:rPr>
          <w:rFonts w:ascii="宋体" w:hAnsi="宋体" w:cs="宋体"/>
          <w:b/>
          <w:color w:val="auto"/>
          <w:kern w:val="0"/>
          <w:szCs w:val="21"/>
        </w:rPr>
      </w:pPr>
      <w:r>
        <w:rPr>
          <w:rFonts w:hint="eastAsia" w:ascii="宋体" w:hAnsi="宋体" w:cs="宋体"/>
          <w:b/>
          <w:color w:val="auto"/>
          <w:kern w:val="0"/>
          <w:szCs w:val="21"/>
        </w:rPr>
        <w:t>61  工程量</w:t>
      </w:r>
    </w:p>
    <w:p>
      <w:pPr>
        <w:adjustRightInd w:val="0"/>
        <w:snapToGrid w:val="0"/>
        <w:spacing w:line="360" w:lineRule="auto"/>
        <w:rPr>
          <w:rFonts w:ascii="宋体" w:hAnsi="宋体" w:cs="宋体"/>
          <w:b/>
          <w:color w:val="auto"/>
          <w:kern w:val="0"/>
          <w:szCs w:val="21"/>
        </w:rPr>
      </w:pPr>
      <w:r>
        <w:rPr>
          <w:rFonts w:hint="eastAsia" w:ascii="宋体" w:hAnsi="宋体" w:cs="宋体"/>
          <w:b/>
          <w:color w:val="auto"/>
          <w:kern w:val="0"/>
          <w:szCs w:val="21"/>
        </w:rPr>
        <w:t>61.1</w:t>
      </w:r>
    </w:p>
    <w:p>
      <w:pPr>
        <w:adjustRightInd w:val="0"/>
        <w:snapToGrid w:val="0"/>
        <w:spacing w:line="360" w:lineRule="auto"/>
        <w:ind w:left="1619" w:leftChars="771"/>
        <w:rPr>
          <w:rFonts w:ascii="宋体" w:hAnsi="宋体" w:cs="宋体"/>
          <w:color w:val="auto"/>
          <w:kern w:val="0"/>
          <w:szCs w:val="21"/>
        </w:rPr>
      </w:pPr>
      <w:r>
        <w:rPr>
          <w:rFonts w:hint="eastAsia" w:ascii="宋体" w:hAnsi="宋体" w:cs="宋体"/>
          <w:color w:val="auto"/>
          <w:kern w:val="0"/>
          <w:szCs w:val="21"/>
        </w:rPr>
        <w:t>除专用条款另有约定外，</w:t>
      </w:r>
      <w:r>
        <w:rPr>
          <w:rFonts w:ascii="宋体" w:hAnsi="宋体" w:cs="宋体"/>
          <w:color w:val="auto"/>
          <w:kern w:val="0"/>
          <w:szCs w:val="21"/>
        </w:rPr>
        <mc:AlternateContent>
          <mc:Choice Requires="wps">
            <w:drawing>
              <wp:anchor distT="0" distB="0" distL="114300" distR="114300" simplePos="0" relativeHeight="251824128" behindDoc="0" locked="0" layoutInCell="1" allowOverlap="1">
                <wp:simplePos x="0" y="0"/>
                <wp:positionH relativeFrom="column">
                  <wp:posOffset>-114300</wp:posOffset>
                </wp:positionH>
                <wp:positionV relativeFrom="paragraph">
                  <wp:posOffset>11430</wp:posOffset>
                </wp:positionV>
                <wp:extent cx="914400" cy="476250"/>
                <wp:effectExtent l="0" t="0" r="0" b="0"/>
                <wp:wrapNone/>
                <wp:docPr id="144" name="文本框 144"/>
                <wp:cNvGraphicFramePr/>
                <a:graphic xmlns:a="http://schemas.openxmlformats.org/drawingml/2006/main">
                  <a:graphicData uri="http://schemas.microsoft.com/office/word/2010/wordprocessingShape">
                    <wps:wsp>
                      <wps:cNvSpPr txBox="1">
                        <a:spLocks noChangeArrowheads="1"/>
                      </wps:cNvSpPr>
                      <wps:spPr bwMode="auto">
                        <a:xfrm>
                          <a:off x="0" y="0"/>
                          <a:ext cx="914400" cy="476250"/>
                        </a:xfrm>
                        <a:prstGeom prst="rect">
                          <a:avLst/>
                        </a:prstGeom>
                        <a:noFill/>
                        <a:ln>
                          <a:noFill/>
                        </a:ln>
                        <a:effectLst/>
                      </wps:spPr>
                      <wps:txbx>
                        <w:txbxContent>
                          <w:p>
                            <w:pPr>
                              <w:pStyle w:val="35"/>
                              <w:spacing w:line="220" w:lineRule="exact"/>
                              <w:rPr>
                                <w:rFonts w:ascii="楷体_GB2312" w:hAnsi="宋体"/>
                                <w:b/>
                                <w:bCs/>
                                <w:sz w:val="18"/>
                                <w:szCs w:val="18"/>
                              </w:rPr>
                            </w:pPr>
                            <w:r>
                              <w:rPr>
                                <w:rFonts w:hint="eastAsia" w:ascii="楷体_GB2312" w:hAnsi="宋体"/>
                                <w:b/>
                                <w:bCs/>
                                <w:sz w:val="18"/>
                                <w:szCs w:val="18"/>
                              </w:rPr>
                              <w:t>清单工程量包括的工作内容</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9pt;height:37.5pt;width:72pt;z-index:251824128;mso-width-relative:page;mso-height-relative:page;" filled="f" stroked="f" coordsize="21600,21600" o:gfxdata="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CbjnddQAAAAIAQAADwAAAAAAAAABACAAAAAiAAAAZHJzL2Rvd25yZXYu&#10;eG1sUEsBAhQAFAAAAAgAh07iQFIECpn/AQAA2AMAAA4AAAAAAAAAAQAgAAAAIwEAAGRycy9lMm9E&#10;b2MueG1sUEsFBgAAAAAGAAYAWQEAAJQFAAAAAA==&#10;">
                <v:fill on="f" focussize="0,0"/>
                <v:stroke on="f"/>
                <v:imagedata o:title=""/>
                <o:lock v:ext="edit" aspectratio="f"/>
                <v:textbox>
                  <w:txbxContent>
                    <w:p>
                      <w:pPr>
                        <w:pStyle w:val="35"/>
                        <w:spacing w:line="220" w:lineRule="exact"/>
                        <w:rPr>
                          <w:rFonts w:ascii="楷体_GB2312" w:hAnsi="宋体"/>
                          <w:b/>
                          <w:bCs/>
                          <w:sz w:val="18"/>
                          <w:szCs w:val="18"/>
                        </w:rPr>
                      </w:pPr>
                      <w:r>
                        <w:rPr>
                          <w:rFonts w:hint="eastAsia" w:ascii="楷体_GB2312" w:hAnsi="宋体"/>
                          <w:b/>
                          <w:bCs/>
                          <w:sz w:val="18"/>
                          <w:szCs w:val="18"/>
                        </w:rPr>
                        <w:t>清单工程量包括的工作内容</w:t>
                      </w:r>
                    </w:p>
                  </w:txbxContent>
                </v:textbox>
              </v:shape>
            </w:pict>
          </mc:Fallback>
        </mc:AlternateContent>
      </w:r>
      <w:r>
        <w:rPr>
          <w:rFonts w:hint="eastAsia" w:ascii="宋体" w:hAnsi="宋体" w:cs="宋体"/>
          <w:color w:val="auto"/>
          <w:kern w:val="0"/>
          <w:szCs w:val="21"/>
        </w:rPr>
        <w:t>工程量清单中开列的工程量应包括由承包人完成合同工程的施工、安装等工作内容。其任何遗漏或错误，既不能使合同无效，也不能免除承包人按照施工设计图纸、标准与规范实施合同工程的任何责任。对于依据施工设计图纸、标准与规范应在工程量清单中计量但未计量的工作，应根据第72条规定确定合同价款的增加额。</w:t>
      </w:r>
    </w:p>
    <w:p>
      <w:pPr>
        <w:adjustRightInd w:val="0"/>
        <w:snapToGrid w:val="0"/>
        <w:rPr>
          <w:rFonts w:ascii="宋体" w:hAnsi="宋体" w:cs="宋体"/>
          <w:b/>
          <w:color w:val="auto"/>
          <w:kern w:val="0"/>
          <w:szCs w:val="21"/>
        </w:rPr>
      </w:pPr>
      <w:r>
        <w:rPr>
          <w:rFonts w:hint="eastAsia" w:ascii="宋体" w:hAnsi="宋体" w:cs="宋体"/>
          <w:b/>
          <w:color w:val="auto"/>
          <w:kern w:val="0"/>
          <w:szCs w:val="21"/>
        </w:rPr>
        <w:t xml:space="preserve">61.2  </w:t>
      </w:r>
      <w:r>
        <w:rPr>
          <w:rFonts w:hint="eastAsia" w:ascii="宋体" w:hAnsi="宋体" w:cs="宋体"/>
          <w:b/>
          <w:color w:val="auto"/>
          <w:kern w:val="0"/>
          <w:szCs w:val="21"/>
          <w:u w:val="dotted"/>
        </w:rPr>
        <w:t xml:space="preserve">                                                                                                        </w:t>
      </w:r>
    </w:p>
    <w:p>
      <w:pPr>
        <w:adjustRightInd w:val="0"/>
        <w:snapToGrid w:val="0"/>
        <w:spacing w:line="360" w:lineRule="auto"/>
        <w:ind w:left="1619" w:leftChars="771"/>
        <w:rPr>
          <w:rFonts w:ascii="宋体" w:hAnsi="宋体" w:cs="宋体"/>
          <w:color w:val="auto"/>
          <w:kern w:val="0"/>
          <w:szCs w:val="21"/>
        </w:rPr>
      </w:pPr>
      <w:r>
        <w:rPr>
          <w:rFonts w:ascii="宋体" w:hAnsi="宋体" w:cs="宋体"/>
          <w:color w:val="auto"/>
          <w:kern w:val="0"/>
          <w:szCs w:val="21"/>
        </w:rPr>
        <mc:AlternateContent>
          <mc:Choice Requires="wps">
            <w:drawing>
              <wp:anchor distT="0" distB="0" distL="114300" distR="114300" simplePos="0" relativeHeight="251825152" behindDoc="0" locked="0" layoutInCell="1" allowOverlap="1">
                <wp:simplePos x="0" y="0"/>
                <wp:positionH relativeFrom="column">
                  <wp:posOffset>-114300</wp:posOffset>
                </wp:positionH>
                <wp:positionV relativeFrom="paragraph">
                  <wp:posOffset>11430</wp:posOffset>
                </wp:positionV>
                <wp:extent cx="1028700" cy="361950"/>
                <wp:effectExtent l="0" t="0" r="0" b="0"/>
                <wp:wrapNone/>
                <wp:docPr id="143" name="文本框 143"/>
                <wp:cNvGraphicFramePr/>
                <a:graphic xmlns:a="http://schemas.openxmlformats.org/drawingml/2006/main">
                  <a:graphicData uri="http://schemas.microsoft.com/office/word/2010/wordprocessingShape">
                    <wps:wsp>
                      <wps:cNvSpPr txBox="1">
                        <a:spLocks noChangeArrowheads="1"/>
                      </wps:cNvSpPr>
                      <wps:spPr bwMode="auto">
                        <a:xfrm>
                          <a:off x="0" y="0"/>
                          <a:ext cx="1028700" cy="361950"/>
                        </a:xfrm>
                        <a:prstGeom prst="rect">
                          <a:avLst/>
                        </a:prstGeom>
                        <a:noFill/>
                        <a:ln>
                          <a:noFill/>
                        </a:ln>
                        <a:effectLst/>
                      </wps:spPr>
                      <wps:txbx>
                        <w:txbxContent>
                          <w:p>
                            <w:pPr>
                              <w:pStyle w:val="35"/>
                              <w:spacing w:line="220" w:lineRule="exact"/>
                              <w:rPr>
                                <w:rFonts w:ascii="楷体_GB2312" w:hAnsi="宋体"/>
                                <w:b/>
                                <w:bCs/>
                                <w:sz w:val="18"/>
                                <w:szCs w:val="18"/>
                              </w:rPr>
                            </w:pPr>
                            <w:r>
                              <w:rPr>
                                <w:rFonts w:hint="eastAsia" w:ascii="楷体_GB2312" w:hAnsi="宋体"/>
                                <w:b/>
                                <w:bCs/>
                                <w:sz w:val="18"/>
                                <w:szCs w:val="18"/>
                              </w:rPr>
                              <w:t>清单的工程量</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9pt;height:28.5pt;width:81pt;z-index:251825152;mso-width-relative:page;mso-height-relative:page;" filled="f" stroked="f" coordsize="21600,21600" o:gfxdata="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sNjRGtQAAAAIAQAADwAAAAAAAAABACAAAAAiAAAAZHJzL2Rvd25y&#10;ZXYueG1sUEsBAhQAFAAAAAgAh07iQOfb3ZUCAgAA2QMAAA4AAAAAAAAAAQAgAAAAIwEAAGRycy9l&#10;Mm9Eb2MueG1sUEsFBgAAAAAGAAYAWQEAAJcFAAAAAA==&#10;">
                <v:fill on="f" focussize="0,0"/>
                <v:stroke on="f"/>
                <v:imagedata o:title=""/>
                <o:lock v:ext="edit" aspectratio="f"/>
                <v:textbox>
                  <w:txbxContent>
                    <w:p>
                      <w:pPr>
                        <w:pStyle w:val="35"/>
                        <w:spacing w:line="220" w:lineRule="exact"/>
                        <w:rPr>
                          <w:rFonts w:ascii="楷体_GB2312" w:hAnsi="宋体"/>
                          <w:b/>
                          <w:bCs/>
                          <w:sz w:val="18"/>
                          <w:szCs w:val="18"/>
                        </w:rPr>
                      </w:pPr>
                      <w:r>
                        <w:rPr>
                          <w:rFonts w:hint="eastAsia" w:ascii="楷体_GB2312" w:hAnsi="宋体"/>
                          <w:b/>
                          <w:bCs/>
                          <w:sz w:val="18"/>
                          <w:szCs w:val="18"/>
                        </w:rPr>
                        <w:t>清单的工程量</w:t>
                      </w:r>
                    </w:p>
                  </w:txbxContent>
                </v:textbox>
              </v:shape>
            </w:pict>
          </mc:Fallback>
        </mc:AlternateContent>
      </w:r>
      <w:r>
        <w:rPr>
          <w:rFonts w:hint="eastAsia" w:ascii="宋体" w:hAnsi="宋体" w:cs="宋体"/>
          <w:color w:val="auto"/>
          <w:kern w:val="0"/>
          <w:szCs w:val="21"/>
        </w:rPr>
        <w:t>工程量清单中开列的工程量是根据合同工程施工设计图纸提供的预计工程量，不能作为承包人履行合同义务中应予完成合同工程的实际和准确工程量。</w:t>
      </w:r>
    </w:p>
    <w:p>
      <w:pPr>
        <w:adjustRightInd w:val="0"/>
        <w:snapToGrid w:val="0"/>
        <w:spacing w:line="360" w:lineRule="auto"/>
        <w:ind w:left="1619" w:leftChars="771"/>
        <w:rPr>
          <w:rFonts w:ascii="宋体" w:hAnsi="宋体" w:cs="宋体"/>
          <w:color w:val="auto"/>
          <w:kern w:val="0"/>
          <w:szCs w:val="21"/>
        </w:rPr>
      </w:pPr>
      <w:r>
        <w:rPr>
          <w:rFonts w:hint="eastAsia" w:ascii="宋体" w:hAnsi="宋体" w:cs="宋体"/>
          <w:color w:val="auto"/>
          <w:kern w:val="0"/>
          <w:szCs w:val="21"/>
        </w:rPr>
        <w:t>发包人应按照承包人实际完成的应予计量的工程量与其在工程量清单中填报的单价或合价的乘积向承包人支付工程款。</w:t>
      </w:r>
    </w:p>
    <w:p>
      <w:pPr>
        <w:adjustRightInd w:val="0"/>
        <w:snapToGrid w:val="0"/>
        <w:rPr>
          <w:rFonts w:ascii="宋体" w:hAnsi="宋体" w:cs="宋体"/>
          <w:b/>
          <w:color w:val="auto"/>
          <w:kern w:val="0"/>
          <w:szCs w:val="21"/>
          <w:u w:val="single"/>
        </w:rPr>
      </w:pPr>
      <w:r>
        <w:rPr>
          <w:rFonts w:hint="eastAsia" w:ascii="宋体" w:hAnsi="宋体" w:cs="宋体"/>
          <w:b/>
          <w:color w:val="auto"/>
          <w:kern w:val="0"/>
          <w:szCs w:val="21"/>
          <w:u w:val="single"/>
        </w:rPr>
        <w:t xml:space="preserve">                                                                                                             </w:t>
      </w:r>
    </w:p>
    <w:p>
      <w:pPr>
        <w:tabs>
          <w:tab w:val="left" w:pos="540"/>
        </w:tabs>
        <w:adjustRightInd w:val="0"/>
        <w:snapToGrid w:val="0"/>
        <w:spacing w:beforeLines="100" w:line="360" w:lineRule="auto"/>
        <w:ind w:right="-238"/>
        <w:rPr>
          <w:rFonts w:ascii="宋体" w:hAnsi="宋体" w:cs="宋体"/>
          <w:b/>
          <w:color w:val="auto"/>
          <w:kern w:val="0"/>
          <w:szCs w:val="21"/>
        </w:rPr>
      </w:pPr>
      <w:r>
        <w:rPr>
          <w:rFonts w:hint="eastAsia" w:ascii="宋体" w:hAnsi="宋体" w:cs="宋体"/>
          <w:b/>
          <w:color w:val="auto"/>
          <w:kern w:val="0"/>
          <w:szCs w:val="21"/>
        </w:rPr>
        <w:t>62  工程计量和计价</w:t>
      </w:r>
    </w:p>
    <w:p>
      <w:pPr>
        <w:adjustRightInd w:val="0"/>
        <w:snapToGrid w:val="0"/>
        <w:spacing w:line="360" w:lineRule="auto"/>
        <w:rPr>
          <w:rFonts w:ascii="宋体" w:hAnsi="宋体" w:cs="宋体"/>
          <w:b/>
          <w:color w:val="auto"/>
          <w:kern w:val="0"/>
          <w:szCs w:val="21"/>
        </w:rPr>
      </w:pPr>
      <w:r>
        <w:rPr>
          <w:rFonts w:hint="eastAsia" w:ascii="宋体" w:hAnsi="宋体" w:cs="宋体"/>
          <w:b/>
          <w:color w:val="auto"/>
          <w:kern w:val="0"/>
          <w:szCs w:val="21"/>
        </w:rPr>
        <w:t>62.1</w:t>
      </w:r>
    </w:p>
    <w:p>
      <w:pPr>
        <w:adjustRightInd w:val="0"/>
        <w:snapToGrid w:val="0"/>
        <w:spacing w:line="360" w:lineRule="auto"/>
        <w:ind w:left="1619" w:leftChars="771"/>
        <w:rPr>
          <w:rFonts w:ascii="宋体" w:hAnsi="宋体" w:cs="宋体"/>
          <w:b/>
          <w:color w:val="auto"/>
          <w:kern w:val="0"/>
          <w:szCs w:val="21"/>
        </w:rPr>
      </w:pPr>
      <w:r>
        <w:rPr>
          <w:rFonts w:ascii="宋体" w:hAnsi="宋体" w:cs="宋体"/>
          <w:color w:val="auto"/>
          <w:kern w:val="0"/>
          <w:szCs w:val="21"/>
        </w:rPr>
        <mc:AlternateContent>
          <mc:Choice Requires="wps">
            <w:drawing>
              <wp:anchor distT="0" distB="0" distL="114300" distR="114300" simplePos="0" relativeHeight="251826176" behindDoc="0" locked="0" layoutInCell="1" allowOverlap="1">
                <wp:simplePos x="0" y="0"/>
                <wp:positionH relativeFrom="column">
                  <wp:posOffset>-114300</wp:posOffset>
                </wp:positionH>
                <wp:positionV relativeFrom="paragraph">
                  <wp:posOffset>12700</wp:posOffset>
                </wp:positionV>
                <wp:extent cx="914400" cy="415925"/>
                <wp:effectExtent l="0" t="0" r="0" b="0"/>
                <wp:wrapNone/>
                <wp:docPr id="142" name="文本框 142"/>
                <wp:cNvGraphicFramePr/>
                <a:graphic xmlns:a="http://schemas.openxmlformats.org/drawingml/2006/main">
                  <a:graphicData uri="http://schemas.microsoft.com/office/word/2010/wordprocessingShape">
                    <wps:wsp>
                      <wps:cNvSpPr txBox="1">
                        <a:spLocks noChangeArrowheads="1"/>
                      </wps:cNvSpPr>
                      <wps:spPr bwMode="auto">
                        <a:xfrm>
                          <a:off x="0" y="0"/>
                          <a:ext cx="914400" cy="415925"/>
                        </a:xfrm>
                        <a:prstGeom prst="rect">
                          <a:avLst/>
                        </a:prstGeom>
                        <a:noFill/>
                        <a:ln>
                          <a:noFill/>
                        </a:ln>
                        <a:effectLst/>
                      </wps:spPr>
                      <wps:txbx>
                        <w:txbxContent>
                          <w:p>
                            <w:pPr>
                              <w:pStyle w:val="35"/>
                              <w:spacing w:line="220" w:lineRule="exact"/>
                              <w:rPr>
                                <w:rFonts w:ascii="楷体_GB2312" w:hAnsi="宋体"/>
                                <w:b/>
                                <w:bCs/>
                                <w:sz w:val="18"/>
                                <w:szCs w:val="18"/>
                              </w:rPr>
                            </w:pPr>
                            <w:r>
                              <w:rPr>
                                <w:rFonts w:hint="eastAsia" w:ascii="楷体_GB2312" w:hAnsi="宋体"/>
                                <w:b/>
                                <w:bCs/>
                                <w:sz w:val="18"/>
                                <w:szCs w:val="18"/>
                              </w:rPr>
                              <w:t>工程计量和计价的依据</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pt;height:32.75pt;width:72pt;z-index:251826176;mso-width-relative:page;mso-height-relative:page;" filled="f" stroked="f" coordsize="21600,21600" o:gfxdata="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gHrCS1gAAAAgBAAAPAAAAAAAAAAEAIAAAACIAAABkcnMvZG93bnJl&#10;di54bWxQSwECFAAUAAAACACHTuJAiqb/vv8BAADYAwAADgAAAAAAAAABACAAAAAlAQAAZHJzL2Uy&#10;b0RvYy54bWxQSwUGAAAAAAYABgBZAQAAlgUAAAAA&#10;">
                <v:fill on="f" focussize="0,0"/>
                <v:stroke on="f"/>
                <v:imagedata o:title=""/>
                <o:lock v:ext="edit" aspectratio="f"/>
                <v:textbox>
                  <w:txbxContent>
                    <w:p>
                      <w:pPr>
                        <w:pStyle w:val="35"/>
                        <w:spacing w:line="220" w:lineRule="exact"/>
                        <w:rPr>
                          <w:rFonts w:ascii="楷体_GB2312" w:hAnsi="宋体"/>
                          <w:b/>
                          <w:bCs/>
                          <w:sz w:val="18"/>
                          <w:szCs w:val="18"/>
                        </w:rPr>
                      </w:pPr>
                      <w:r>
                        <w:rPr>
                          <w:rFonts w:hint="eastAsia" w:ascii="楷体_GB2312" w:hAnsi="宋体"/>
                          <w:b/>
                          <w:bCs/>
                          <w:sz w:val="18"/>
                          <w:szCs w:val="18"/>
                        </w:rPr>
                        <w:t>工程计量和计价的依据</w:t>
                      </w:r>
                    </w:p>
                  </w:txbxContent>
                </v:textbox>
              </v:shape>
            </w:pict>
          </mc:Fallback>
        </mc:AlternateContent>
      </w:r>
      <w:r>
        <w:rPr>
          <w:rFonts w:hint="eastAsia" w:ascii="宋体" w:hAnsi="宋体" w:cs="宋体"/>
          <w:color w:val="auto"/>
          <w:kern w:val="0"/>
          <w:szCs w:val="21"/>
        </w:rPr>
        <w:t>工程的计量规则和计价办法，以国家标准《建设工程工程量清单计价规范》为准；《建设工程工程量清单计价规范》没有规定的，以广东省统一工程计价依据为准；广东省统一工程计价依据没有规定的，可参照专业部门颁发的工程计价依据。</w:t>
      </w:r>
    </w:p>
    <w:p>
      <w:pPr>
        <w:adjustRightInd w:val="0"/>
        <w:snapToGrid w:val="0"/>
        <w:spacing w:line="360" w:lineRule="auto"/>
        <w:rPr>
          <w:rFonts w:ascii="宋体" w:hAnsi="宋体" w:cs="宋体"/>
          <w:b/>
          <w:color w:val="auto"/>
          <w:kern w:val="0"/>
          <w:szCs w:val="21"/>
        </w:rPr>
      </w:pPr>
      <w:r>
        <w:rPr>
          <w:rFonts w:hint="eastAsia" w:ascii="宋体" w:hAnsi="宋体" w:cs="宋体"/>
          <w:b/>
          <w:color w:val="auto"/>
          <w:kern w:val="0"/>
          <w:szCs w:val="21"/>
        </w:rPr>
        <w:t xml:space="preserve">62.2  </w:t>
      </w:r>
      <w:r>
        <w:rPr>
          <w:rFonts w:hint="eastAsia" w:ascii="宋体" w:hAnsi="宋体" w:cs="宋体"/>
          <w:b/>
          <w:color w:val="auto"/>
          <w:kern w:val="0"/>
          <w:szCs w:val="21"/>
          <w:u w:val="dotted"/>
        </w:rPr>
        <w:t xml:space="preserve">                                                                                  </w:t>
      </w:r>
    </w:p>
    <w:p>
      <w:pPr>
        <w:adjustRightInd w:val="0"/>
        <w:snapToGrid w:val="0"/>
        <w:spacing w:line="360" w:lineRule="auto"/>
        <w:ind w:left="1619" w:leftChars="771"/>
        <w:rPr>
          <w:rFonts w:ascii="宋体" w:hAnsi="宋体" w:cs="宋体"/>
          <w:color w:val="auto"/>
          <w:kern w:val="0"/>
          <w:szCs w:val="21"/>
        </w:rPr>
      </w:pPr>
      <w:r>
        <w:rPr>
          <w:rFonts w:ascii="宋体" w:hAnsi="宋体" w:cs="宋体"/>
          <w:color w:val="auto"/>
          <w:kern w:val="0"/>
          <w:szCs w:val="21"/>
        </w:rPr>
        <mc:AlternateContent>
          <mc:Choice Requires="wps">
            <w:drawing>
              <wp:anchor distT="0" distB="0" distL="114300" distR="114300" simplePos="0" relativeHeight="251913216" behindDoc="0" locked="0" layoutInCell="1" allowOverlap="1">
                <wp:simplePos x="0" y="0"/>
                <wp:positionH relativeFrom="column">
                  <wp:posOffset>-114300</wp:posOffset>
                </wp:positionH>
                <wp:positionV relativeFrom="paragraph">
                  <wp:posOffset>50800</wp:posOffset>
                </wp:positionV>
                <wp:extent cx="914400" cy="415925"/>
                <wp:effectExtent l="0" t="0" r="0" b="0"/>
                <wp:wrapNone/>
                <wp:docPr id="141" name="文本框 141"/>
                <wp:cNvGraphicFramePr/>
                <a:graphic xmlns:a="http://schemas.openxmlformats.org/drawingml/2006/main">
                  <a:graphicData uri="http://schemas.microsoft.com/office/word/2010/wordprocessingShape">
                    <wps:wsp>
                      <wps:cNvSpPr txBox="1">
                        <a:spLocks noChangeArrowheads="1"/>
                      </wps:cNvSpPr>
                      <wps:spPr bwMode="auto">
                        <a:xfrm>
                          <a:off x="0" y="0"/>
                          <a:ext cx="914400" cy="415925"/>
                        </a:xfrm>
                        <a:prstGeom prst="rect">
                          <a:avLst/>
                        </a:prstGeom>
                        <a:noFill/>
                        <a:ln>
                          <a:noFill/>
                        </a:ln>
                        <a:effectLst/>
                      </wps:spPr>
                      <wps:txbx>
                        <w:txbxContent>
                          <w:p>
                            <w:pPr>
                              <w:pStyle w:val="35"/>
                              <w:spacing w:line="220" w:lineRule="exact"/>
                              <w:rPr>
                                <w:rFonts w:ascii="楷体_GB2312" w:hAnsi="宋体"/>
                                <w:b/>
                                <w:bCs/>
                                <w:sz w:val="18"/>
                                <w:szCs w:val="18"/>
                              </w:rPr>
                            </w:pPr>
                            <w:r>
                              <w:rPr>
                                <w:rFonts w:hint="eastAsia" w:ascii="楷体_GB2312" w:hAnsi="宋体"/>
                                <w:b/>
                                <w:bCs/>
                                <w:sz w:val="18"/>
                                <w:szCs w:val="18"/>
                              </w:rPr>
                              <w:t>工程计量和计价的要求</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4pt;height:32.75pt;width:72pt;z-index:251913216;mso-width-relative:page;mso-height-relative:page;" filled="f" stroked="f" coordsize="21600,21600" o:gfxdata="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m87BF1gAAAAgBAAAPAAAAAAAAAAEAIAAAACIAAABkcnMvZG93bnJl&#10;di54bWxQSwECFAAUAAAACACHTuJABsYns/8BAADYAwAADgAAAAAAAAABACAAAAAlAQAAZHJzL2Uy&#10;b0RvYy54bWxQSwUGAAAAAAYABgBZAQAAlgUAAAAA&#10;">
                <v:fill on="f" focussize="0,0"/>
                <v:stroke on="f"/>
                <v:imagedata o:title=""/>
                <o:lock v:ext="edit" aspectratio="f"/>
                <v:textbox>
                  <w:txbxContent>
                    <w:p>
                      <w:pPr>
                        <w:pStyle w:val="35"/>
                        <w:spacing w:line="220" w:lineRule="exact"/>
                        <w:rPr>
                          <w:rFonts w:ascii="楷体_GB2312" w:hAnsi="宋体"/>
                          <w:b/>
                          <w:bCs/>
                          <w:sz w:val="18"/>
                          <w:szCs w:val="18"/>
                        </w:rPr>
                      </w:pPr>
                      <w:r>
                        <w:rPr>
                          <w:rFonts w:hint="eastAsia" w:ascii="楷体_GB2312" w:hAnsi="宋体"/>
                          <w:b/>
                          <w:bCs/>
                          <w:sz w:val="18"/>
                          <w:szCs w:val="18"/>
                        </w:rPr>
                        <w:t>工程计量和计价的要求</w:t>
                      </w:r>
                    </w:p>
                  </w:txbxContent>
                </v:textbox>
              </v:shape>
            </w:pict>
          </mc:Fallback>
        </mc:AlternateContent>
      </w:r>
      <w:r>
        <w:rPr>
          <w:rFonts w:hint="eastAsia" w:ascii="宋体" w:hAnsi="宋体" w:cs="宋体"/>
          <w:color w:val="auto"/>
          <w:kern w:val="0"/>
          <w:szCs w:val="21"/>
        </w:rPr>
        <w:t>合同双方当事人应按照合同约定，依据国家标准《建设工程工程量清单计价规范》、广东省统一工程计价依据或专业部门的工程计价依据以及工程造价管理机构制订的有关计价规定进行工程计量和计价。</w:t>
      </w:r>
    </w:p>
    <w:p>
      <w:pPr>
        <w:adjustRightInd w:val="0"/>
        <w:snapToGrid w:val="0"/>
        <w:spacing w:line="360" w:lineRule="auto"/>
        <w:ind w:left="1619" w:leftChars="771"/>
        <w:rPr>
          <w:rFonts w:ascii="宋体" w:hAnsi="宋体" w:cs="宋体"/>
          <w:color w:val="auto"/>
          <w:kern w:val="0"/>
          <w:szCs w:val="21"/>
        </w:rPr>
      </w:pPr>
      <w:r>
        <w:rPr>
          <w:rFonts w:hint="eastAsia" w:ascii="宋体" w:hAnsi="宋体" w:cs="宋体"/>
          <w:color w:val="auto"/>
          <w:kern w:val="0"/>
          <w:szCs w:val="21"/>
        </w:rPr>
        <w:t>造价工程师负责工程计量和计价的核实工作。</w:t>
      </w:r>
    </w:p>
    <w:p>
      <w:pPr>
        <w:adjustRightInd w:val="0"/>
        <w:snapToGrid w:val="0"/>
        <w:spacing w:line="360" w:lineRule="auto"/>
        <w:rPr>
          <w:rFonts w:ascii="宋体" w:hAnsi="宋体" w:cs="宋体"/>
          <w:b/>
          <w:color w:val="auto"/>
          <w:kern w:val="0"/>
          <w:szCs w:val="21"/>
        </w:rPr>
      </w:pPr>
      <w:r>
        <w:rPr>
          <w:rFonts w:hint="eastAsia" w:ascii="宋体" w:hAnsi="宋体" w:cs="宋体"/>
          <w:b/>
          <w:color w:val="auto"/>
          <w:kern w:val="0"/>
          <w:szCs w:val="21"/>
        </w:rPr>
        <w:t xml:space="preserve">62.3  </w:t>
      </w:r>
      <w:r>
        <w:rPr>
          <w:rFonts w:hint="eastAsia" w:ascii="宋体" w:hAnsi="宋体" w:cs="宋体"/>
          <w:b/>
          <w:color w:val="auto"/>
          <w:kern w:val="0"/>
          <w:szCs w:val="21"/>
          <w:u w:val="dotted"/>
        </w:rPr>
        <w:t xml:space="preserve">                                                                                                        </w:t>
      </w:r>
    </w:p>
    <w:p>
      <w:pPr>
        <w:adjustRightInd w:val="0"/>
        <w:snapToGrid w:val="0"/>
        <w:spacing w:line="360" w:lineRule="auto"/>
        <w:ind w:left="1619" w:leftChars="771"/>
        <w:rPr>
          <w:rFonts w:ascii="宋体" w:hAnsi="宋体" w:cs="宋体"/>
          <w:color w:val="auto"/>
          <w:kern w:val="0"/>
          <w:szCs w:val="21"/>
        </w:rPr>
      </w:pPr>
      <w:r>
        <w:rPr>
          <w:rFonts w:ascii="宋体" w:hAnsi="宋体" w:cs="宋体"/>
          <w:color w:val="auto"/>
          <w:kern w:val="0"/>
          <w:szCs w:val="21"/>
        </w:rPr>
        <mc:AlternateContent>
          <mc:Choice Requires="wps">
            <w:drawing>
              <wp:anchor distT="0" distB="0" distL="114300" distR="114300" simplePos="0" relativeHeight="251827200" behindDoc="0" locked="0" layoutInCell="1" allowOverlap="1">
                <wp:simplePos x="0" y="0"/>
                <wp:positionH relativeFrom="column">
                  <wp:posOffset>-114300</wp:posOffset>
                </wp:positionH>
                <wp:positionV relativeFrom="paragraph">
                  <wp:posOffset>-1905</wp:posOffset>
                </wp:positionV>
                <wp:extent cx="914400" cy="548005"/>
                <wp:effectExtent l="0" t="0" r="0" b="0"/>
                <wp:wrapNone/>
                <wp:docPr id="140" name="文本框 140"/>
                <wp:cNvGraphicFramePr/>
                <a:graphic xmlns:a="http://schemas.openxmlformats.org/drawingml/2006/main">
                  <a:graphicData uri="http://schemas.microsoft.com/office/word/2010/wordprocessingShape">
                    <wps:wsp>
                      <wps:cNvSpPr txBox="1">
                        <a:spLocks noChangeArrowheads="1"/>
                      </wps:cNvSpPr>
                      <wps:spPr bwMode="auto">
                        <a:xfrm>
                          <a:off x="0" y="0"/>
                          <a:ext cx="914400" cy="548005"/>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已完工程款额报告的提交和核实</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15pt;height:43.15pt;width:72pt;z-index:251827200;mso-width-relative:page;mso-height-relative:page;" filled="f" stroked="f" coordsize="21600,21600" o:gfxdata="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OR9r01AAAAAgBAAAPAAAAAAAAAAEAIAAAACIAAABkcnMvZG93bnJldi54&#10;bWxQSwECFAAUAAAACACHTuJASJNzsP4BAADYAwAADgAAAAAAAAABACAAAAAjAQAAZHJzL2Uyb0Rv&#10;Yy54bWxQSwUGAAAAAAYABgBZAQAAkwU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已完工程款额报告的提交和核实</w:t>
                      </w:r>
                    </w:p>
                  </w:txbxContent>
                </v:textbox>
              </v:shape>
            </w:pict>
          </mc:Fallback>
        </mc:AlternateContent>
      </w:r>
      <w:r>
        <w:rPr>
          <w:rFonts w:hint="eastAsia" w:ascii="宋体" w:hAnsi="宋体" w:cs="宋体"/>
          <w:color w:val="auto"/>
          <w:kern w:val="0"/>
          <w:szCs w:val="21"/>
        </w:rPr>
        <w:t>承包人应按照第81.1款规定向造价工程师提交已完工程款额报告。造价工程师应在收到报告后的14天内核实工程量，并将核实结果通知承包人、抄报发包人，作为工程计价和工程款支付的依据。</w:t>
      </w:r>
    </w:p>
    <w:p>
      <w:pPr>
        <w:adjustRightInd w:val="0"/>
        <w:snapToGrid w:val="0"/>
        <w:spacing w:line="360" w:lineRule="auto"/>
        <w:rPr>
          <w:rFonts w:ascii="宋体" w:hAnsi="宋体" w:cs="宋体"/>
          <w:b/>
          <w:color w:val="auto"/>
          <w:kern w:val="0"/>
          <w:szCs w:val="21"/>
        </w:rPr>
      </w:pPr>
      <w:r>
        <w:rPr>
          <w:rFonts w:hint="eastAsia" w:ascii="宋体" w:hAnsi="宋体" w:cs="宋体"/>
          <w:b/>
          <w:color w:val="auto"/>
          <w:kern w:val="0"/>
          <w:szCs w:val="21"/>
        </w:rPr>
        <w:t xml:space="preserve">62.4  </w:t>
      </w:r>
      <w:r>
        <w:rPr>
          <w:rFonts w:hint="eastAsia" w:ascii="宋体" w:hAnsi="宋体" w:cs="宋体"/>
          <w:b/>
          <w:color w:val="auto"/>
          <w:kern w:val="0"/>
          <w:szCs w:val="21"/>
          <w:u w:val="dotted"/>
        </w:rPr>
        <w:t xml:space="preserve">                                                                                                        </w:t>
      </w:r>
    </w:p>
    <w:p>
      <w:pPr>
        <w:adjustRightInd w:val="0"/>
        <w:snapToGrid w:val="0"/>
        <w:spacing w:line="360" w:lineRule="auto"/>
        <w:ind w:left="1619" w:leftChars="771"/>
        <w:rPr>
          <w:rFonts w:ascii="宋体" w:hAnsi="宋体" w:cs="宋体"/>
          <w:color w:val="auto"/>
          <w:kern w:val="0"/>
          <w:szCs w:val="21"/>
        </w:rPr>
      </w:pPr>
      <w:r>
        <w:rPr>
          <w:rFonts w:ascii="宋体" w:hAnsi="宋体" w:cs="宋体"/>
          <w:color w:val="auto"/>
          <w:kern w:val="0"/>
          <w:szCs w:val="21"/>
        </w:rPr>
        <mc:AlternateContent>
          <mc:Choice Requires="wps">
            <w:drawing>
              <wp:anchor distT="0" distB="0" distL="114300" distR="114300" simplePos="0" relativeHeight="251828224" behindDoc="0" locked="0" layoutInCell="1" allowOverlap="1">
                <wp:simplePos x="0" y="0"/>
                <wp:positionH relativeFrom="column">
                  <wp:posOffset>-114300</wp:posOffset>
                </wp:positionH>
                <wp:positionV relativeFrom="paragraph">
                  <wp:posOffset>50165</wp:posOffset>
                </wp:positionV>
                <wp:extent cx="800100" cy="354330"/>
                <wp:effectExtent l="0" t="0" r="0" b="0"/>
                <wp:wrapNone/>
                <wp:docPr id="139" name="文本框 139"/>
                <wp:cNvGraphicFramePr/>
                <a:graphic xmlns:a="http://schemas.openxmlformats.org/drawingml/2006/main">
                  <a:graphicData uri="http://schemas.microsoft.com/office/word/2010/wordprocessingShape">
                    <wps:wsp>
                      <wps:cNvSpPr txBox="1">
                        <a:spLocks noChangeArrowheads="1"/>
                      </wps:cNvSpPr>
                      <wps:spPr bwMode="auto">
                        <a:xfrm>
                          <a:off x="0" y="0"/>
                          <a:ext cx="800100" cy="354330"/>
                        </a:xfrm>
                        <a:prstGeom prst="rect">
                          <a:avLst/>
                        </a:prstGeom>
                        <a:noFill/>
                        <a:ln>
                          <a:noFill/>
                        </a:ln>
                        <a:effectLst/>
                      </wps:spPr>
                      <wps:txbx>
                        <w:txbxContent>
                          <w:p>
                            <w:pPr>
                              <w:rPr>
                                <w:rFonts w:ascii="宋体" w:hAnsi="宋体"/>
                                <w:sz w:val="18"/>
                                <w:szCs w:val="18"/>
                              </w:rPr>
                            </w:pPr>
                            <w:r>
                              <w:rPr>
                                <w:rFonts w:hint="eastAsia" w:ascii="宋体" w:hAnsi="宋体"/>
                                <w:b/>
                                <w:color w:val="000000"/>
                                <w:sz w:val="18"/>
                                <w:szCs w:val="18"/>
                              </w:rPr>
                              <w:t>现场计量</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95pt;height:27.9pt;width:63pt;z-index:251828224;mso-width-relative:page;mso-height-relative:page;" filled="f" stroked="f" coordsize="21600,21600" o:gfxdata="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9g4Zt1QAAAAgBAAAPAAAAAAAAAAEAIAAAACIAAABkcnMvZG93bnJl&#10;di54bWxQSwECFAAUAAAACACHTuJAGqy/RwACAADYAwAADgAAAAAAAAABACAAAAAkAQAAZHJzL2Uy&#10;b0RvYy54bWxQSwUGAAAAAAYABgBZAQAAlgUAAAAA&#10;">
                <v:fill on="f" focussize="0,0"/>
                <v:stroke on="f"/>
                <v:imagedata o:title=""/>
                <o:lock v:ext="edit" aspectratio="f"/>
                <v:textbox>
                  <w:txbxContent>
                    <w:p>
                      <w:pPr>
                        <w:rPr>
                          <w:rFonts w:ascii="宋体" w:hAnsi="宋体"/>
                          <w:sz w:val="18"/>
                          <w:szCs w:val="18"/>
                        </w:rPr>
                      </w:pPr>
                      <w:r>
                        <w:rPr>
                          <w:rFonts w:hint="eastAsia" w:ascii="宋体" w:hAnsi="宋体"/>
                          <w:b/>
                          <w:color w:val="000000"/>
                          <w:sz w:val="18"/>
                          <w:szCs w:val="18"/>
                        </w:rPr>
                        <w:t>现场计量</w:t>
                      </w:r>
                    </w:p>
                  </w:txbxContent>
                </v:textbox>
              </v:shape>
            </w:pict>
          </mc:Fallback>
        </mc:AlternateContent>
      </w:r>
      <w:r>
        <w:rPr>
          <w:rFonts w:hint="eastAsia" w:ascii="宋体" w:hAnsi="宋体" w:cs="宋体"/>
          <w:color w:val="auto"/>
          <w:kern w:val="0"/>
          <w:szCs w:val="21"/>
        </w:rPr>
        <w:t>当造价工程师进行现场计量时，应在计量前24小时通知承包人，承包人应为计量提供便利条件并派人参加。承包人收到通知后不派人参加计量，视为认可计量结果。造价工程师不按照约定时间通知承包人，致使承包人未能派人参加计量，计量结果无效。</w:t>
      </w:r>
    </w:p>
    <w:p>
      <w:pPr>
        <w:adjustRightInd w:val="0"/>
        <w:snapToGrid w:val="0"/>
        <w:spacing w:line="360" w:lineRule="auto"/>
        <w:rPr>
          <w:rFonts w:ascii="宋体" w:hAnsi="宋体" w:cs="宋体"/>
          <w:b/>
          <w:color w:val="auto"/>
          <w:kern w:val="0"/>
          <w:szCs w:val="21"/>
        </w:rPr>
      </w:pPr>
      <w:r>
        <w:rPr>
          <w:rFonts w:hint="eastAsia" w:ascii="宋体" w:hAnsi="宋体" w:cs="宋体"/>
          <w:b/>
          <w:color w:val="auto"/>
          <w:kern w:val="0"/>
          <w:szCs w:val="21"/>
        </w:rPr>
        <w:t xml:space="preserve">62.5 </w:t>
      </w:r>
      <w:r>
        <w:rPr>
          <w:rFonts w:hint="eastAsia" w:ascii="宋体" w:hAnsi="宋体" w:cs="宋体"/>
          <w:b/>
          <w:color w:val="auto"/>
          <w:kern w:val="0"/>
          <w:szCs w:val="21"/>
          <w:u w:val="dotted"/>
        </w:rPr>
        <w:t xml:space="preserve">                                                                                                        </w:t>
      </w:r>
    </w:p>
    <w:p>
      <w:pPr>
        <w:adjustRightInd w:val="0"/>
        <w:snapToGrid w:val="0"/>
        <w:spacing w:line="360" w:lineRule="auto"/>
        <w:ind w:left="1619" w:leftChars="771"/>
        <w:rPr>
          <w:rFonts w:ascii="宋体" w:hAnsi="宋体" w:cs="宋体"/>
          <w:color w:val="auto"/>
          <w:kern w:val="0"/>
          <w:szCs w:val="21"/>
        </w:rPr>
      </w:pPr>
      <w:r>
        <w:rPr>
          <w:rFonts w:ascii="宋体" w:hAnsi="宋体" w:cs="宋体"/>
          <w:color w:val="auto"/>
          <w:kern w:val="0"/>
          <w:szCs w:val="21"/>
        </w:rPr>
        <mc:AlternateContent>
          <mc:Choice Requires="wps">
            <w:drawing>
              <wp:anchor distT="0" distB="0" distL="114300" distR="114300" simplePos="0" relativeHeight="251829248" behindDoc="0" locked="0" layoutInCell="1" allowOverlap="1">
                <wp:simplePos x="0" y="0"/>
                <wp:positionH relativeFrom="column">
                  <wp:posOffset>-114300</wp:posOffset>
                </wp:positionH>
                <wp:positionV relativeFrom="paragraph">
                  <wp:posOffset>44450</wp:posOffset>
                </wp:positionV>
                <wp:extent cx="914400" cy="603250"/>
                <wp:effectExtent l="0" t="0" r="0" b="0"/>
                <wp:wrapNone/>
                <wp:docPr id="138" name="文本框 138"/>
                <wp:cNvGraphicFramePr/>
                <a:graphic xmlns:a="http://schemas.openxmlformats.org/drawingml/2006/main">
                  <a:graphicData uri="http://schemas.microsoft.com/office/word/2010/wordprocessingShape">
                    <wps:wsp>
                      <wps:cNvSpPr txBox="1">
                        <a:spLocks noChangeArrowheads="1"/>
                      </wps:cNvSpPr>
                      <wps:spPr bwMode="auto">
                        <a:xfrm>
                          <a:off x="0" y="0"/>
                          <a:ext cx="914400" cy="603250"/>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收到已完工程款额报告的限制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5pt;height:47.5pt;width:72pt;z-index:251829248;mso-width-relative:page;mso-height-relative:page;" filled="f" stroked="f" coordsize="21600,21600" o:gfxdata="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W/1n11QAAAAkBAAAPAAAAAAAAAAEAIAAAACIAAABkcnMvZG93bnJl&#10;di54bWxQSwECFAAUAAAACACHTuJAKaVzIgACAADYAwAADgAAAAAAAAABACAAAAAkAQAAZHJzL2Uy&#10;b0RvYy54bWxQSwUGAAAAAAYABgBZAQAAlgU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收到已完工程款额报告的限制</w:t>
                      </w:r>
                    </w:p>
                  </w:txbxContent>
                </v:textbox>
              </v:shape>
            </w:pict>
          </mc:Fallback>
        </mc:AlternateContent>
      </w:r>
      <w:r>
        <w:rPr>
          <w:rFonts w:hint="eastAsia" w:ascii="宋体" w:hAnsi="宋体" w:cs="宋体"/>
          <w:color w:val="auto"/>
          <w:kern w:val="0"/>
          <w:szCs w:val="21"/>
        </w:rPr>
        <w:t>造价工程师收到承包人按照第81.1款规定提交的已完工程款额报告后14天内，未进行计量或未向承包人通知计量结果的，从第15天起，承包人报告中开列的工程量即视为被确认，作为工程计价和工程款支付的依据。</w:t>
      </w:r>
    </w:p>
    <w:p>
      <w:pPr>
        <w:adjustRightInd w:val="0"/>
        <w:snapToGrid w:val="0"/>
        <w:spacing w:line="360" w:lineRule="auto"/>
        <w:rPr>
          <w:rFonts w:ascii="宋体" w:hAnsi="宋体" w:cs="宋体"/>
          <w:b/>
          <w:color w:val="auto"/>
          <w:kern w:val="0"/>
          <w:szCs w:val="21"/>
        </w:rPr>
      </w:pPr>
      <w:r>
        <w:rPr>
          <w:rFonts w:hint="eastAsia" w:ascii="宋体" w:hAnsi="宋体" w:cs="宋体"/>
          <w:b/>
          <w:color w:val="auto"/>
          <w:kern w:val="0"/>
          <w:szCs w:val="21"/>
        </w:rPr>
        <w:t xml:space="preserve">62.6  </w:t>
      </w:r>
      <w:r>
        <w:rPr>
          <w:rFonts w:hint="eastAsia" w:ascii="宋体" w:hAnsi="宋体" w:cs="宋体"/>
          <w:b/>
          <w:color w:val="auto"/>
          <w:kern w:val="0"/>
          <w:szCs w:val="21"/>
          <w:u w:val="dotted"/>
        </w:rPr>
        <w:t xml:space="preserve">                                                                                                        </w:t>
      </w:r>
    </w:p>
    <w:p>
      <w:pPr>
        <w:adjustRightInd w:val="0"/>
        <w:snapToGrid w:val="0"/>
        <w:spacing w:line="360" w:lineRule="auto"/>
        <w:ind w:left="1619" w:leftChars="771"/>
        <w:rPr>
          <w:rFonts w:ascii="宋体" w:hAnsi="宋体" w:cs="宋体"/>
          <w:color w:val="auto"/>
          <w:kern w:val="0"/>
          <w:szCs w:val="21"/>
        </w:rPr>
      </w:pPr>
      <w:r>
        <w:rPr>
          <w:rFonts w:ascii="宋体" w:hAnsi="宋体" w:cs="宋体"/>
          <w:color w:val="auto"/>
          <w:kern w:val="0"/>
          <w:szCs w:val="21"/>
        </w:rPr>
        <mc:AlternateContent>
          <mc:Choice Requires="wps">
            <w:drawing>
              <wp:anchor distT="0" distB="0" distL="114300" distR="114300" simplePos="0" relativeHeight="251830272" behindDoc="0" locked="0" layoutInCell="1" allowOverlap="1">
                <wp:simplePos x="0" y="0"/>
                <wp:positionH relativeFrom="column">
                  <wp:posOffset>-114300</wp:posOffset>
                </wp:positionH>
                <wp:positionV relativeFrom="paragraph">
                  <wp:posOffset>45720</wp:posOffset>
                </wp:positionV>
                <wp:extent cx="914400" cy="297180"/>
                <wp:effectExtent l="0" t="0" r="0" b="0"/>
                <wp:wrapNone/>
                <wp:docPr id="137" name="文本框 137"/>
                <wp:cNvGraphicFramePr/>
                <a:graphic xmlns:a="http://schemas.openxmlformats.org/drawingml/2006/main">
                  <a:graphicData uri="http://schemas.microsoft.com/office/word/2010/wordprocessingShape">
                    <wps:wsp>
                      <wps:cNvSpPr txBox="1">
                        <a:spLocks noChangeArrowheads="1"/>
                      </wps:cNvSpPr>
                      <wps:spPr bwMode="auto">
                        <a:xfrm>
                          <a:off x="0" y="0"/>
                          <a:ext cx="914400" cy="297180"/>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复核计量结果</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6pt;height:23.4pt;width:72pt;z-index:251830272;mso-width-relative:page;mso-height-relative:page;" filled="f" stroked="f" coordsize="21600,21600" o:gfxdata="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4sr5n1QAAAAgBAAAPAAAAAAAAAAEAIAAAACIAAABkcnMvZG93bnJl&#10;di54bWxQSwECFAAUAAAACACHTuJAsnFpgwACAADYAwAADgAAAAAAAAABACAAAAAkAQAAZHJzL2Uy&#10;b0RvYy54bWxQSwUGAAAAAAYABgBZAQAAlgU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复核计量结果</w:t>
                      </w:r>
                    </w:p>
                  </w:txbxContent>
                </v:textbox>
              </v:shape>
            </w:pict>
          </mc:Fallback>
        </mc:AlternateContent>
      </w:r>
      <w:r>
        <w:rPr>
          <w:rFonts w:hint="eastAsia" w:ascii="宋体" w:hAnsi="宋体" w:cs="宋体"/>
          <w:color w:val="auto"/>
          <w:kern w:val="0"/>
          <w:szCs w:val="21"/>
        </w:rPr>
        <w:t>如果承包人认为造价工程师的计量结果有误，应在收到计量结果通知后的7天内向造价工程师提出书面意见，并附上其认为正确的计量结果和详细的计算过程等资料。造价工程师收到书面意见后，应立即会同承包人对计量结果进行复核，并在签发支付证书前确定计量结果，同时通知承包人、抄报发包人。承包人对复核计量结果仍有异议或发包人对计量结果有异议的，按照第86条规定处理。</w:t>
      </w:r>
    </w:p>
    <w:p>
      <w:pPr>
        <w:adjustRightInd w:val="0"/>
        <w:snapToGrid w:val="0"/>
        <w:spacing w:line="360" w:lineRule="auto"/>
        <w:rPr>
          <w:rFonts w:ascii="宋体" w:hAnsi="宋体" w:cs="宋体"/>
          <w:b/>
          <w:color w:val="auto"/>
          <w:kern w:val="0"/>
          <w:szCs w:val="21"/>
        </w:rPr>
      </w:pPr>
      <w:r>
        <w:rPr>
          <w:rFonts w:hint="eastAsia" w:ascii="宋体" w:hAnsi="宋体" w:cs="宋体"/>
          <w:b/>
          <w:color w:val="auto"/>
          <w:kern w:val="0"/>
          <w:szCs w:val="21"/>
        </w:rPr>
        <w:t xml:space="preserve">62.7  </w:t>
      </w:r>
      <w:r>
        <w:rPr>
          <w:rFonts w:hint="eastAsia" w:ascii="宋体" w:hAnsi="宋体" w:cs="宋体"/>
          <w:b/>
          <w:color w:val="auto"/>
          <w:kern w:val="0"/>
          <w:szCs w:val="21"/>
          <w:u w:val="dotted"/>
        </w:rPr>
        <w:t xml:space="preserve">                                                                                                        </w:t>
      </w:r>
    </w:p>
    <w:p>
      <w:pPr>
        <w:adjustRightInd w:val="0"/>
        <w:snapToGrid w:val="0"/>
        <w:spacing w:line="360" w:lineRule="auto"/>
        <w:ind w:left="1619" w:leftChars="771"/>
        <w:rPr>
          <w:rFonts w:ascii="宋体" w:hAnsi="宋体" w:cs="宋体"/>
          <w:color w:val="auto"/>
          <w:kern w:val="0"/>
          <w:szCs w:val="21"/>
        </w:rPr>
      </w:pPr>
      <w:r>
        <w:rPr>
          <w:rFonts w:ascii="宋体" w:hAnsi="宋体" w:cs="宋体"/>
          <w:color w:val="auto"/>
          <w:kern w:val="0"/>
          <w:szCs w:val="21"/>
        </w:rPr>
        <mc:AlternateContent>
          <mc:Choice Requires="wps">
            <w:drawing>
              <wp:anchor distT="0" distB="0" distL="114300" distR="114300" simplePos="0" relativeHeight="251831296" behindDoc="0" locked="0" layoutInCell="1" allowOverlap="1">
                <wp:simplePos x="0" y="0"/>
                <wp:positionH relativeFrom="column">
                  <wp:posOffset>-114300</wp:posOffset>
                </wp:positionH>
                <wp:positionV relativeFrom="paragraph">
                  <wp:posOffset>36195</wp:posOffset>
                </wp:positionV>
                <wp:extent cx="800100" cy="297180"/>
                <wp:effectExtent l="0" t="0" r="0" b="0"/>
                <wp:wrapNone/>
                <wp:docPr id="136" name="文本框 136"/>
                <wp:cNvGraphicFramePr/>
                <a:graphic xmlns:a="http://schemas.openxmlformats.org/drawingml/2006/main">
                  <a:graphicData uri="http://schemas.microsoft.com/office/word/2010/wordprocessingShape">
                    <wps:wsp>
                      <wps:cNvSpPr txBox="1">
                        <a:spLocks noChangeArrowheads="1"/>
                      </wps:cNvSpPr>
                      <wps:spPr bwMode="auto">
                        <a:xfrm>
                          <a:off x="0" y="0"/>
                          <a:ext cx="800100" cy="297180"/>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不予计量</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85pt;height:23.4pt;width:63pt;z-index:251831296;mso-width-relative:page;mso-height-relative:page;" filled="f" stroked="f" coordsize="21600,21600" o:gfxdata="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EUrpk1AAAAAgBAAAPAAAAAAAAAAEAIAAAACIAAABkcnMvZG93bnJl&#10;di54bWxQSwECFAAUAAAACACHTuJA8QiqcwECAADYAwAADgAAAAAAAAABACAAAAAjAQAAZHJzL2Uy&#10;b0RvYy54bWxQSwUGAAAAAAYABgBZAQAAlgU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不予计量</w:t>
                      </w:r>
                    </w:p>
                  </w:txbxContent>
                </v:textbox>
              </v:shape>
            </w:pict>
          </mc:Fallback>
        </mc:AlternateContent>
      </w:r>
      <w:r>
        <w:rPr>
          <w:rFonts w:hint="eastAsia" w:ascii="宋体" w:hAnsi="宋体" w:cs="宋体"/>
          <w:color w:val="auto"/>
          <w:kern w:val="0"/>
          <w:szCs w:val="21"/>
        </w:rPr>
        <w:t>对承包人超出施工设计图纸范围或因承包人的原因造成返工的工程量，造价工程师均不予计量。</w:t>
      </w:r>
    </w:p>
    <w:p>
      <w:pPr>
        <w:adjustRightInd w:val="0"/>
        <w:snapToGrid w:val="0"/>
        <w:spacing w:line="360" w:lineRule="auto"/>
        <w:rPr>
          <w:rFonts w:ascii="宋体" w:hAnsi="宋体" w:cs="宋体"/>
          <w:b/>
          <w:color w:val="auto"/>
          <w:kern w:val="0"/>
          <w:szCs w:val="21"/>
        </w:rPr>
      </w:pPr>
      <w:r>
        <w:rPr>
          <w:rFonts w:hint="eastAsia" w:ascii="宋体" w:hAnsi="宋体" w:cs="宋体"/>
          <w:b/>
          <w:color w:val="auto"/>
          <w:kern w:val="0"/>
          <w:szCs w:val="21"/>
        </w:rPr>
        <w:t xml:space="preserve">62.8  </w:t>
      </w:r>
      <w:r>
        <w:rPr>
          <w:rFonts w:hint="eastAsia" w:ascii="宋体" w:hAnsi="宋体" w:cs="宋体"/>
          <w:b/>
          <w:color w:val="auto"/>
          <w:kern w:val="0"/>
          <w:szCs w:val="21"/>
          <w:u w:val="dotted"/>
        </w:rPr>
        <w:t xml:space="preserve">                                                                                                        </w:t>
      </w:r>
    </w:p>
    <w:p>
      <w:pPr>
        <w:adjustRightInd w:val="0"/>
        <w:snapToGrid w:val="0"/>
        <w:spacing w:line="360" w:lineRule="auto"/>
        <w:ind w:left="1619" w:leftChars="771"/>
        <w:rPr>
          <w:rFonts w:ascii="宋体" w:hAnsi="宋体" w:cs="宋体"/>
          <w:color w:val="auto"/>
          <w:kern w:val="0"/>
          <w:szCs w:val="21"/>
        </w:rPr>
      </w:pPr>
      <w:r>
        <w:rPr>
          <w:rFonts w:ascii="宋体" w:hAnsi="宋体" w:cs="宋体"/>
          <w:color w:val="auto"/>
          <w:kern w:val="0"/>
          <w:szCs w:val="21"/>
        </w:rPr>
        <mc:AlternateContent>
          <mc:Choice Requires="wps">
            <w:drawing>
              <wp:anchor distT="0" distB="0" distL="114300" distR="114300" simplePos="0" relativeHeight="251832320" behindDoc="0" locked="0" layoutInCell="1" allowOverlap="1">
                <wp:simplePos x="0" y="0"/>
                <wp:positionH relativeFrom="column">
                  <wp:posOffset>-114300</wp:posOffset>
                </wp:positionH>
                <wp:positionV relativeFrom="paragraph">
                  <wp:posOffset>24130</wp:posOffset>
                </wp:positionV>
                <wp:extent cx="914400" cy="494030"/>
                <wp:effectExtent l="0" t="0" r="0" b="0"/>
                <wp:wrapNone/>
                <wp:docPr id="135" name="文本框 135"/>
                <wp:cNvGraphicFramePr/>
                <a:graphic xmlns:a="http://schemas.openxmlformats.org/drawingml/2006/main">
                  <a:graphicData uri="http://schemas.microsoft.com/office/word/2010/wordprocessingShape">
                    <wps:wsp>
                      <wps:cNvSpPr txBox="1">
                        <a:spLocks noChangeArrowheads="1"/>
                      </wps:cNvSpPr>
                      <wps:spPr bwMode="auto">
                        <a:xfrm>
                          <a:off x="0" y="0"/>
                          <a:ext cx="914400" cy="494030"/>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各项工作价款的计算</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pt;height:38.9pt;width:72pt;z-index:251832320;mso-width-relative:page;mso-height-relative:page;" filled="f" stroked="f" coordsize="21600,21600" o:gfxdata="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F2vWpbUAAAACAEAAA8AAAAAAAAAAQAgAAAAIgAAAGRycy9kb3ducmV2&#10;LnhtbFBLAQIUABQAAAAIAIdO4kCi3IqTAAIAANgDAAAOAAAAAAAAAAEAIAAAACMBAABkcnMvZTJv&#10;RG9jLnhtbFBLBQYAAAAABgAGAFkBAACVBQ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各项工作价款的计算</w:t>
                      </w:r>
                    </w:p>
                  </w:txbxContent>
                </v:textbox>
              </v:shape>
            </w:pict>
          </mc:Fallback>
        </mc:AlternateContent>
      </w:r>
      <w:r>
        <w:rPr>
          <w:rFonts w:hint="eastAsia" w:ascii="宋体" w:hAnsi="宋体" w:cs="宋体"/>
          <w:color w:val="auto"/>
          <w:kern w:val="0"/>
          <w:szCs w:val="21"/>
        </w:rPr>
        <w:t>除按照第69条至第73条、第76条规定所做的调整外，每项工作所适用的单价(费率)或合价应按照合同约定的该项工作的单价（费率）或合价，并按照本条规定计量得到的工程量与适用的单价（费率）或合价的乘积确定该项工作的价款。造价工程师根据各个支付期所有各项工作的价款计算该支付期工程款，并将各支付期的价款汇总计算合同价款。</w:t>
      </w:r>
    </w:p>
    <w:p>
      <w:pPr>
        <w:tabs>
          <w:tab w:val="left" w:pos="1620"/>
        </w:tabs>
        <w:adjustRightInd w:val="0"/>
        <w:snapToGrid w:val="0"/>
        <w:rPr>
          <w:rFonts w:ascii="宋体" w:hAnsi="宋体" w:cs="宋体"/>
          <w:b/>
          <w:color w:val="auto"/>
          <w:kern w:val="0"/>
          <w:szCs w:val="21"/>
          <w:u w:val="single"/>
        </w:rPr>
      </w:pPr>
      <w:r>
        <w:rPr>
          <w:rFonts w:hint="eastAsia" w:ascii="宋体" w:hAnsi="宋体" w:cs="宋体"/>
          <w:b/>
          <w:color w:val="auto"/>
          <w:kern w:val="0"/>
          <w:szCs w:val="21"/>
          <w:u w:val="single"/>
        </w:rPr>
        <w:t xml:space="preserve">                                                                                                               </w:t>
      </w:r>
    </w:p>
    <w:p>
      <w:pPr>
        <w:tabs>
          <w:tab w:val="left" w:pos="1620"/>
        </w:tabs>
        <w:spacing w:line="240" w:lineRule="exact"/>
        <w:rPr>
          <w:rFonts w:ascii="宋体" w:hAnsi="宋体" w:cs="宋体"/>
          <w:color w:val="auto"/>
          <w:szCs w:val="21"/>
        </w:rPr>
      </w:pPr>
    </w:p>
    <w:p>
      <w:pPr>
        <w:tabs>
          <w:tab w:val="left" w:pos="540"/>
        </w:tabs>
        <w:adjustRightInd w:val="0"/>
        <w:snapToGrid w:val="0"/>
        <w:spacing w:beforeLines="100" w:line="360" w:lineRule="auto"/>
        <w:ind w:right="-238"/>
        <w:rPr>
          <w:rFonts w:ascii="宋体" w:hAnsi="宋体" w:cs="宋体"/>
          <w:b/>
          <w:dstrike/>
          <w:color w:val="auto"/>
          <w:kern w:val="0"/>
          <w:szCs w:val="21"/>
        </w:rPr>
      </w:pPr>
      <w:r>
        <w:rPr>
          <w:rFonts w:hint="eastAsia" w:ascii="宋体" w:hAnsi="宋体" w:cs="宋体"/>
          <w:b/>
          <w:color w:val="auto"/>
          <w:kern w:val="0"/>
          <w:szCs w:val="21"/>
        </w:rPr>
        <w:t>63  暂列金额</w:t>
      </w:r>
    </w:p>
    <w:p>
      <w:pPr>
        <w:adjustRightInd w:val="0"/>
        <w:snapToGrid w:val="0"/>
        <w:spacing w:line="360" w:lineRule="auto"/>
        <w:rPr>
          <w:rFonts w:ascii="宋体" w:hAnsi="宋体" w:cs="宋体"/>
          <w:b/>
          <w:color w:val="auto"/>
          <w:kern w:val="0"/>
          <w:szCs w:val="21"/>
        </w:rPr>
      </w:pPr>
      <w:r>
        <w:rPr>
          <w:rFonts w:hint="eastAsia" w:ascii="宋体" w:hAnsi="宋体" w:cs="宋体"/>
          <w:b/>
          <w:color w:val="auto"/>
          <w:kern w:val="0"/>
          <w:szCs w:val="21"/>
        </w:rPr>
        <w:t>63.1</w:t>
      </w:r>
    </w:p>
    <w:p>
      <w:pPr>
        <w:spacing w:line="360" w:lineRule="auto"/>
        <w:ind w:left="1619" w:leftChars="771"/>
        <w:rPr>
          <w:rFonts w:ascii="宋体" w:hAnsi="宋体" w:cs="宋体"/>
          <w:color w:val="auto"/>
          <w:szCs w:val="21"/>
        </w:rPr>
      </w:pPr>
      <w:r>
        <w:rPr>
          <w:rFonts w:ascii="宋体" w:hAnsi="宋体" w:cs="宋体"/>
          <w:color w:val="auto"/>
          <w:szCs w:val="21"/>
        </w:rPr>
        <mc:AlternateContent>
          <mc:Choice Requires="wps">
            <w:drawing>
              <wp:anchor distT="0" distB="0" distL="114300" distR="114300" simplePos="0" relativeHeight="251833344" behindDoc="0" locked="0" layoutInCell="1" allowOverlap="1">
                <wp:simplePos x="0" y="0"/>
                <wp:positionH relativeFrom="column">
                  <wp:posOffset>-228600</wp:posOffset>
                </wp:positionH>
                <wp:positionV relativeFrom="paragraph">
                  <wp:posOffset>95250</wp:posOffset>
                </wp:positionV>
                <wp:extent cx="1143000" cy="688340"/>
                <wp:effectExtent l="0" t="0" r="0" b="0"/>
                <wp:wrapNone/>
                <wp:docPr id="134" name="文本框 134"/>
                <wp:cNvGraphicFramePr/>
                <a:graphic xmlns:a="http://schemas.openxmlformats.org/drawingml/2006/main">
                  <a:graphicData uri="http://schemas.microsoft.com/office/word/2010/wordprocessingShape">
                    <wps:wsp>
                      <wps:cNvSpPr txBox="1">
                        <a:spLocks noChangeArrowheads="1"/>
                      </wps:cNvSpPr>
                      <wps:spPr bwMode="auto">
                        <a:xfrm>
                          <a:off x="0" y="0"/>
                          <a:ext cx="1143000" cy="688340"/>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暂列金额的用</w:t>
                            </w:r>
                          </w:p>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途</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8pt;margin-top:7.5pt;height:54.2pt;width:90pt;z-index:251833344;mso-width-relative:page;mso-height-relative:page;" filled="f" stroked="f" coordsize="21600,21600" o:gfxdata="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AjDPVAAAACgEAAA8AAAAAAAAAAQAgAAAAIgAAAGRycy9kb3du&#10;cmV2LnhtbFBLAQIUABQAAAAIAIdO4kDD4tH0AgIAANkDAAAOAAAAAAAAAAEAIAAAACQBAABkcnMv&#10;ZTJvRG9jLnhtbFBLBQYAAAAABgAGAFkBAACYBQ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暂列金额的用</w:t>
                      </w:r>
                    </w:p>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途</w:t>
                      </w:r>
                    </w:p>
                  </w:txbxContent>
                </v:textbox>
              </v:shape>
            </w:pict>
          </mc:Fallback>
        </mc:AlternateContent>
      </w:r>
      <w:r>
        <w:rPr>
          <w:rFonts w:hint="eastAsia" w:ascii="宋体" w:hAnsi="宋体" w:cs="宋体"/>
          <w:color w:val="auto"/>
          <w:szCs w:val="21"/>
        </w:rPr>
        <w:t>合同双方当事人应在专用条款中明确工程量清单中开列的已标价的暂列金额。</w:t>
      </w:r>
    </w:p>
    <w:p>
      <w:pPr>
        <w:adjustRightInd w:val="0"/>
        <w:snapToGrid w:val="0"/>
        <w:spacing w:line="360" w:lineRule="auto"/>
        <w:ind w:left="1619" w:leftChars="771"/>
        <w:rPr>
          <w:rFonts w:ascii="宋体" w:hAnsi="宋体" w:cs="宋体"/>
          <w:color w:val="auto"/>
          <w:kern w:val="0"/>
          <w:szCs w:val="21"/>
        </w:rPr>
      </w:pPr>
      <w:r>
        <w:rPr>
          <w:rFonts w:hint="eastAsia" w:ascii="宋体" w:hAnsi="宋体" w:cs="宋体"/>
          <w:color w:val="auto"/>
          <w:kern w:val="0"/>
          <w:szCs w:val="21"/>
        </w:rPr>
        <w:t>暂列金额是用于实施合同工程的任一增加部分，或用于提供不可预见的货物、材料和工程设备，或用于工程变更等因素发生的工程款调增，以及经确认的索赔、现场签证，或用于提供相关服务或意外事件的一笔款项。</w:t>
      </w:r>
    </w:p>
    <w:p>
      <w:pPr>
        <w:adjustRightInd w:val="0"/>
        <w:snapToGrid w:val="0"/>
        <w:spacing w:line="360" w:lineRule="auto"/>
        <w:rPr>
          <w:rFonts w:ascii="宋体" w:hAnsi="宋体" w:cs="宋体"/>
          <w:b/>
          <w:color w:val="auto"/>
          <w:kern w:val="0"/>
          <w:szCs w:val="21"/>
        </w:rPr>
      </w:pPr>
      <w:r>
        <w:rPr>
          <w:rFonts w:hint="eastAsia" w:ascii="宋体" w:hAnsi="宋体" w:cs="宋体"/>
          <w:b/>
          <w:color w:val="auto"/>
          <w:kern w:val="0"/>
          <w:szCs w:val="21"/>
        </w:rPr>
        <w:t xml:space="preserve">63.2  </w:t>
      </w:r>
      <w:r>
        <w:rPr>
          <w:rFonts w:hint="eastAsia" w:ascii="宋体" w:hAnsi="宋体" w:cs="宋体"/>
          <w:b/>
          <w:color w:val="auto"/>
          <w:kern w:val="0"/>
          <w:szCs w:val="21"/>
          <w:u w:val="dotted"/>
        </w:rPr>
        <w:t xml:space="preserve">                                                                                                        </w:t>
      </w:r>
    </w:p>
    <w:p>
      <w:pPr>
        <w:adjustRightInd w:val="0"/>
        <w:snapToGrid w:val="0"/>
        <w:spacing w:line="360" w:lineRule="auto"/>
        <w:ind w:left="1575" w:leftChars="750"/>
        <w:rPr>
          <w:rFonts w:ascii="宋体" w:hAnsi="宋体" w:cs="宋体"/>
          <w:b/>
          <w:color w:val="auto"/>
          <w:kern w:val="0"/>
          <w:szCs w:val="21"/>
        </w:rPr>
      </w:pPr>
      <w:r>
        <w:rPr>
          <w:rFonts w:ascii="宋体" w:hAnsi="宋体" w:cs="宋体"/>
          <w:color w:val="auto"/>
          <w:kern w:val="0"/>
          <w:szCs w:val="21"/>
        </w:rPr>
        <mc:AlternateContent>
          <mc:Choice Requires="wps">
            <w:drawing>
              <wp:anchor distT="0" distB="0" distL="114300" distR="114300" simplePos="0" relativeHeight="251834368" behindDoc="0" locked="0" layoutInCell="1" allowOverlap="1">
                <wp:simplePos x="0" y="0"/>
                <wp:positionH relativeFrom="column">
                  <wp:posOffset>-133350</wp:posOffset>
                </wp:positionH>
                <wp:positionV relativeFrom="paragraph">
                  <wp:posOffset>99695</wp:posOffset>
                </wp:positionV>
                <wp:extent cx="1028700" cy="553085"/>
                <wp:effectExtent l="0" t="0" r="0" b="0"/>
                <wp:wrapNone/>
                <wp:docPr id="133" name="文本框 133"/>
                <wp:cNvGraphicFramePr/>
                <a:graphic xmlns:a="http://schemas.openxmlformats.org/drawingml/2006/main">
                  <a:graphicData uri="http://schemas.microsoft.com/office/word/2010/wordprocessingShape">
                    <wps:wsp>
                      <wps:cNvSpPr txBox="1">
                        <a:spLocks noChangeArrowheads="1"/>
                      </wps:cNvSpPr>
                      <wps:spPr bwMode="auto">
                        <a:xfrm>
                          <a:off x="0" y="0"/>
                          <a:ext cx="1028700" cy="553085"/>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暂列金额的支</w:t>
                            </w:r>
                          </w:p>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0.5pt;margin-top:7.85pt;height:43.55pt;width:81pt;z-index:251834368;mso-width-relative:page;mso-height-relative:page;" filled="f" stroked="f" coordsize="21600,21600" o:gfxdata="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MS3yZ/WAAAACgEAAA8AAAAAAAAAAQAgAAAAIgAAAGRycy9kb3du&#10;cmV2LnhtbFBLAQIUABQAAAAIAIdO4kDir6uXAQIAANkDAAAOAAAAAAAAAAEAIAAAACUBAABkcnMv&#10;ZTJvRG9jLnhtbFBLBQYAAAAABgAGAFkBAACYBQ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暂列金额的支</w:t>
                      </w:r>
                    </w:p>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付</w:t>
                      </w:r>
                    </w:p>
                  </w:txbxContent>
                </v:textbox>
              </v:shape>
            </w:pict>
          </mc:Fallback>
        </mc:AlternateContent>
      </w:r>
      <w:r>
        <w:rPr>
          <w:rFonts w:hint="eastAsia" w:ascii="宋体" w:hAnsi="宋体" w:cs="宋体"/>
          <w:color w:val="auto"/>
          <w:kern w:val="0"/>
          <w:szCs w:val="21"/>
        </w:rPr>
        <w:t>经发包人批准后，监理工程师应就承包人实施第63.1款规定的工作发出书面指令。承包人应就此项指令提出所需价款，经造价工程师核实并由其报发包人确认后，向承包人支付相关款项。</w:t>
      </w:r>
    </w:p>
    <w:p>
      <w:pPr>
        <w:adjustRightInd w:val="0"/>
        <w:snapToGrid w:val="0"/>
        <w:spacing w:line="360" w:lineRule="auto"/>
        <w:rPr>
          <w:rFonts w:ascii="宋体" w:hAnsi="宋体" w:cs="宋体"/>
          <w:b/>
          <w:color w:val="auto"/>
          <w:kern w:val="0"/>
          <w:szCs w:val="21"/>
        </w:rPr>
      </w:pPr>
      <w:r>
        <w:rPr>
          <w:rFonts w:hint="eastAsia" w:ascii="宋体" w:hAnsi="宋体" w:cs="宋体"/>
          <w:b/>
          <w:color w:val="auto"/>
          <w:kern w:val="0"/>
          <w:szCs w:val="21"/>
        </w:rPr>
        <w:t xml:space="preserve">63.3  </w:t>
      </w:r>
      <w:r>
        <w:rPr>
          <w:rFonts w:hint="eastAsia" w:ascii="宋体" w:hAnsi="宋体" w:cs="宋体"/>
          <w:b/>
          <w:color w:val="auto"/>
          <w:kern w:val="0"/>
          <w:szCs w:val="21"/>
          <w:u w:val="dotted"/>
        </w:rPr>
        <w:t xml:space="preserve">                                                                                                        </w:t>
      </w:r>
    </w:p>
    <w:p>
      <w:pPr>
        <w:adjustRightInd w:val="0"/>
        <w:snapToGrid w:val="0"/>
        <w:spacing w:line="360" w:lineRule="auto"/>
        <w:ind w:left="1619" w:leftChars="771"/>
        <w:rPr>
          <w:rFonts w:ascii="宋体" w:hAnsi="宋体" w:cs="宋体"/>
          <w:color w:val="auto"/>
          <w:kern w:val="0"/>
          <w:szCs w:val="21"/>
        </w:rPr>
      </w:pPr>
      <w:r>
        <w:rPr>
          <w:rFonts w:ascii="宋体" w:hAnsi="宋体" w:cs="宋体"/>
          <w:color w:val="auto"/>
          <w:kern w:val="0"/>
          <w:szCs w:val="21"/>
        </w:rPr>
        <mc:AlternateContent>
          <mc:Choice Requires="wps">
            <w:drawing>
              <wp:anchor distT="0" distB="0" distL="114300" distR="114300" simplePos="0" relativeHeight="251835392" behindDoc="0" locked="0" layoutInCell="1" allowOverlap="1">
                <wp:simplePos x="0" y="0"/>
                <wp:positionH relativeFrom="column">
                  <wp:posOffset>-114300</wp:posOffset>
                </wp:positionH>
                <wp:positionV relativeFrom="paragraph">
                  <wp:posOffset>15875</wp:posOffset>
                </wp:positionV>
                <wp:extent cx="914400" cy="396240"/>
                <wp:effectExtent l="0" t="0" r="0" b="0"/>
                <wp:wrapNone/>
                <wp:docPr id="132" name="文本框 132"/>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提供暂列金额支付票据</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5pt;height:31.2pt;width:72pt;z-index:251835392;mso-width-relative:page;mso-height-relative:page;" filled="f" stroked="f" coordsize="21600,21600" o:gfxdata="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Pz/Bw1QAAAAgBAAAPAAAAAAAAAAEAIAAAACIAAABkcnMvZG93bnJl&#10;di54bWxQSwECFAAUAAAACACHTuJA7/ad/gACAADYAwAADgAAAAAAAAABACAAAAAkAQAAZHJzL2Uy&#10;b0RvYy54bWxQSwUGAAAAAAYABgBZAQAAlgU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提供暂列金额支付票据</w:t>
                      </w:r>
                    </w:p>
                  </w:txbxContent>
                </v:textbox>
              </v:shape>
            </w:pict>
          </mc:Fallback>
        </mc:AlternateContent>
      </w:r>
      <w:r>
        <w:rPr>
          <w:rFonts w:hint="eastAsia" w:ascii="宋体" w:hAnsi="宋体" w:cs="宋体"/>
          <w:color w:val="auto"/>
          <w:kern w:val="0"/>
          <w:szCs w:val="21"/>
        </w:rPr>
        <w:t>造价工程师有要求时，承包人应提供使用暂列金额支付项目的所有报价单、发票、账单或收据。</w:t>
      </w:r>
    </w:p>
    <w:p>
      <w:pPr>
        <w:adjustRightInd w:val="0"/>
        <w:snapToGrid w:val="0"/>
        <w:spacing w:line="240" w:lineRule="exact"/>
        <w:rPr>
          <w:rFonts w:ascii="宋体" w:hAnsi="宋体" w:cs="宋体"/>
          <w:b/>
          <w:color w:val="auto"/>
          <w:kern w:val="0"/>
          <w:szCs w:val="21"/>
          <w:u w:val="single"/>
        </w:rPr>
      </w:pPr>
      <w:r>
        <w:rPr>
          <w:rFonts w:hint="eastAsia" w:ascii="宋体" w:hAnsi="宋体" w:cs="宋体"/>
          <w:b/>
          <w:color w:val="auto"/>
          <w:kern w:val="0"/>
          <w:szCs w:val="21"/>
          <w:u w:val="single"/>
        </w:rPr>
        <w:t xml:space="preserve">                                                                                                               </w:t>
      </w:r>
    </w:p>
    <w:p>
      <w:pPr>
        <w:tabs>
          <w:tab w:val="left" w:pos="540"/>
        </w:tabs>
        <w:adjustRightInd w:val="0"/>
        <w:snapToGrid w:val="0"/>
        <w:spacing w:beforeLines="100" w:line="240" w:lineRule="exact"/>
        <w:ind w:right="-238"/>
        <w:rPr>
          <w:rFonts w:ascii="宋体" w:hAnsi="宋体" w:cs="宋体"/>
          <w:b/>
          <w:color w:val="auto"/>
          <w:kern w:val="0"/>
          <w:szCs w:val="21"/>
        </w:rPr>
      </w:pPr>
    </w:p>
    <w:p>
      <w:pPr>
        <w:tabs>
          <w:tab w:val="left" w:pos="540"/>
        </w:tabs>
        <w:adjustRightInd w:val="0"/>
        <w:snapToGrid w:val="0"/>
        <w:spacing w:beforeLines="100" w:line="360" w:lineRule="auto"/>
        <w:ind w:right="-238"/>
        <w:rPr>
          <w:rFonts w:ascii="宋体" w:hAnsi="宋体" w:cs="宋体"/>
          <w:b/>
          <w:dstrike/>
          <w:color w:val="auto"/>
          <w:kern w:val="0"/>
          <w:szCs w:val="21"/>
        </w:rPr>
      </w:pPr>
      <w:r>
        <w:rPr>
          <w:rFonts w:hint="eastAsia" w:ascii="宋体" w:hAnsi="宋体" w:cs="宋体"/>
          <w:b/>
          <w:color w:val="auto"/>
          <w:kern w:val="0"/>
          <w:szCs w:val="21"/>
        </w:rPr>
        <w:t>64  计日工</w:t>
      </w:r>
    </w:p>
    <w:p>
      <w:pPr>
        <w:adjustRightInd w:val="0"/>
        <w:snapToGrid w:val="0"/>
        <w:spacing w:line="360" w:lineRule="auto"/>
        <w:rPr>
          <w:rFonts w:ascii="宋体" w:hAnsi="宋体" w:cs="宋体"/>
          <w:b/>
          <w:color w:val="auto"/>
          <w:kern w:val="0"/>
          <w:szCs w:val="21"/>
        </w:rPr>
      </w:pPr>
      <w:r>
        <w:rPr>
          <w:rFonts w:hint="eastAsia" w:ascii="宋体" w:hAnsi="宋体" w:cs="宋体"/>
          <w:b/>
          <w:color w:val="auto"/>
          <w:kern w:val="0"/>
          <w:szCs w:val="21"/>
        </w:rPr>
        <w:t>64.1</w:t>
      </w:r>
    </w:p>
    <w:p>
      <w:pPr>
        <w:adjustRightInd w:val="0"/>
        <w:snapToGrid w:val="0"/>
        <w:spacing w:line="360" w:lineRule="auto"/>
        <w:ind w:left="1619" w:leftChars="771"/>
        <w:rPr>
          <w:rFonts w:ascii="宋体" w:hAnsi="宋体" w:cs="宋体"/>
          <w:color w:val="auto"/>
          <w:kern w:val="0"/>
          <w:szCs w:val="21"/>
        </w:rPr>
      </w:pPr>
      <w:r>
        <w:rPr>
          <w:rFonts w:ascii="宋体" w:hAnsi="宋体" w:cs="宋体"/>
          <w:color w:val="auto"/>
          <w:kern w:val="0"/>
          <w:szCs w:val="21"/>
        </w:rPr>
        <mc:AlternateContent>
          <mc:Choice Requires="wps">
            <w:drawing>
              <wp:anchor distT="0" distB="0" distL="114300" distR="114300" simplePos="0" relativeHeight="251891712" behindDoc="0" locked="0" layoutInCell="1" allowOverlap="1">
                <wp:simplePos x="0" y="0"/>
                <wp:positionH relativeFrom="column">
                  <wp:posOffset>-114300</wp:posOffset>
                </wp:positionH>
                <wp:positionV relativeFrom="paragraph">
                  <wp:posOffset>15875</wp:posOffset>
                </wp:positionV>
                <wp:extent cx="914400" cy="387985"/>
                <wp:effectExtent l="0" t="0" r="0" b="0"/>
                <wp:wrapNone/>
                <wp:docPr id="131" name="文本框 131"/>
                <wp:cNvGraphicFramePr/>
                <a:graphic xmlns:a="http://schemas.openxmlformats.org/drawingml/2006/main">
                  <a:graphicData uri="http://schemas.microsoft.com/office/word/2010/wordprocessingShape">
                    <wps:wsp>
                      <wps:cNvSpPr txBox="1">
                        <a:spLocks noChangeArrowheads="1"/>
                      </wps:cNvSpPr>
                      <wps:spPr bwMode="auto">
                        <a:xfrm>
                          <a:off x="0" y="0"/>
                          <a:ext cx="914400" cy="387985"/>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计日工单价的用途</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5pt;height:30.55pt;width:72pt;z-index:251891712;mso-width-relative:page;mso-height-relative:page;" filled="f" stroked="f" coordsize="21600,21600" o:gfxdata="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S/yvS1QAAAAgBAAAPAAAAAAAAAAEAIAAAACIAAABkcnMvZG93bnJl&#10;di54bWxQSwECFAAUAAAACACHTuJA3y0UyAACAADYAwAADgAAAAAAAAABACAAAAAkAQAAZHJzL2Uy&#10;b0RvYy54bWxQSwUGAAAAAAYABgBZAQAAlgU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计日工单价的用途</w:t>
                      </w:r>
                    </w:p>
                  </w:txbxContent>
                </v:textbox>
              </v:shape>
            </w:pict>
          </mc:Fallback>
        </mc:AlternateContent>
      </w:r>
      <w:r>
        <w:rPr>
          <w:rFonts w:hint="eastAsia" w:ascii="宋体" w:hAnsi="宋体" w:cs="宋体"/>
          <w:color w:val="auto"/>
          <w:kern w:val="0"/>
          <w:szCs w:val="21"/>
        </w:rPr>
        <w:t>承包人响应文件中填报的计日工单价或价格是用于实施发包人要求的合同以外零星工作项目所需的人工单价、材料、工程设备价格和施工设备机械台班单价。</w:t>
      </w:r>
    </w:p>
    <w:p>
      <w:pPr>
        <w:adjustRightInd w:val="0"/>
        <w:snapToGrid w:val="0"/>
        <w:spacing w:line="480" w:lineRule="auto"/>
        <w:rPr>
          <w:rFonts w:ascii="宋体" w:hAnsi="宋体" w:cs="宋体"/>
          <w:color w:val="auto"/>
          <w:kern w:val="0"/>
          <w:szCs w:val="21"/>
        </w:rPr>
      </w:pPr>
      <w:r>
        <w:rPr>
          <w:rFonts w:hint="eastAsia" w:ascii="宋体" w:hAnsi="宋体" w:cs="宋体"/>
          <w:b/>
          <w:color w:val="auto"/>
          <w:kern w:val="0"/>
          <w:szCs w:val="21"/>
        </w:rPr>
        <w:t xml:space="preserve">64.2 </w:t>
      </w:r>
      <w:r>
        <w:rPr>
          <w:rFonts w:hint="eastAsia" w:ascii="宋体" w:hAnsi="宋体" w:cs="宋体"/>
          <w:color w:val="auto"/>
          <w:kern w:val="0"/>
          <w:szCs w:val="21"/>
        </w:rPr>
        <w:t xml:space="preserve"> </w:t>
      </w:r>
      <w:r>
        <w:rPr>
          <w:rFonts w:hint="eastAsia" w:ascii="宋体" w:hAnsi="宋体" w:cs="宋体"/>
          <w:color w:val="auto"/>
          <w:kern w:val="0"/>
          <w:szCs w:val="21"/>
          <w:u w:val="dotted"/>
        </w:rPr>
        <w:t xml:space="preserve">                                                                                                        </w:t>
      </w:r>
    </w:p>
    <w:p>
      <w:pPr>
        <w:adjustRightInd w:val="0"/>
        <w:snapToGrid w:val="0"/>
        <w:spacing w:line="360" w:lineRule="auto"/>
        <w:ind w:left="1619" w:leftChars="771"/>
        <w:rPr>
          <w:rFonts w:ascii="宋体" w:hAnsi="宋体" w:cs="宋体"/>
          <w:color w:val="auto"/>
          <w:kern w:val="0"/>
          <w:szCs w:val="21"/>
        </w:rPr>
      </w:pPr>
      <w:r>
        <w:rPr>
          <w:rFonts w:hint="eastAsia" w:ascii="宋体" w:hAnsi="宋体" w:cs="宋体"/>
          <w:color w:val="auto"/>
          <w:kern w:val="0"/>
          <w:szCs w:val="21"/>
        </w:rPr>
        <w:t>经发包人批准后，监理工程师应就使用计日工项目发出书面指令。</w:t>
      </w:r>
      <w:r>
        <w:rPr>
          <w:rFonts w:ascii="宋体" w:hAnsi="宋体" w:cs="宋体"/>
          <w:color w:val="auto"/>
          <w:kern w:val="0"/>
          <w:szCs w:val="21"/>
        </w:rPr>
        <mc:AlternateContent>
          <mc:Choice Requires="wps">
            <w:drawing>
              <wp:anchor distT="0" distB="0" distL="114300" distR="114300" simplePos="0" relativeHeight="251892736" behindDoc="0" locked="0" layoutInCell="1" allowOverlap="1">
                <wp:simplePos x="0" y="0"/>
                <wp:positionH relativeFrom="column">
                  <wp:posOffset>-114300</wp:posOffset>
                </wp:positionH>
                <wp:positionV relativeFrom="paragraph">
                  <wp:posOffset>14605</wp:posOffset>
                </wp:positionV>
                <wp:extent cx="914400" cy="412750"/>
                <wp:effectExtent l="0" t="0" r="0" b="0"/>
                <wp:wrapNone/>
                <wp:docPr id="130" name="文本框 130"/>
                <wp:cNvGraphicFramePr/>
                <a:graphic xmlns:a="http://schemas.openxmlformats.org/drawingml/2006/main">
                  <a:graphicData uri="http://schemas.microsoft.com/office/word/2010/wordprocessingShape">
                    <wps:wsp>
                      <wps:cNvSpPr txBox="1">
                        <a:spLocks noChangeArrowheads="1"/>
                      </wps:cNvSpPr>
                      <wps:spPr bwMode="auto">
                        <a:xfrm>
                          <a:off x="0" y="0"/>
                          <a:ext cx="914400" cy="412750"/>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计日工的确认</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15pt;height:32.5pt;width:72pt;z-index:251892736;mso-width-relative:page;mso-height-relative:page;" filled="f" stroked="f" coordsize="21600,21600" o:gfxdata="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Nboxr1gAAAAgBAAAPAAAAAAAAAAEAIAAAACIAAABkcnMvZG93bnJl&#10;di54bWxQSwECFAAUAAAACACHTuJALxfjrP8BAADYAwAADgAAAAAAAAABACAAAAAlAQAAZHJzL2Uy&#10;b0RvYy54bWxQSwUGAAAAAAYABgBZAQAAlgU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计日工的确认</w:t>
                      </w:r>
                    </w:p>
                  </w:txbxContent>
                </v:textbox>
              </v:shape>
            </w:pict>
          </mc:Fallback>
        </mc:AlternateContent>
      </w:r>
      <w:r>
        <w:rPr>
          <w:rFonts w:hint="eastAsia" w:ascii="宋体" w:hAnsi="宋体" w:cs="宋体"/>
          <w:color w:val="auto"/>
          <w:kern w:val="0"/>
          <w:szCs w:val="21"/>
        </w:rPr>
        <w:t>任一按照计日工方式计价的工作，承包人应在该项工作实施结束后的24小时内，向监理工程师提交有计日工记录的现场签证报告一式两份。</w:t>
      </w:r>
    </w:p>
    <w:p>
      <w:pPr>
        <w:adjustRightInd w:val="0"/>
        <w:snapToGrid w:val="0"/>
        <w:spacing w:line="360" w:lineRule="auto"/>
        <w:ind w:left="1575" w:leftChars="750"/>
        <w:rPr>
          <w:rFonts w:ascii="宋体" w:hAnsi="宋体" w:cs="宋体"/>
          <w:color w:val="auto"/>
          <w:kern w:val="0"/>
          <w:szCs w:val="21"/>
        </w:rPr>
      </w:pPr>
      <w:r>
        <w:rPr>
          <w:rFonts w:hint="eastAsia" w:ascii="宋体" w:hAnsi="宋体" w:cs="宋体"/>
          <w:color w:val="auto"/>
          <w:kern w:val="0"/>
          <w:szCs w:val="21"/>
        </w:rPr>
        <w:t>当此工作持续进行时，承包人应每天向监理工程师提交当天计日工记录完毕的现场签证报告。监理工程师在收到承包人提交现场签证报告后的2天内予以确认并由其报发包人批准后，将其中一份返还给承包人，作为计日工计价和支付的依据。监理工程师逾期未确认也未提出修改意见的，视为承包人提交的现场签证报告已被认可。</w:t>
      </w:r>
    </w:p>
    <w:p>
      <w:pPr>
        <w:adjustRightInd w:val="0"/>
        <w:snapToGrid w:val="0"/>
        <w:spacing w:line="480" w:lineRule="auto"/>
        <w:rPr>
          <w:rFonts w:ascii="宋体" w:hAnsi="宋体" w:cs="宋体"/>
          <w:b/>
          <w:color w:val="auto"/>
          <w:kern w:val="0"/>
          <w:szCs w:val="21"/>
        </w:rPr>
      </w:pPr>
      <w:r>
        <w:rPr>
          <w:rFonts w:hint="eastAsia" w:ascii="宋体" w:hAnsi="宋体" w:cs="宋体"/>
          <w:b/>
          <w:color w:val="auto"/>
          <w:kern w:val="0"/>
          <w:szCs w:val="21"/>
        </w:rPr>
        <w:t xml:space="preserve">64.3  </w:t>
      </w:r>
      <w:r>
        <w:rPr>
          <w:rFonts w:hint="eastAsia" w:ascii="宋体" w:hAnsi="宋体" w:cs="宋体"/>
          <w:b/>
          <w:color w:val="auto"/>
          <w:kern w:val="0"/>
          <w:szCs w:val="21"/>
          <w:u w:val="dotted"/>
        </w:rPr>
        <w:t xml:space="preserve">                                                                                                        </w:t>
      </w:r>
    </w:p>
    <w:p>
      <w:pPr>
        <w:adjustRightInd w:val="0"/>
        <w:snapToGrid w:val="0"/>
        <w:spacing w:line="360" w:lineRule="auto"/>
        <w:ind w:left="1619" w:leftChars="771"/>
        <w:rPr>
          <w:rFonts w:ascii="宋体" w:hAnsi="宋体" w:cs="宋体"/>
          <w:color w:val="auto"/>
          <w:kern w:val="0"/>
          <w:szCs w:val="21"/>
        </w:rPr>
      </w:pPr>
      <w:r>
        <w:rPr>
          <w:rFonts w:ascii="宋体" w:hAnsi="宋体" w:cs="宋体"/>
          <w:color w:val="auto"/>
          <w:kern w:val="0"/>
          <w:szCs w:val="21"/>
        </w:rPr>
        <mc:AlternateContent>
          <mc:Choice Requires="wps">
            <w:drawing>
              <wp:anchor distT="0" distB="0" distL="114300" distR="114300" simplePos="0" relativeHeight="251893760" behindDoc="0" locked="0" layoutInCell="1" allowOverlap="1">
                <wp:simplePos x="0" y="0"/>
                <wp:positionH relativeFrom="column">
                  <wp:posOffset>-114300</wp:posOffset>
                </wp:positionH>
                <wp:positionV relativeFrom="paragraph">
                  <wp:posOffset>5080</wp:posOffset>
                </wp:positionV>
                <wp:extent cx="914400" cy="396240"/>
                <wp:effectExtent l="0" t="0" r="0" b="0"/>
                <wp:wrapNone/>
                <wp:docPr id="129" name="文本框 129"/>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计日工的支付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4pt;height:31.2pt;width:72pt;z-index:251893760;mso-width-relative:page;mso-height-relative:page;" filled="f" stroked="f" coordsize="21600,21600" o:gfxdata="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KkUNOfUAAAABwEAAA8AAAAAAAAAAQAgAAAAIgAAAGRycy9kb3ducmV2&#10;LnhtbFBLAQIUABQAAAAIAIdO4kClmio8AAIAANgDAAAOAAAAAAAAAAEAIAAAACMBAABkcnMvZTJv&#10;RG9jLnhtbFBLBQYAAAAABgAGAFkBAACVBQ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计日工的支付</w:t>
                      </w:r>
                    </w:p>
                  </w:txbxContent>
                </v:textbox>
              </v:shape>
            </w:pict>
          </mc:Fallback>
        </mc:AlternateContent>
      </w:r>
      <w:r>
        <w:rPr>
          <w:rFonts w:hint="eastAsia" w:ascii="宋体" w:hAnsi="宋体" w:cs="宋体"/>
          <w:color w:val="auto"/>
          <w:kern w:val="0"/>
          <w:szCs w:val="21"/>
        </w:rPr>
        <w:t>计日工工作，应从暂列金额中支付。造价工程师应按照监理工程师确认的现场签证报告核实该类项目的工程数量，并根据核实的工程数量和承包人响应文件中填报的计日工子目单价或价格的乘积计算、提出应付价款，经合同双方当事人确认后，与工程进度款同期支付。</w:t>
      </w:r>
    </w:p>
    <w:p>
      <w:pPr>
        <w:adjustRightInd w:val="0"/>
        <w:snapToGrid w:val="0"/>
        <w:spacing w:line="360" w:lineRule="auto"/>
        <w:ind w:left="1619" w:leftChars="771"/>
        <w:rPr>
          <w:rFonts w:ascii="宋体" w:hAnsi="宋体" w:cs="宋体"/>
          <w:color w:val="auto"/>
          <w:kern w:val="0"/>
          <w:szCs w:val="21"/>
        </w:rPr>
      </w:pPr>
      <w:r>
        <w:rPr>
          <w:rFonts w:hint="eastAsia" w:ascii="宋体" w:hAnsi="宋体" w:cs="宋体"/>
          <w:color w:val="auto"/>
          <w:kern w:val="0"/>
          <w:szCs w:val="21"/>
        </w:rPr>
        <w:t xml:space="preserve">每个支付期末，承包人应按照第81.1款规定向发包人提交本期间所有计日工记录的签证汇总表，以说明本期间自己认为有权得到的计日工费用。 </w:t>
      </w:r>
    </w:p>
    <w:p>
      <w:pPr>
        <w:tabs>
          <w:tab w:val="left" w:pos="540"/>
        </w:tabs>
        <w:adjustRightInd w:val="0"/>
        <w:snapToGrid w:val="0"/>
        <w:spacing w:beforeLines="100" w:line="360" w:lineRule="auto"/>
        <w:rPr>
          <w:rFonts w:ascii="宋体" w:hAnsi="宋体" w:cs="宋体"/>
          <w:b/>
          <w:color w:val="auto"/>
          <w:kern w:val="0"/>
          <w:szCs w:val="21"/>
        </w:rPr>
      </w:pPr>
      <w:r>
        <w:rPr>
          <w:rFonts w:hint="eastAsia" w:ascii="宋体" w:hAnsi="宋体" w:cs="宋体"/>
          <w:b/>
          <w:color w:val="auto"/>
          <w:kern w:val="0"/>
          <w:szCs w:val="21"/>
          <w:u w:val="single"/>
        </w:rPr>
        <w:t xml:space="preserve">                                                                               </w:t>
      </w:r>
    </w:p>
    <w:p>
      <w:pPr>
        <w:tabs>
          <w:tab w:val="left" w:pos="540"/>
        </w:tabs>
        <w:adjustRightInd w:val="0"/>
        <w:snapToGrid w:val="0"/>
        <w:spacing w:beforeLines="100" w:line="360" w:lineRule="auto"/>
        <w:ind w:right="-238"/>
        <w:rPr>
          <w:rFonts w:ascii="宋体" w:hAnsi="宋体" w:cs="宋体"/>
          <w:b/>
          <w:dstrike/>
          <w:color w:val="auto"/>
          <w:kern w:val="0"/>
          <w:szCs w:val="21"/>
        </w:rPr>
      </w:pPr>
      <w:r>
        <w:rPr>
          <w:rFonts w:hint="eastAsia" w:ascii="宋体" w:hAnsi="宋体" w:cs="宋体"/>
          <w:b/>
          <w:color w:val="auto"/>
          <w:kern w:val="0"/>
          <w:szCs w:val="21"/>
        </w:rPr>
        <w:t>65  暂估价</w:t>
      </w:r>
    </w:p>
    <w:p>
      <w:pPr>
        <w:adjustRightInd w:val="0"/>
        <w:snapToGrid w:val="0"/>
        <w:spacing w:line="360" w:lineRule="auto"/>
        <w:ind w:left="1470" w:hanging="1470" w:hangingChars="700"/>
        <w:rPr>
          <w:rFonts w:ascii="宋体" w:hAnsi="宋体" w:cs="宋体"/>
          <w:color w:val="auto"/>
          <w:kern w:val="0"/>
          <w:szCs w:val="21"/>
        </w:rPr>
      </w:pPr>
      <w:r>
        <w:rPr>
          <w:rFonts w:ascii="宋体" w:hAnsi="宋体" w:cs="宋体"/>
          <w:color w:val="auto"/>
          <w:kern w:val="0"/>
          <w:szCs w:val="21"/>
        </w:rPr>
        <mc:AlternateContent>
          <mc:Choice Requires="wps">
            <w:drawing>
              <wp:anchor distT="0" distB="0" distL="114300" distR="114300" simplePos="0" relativeHeight="251923456" behindDoc="0" locked="0" layoutInCell="1" allowOverlap="1">
                <wp:simplePos x="0" y="0"/>
                <wp:positionH relativeFrom="column">
                  <wp:posOffset>-133350</wp:posOffset>
                </wp:positionH>
                <wp:positionV relativeFrom="paragraph">
                  <wp:posOffset>320040</wp:posOffset>
                </wp:positionV>
                <wp:extent cx="1047750" cy="483870"/>
                <wp:effectExtent l="0" t="0" r="0" b="0"/>
                <wp:wrapNone/>
                <wp:docPr id="128" name="文本框 128"/>
                <wp:cNvGraphicFramePr/>
                <a:graphic xmlns:a="http://schemas.openxmlformats.org/drawingml/2006/main">
                  <a:graphicData uri="http://schemas.microsoft.com/office/word/2010/wordprocessingShape">
                    <wps:wsp>
                      <wps:cNvSpPr txBox="1">
                        <a:spLocks noChangeArrowheads="1"/>
                      </wps:cNvSpPr>
                      <wps:spPr bwMode="auto">
                        <a:xfrm>
                          <a:off x="0" y="0"/>
                          <a:ext cx="1047750" cy="483870"/>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招标暂估价项</w:t>
                            </w:r>
                          </w:p>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目的要求</w:t>
                            </w:r>
                          </w:p>
                          <w:p>
                            <w:pPr>
                              <w:rPr>
                                <w:rFonts w:ascii="楷体_GB2312" w:hAnsi="宋体"/>
                                <w:b/>
                                <w:color w:val="000000"/>
                                <w:sz w:val="18"/>
                                <w:szCs w:val="18"/>
                              </w:rPr>
                            </w:pPr>
                          </w:p>
                          <w:p>
                            <w:pPr>
                              <w:rPr>
                                <w:sz w:val="18"/>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0.5pt;margin-top:25.2pt;height:38.1pt;width:82.5pt;z-index:251923456;mso-width-relative:page;mso-height-relative:page;" filled="f" stroked="f" coordsize="21600,21600" o:gfxdata="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r+f4+NcAAAAKAQAADwAAAAAAAAABACAAAAAiAAAAZHJzL2Rv&#10;d25yZXYueG1sUEsBAhQAFAAAAAgAh07iQH1NExgCAgAA2QMAAA4AAAAAAAAAAQAgAAAAJgEAAGRy&#10;cy9lMm9Eb2MueG1sUEsFBgAAAAAGAAYAWQEAAJoFA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招标暂估价项</w:t>
                      </w:r>
                    </w:p>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目的要求</w:t>
                      </w:r>
                    </w:p>
                    <w:p>
                      <w:pPr>
                        <w:rPr>
                          <w:rFonts w:ascii="楷体_GB2312" w:hAnsi="宋体"/>
                          <w:b/>
                          <w:color w:val="000000"/>
                          <w:sz w:val="18"/>
                          <w:szCs w:val="18"/>
                        </w:rPr>
                      </w:pPr>
                    </w:p>
                    <w:p>
                      <w:pPr>
                        <w:rPr>
                          <w:sz w:val="18"/>
                          <w:szCs w:val="18"/>
                        </w:rPr>
                      </w:pPr>
                    </w:p>
                  </w:txbxContent>
                </v:textbox>
              </v:shape>
            </w:pict>
          </mc:Fallback>
        </mc:AlternateContent>
      </w:r>
      <w:r>
        <w:rPr>
          <w:rFonts w:hint="eastAsia" w:ascii="宋体" w:hAnsi="宋体" w:cs="宋体"/>
          <w:b/>
          <w:color w:val="auto"/>
          <w:kern w:val="0"/>
          <w:szCs w:val="21"/>
        </w:rPr>
        <w:t>65.1</w:t>
      </w:r>
      <w:r>
        <w:rPr>
          <w:rFonts w:hint="eastAsia" w:ascii="宋体" w:hAnsi="宋体" w:cs="宋体"/>
          <w:color w:val="auto"/>
          <w:kern w:val="0"/>
          <w:szCs w:val="21"/>
        </w:rPr>
        <w:t xml:space="preserve">                                                                                                           发包人在工程量清单中给定暂估价的材料、工程设备和专业工程，达到依法必须招标的规模、标准的，由承包人作为招标主体会同发包人共同选择供应商或分包人。合同双方当事人应在专用条款中约定各自的权利和义务。供应商或分包人的中标价格与工程量清单中所列的暂估价的差额以及相应的规费、税金等其他费用，应列入合同价款。</w:t>
      </w:r>
    </w:p>
    <w:p>
      <w:pPr>
        <w:adjustRightInd w:val="0"/>
        <w:snapToGrid w:val="0"/>
        <w:spacing w:line="480" w:lineRule="auto"/>
        <w:rPr>
          <w:rFonts w:ascii="宋体" w:hAnsi="宋体" w:cs="宋体"/>
          <w:b/>
          <w:color w:val="auto"/>
          <w:kern w:val="0"/>
          <w:szCs w:val="21"/>
        </w:rPr>
      </w:pPr>
      <w:r>
        <w:rPr>
          <w:rFonts w:ascii="宋体" w:hAnsi="宋体" w:cs="宋体"/>
          <w:color w:val="auto"/>
          <w:kern w:val="0"/>
          <w:szCs w:val="21"/>
        </w:rPr>
        <mc:AlternateContent>
          <mc:Choice Requires="wps">
            <w:drawing>
              <wp:anchor distT="0" distB="0" distL="114300" distR="114300" simplePos="0" relativeHeight="251922432" behindDoc="0" locked="0" layoutInCell="1" allowOverlap="1">
                <wp:simplePos x="0" y="0"/>
                <wp:positionH relativeFrom="column">
                  <wp:posOffset>-114300</wp:posOffset>
                </wp:positionH>
                <wp:positionV relativeFrom="paragraph">
                  <wp:posOffset>248285</wp:posOffset>
                </wp:positionV>
                <wp:extent cx="1028700" cy="956310"/>
                <wp:effectExtent l="0" t="0" r="0" b="0"/>
                <wp:wrapNone/>
                <wp:docPr id="127" name="文本框 127"/>
                <wp:cNvGraphicFramePr/>
                <a:graphic xmlns:a="http://schemas.openxmlformats.org/drawingml/2006/main">
                  <a:graphicData uri="http://schemas.microsoft.com/office/word/2010/wordprocessingShape">
                    <wps:wsp>
                      <wps:cNvSpPr txBox="1">
                        <a:spLocks noChangeArrowheads="1"/>
                      </wps:cNvSpPr>
                      <wps:spPr bwMode="auto">
                        <a:xfrm>
                          <a:off x="0" y="0"/>
                          <a:ext cx="1028700" cy="956310"/>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非招标材料和</w:t>
                            </w:r>
                          </w:p>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工程设备暂估</w:t>
                            </w:r>
                          </w:p>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价的要求</w:t>
                            </w:r>
                          </w:p>
                          <w:p>
                            <w:pPr>
                              <w:rPr>
                                <w:sz w:val="18"/>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55pt;height:75.3pt;width:81pt;z-index:251922432;mso-width-relative:page;mso-height-relative:page;" filled="f" stroked="f" coordsize="21600,21600" o:gfxdata="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JgwUrbXAAAACgEAAA8AAAAAAAAAAQAgAAAAIgAAAGRycy9k&#10;b3ducmV2LnhtbFBLAQIUABQAAAAIAIdO4kDoZmYAAwIAANkDAAAOAAAAAAAAAAEAIAAAACYBAABk&#10;cnMvZTJvRG9jLnhtbFBLBQYAAAAABgAGAFkBAACbBQ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非招标材料和</w:t>
                      </w:r>
                    </w:p>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工程设备暂估</w:t>
                      </w:r>
                    </w:p>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价的要求</w:t>
                      </w:r>
                    </w:p>
                    <w:p>
                      <w:pPr>
                        <w:rPr>
                          <w:sz w:val="18"/>
                          <w:szCs w:val="18"/>
                        </w:rPr>
                      </w:pPr>
                    </w:p>
                  </w:txbxContent>
                </v:textbox>
              </v:shape>
            </w:pict>
          </mc:Fallback>
        </mc:AlternateContent>
      </w:r>
      <w:r>
        <w:rPr>
          <w:rFonts w:hint="eastAsia" w:ascii="宋体" w:hAnsi="宋体" w:cs="宋体"/>
          <w:b/>
          <w:color w:val="auto"/>
          <w:kern w:val="0"/>
          <w:szCs w:val="21"/>
        </w:rPr>
        <w:t xml:space="preserve">65.2  </w:t>
      </w:r>
      <w:r>
        <w:rPr>
          <w:rFonts w:hint="eastAsia" w:ascii="宋体" w:hAnsi="宋体" w:cs="宋体"/>
          <w:b/>
          <w:color w:val="auto"/>
          <w:kern w:val="0"/>
          <w:szCs w:val="21"/>
          <w:u w:val="dotted"/>
        </w:rPr>
        <w:t xml:space="preserve">                                                                                   </w:t>
      </w:r>
    </w:p>
    <w:p>
      <w:pPr>
        <w:adjustRightInd w:val="0"/>
        <w:snapToGrid w:val="0"/>
        <w:spacing w:line="360" w:lineRule="auto"/>
        <w:ind w:left="1619" w:leftChars="771"/>
        <w:rPr>
          <w:rFonts w:ascii="宋体" w:hAnsi="宋体" w:cs="宋体"/>
          <w:color w:val="auto"/>
          <w:kern w:val="0"/>
          <w:szCs w:val="21"/>
        </w:rPr>
      </w:pPr>
      <w:r>
        <w:rPr>
          <w:rFonts w:hint="eastAsia" w:ascii="宋体" w:hAnsi="宋体" w:cs="宋体"/>
          <w:color w:val="auto"/>
          <w:kern w:val="0"/>
          <w:szCs w:val="21"/>
        </w:rPr>
        <w:t>发包人在工程量清单中给定暂估价的材料和工程设备，未达到依法必须招标的规模、标准的，由承包人按照第49条规定采购。经造价工程师确认的材料和工程设备价格与工程量清单中所列的暂估价的差额以及相应的规费、税金等其他费用，应列入合同价款。</w:t>
      </w:r>
    </w:p>
    <w:p>
      <w:pPr>
        <w:adjustRightInd w:val="0"/>
        <w:snapToGrid w:val="0"/>
        <w:spacing w:line="480" w:lineRule="auto"/>
        <w:rPr>
          <w:rFonts w:ascii="宋体" w:hAnsi="宋体" w:cs="宋体"/>
          <w:b/>
          <w:color w:val="auto"/>
          <w:kern w:val="0"/>
          <w:szCs w:val="21"/>
        </w:rPr>
      </w:pPr>
      <w:r>
        <w:rPr>
          <w:rFonts w:hint="eastAsia" w:ascii="宋体" w:hAnsi="宋体" w:cs="宋体"/>
          <w:b/>
          <w:color w:val="auto"/>
          <w:kern w:val="0"/>
          <w:szCs w:val="21"/>
        </w:rPr>
        <w:t xml:space="preserve">65.3  </w:t>
      </w:r>
      <w:r>
        <w:rPr>
          <w:rFonts w:hint="eastAsia" w:ascii="宋体" w:hAnsi="宋体" w:cs="宋体"/>
          <w:b/>
          <w:color w:val="auto"/>
          <w:kern w:val="0"/>
          <w:szCs w:val="21"/>
          <w:u w:val="dotted"/>
        </w:rPr>
        <w:t xml:space="preserve">                                                                                   </w:t>
      </w:r>
    </w:p>
    <w:p>
      <w:pPr>
        <w:adjustRightInd w:val="0"/>
        <w:snapToGrid w:val="0"/>
        <w:spacing w:line="360" w:lineRule="auto"/>
        <w:ind w:left="1619" w:leftChars="771"/>
        <w:rPr>
          <w:rFonts w:ascii="宋体" w:hAnsi="宋体" w:cs="宋体"/>
          <w:color w:val="auto"/>
          <w:kern w:val="0"/>
          <w:szCs w:val="21"/>
        </w:rPr>
      </w:pPr>
      <w:r>
        <w:rPr>
          <w:rFonts w:ascii="宋体" w:hAnsi="宋体" w:cs="宋体"/>
          <w:color w:val="auto"/>
          <w:kern w:val="0"/>
          <w:szCs w:val="21"/>
        </w:rPr>
        <mc:AlternateContent>
          <mc:Choice Requires="wps">
            <w:drawing>
              <wp:anchor distT="0" distB="0" distL="114300" distR="114300" simplePos="0" relativeHeight="251921408" behindDoc="0" locked="0" layoutInCell="1" allowOverlap="1">
                <wp:simplePos x="0" y="0"/>
                <wp:positionH relativeFrom="column">
                  <wp:posOffset>-228600</wp:posOffset>
                </wp:positionH>
                <wp:positionV relativeFrom="paragraph">
                  <wp:posOffset>71755</wp:posOffset>
                </wp:positionV>
                <wp:extent cx="1028700" cy="863600"/>
                <wp:effectExtent l="0" t="0" r="0" b="0"/>
                <wp:wrapNone/>
                <wp:docPr id="126" name="文本框 126"/>
                <wp:cNvGraphicFramePr/>
                <a:graphic xmlns:a="http://schemas.openxmlformats.org/drawingml/2006/main">
                  <a:graphicData uri="http://schemas.microsoft.com/office/word/2010/wordprocessingShape">
                    <wps:wsp>
                      <wps:cNvSpPr txBox="1">
                        <a:spLocks noChangeArrowheads="1"/>
                      </wps:cNvSpPr>
                      <wps:spPr bwMode="auto">
                        <a:xfrm>
                          <a:off x="0" y="0"/>
                          <a:ext cx="1028700" cy="863600"/>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非招标专业工</w:t>
                            </w:r>
                          </w:p>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程暂估价的要</w:t>
                            </w:r>
                          </w:p>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求</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8pt;margin-top:5.65pt;height:68pt;width:81pt;z-index:251921408;mso-width-relative:page;mso-height-relative:page;" filled="f" stroked="f" coordsize="21600,21600" o:gfxdata="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6N/+j9cAAAAKAQAADwAAAAAAAAABACAAAAAiAAAAZHJzL2Rvd25y&#10;ZXYueG1sUEsBAhQAFAAAAAgAh07iQLR+DCL/AQAA2QMAAA4AAAAAAAAAAQAgAAAAJgEAAGRycy9l&#10;Mm9Eb2MueG1sUEsFBgAAAAAGAAYAWQEAAJcFA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非招标专业工</w:t>
                      </w:r>
                    </w:p>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程暂估价的要</w:t>
                      </w:r>
                    </w:p>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求</w:t>
                      </w:r>
                    </w:p>
                  </w:txbxContent>
                </v:textbox>
              </v:shape>
            </w:pict>
          </mc:Fallback>
        </mc:AlternateContent>
      </w:r>
      <w:r>
        <w:rPr>
          <w:rFonts w:hint="eastAsia" w:ascii="宋体" w:hAnsi="宋体" w:cs="宋体"/>
          <w:color w:val="auto"/>
          <w:kern w:val="0"/>
          <w:szCs w:val="21"/>
        </w:rPr>
        <w:t xml:space="preserve">发包人在工程量清单中给定暂估价的专业工程，未达到依法必须招标的规模及标准的，除专用条款另有约定外，在合同双方当事人同意下，由造价工程师与分包人按照第72.2款规定确定专业工程款。经确认的专业工程款与工程量清单中所列的暂估价的差额以及相应的规费、税金等其他费用，应列入合同价款。 </w:t>
      </w:r>
    </w:p>
    <w:p>
      <w:pPr>
        <w:tabs>
          <w:tab w:val="left" w:pos="3038"/>
        </w:tabs>
        <w:adjustRightInd w:val="0"/>
        <w:snapToGrid w:val="0"/>
        <w:spacing w:line="240" w:lineRule="exact"/>
        <w:rPr>
          <w:rFonts w:ascii="宋体" w:hAnsi="宋体" w:cs="宋体"/>
          <w:b/>
          <w:color w:val="auto"/>
          <w:kern w:val="0"/>
          <w:szCs w:val="21"/>
          <w:u w:val="single"/>
        </w:rPr>
      </w:pPr>
      <w:r>
        <w:rPr>
          <w:rFonts w:hint="eastAsia" w:ascii="宋体" w:hAnsi="宋体" w:cs="宋体"/>
          <w:b/>
          <w:color w:val="auto"/>
          <w:kern w:val="0"/>
          <w:szCs w:val="21"/>
          <w:u w:val="single"/>
        </w:rPr>
        <w:t xml:space="preserve">                                                                                                </w:t>
      </w:r>
    </w:p>
    <w:p>
      <w:pPr>
        <w:tabs>
          <w:tab w:val="left" w:pos="540"/>
        </w:tabs>
        <w:adjustRightInd w:val="0"/>
        <w:snapToGrid w:val="0"/>
        <w:spacing w:beforeLines="100" w:line="240" w:lineRule="exact"/>
        <w:ind w:right="-238" w:firstLine="482"/>
        <w:rPr>
          <w:rFonts w:ascii="宋体" w:hAnsi="宋体" w:cs="宋体"/>
          <w:b/>
          <w:color w:val="auto"/>
          <w:kern w:val="0"/>
          <w:szCs w:val="21"/>
        </w:rPr>
      </w:pPr>
    </w:p>
    <w:p>
      <w:pPr>
        <w:tabs>
          <w:tab w:val="left" w:pos="540"/>
        </w:tabs>
        <w:adjustRightInd w:val="0"/>
        <w:snapToGrid w:val="0"/>
        <w:spacing w:beforeLines="100" w:line="360" w:lineRule="auto"/>
        <w:ind w:right="-238"/>
        <w:rPr>
          <w:rFonts w:ascii="宋体" w:hAnsi="宋体" w:cs="宋体"/>
          <w:b/>
          <w:color w:val="auto"/>
          <w:kern w:val="0"/>
          <w:szCs w:val="21"/>
        </w:rPr>
      </w:pPr>
      <w:r>
        <w:rPr>
          <w:rFonts w:hint="eastAsia" w:ascii="宋体" w:hAnsi="宋体" w:cs="宋体"/>
          <w:b/>
          <w:color w:val="auto"/>
          <w:kern w:val="0"/>
          <w:szCs w:val="21"/>
        </w:rPr>
        <w:t>66  提前竣工奖与误期赔偿费</w:t>
      </w:r>
    </w:p>
    <w:p>
      <w:pPr>
        <w:adjustRightInd w:val="0"/>
        <w:snapToGrid w:val="0"/>
        <w:spacing w:line="360" w:lineRule="auto"/>
        <w:rPr>
          <w:rFonts w:ascii="宋体" w:hAnsi="宋体" w:cs="宋体"/>
          <w:b/>
          <w:color w:val="auto"/>
          <w:kern w:val="0"/>
          <w:szCs w:val="21"/>
        </w:rPr>
      </w:pPr>
      <w:r>
        <w:rPr>
          <w:rFonts w:hint="eastAsia" w:ascii="宋体" w:hAnsi="宋体" w:cs="宋体"/>
          <w:b/>
          <w:color w:val="auto"/>
          <w:kern w:val="0"/>
          <w:szCs w:val="21"/>
        </w:rPr>
        <w:t xml:space="preserve">66.1  </w:t>
      </w:r>
    </w:p>
    <w:p>
      <w:pPr>
        <w:adjustRightInd w:val="0"/>
        <w:snapToGrid w:val="0"/>
        <w:spacing w:line="360" w:lineRule="auto"/>
        <w:ind w:left="1619" w:leftChars="771"/>
        <w:rPr>
          <w:rFonts w:ascii="宋体" w:hAnsi="宋体" w:cs="宋体"/>
          <w:color w:val="auto"/>
          <w:kern w:val="0"/>
          <w:szCs w:val="21"/>
        </w:rPr>
      </w:pPr>
      <w:r>
        <w:rPr>
          <w:rFonts w:ascii="宋体" w:hAnsi="宋体" w:cs="宋体"/>
          <w:color w:val="auto"/>
          <w:kern w:val="0"/>
          <w:szCs w:val="21"/>
        </w:rPr>
        <mc:AlternateContent>
          <mc:Choice Requires="wps">
            <w:drawing>
              <wp:anchor distT="0" distB="0" distL="114300" distR="114300" simplePos="0" relativeHeight="251836416" behindDoc="0" locked="0" layoutInCell="1" allowOverlap="1">
                <wp:simplePos x="0" y="0"/>
                <wp:positionH relativeFrom="column">
                  <wp:posOffset>-114300</wp:posOffset>
                </wp:positionH>
                <wp:positionV relativeFrom="paragraph">
                  <wp:posOffset>30480</wp:posOffset>
                </wp:positionV>
                <wp:extent cx="1028700" cy="405130"/>
                <wp:effectExtent l="0" t="0" r="0" b="0"/>
                <wp:wrapNone/>
                <wp:docPr id="125" name="文本框 125"/>
                <wp:cNvGraphicFramePr/>
                <a:graphic xmlns:a="http://schemas.openxmlformats.org/drawingml/2006/main">
                  <a:graphicData uri="http://schemas.microsoft.com/office/word/2010/wordprocessingShape">
                    <wps:wsp>
                      <wps:cNvSpPr txBox="1">
                        <a:spLocks noChangeArrowheads="1"/>
                      </wps:cNvSpPr>
                      <wps:spPr bwMode="auto">
                        <a:xfrm>
                          <a:off x="0" y="0"/>
                          <a:ext cx="1028700" cy="405130"/>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提前竣工奖</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4pt;height:31.9pt;width:81pt;z-index:251836416;mso-width-relative:page;mso-height-relative:page;" filled="f" stroked="f" coordsize="21600,21600" o:gfxdata="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ZQ0RG9UAAAAIAQAADwAAAAAAAAABACAAAAAiAAAAZHJzL2Rvd25y&#10;ZXYueG1sUEsBAhQAFAAAAAgAh07iQNKHFmkBAgAA2QMAAA4AAAAAAAAAAQAgAAAAJAEAAGRycy9l&#10;Mm9Eb2MueG1sUEsFBgAAAAAGAAYAWQEAAJcFA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提前竣工奖</w:t>
                      </w:r>
                    </w:p>
                  </w:txbxContent>
                </v:textbox>
              </v:shape>
            </w:pict>
          </mc:Fallback>
        </mc:AlternateContent>
      </w:r>
      <w:r>
        <w:rPr>
          <w:rFonts w:hint="eastAsia" w:ascii="宋体" w:hAnsi="宋体" w:cs="宋体"/>
          <w:color w:val="auto"/>
          <w:kern w:val="0"/>
          <w:szCs w:val="21"/>
        </w:rPr>
        <w:t>合同双方当事人可在专用条款中约定提前竣工奖，明确每日历天应奖额度。约定提前竣工奖的，如果承包人的实际竣工日期早于计划竣工日期，承包人有权向发包人提出并得到提前竣工天数和专用条款约定的每日历天应奖额度的乘积计算的提前竣工奖。除专用条款另有约定外，提前竣工奖的最高限额为合同价款的5%。提前竣工奖列入竣工结算文件中，与结算款一并支付。</w:t>
      </w:r>
    </w:p>
    <w:p>
      <w:pPr>
        <w:adjustRightInd w:val="0"/>
        <w:snapToGrid w:val="0"/>
        <w:spacing w:line="360" w:lineRule="auto"/>
        <w:rPr>
          <w:rFonts w:ascii="宋体" w:hAnsi="宋体" w:cs="宋体"/>
          <w:b/>
          <w:color w:val="auto"/>
          <w:kern w:val="0"/>
          <w:szCs w:val="21"/>
        </w:rPr>
      </w:pPr>
      <w:r>
        <w:rPr>
          <w:rFonts w:hint="eastAsia" w:ascii="宋体" w:hAnsi="宋体" w:cs="宋体"/>
          <w:b/>
          <w:color w:val="auto"/>
          <w:kern w:val="0"/>
          <w:szCs w:val="21"/>
        </w:rPr>
        <w:t xml:space="preserve">66.2  </w:t>
      </w:r>
      <w:r>
        <w:rPr>
          <w:rFonts w:hint="eastAsia" w:ascii="宋体" w:hAnsi="宋体" w:cs="宋体"/>
          <w:b/>
          <w:color w:val="auto"/>
          <w:kern w:val="0"/>
          <w:szCs w:val="21"/>
          <w:u w:val="dotted"/>
        </w:rPr>
        <w:t xml:space="preserve">                                                                                                        </w:t>
      </w:r>
    </w:p>
    <w:p>
      <w:pPr>
        <w:adjustRightInd w:val="0"/>
        <w:snapToGrid w:val="0"/>
        <w:spacing w:line="460" w:lineRule="exact"/>
        <w:ind w:left="1619" w:leftChars="771"/>
        <w:rPr>
          <w:rFonts w:ascii="宋体" w:hAnsi="宋体" w:cs="宋体"/>
          <w:color w:val="auto"/>
          <w:kern w:val="0"/>
          <w:szCs w:val="21"/>
        </w:rPr>
      </w:pPr>
      <w:r>
        <w:rPr>
          <w:rFonts w:ascii="宋体" w:hAnsi="宋体" w:cs="宋体"/>
          <w:color w:val="auto"/>
          <w:kern w:val="0"/>
          <w:szCs w:val="21"/>
        </w:rPr>
        <mc:AlternateContent>
          <mc:Choice Requires="wps">
            <w:drawing>
              <wp:anchor distT="0" distB="0" distL="114300" distR="114300" simplePos="0" relativeHeight="251837440" behindDoc="0" locked="0" layoutInCell="1" allowOverlap="1">
                <wp:simplePos x="0" y="0"/>
                <wp:positionH relativeFrom="column">
                  <wp:posOffset>-114300</wp:posOffset>
                </wp:positionH>
                <wp:positionV relativeFrom="paragraph">
                  <wp:posOffset>16510</wp:posOffset>
                </wp:positionV>
                <wp:extent cx="914400" cy="377825"/>
                <wp:effectExtent l="0" t="0" r="0" b="0"/>
                <wp:wrapNone/>
                <wp:docPr id="124" name="文本框 124"/>
                <wp:cNvGraphicFramePr/>
                <a:graphic xmlns:a="http://schemas.openxmlformats.org/drawingml/2006/main">
                  <a:graphicData uri="http://schemas.microsoft.com/office/word/2010/wordprocessingShape">
                    <wps:wsp>
                      <wps:cNvSpPr txBox="1">
                        <a:spLocks noChangeArrowheads="1"/>
                      </wps:cNvSpPr>
                      <wps:spPr bwMode="auto">
                        <a:xfrm>
                          <a:off x="0" y="0"/>
                          <a:ext cx="914400" cy="377825"/>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误期赔偿费</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3pt;height:29.75pt;width:72pt;z-index:251837440;mso-width-relative:page;mso-height-relative:page;" filled="f" stroked="f" coordsize="21600,21600" o:gfxdata="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KE0kpnUAAAACAEAAA8AAAAAAAAAAQAgAAAAIgAAAGRycy9kb3ducmV2&#10;LnhtbFBLAQIUABQAAAAIAIdO4kBjEURGAAIAANgDAAAOAAAAAAAAAAEAIAAAACMBAABkcnMvZTJv&#10;RG9jLnhtbFBLBQYAAAAABgAGAFkBAACVBQ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误期赔偿费</w:t>
                      </w:r>
                    </w:p>
                  </w:txbxContent>
                </v:textbox>
              </v:shape>
            </w:pict>
          </mc:Fallback>
        </mc:AlternateContent>
      </w:r>
      <w:r>
        <w:rPr>
          <w:rFonts w:hint="eastAsia" w:ascii="宋体" w:hAnsi="宋体" w:cs="宋体"/>
          <w:color w:val="auto"/>
          <w:kern w:val="0"/>
          <w:szCs w:val="21"/>
        </w:rPr>
        <w:t>合同双方当事人应在专用条款中约定误期赔偿费，明确每日历天应赔额度。如果承包人的实际进度迟于计划进度，发包人有权向承包人索取并得到实际延误天数和专用条款约定的每日历天应赔额度的乘积计算的误期赔偿费。除专用条款另有约定外，误期赔偿费的最高限额为合同价款的5%。误期赔偿费列入进度支付文件或竣工结算文件中，在进度款或结算款中扣除。</w:t>
      </w:r>
      <w:r>
        <w:rPr>
          <w:rFonts w:hint="eastAsia" w:ascii="宋体" w:hAnsi="宋体" w:cs="宋体"/>
          <w:color w:val="auto"/>
          <w:kern w:val="0"/>
          <w:szCs w:val="21"/>
        </w:rPr>
        <w:br w:type="textWrapping"/>
      </w:r>
      <w:r>
        <w:rPr>
          <w:rFonts w:hint="eastAsia" w:ascii="宋体" w:hAnsi="宋体" w:cs="宋体"/>
          <w:color w:val="auto"/>
          <w:kern w:val="0"/>
          <w:szCs w:val="21"/>
        </w:rPr>
        <w:t>如果在工程竣工之前，合同工程内的某单位工程已通过了竣工验收，且该单位工程接收证书中表明的竣工日期并未延误，而是合同工程的其他部分产生了工期延误，则误期赔偿费应按照已颁发工程接收证书的单位工程造价占合同价款的比例幅度予以扣减。</w:t>
      </w:r>
    </w:p>
    <w:p>
      <w:pPr>
        <w:adjustRightInd w:val="0"/>
        <w:snapToGrid w:val="0"/>
        <w:spacing w:line="360" w:lineRule="auto"/>
        <w:ind w:right="-238"/>
        <w:rPr>
          <w:rFonts w:ascii="宋体" w:hAnsi="宋体" w:cs="宋体"/>
          <w:b/>
          <w:color w:val="auto"/>
          <w:kern w:val="0"/>
          <w:szCs w:val="21"/>
          <w:u w:val="single"/>
        </w:rPr>
      </w:pPr>
      <w:r>
        <w:rPr>
          <w:rFonts w:hint="eastAsia" w:ascii="宋体" w:hAnsi="宋体" w:cs="宋体"/>
          <w:b/>
          <w:color w:val="auto"/>
          <w:kern w:val="0"/>
          <w:szCs w:val="21"/>
          <w:u w:val="single"/>
        </w:rPr>
        <w:t xml:space="preserve">                                                                                  </w:t>
      </w:r>
    </w:p>
    <w:p>
      <w:pPr>
        <w:adjustRightInd w:val="0"/>
        <w:snapToGrid w:val="0"/>
        <w:spacing w:line="360" w:lineRule="auto"/>
        <w:rPr>
          <w:rFonts w:ascii="宋体" w:hAnsi="宋体" w:cs="宋体"/>
          <w:color w:val="auto"/>
          <w:kern w:val="0"/>
          <w:szCs w:val="21"/>
        </w:rPr>
      </w:pPr>
    </w:p>
    <w:p>
      <w:pPr>
        <w:tabs>
          <w:tab w:val="left" w:pos="540"/>
        </w:tabs>
        <w:adjustRightInd w:val="0"/>
        <w:snapToGrid w:val="0"/>
        <w:spacing w:beforeLines="100"/>
        <w:ind w:right="-238"/>
        <w:rPr>
          <w:rFonts w:ascii="宋体" w:hAnsi="宋体" w:cs="宋体"/>
          <w:b/>
          <w:color w:val="auto"/>
          <w:kern w:val="0"/>
          <w:szCs w:val="21"/>
        </w:rPr>
      </w:pPr>
      <w:r>
        <w:rPr>
          <w:rFonts w:hint="eastAsia" w:ascii="宋体" w:hAnsi="宋体" w:cs="宋体"/>
          <w:b/>
          <w:color w:val="auto"/>
          <w:kern w:val="0"/>
          <w:szCs w:val="21"/>
        </w:rPr>
        <w:t>67  工程优质费</w:t>
      </w:r>
    </w:p>
    <w:p>
      <w:pPr>
        <w:adjustRightInd w:val="0"/>
        <w:snapToGrid w:val="0"/>
        <w:spacing w:line="360" w:lineRule="auto"/>
        <w:rPr>
          <w:rFonts w:ascii="宋体" w:hAnsi="宋体" w:cs="宋体"/>
          <w:b/>
          <w:color w:val="auto"/>
          <w:kern w:val="0"/>
          <w:szCs w:val="21"/>
        </w:rPr>
      </w:pPr>
      <w:r>
        <w:rPr>
          <w:rFonts w:hint="eastAsia" w:ascii="宋体" w:hAnsi="宋体" w:cs="宋体"/>
          <w:b/>
          <w:color w:val="auto"/>
          <w:kern w:val="0"/>
          <w:szCs w:val="21"/>
        </w:rPr>
        <w:t xml:space="preserve">67.1 </w:t>
      </w:r>
    </w:p>
    <w:p>
      <w:pPr>
        <w:adjustRightInd w:val="0"/>
        <w:snapToGrid w:val="0"/>
        <w:spacing w:line="360" w:lineRule="auto"/>
        <w:ind w:left="1619" w:leftChars="771"/>
        <w:rPr>
          <w:rFonts w:ascii="宋体" w:hAnsi="宋体" w:cs="宋体"/>
          <w:color w:val="auto"/>
          <w:kern w:val="0"/>
          <w:szCs w:val="21"/>
        </w:rPr>
      </w:pPr>
      <w:r>
        <w:rPr>
          <w:rFonts w:ascii="宋体" w:hAnsi="宋体" w:cs="宋体"/>
          <w:color w:val="auto"/>
          <w:kern w:val="0"/>
          <w:szCs w:val="21"/>
        </w:rPr>
        <mc:AlternateContent>
          <mc:Choice Requires="wps">
            <w:drawing>
              <wp:anchor distT="0" distB="0" distL="114300" distR="114300" simplePos="0" relativeHeight="251895808" behindDoc="0" locked="0" layoutInCell="1" allowOverlap="1">
                <wp:simplePos x="0" y="0"/>
                <wp:positionH relativeFrom="column">
                  <wp:posOffset>-114300</wp:posOffset>
                </wp:positionH>
                <wp:positionV relativeFrom="paragraph">
                  <wp:posOffset>30480</wp:posOffset>
                </wp:positionV>
                <wp:extent cx="1028700" cy="524510"/>
                <wp:effectExtent l="0" t="0" r="0" b="0"/>
                <wp:wrapNone/>
                <wp:docPr id="123" name="文本框 123"/>
                <wp:cNvGraphicFramePr/>
                <a:graphic xmlns:a="http://schemas.openxmlformats.org/drawingml/2006/main">
                  <a:graphicData uri="http://schemas.microsoft.com/office/word/2010/wordprocessingShape">
                    <wps:wsp>
                      <wps:cNvSpPr txBox="1">
                        <a:spLocks noChangeArrowheads="1"/>
                      </wps:cNvSpPr>
                      <wps:spPr bwMode="auto">
                        <a:xfrm>
                          <a:off x="0" y="0"/>
                          <a:ext cx="1028700" cy="524510"/>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工程优质费的</w:t>
                            </w:r>
                          </w:p>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约定</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4pt;height:41.3pt;width:81pt;z-index:251895808;mso-width-relative:page;mso-height-relative:page;" filled="f" stroked="f" coordsize="21600,21600" o:gfxdata="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Fd/XA1AAAAAgBAAAPAAAAAAAAAAEAIAAAACIAAABkcnMvZG93bnJl&#10;di54bWxQSwECFAAUAAAACACHTuJA96v7sAECAADZAwAADgAAAAAAAAABACAAAAAjAQAAZHJzL2Uy&#10;b0RvYy54bWxQSwUGAAAAAAYABgBZAQAAlgU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工程优质费的</w:t>
                      </w:r>
                    </w:p>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约定</w:t>
                      </w:r>
                    </w:p>
                  </w:txbxContent>
                </v:textbox>
              </v:shape>
            </w:pict>
          </mc:Fallback>
        </mc:AlternateContent>
      </w:r>
      <w:r>
        <w:rPr>
          <w:rFonts w:hint="eastAsia" w:ascii="宋体" w:hAnsi="宋体" w:cs="宋体"/>
          <w:color w:val="auto"/>
          <w:kern w:val="0"/>
          <w:szCs w:val="21"/>
        </w:rPr>
        <w:t>合同双方当事人可在专用条款中约定工程优质费，明确合同工程优质费用的计算方法。约定工程优质费的，如果承包人实施、完成合同工程质量标准高于国家规定或合同约定的质量验收合格标准的，承包人有权向发包人提出并得到专用条款约定的工程优质费。</w:t>
      </w:r>
    </w:p>
    <w:p>
      <w:pPr>
        <w:adjustRightInd w:val="0"/>
        <w:snapToGrid w:val="0"/>
        <w:spacing w:line="480" w:lineRule="auto"/>
        <w:rPr>
          <w:rFonts w:ascii="宋体" w:hAnsi="宋体" w:cs="宋体"/>
          <w:b/>
          <w:color w:val="auto"/>
          <w:kern w:val="0"/>
          <w:szCs w:val="21"/>
        </w:rPr>
      </w:pPr>
      <w:r>
        <w:rPr>
          <w:rFonts w:ascii="宋体" w:hAnsi="宋体" w:cs="宋体"/>
          <w:color w:val="auto"/>
          <w:kern w:val="0"/>
          <w:szCs w:val="21"/>
        </w:rPr>
        <mc:AlternateContent>
          <mc:Choice Requires="wps">
            <w:drawing>
              <wp:anchor distT="0" distB="0" distL="114300" distR="114300" simplePos="0" relativeHeight="251924480" behindDoc="0" locked="0" layoutInCell="1" allowOverlap="1">
                <wp:simplePos x="0" y="0"/>
                <wp:positionH relativeFrom="column">
                  <wp:posOffset>-114300</wp:posOffset>
                </wp:positionH>
                <wp:positionV relativeFrom="paragraph">
                  <wp:posOffset>234315</wp:posOffset>
                </wp:positionV>
                <wp:extent cx="1143000" cy="621030"/>
                <wp:effectExtent l="0" t="0" r="0" b="0"/>
                <wp:wrapNone/>
                <wp:docPr id="122" name="文本框 122"/>
                <wp:cNvGraphicFramePr/>
                <a:graphic xmlns:a="http://schemas.openxmlformats.org/drawingml/2006/main">
                  <a:graphicData uri="http://schemas.microsoft.com/office/word/2010/wordprocessingShape">
                    <wps:wsp>
                      <wps:cNvSpPr txBox="1">
                        <a:spLocks noChangeArrowheads="1"/>
                      </wps:cNvSpPr>
                      <wps:spPr bwMode="auto">
                        <a:xfrm>
                          <a:off x="0" y="0"/>
                          <a:ext cx="1143000" cy="621030"/>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工程优质费计</w:t>
                            </w:r>
                          </w:p>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提与支付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8.45pt;height:48.9pt;width:90pt;z-index:251924480;mso-width-relative:page;mso-height-relative:page;" filled="f" stroked="f" coordsize="21600,21600" o:gfxdata="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tAdDK2AAAAAoBAAAPAAAAAAAAAAEAIAAAACIAAABkcnMvZG93&#10;bnJldi54bWxQSwECFAAUAAAACACHTuJAUD4Z6QACAADZAwAADgAAAAAAAAABACAAAAAnAQAAZHJz&#10;L2Uyb0RvYy54bWxQSwUGAAAAAAYABgBZAQAAmQU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工程优质费计</w:t>
                      </w:r>
                    </w:p>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提与支付</w:t>
                      </w:r>
                    </w:p>
                  </w:txbxContent>
                </v:textbox>
              </v:shape>
            </w:pict>
          </mc:Fallback>
        </mc:AlternateContent>
      </w:r>
      <w:r>
        <w:rPr>
          <w:rFonts w:hint="eastAsia" w:ascii="宋体" w:hAnsi="宋体" w:cs="宋体"/>
          <w:b/>
          <w:color w:val="auto"/>
          <w:kern w:val="0"/>
          <w:szCs w:val="21"/>
        </w:rPr>
        <w:t xml:space="preserve">67.2  </w:t>
      </w:r>
      <w:r>
        <w:rPr>
          <w:rFonts w:hint="eastAsia" w:ascii="宋体" w:hAnsi="宋体" w:cs="宋体"/>
          <w:b/>
          <w:color w:val="auto"/>
          <w:kern w:val="0"/>
          <w:szCs w:val="21"/>
          <w:u w:val="dotted"/>
        </w:rPr>
        <w:t xml:space="preserve">                                                                              </w:t>
      </w:r>
    </w:p>
    <w:p>
      <w:pPr>
        <w:adjustRightInd w:val="0"/>
        <w:snapToGrid w:val="0"/>
        <w:spacing w:line="360" w:lineRule="auto"/>
        <w:ind w:left="1619" w:leftChars="771"/>
        <w:rPr>
          <w:rFonts w:ascii="宋体" w:hAnsi="宋体" w:cs="宋体"/>
          <w:color w:val="auto"/>
          <w:kern w:val="0"/>
          <w:szCs w:val="21"/>
        </w:rPr>
      </w:pPr>
      <w:r>
        <w:rPr>
          <w:rFonts w:hint="eastAsia" w:ascii="宋体" w:hAnsi="宋体" w:cs="宋体"/>
          <w:color w:val="auto"/>
          <w:kern w:val="0"/>
          <w:szCs w:val="21"/>
        </w:rPr>
        <w:t>除专用条款另有约定外，工程优质费按照合同价款的下列额度计算：国家级质量奖为3%，省级质量奖为2%，市级质量奖为1%。当合同工程同时获得上述多个奖项的，工程优质费只按最高奖项的额度计算。工程优质费列入竣工结算文件中，与竣工结算款一并支付。在竣工结算后获得优质奖项的，发包人应在获得奖项后的28天内支付。</w:t>
      </w:r>
    </w:p>
    <w:p>
      <w:pPr>
        <w:adjustRightInd w:val="0"/>
        <w:snapToGrid w:val="0"/>
        <w:spacing w:line="240" w:lineRule="exact"/>
        <w:jc w:val="left"/>
        <w:rPr>
          <w:rFonts w:ascii="宋体" w:hAnsi="宋体" w:cs="宋体"/>
          <w:b/>
          <w:color w:val="auto"/>
          <w:kern w:val="0"/>
          <w:szCs w:val="21"/>
        </w:rPr>
      </w:pPr>
      <w:r>
        <w:rPr>
          <w:rFonts w:hint="eastAsia" w:ascii="宋体" w:hAnsi="宋体" w:cs="宋体"/>
          <w:b/>
          <w:color w:val="auto"/>
          <w:kern w:val="0"/>
          <w:szCs w:val="21"/>
          <w:u w:val="single"/>
        </w:rPr>
        <w:t xml:space="preserve">                                                                                                              </w:t>
      </w:r>
    </w:p>
    <w:p>
      <w:pPr>
        <w:tabs>
          <w:tab w:val="left" w:pos="540"/>
        </w:tabs>
        <w:adjustRightInd w:val="0"/>
        <w:snapToGrid w:val="0"/>
        <w:spacing w:beforeLines="100" w:line="360" w:lineRule="auto"/>
        <w:ind w:right="-238"/>
        <w:rPr>
          <w:rFonts w:ascii="宋体" w:hAnsi="宋体" w:cs="宋体"/>
          <w:b/>
          <w:color w:val="auto"/>
          <w:kern w:val="0"/>
          <w:szCs w:val="21"/>
        </w:rPr>
      </w:pPr>
      <w:r>
        <w:rPr>
          <w:rFonts w:hint="eastAsia" w:ascii="宋体" w:hAnsi="宋体" w:cs="宋体"/>
          <w:b/>
          <w:color w:val="auto"/>
          <w:kern w:val="0"/>
          <w:szCs w:val="21"/>
        </w:rPr>
        <w:t>68  合同价款的约定与调整</w:t>
      </w:r>
    </w:p>
    <w:p>
      <w:pPr>
        <w:adjustRightInd w:val="0"/>
        <w:snapToGrid w:val="0"/>
        <w:spacing w:line="360" w:lineRule="auto"/>
        <w:ind w:left="1265" w:hanging="1265" w:hangingChars="600"/>
        <w:rPr>
          <w:rFonts w:ascii="宋体" w:hAnsi="宋体" w:cs="宋体"/>
          <w:b/>
          <w:color w:val="auto"/>
          <w:kern w:val="0"/>
          <w:szCs w:val="21"/>
        </w:rPr>
      </w:pPr>
      <w:r>
        <w:rPr>
          <w:rFonts w:hint="eastAsia" w:ascii="宋体" w:hAnsi="宋体" w:cs="宋体"/>
          <w:b/>
          <w:color w:val="auto"/>
          <w:kern w:val="0"/>
          <w:szCs w:val="21"/>
        </w:rPr>
        <w:t xml:space="preserve">68.1       </w:t>
      </w:r>
    </w:p>
    <w:p>
      <w:pPr>
        <w:adjustRightInd w:val="0"/>
        <w:snapToGrid w:val="0"/>
        <w:spacing w:line="480" w:lineRule="auto"/>
        <w:ind w:left="1438" w:leftChars="685" w:firstLine="25" w:firstLineChars="12"/>
        <w:rPr>
          <w:rFonts w:ascii="宋体" w:hAnsi="宋体" w:cs="宋体"/>
          <w:color w:val="auto"/>
          <w:kern w:val="0"/>
          <w:szCs w:val="21"/>
        </w:rPr>
      </w:pPr>
      <w:r>
        <w:rPr>
          <w:rFonts w:ascii="宋体" w:hAnsi="宋体" w:cs="宋体"/>
          <w:color w:val="auto"/>
          <w:kern w:val="0"/>
          <w:szCs w:val="21"/>
        </w:rPr>
        <mc:AlternateContent>
          <mc:Choice Requires="wps">
            <w:drawing>
              <wp:anchor distT="0" distB="0" distL="114300" distR="114300" simplePos="0" relativeHeight="251838464" behindDoc="0" locked="0" layoutInCell="1" allowOverlap="1">
                <wp:simplePos x="0" y="0"/>
                <wp:positionH relativeFrom="column">
                  <wp:posOffset>-133350</wp:posOffset>
                </wp:positionH>
                <wp:positionV relativeFrom="paragraph">
                  <wp:posOffset>26670</wp:posOffset>
                </wp:positionV>
                <wp:extent cx="1028700" cy="343535"/>
                <wp:effectExtent l="0" t="0" r="0" b="0"/>
                <wp:wrapNone/>
                <wp:docPr id="121" name="文本框 121"/>
                <wp:cNvGraphicFramePr/>
                <a:graphic xmlns:a="http://schemas.openxmlformats.org/drawingml/2006/main">
                  <a:graphicData uri="http://schemas.microsoft.com/office/word/2010/wordprocessingShape">
                    <wps:wsp>
                      <wps:cNvSpPr txBox="1">
                        <a:spLocks noChangeArrowheads="1"/>
                      </wps:cNvSpPr>
                      <wps:spPr bwMode="auto">
                        <a:xfrm>
                          <a:off x="0" y="0"/>
                          <a:ext cx="1028700" cy="343535"/>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约定合同价款</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0.5pt;margin-top:2.1pt;height:27.05pt;width:81pt;z-index:251838464;mso-width-relative:page;mso-height-relative:page;" filled="f" stroked="f" coordsize="21600,21600" o:gfxdata="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tpYER9UAAAAIAQAADwAAAAAAAAABACAAAAAiAAAAZHJzL2Rvd25y&#10;ZXYueG1sUEsBAhQAFAAAAAgAh07iQJZsaRcBAgAA2QMAAA4AAAAAAAAAAQAgAAAAJAEAAGRycy9l&#10;Mm9Eb2MueG1sUEsFBgAAAAAGAAYAWQEAAJcFA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约定合同价款</w:t>
                      </w:r>
                    </w:p>
                  </w:txbxContent>
                </v:textbox>
              </v:shape>
            </w:pict>
          </mc:Fallback>
        </mc:AlternateContent>
      </w:r>
      <w:r>
        <w:rPr>
          <w:rFonts w:hint="eastAsia" w:ascii="宋体" w:hAnsi="宋体" w:cs="宋体"/>
          <w:color w:val="auto"/>
          <w:kern w:val="0"/>
          <w:szCs w:val="21"/>
        </w:rPr>
        <w:t>合同双方当事人应在本合同协议书中约定合同价款。招标工程的合同价款由合同双方当事人依据中标通知书的中标价款在本合同协议书中约定。非招标工程的合同价款由合同双方当事人依据双方确定施工图预算的总造价在本合同协议书中约定。</w:t>
      </w:r>
    </w:p>
    <w:p>
      <w:pPr>
        <w:adjustRightInd w:val="0"/>
        <w:snapToGrid w:val="0"/>
        <w:spacing w:line="360" w:lineRule="auto"/>
        <w:rPr>
          <w:rFonts w:ascii="宋体" w:hAnsi="宋体" w:cs="宋体"/>
          <w:b/>
          <w:color w:val="auto"/>
          <w:kern w:val="0"/>
          <w:szCs w:val="21"/>
        </w:rPr>
      </w:pPr>
      <w:r>
        <w:rPr>
          <w:rFonts w:hint="eastAsia" w:ascii="宋体" w:hAnsi="宋体" w:cs="宋体"/>
          <w:b/>
          <w:color w:val="auto"/>
          <w:kern w:val="0"/>
          <w:szCs w:val="21"/>
        </w:rPr>
        <w:t xml:space="preserve">68.2  </w:t>
      </w:r>
      <w:r>
        <w:rPr>
          <w:rFonts w:hint="eastAsia" w:ascii="宋体" w:hAnsi="宋体" w:cs="宋体"/>
          <w:b/>
          <w:color w:val="auto"/>
          <w:kern w:val="0"/>
          <w:szCs w:val="21"/>
          <w:u w:val="dotted"/>
        </w:rPr>
        <w:t xml:space="preserve">                                                                                                        </w:t>
      </w:r>
    </w:p>
    <w:p>
      <w:pPr>
        <w:adjustRightInd w:val="0"/>
        <w:snapToGrid w:val="0"/>
        <w:spacing w:line="360" w:lineRule="auto"/>
        <w:ind w:left="1619" w:leftChars="771"/>
        <w:rPr>
          <w:rFonts w:ascii="宋体" w:hAnsi="宋体" w:cs="宋体"/>
          <w:color w:val="auto"/>
          <w:kern w:val="0"/>
          <w:szCs w:val="21"/>
        </w:rPr>
      </w:pPr>
      <w:r>
        <w:rPr>
          <w:rFonts w:ascii="宋体" w:hAnsi="宋体" w:cs="宋体"/>
          <w:color w:val="auto"/>
          <w:kern w:val="0"/>
          <w:szCs w:val="21"/>
        </w:rPr>
        <mc:AlternateContent>
          <mc:Choice Requires="wps">
            <w:drawing>
              <wp:anchor distT="0" distB="0" distL="114300" distR="114300" simplePos="0" relativeHeight="251839488" behindDoc="0" locked="0" layoutInCell="1" allowOverlap="1">
                <wp:simplePos x="0" y="0"/>
                <wp:positionH relativeFrom="column">
                  <wp:posOffset>-114300</wp:posOffset>
                </wp:positionH>
                <wp:positionV relativeFrom="paragraph">
                  <wp:posOffset>5080</wp:posOffset>
                </wp:positionV>
                <wp:extent cx="914400" cy="521335"/>
                <wp:effectExtent l="0" t="0" r="0" b="0"/>
                <wp:wrapNone/>
                <wp:docPr id="120" name="文本框 120"/>
                <wp:cNvGraphicFramePr/>
                <a:graphic xmlns:a="http://schemas.openxmlformats.org/drawingml/2006/main">
                  <a:graphicData uri="http://schemas.microsoft.com/office/word/2010/wordprocessingShape">
                    <wps:wsp>
                      <wps:cNvSpPr txBox="1">
                        <a:spLocks noChangeArrowheads="1"/>
                      </wps:cNvSpPr>
                      <wps:spPr bwMode="auto">
                        <a:xfrm>
                          <a:off x="0" y="0"/>
                          <a:ext cx="914400" cy="521335"/>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合同价款的调整事件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4pt;height:41.05pt;width:72pt;z-index:251839488;mso-width-relative:page;mso-height-relative:page;" filled="f" stroked="f" coordsize="21600,21600" o:gfxdata="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HO4a/vTAAAABwEAAA8AAAAAAAAAAQAgAAAAIgAAAGRycy9kb3ducmV2Lnht&#10;bFBLAQIUABQAAAAIAIdO4kBnjeOX/gEAANgDAAAOAAAAAAAAAAEAIAAAACIBAABkcnMvZTJvRG9j&#10;LnhtbFBLBQYAAAAABgAGAFkBAACSBQ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合同价款的调整事件</w:t>
                      </w:r>
                    </w:p>
                  </w:txbxContent>
                </v:textbox>
              </v:shape>
            </w:pict>
          </mc:Fallback>
        </mc:AlternateContent>
      </w:r>
      <w:r>
        <w:rPr>
          <w:rFonts w:hint="eastAsia" w:ascii="宋体" w:hAnsi="宋体" w:cs="宋体"/>
          <w:color w:val="auto"/>
          <w:kern w:val="0"/>
          <w:szCs w:val="21"/>
        </w:rPr>
        <w:t>合同双方当事人应明确合同价款的调整事件。除专用条款另有约定外，调整事件应包括：</w:t>
      </w:r>
    </w:p>
    <w:p>
      <w:pPr>
        <w:numPr>
          <w:ilvl w:val="0"/>
          <w:numId w:val="28"/>
        </w:numPr>
        <w:adjustRightInd w:val="0"/>
        <w:snapToGrid w:val="0"/>
        <w:spacing w:line="360" w:lineRule="auto"/>
        <w:ind w:firstLine="420"/>
        <w:rPr>
          <w:rFonts w:ascii="宋体" w:hAnsi="宋体" w:cs="宋体"/>
          <w:color w:val="auto"/>
          <w:kern w:val="0"/>
          <w:szCs w:val="21"/>
        </w:rPr>
      </w:pPr>
      <w:r>
        <w:rPr>
          <w:rFonts w:hint="eastAsia" w:ascii="宋体" w:hAnsi="宋体" w:cs="宋体"/>
          <w:color w:val="auto"/>
          <w:kern w:val="0"/>
          <w:szCs w:val="21"/>
        </w:rPr>
        <w:t>后继法律变化事件；</w:t>
      </w:r>
    </w:p>
    <w:p>
      <w:pPr>
        <w:numPr>
          <w:ilvl w:val="0"/>
          <w:numId w:val="28"/>
        </w:numPr>
        <w:adjustRightInd w:val="0"/>
        <w:snapToGrid w:val="0"/>
        <w:spacing w:line="360" w:lineRule="auto"/>
        <w:ind w:firstLine="420"/>
        <w:rPr>
          <w:rFonts w:ascii="宋体" w:hAnsi="宋体" w:cs="宋体"/>
          <w:color w:val="auto"/>
          <w:kern w:val="0"/>
          <w:szCs w:val="21"/>
        </w:rPr>
      </w:pPr>
      <w:r>
        <w:rPr>
          <w:rFonts w:hint="eastAsia" w:ascii="宋体" w:hAnsi="宋体" w:cs="宋体"/>
          <w:color w:val="auto"/>
          <w:kern w:val="0"/>
          <w:szCs w:val="21"/>
        </w:rPr>
        <w:t>项目特征描述不符事件；</w:t>
      </w:r>
    </w:p>
    <w:p>
      <w:pPr>
        <w:numPr>
          <w:ilvl w:val="0"/>
          <w:numId w:val="28"/>
        </w:numPr>
        <w:adjustRightInd w:val="0"/>
        <w:snapToGrid w:val="0"/>
        <w:spacing w:line="360" w:lineRule="auto"/>
        <w:ind w:firstLine="420"/>
        <w:rPr>
          <w:rFonts w:ascii="宋体" w:hAnsi="宋体" w:cs="宋体"/>
          <w:color w:val="auto"/>
          <w:kern w:val="0"/>
          <w:szCs w:val="21"/>
        </w:rPr>
      </w:pPr>
      <w:r>
        <w:rPr>
          <w:rFonts w:hint="eastAsia" w:ascii="宋体" w:hAnsi="宋体" w:cs="宋体"/>
          <w:color w:val="auto"/>
          <w:kern w:val="0"/>
          <w:szCs w:val="21"/>
        </w:rPr>
        <w:t>分部分项工程量清单缺项漏项事件；</w:t>
      </w:r>
    </w:p>
    <w:p>
      <w:pPr>
        <w:numPr>
          <w:ilvl w:val="0"/>
          <w:numId w:val="28"/>
        </w:numPr>
        <w:adjustRightInd w:val="0"/>
        <w:snapToGrid w:val="0"/>
        <w:spacing w:line="360" w:lineRule="auto"/>
        <w:ind w:firstLine="420"/>
        <w:rPr>
          <w:rFonts w:ascii="宋体" w:hAnsi="宋体" w:cs="宋体"/>
          <w:color w:val="auto"/>
          <w:kern w:val="0"/>
          <w:szCs w:val="21"/>
        </w:rPr>
      </w:pPr>
      <w:r>
        <w:rPr>
          <w:rFonts w:hint="eastAsia" w:ascii="宋体" w:hAnsi="宋体" w:cs="宋体"/>
          <w:color w:val="auto"/>
          <w:kern w:val="0"/>
          <w:szCs w:val="21"/>
        </w:rPr>
        <w:t>工程变更事件；</w:t>
      </w:r>
    </w:p>
    <w:p>
      <w:pPr>
        <w:numPr>
          <w:ilvl w:val="0"/>
          <w:numId w:val="28"/>
        </w:numPr>
        <w:adjustRightInd w:val="0"/>
        <w:snapToGrid w:val="0"/>
        <w:spacing w:line="360" w:lineRule="auto"/>
        <w:ind w:firstLine="420"/>
        <w:rPr>
          <w:rFonts w:ascii="宋体" w:hAnsi="宋体" w:cs="宋体"/>
          <w:color w:val="auto"/>
          <w:kern w:val="0"/>
          <w:szCs w:val="21"/>
        </w:rPr>
      </w:pPr>
      <w:r>
        <w:rPr>
          <w:rFonts w:hint="eastAsia" w:ascii="宋体" w:hAnsi="宋体" w:cs="宋体"/>
          <w:color w:val="auto"/>
          <w:kern w:val="0"/>
          <w:szCs w:val="21"/>
        </w:rPr>
        <w:t>工程量偏差事件；</w:t>
      </w:r>
    </w:p>
    <w:p>
      <w:pPr>
        <w:numPr>
          <w:ilvl w:val="0"/>
          <w:numId w:val="28"/>
        </w:numPr>
        <w:adjustRightInd w:val="0"/>
        <w:snapToGrid w:val="0"/>
        <w:spacing w:line="360" w:lineRule="auto"/>
        <w:ind w:firstLine="420"/>
        <w:rPr>
          <w:rFonts w:ascii="宋体" w:hAnsi="宋体" w:cs="宋体"/>
          <w:color w:val="auto"/>
          <w:kern w:val="0"/>
          <w:szCs w:val="21"/>
        </w:rPr>
      </w:pPr>
      <w:r>
        <w:rPr>
          <w:rFonts w:hint="eastAsia" w:ascii="宋体" w:hAnsi="宋体" w:cs="宋体"/>
          <w:color w:val="auto"/>
          <w:kern w:val="0"/>
          <w:szCs w:val="21"/>
        </w:rPr>
        <w:t>费用索赔事件；</w:t>
      </w:r>
    </w:p>
    <w:p>
      <w:pPr>
        <w:numPr>
          <w:ilvl w:val="0"/>
          <w:numId w:val="28"/>
        </w:numPr>
        <w:adjustRightInd w:val="0"/>
        <w:snapToGrid w:val="0"/>
        <w:spacing w:line="360" w:lineRule="auto"/>
        <w:ind w:firstLine="420"/>
        <w:rPr>
          <w:rFonts w:ascii="宋体" w:hAnsi="宋体" w:cs="宋体"/>
          <w:color w:val="auto"/>
          <w:kern w:val="0"/>
          <w:szCs w:val="21"/>
        </w:rPr>
      </w:pPr>
      <w:r>
        <w:rPr>
          <w:rFonts w:hint="eastAsia" w:ascii="宋体" w:hAnsi="宋体" w:cs="宋体"/>
          <w:color w:val="auto"/>
          <w:kern w:val="0"/>
          <w:szCs w:val="21"/>
        </w:rPr>
        <w:t>现场签证事件；</w:t>
      </w:r>
    </w:p>
    <w:p>
      <w:pPr>
        <w:numPr>
          <w:ilvl w:val="0"/>
          <w:numId w:val="28"/>
        </w:numPr>
        <w:adjustRightInd w:val="0"/>
        <w:snapToGrid w:val="0"/>
        <w:spacing w:line="360" w:lineRule="auto"/>
        <w:ind w:firstLine="420"/>
        <w:rPr>
          <w:rFonts w:ascii="宋体" w:hAnsi="宋体" w:cs="宋体"/>
          <w:color w:val="auto"/>
          <w:kern w:val="0"/>
          <w:szCs w:val="21"/>
        </w:rPr>
      </w:pPr>
      <w:r>
        <w:rPr>
          <w:rFonts w:hint="eastAsia" w:ascii="宋体" w:hAnsi="宋体" w:cs="宋体"/>
          <w:color w:val="auto"/>
          <w:kern w:val="0"/>
          <w:szCs w:val="21"/>
        </w:rPr>
        <w:t>物价涨落事件；</w:t>
      </w:r>
    </w:p>
    <w:p>
      <w:pPr>
        <w:numPr>
          <w:ilvl w:val="0"/>
          <w:numId w:val="28"/>
        </w:numPr>
        <w:adjustRightInd w:val="0"/>
        <w:snapToGrid w:val="0"/>
        <w:spacing w:line="360" w:lineRule="auto"/>
        <w:ind w:firstLine="420"/>
        <w:rPr>
          <w:rFonts w:ascii="宋体" w:hAnsi="宋体" w:cs="宋体"/>
          <w:color w:val="auto"/>
          <w:kern w:val="0"/>
          <w:szCs w:val="21"/>
        </w:rPr>
      </w:pPr>
      <w:r>
        <w:rPr>
          <w:rFonts w:hint="eastAsia" w:ascii="宋体" w:hAnsi="宋体" w:cs="宋体"/>
          <w:color w:val="auto"/>
          <w:kern w:val="0"/>
          <w:szCs w:val="21"/>
        </w:rPr>
        <w:t>专用条款约定的其他事件。</w:t>
      </w:r>
    </w:p>
    <w:p>
      <w:pPr>
        <w:adjustRightInd w:val="0"/>
        <w:snapToGrid w:val="0"/>
        <w:spacing w:line="360" w:lineRule="auto"/>
        <w:ind w:left="1619" w:leftChars="771"/>
        <w:rPr>
          <w:rFonts w:ascii="宋体" w:hAnsi="宋体" w:cs="宋体"/>
          <w:color w:val="auto"/>
          <w:kern w:val="0"/>
          <w:szCs w:val="21"/>
        </w:rPr>
      </w:pPr>
      <w:r>
        <w:rPr>
          <w:rFonts w:hint="eastAsia" w:ascii="宋体" w:hAnsi="宋体" w:cs="宋体"/>
          <w:color w:val="auto"/>
          <w:kern w:val="0"/>
          <w:szCs w:val="21"/>
        </w:rPr>
        <w:t>本款(1)至(8)调整事件应分别按照第69条至第76条的规定调整合同价款。</w:t>
      </w:r>
    </w:p>
    <w:p>
      <w:pPr>
        <w:adjustRightInd w:val="0"/>
        <w:snapToGrid w:val="0"/>
        <w:spacing w:line="360" w:lineRule="auto"/>
        <w:rPr>
          <w:rFonts w:ascii="宋体" w:hAnsi="宋体" w:cs="宋体"/>
          <w:b/>
          <w:color w:val="auto"/>
          <w:kern w:val="0"/>
          <w:szCs w:val="21"/>
        </w:rPr>
      </w:pPr>
      <w:r>
        <w:rPr>
          <w:rFonts w:hint="eastAsia" w:ascii="宋体" w:hAnsi="宋体" w:cs="宋体"/>
          <w:b/>
          <w:color w:val="auto"/>
          <w:kern w:val="0"/>
          <w:szCs w:val="21"/>
        </w:rPr>
        <w:t xml:space="preserve">68.3  </w:t>
      </w:r>
      <w:r>
        <w:rPr>
          <w:rFonts w:hint="eastAsia" w:ascii="宋体" w:hAnsi="宋体" w:cs="宋体"/>
          <w:b/>
          <w:color w:val="auto"/>
          <w:kern w:val="0"/>
          <w:szCs w:val="21"/>
          <w:u w:val="dotted"/>
        </w:rPr>
        <w:t xml:space="preserve">                                                                                                        </w:t>
      </w:r>
    </w:p>
    <w:p>
      <w:pPr>
        <w:adjustRightInd w:val="0"/>
        <w:snapToGrid w:val="0"/>
        <w:spacing w:line="360" w:lineRule="auto"/>
        <w:ind w:left="1619" w:leftChars="771"/>
        <w:rPr>
          <w:rFonts w:ascii="宋体" w:hAnsi="宋体" w:cs="宋体"/>
          <w:color w:val="auto"/>
          <w:kern w:val="0"/>
          <w:szCs w:val="21"/>
        </w:rPr>
      </w:pPr>
      <w:r>
        <w:rPr>
          <w:rFonts w:ascii="宋体" w:hAnsi="宋体" w:cs="宋体"/>
          <w:color w:val="auto"/>
          <w:kern w:val="0"/>
          <w:szCs w:val="21"/>
        </w:rPr>
        <mc:AlternateContent>
          <mc:Choice Requires="wps">
            <w:drawing>
              <wp:anchor distT="0" distB="0" distL="114300" distR="114300" simplePos="0" relativeHeight="252029952" behindDoc="0" locked="0" layoutInCell="1" allowOverlap="1">
                <wp:simplePos x="0" y="0"/>
                <wp:positionH relativeFrom="column">
                  <wp:posOffset>-114300</wp:posOffset>
                </wp:positionH>
                <wp:positionV relativeFrom="paragraph">
                  <wp:posOffset>5080</wp:posOffset>
                </wp:positionV>
                <wp:extent cx="914400" cy="521335"/>
                <wp:effectExtent l="0" t="0" r="0" b="0"/>
                <wp:wrapNone/>
                <wp:docPr id="119" name="文本框 119"/>
                <wp:cNvGraphicFramePr/>
                <a:graphic xmlns:a="http://schemas.openxmlformats.org/drawingml/2006/main">
                  <a:graphicData uri="http://schemas.microsoft.com/office/word/2010/wordprocessingShape">
                    <wps:wsp>
                      <wps:cNvSpPr txBox="1">
                        <a:spLocks noChangeArrowheads="1"/>
                      </wps:cNvSpPr>
                      <wps:spPr bwMode="auto">
                        <a:xfrm>
                          <a:off x="0" y="0"/>
                          <a:ext cx="914400" cy="521335"/>
                        </a:xfrm>
                        <a:prstGeom prst="rect">
                          <a:avLst/>
                        </a:prstGeom>
                        <a:noFill/>
                        <a:ln>
                          <a:noFill/>
                        </a:ln>
                        <a:effectLst/>
                      </wps:spPr>
                      <wps:txbx>
                        <w:txbxContent>
                          <w:p>
                            <w:pPr>
                              <w:pStyle w:val="32"/>
                              <w:spacing w:line="200" w:lineRule="exact"/>
                              <w:rPr>
                                <w:rFonts w:ascii="宋体" w:hAnsi="宋体"/>
                                <w:sz w:val="18"/>
                                <w:szCs w:val="18"/>
                              </w:rPr>
                            </w:pPr>
                            <w:r>
                              <w:rPr>
                                <w:rFonts w:hint="eastAsia" w:ascii="楷体_GB2312" w:hAnsi="宋体" w:eastAsia="楷体_GB2312"/>
                                <w:b/>
                                <w:color w:val="000000"/>
                                <w:sz w:val="18"/>
                                <w:szCs w:val="18"/>
                              </w:rPr>
                              <w:t>调整合同价款</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4pt;height:41.05pt;width:72pt;z-index:252029952;mso-width-relative:page;mso-height-relative:page;" filled="f" stroked="f" coordsize="21600,21600" o:gfxdata="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zuGv70wAAAAcBAAAPAAAAAAAAAAEAIAAAACIAAABkcnMvZG93bnJldi54&#10;bWxQSwECFAAUAAAACACHTuJAqLnpUv8BAADYAwAADgAAAAAAAAABACAAAAAiAQAAZHJzL2Uyb0Rv&#10;Yy54bWxQSwUGAAAAAAYABgBZAQAAkwUAAAAA&#10;">
                <v:fill on="f" focussize="0,0"/>
                <v:stroke on="f"/>
                <v:imagedata o:title=""/>
                <o:lock v:ext="edit" aspectratio="f"/>
                <v:textbox>
                  <w:txbxContent>
                    <w:p>
                      <w:pPr>
                        <w:pStyle w:val="32"/>
                        <w:spacing w:line="200" w:lineRule="exact"/>
                        <w:rPr>
                          <w:rFonts w:ascii="宋体" w:hAnsi="宋体"/>
                          <w:sz w:val="18"/>
                          <w:szCs w:val="18"/>
                        </w:rPr>
                      </w:pPr>
                      <w:r>
                        <w:rPr>
                          <w:rFonts w:hint="eastAsia" w:ascii="楷体_GB2312" w:hAnsi="宋体" w:eastAsia="楷体_GB2312"/>
                          <w:b/>
                          <w:color w:val="000000"/>
                          <w:sz w:val="18"/>
                          <w:szCs w:val="18"/>
                        </w:rPr>
                        <w:t>调整合同价款</w:t>
                      </w:r>
                    </w:p>
                  </w:txbxContent>
                </v:textbox>
              </v:shape>
            </w:pict>
          </mc:Fallback>
        </mc:AlternateContent>
      </w:r>
      <w:r>
        <w:rPr>
          <w:rFonts w:hint="eastAsia" w:ascii="宋体" w:hAnsi="宋体" w:cs="宋体"/>
          <w:color w:val="auto"/>
          <w:kern w:val="0"/>
          <w:szCs w:val="21"/>
        </w:rPr>
        <w:t>出现第68.2款规定调整合同价款事件的，合同双方当事人应调整合同价款。除费用索赔、现场签证事件分别按照第74条、第75条规定外，调整合同价款的提出、核实、确认与支付等事项，由合同双方当事人按照第77条规定办理。</w:t>
      </w:r>
    </w:p>
    <w:p>
      <w:pPr>
        <w:adjustRightInd w:val="0"/>
        <w:snapToGrid w:val="0"/>
        <w:spacing w:line="360" w:lineRule="auto"/>
        <w:ind w:left="1619" w:leftChars="771"/>
        <w:rPr>
          <w:rFonts w:ascii="宋体" w:hAnsi="宋体" w:cs="宋体"/>
          <w:color w:val="auto"/>
          <w:kern w:val="0"/>
          <w:szCs w:val="21"/>
        </w:rPr>
      </w:pPr>
      <w:r>
        <w:rPr>
          <w:rFonts w:hint="eastAsia" w:ascii="宋体" w:hAnsi="宋体" w:cs="宋体"/>
          <w:color w:val="auto"/>
          <w:kern w:val="0"/>
          <w:szCs w:val="21"/>
        </w:rPr>
        <w:t>根据第68.2款规定事件调整合同价款，如果是按照第48条规定由发包人自行供应或发包人招标、承包人采购材料和工程设备的，均不应考虑第72.2款规定的承包人报价下浮率因素。</w:t>
      </w:r>
    </w:p>
    <w:p>
      <w:pPr>
        <w:tabs>
          <w:tab w:val="left" w:pos="3480"/>
        </w:tabs>
        <w:adjustRightInd w:val="0"/>
        <w:snapToGrid w:val="0"/>
        <w:spacing w:line="360" w:lineRule="exact"/>
        <w:rPr>
          <w:rFonts w:ascii="宋体" w:hAnsi="宋体" w:cs="宋体"/>
          <w:b/>
          <w:color w:val="auto"/>
          <w:kern w:val="0"/>
          <w:szCs w:val="21"/>
          <w:u w:val="single"/>
        </w:rPr>
      </w:pPr>
      <w:r>
        <w:rPr>
          <w:rFonts w:hint="eastAsia" w:ascii="宋体" w:hAnsi="宋体" w:cs="宋体"/>
          <w:b/>
          <w:color w:val="auto"/>
          <w:kern w:val="0"/>
          <w:szCs w:val="21"/>
          <w:u w:val="single"/>
        </w:rPr>
        <w:t xml:space="preserve">                                                                                                               </w:t>
      </w:r>
    </w:p>
    <w:p>
      <w:pPr>
        <w:spacing w:line="360" w:lineRule="auto"/>
        <w:rPr>
          <w:rFonts w:ascii="宋体" w:hAnsi="宋体" w:cs="宋体"/>
          <w:b/>
          <w:color w:val="auto"/>
          <w:szCs w:val="21"/>
        </w:rPr>
      </w:pPr>
    </w:p>
    <w:p>
      <w:pPr>
        <w:rPr>
          <w:rFonts w:ascii="宋体" w:hAnsi="宋体" w:cs="宋体"/>
          <w:b/>
          <w:color w:val="auto"/>
          <w:szCs w:val="21"/>
        </w:rPr>
      </w:pPr>
      <w:r>
        <w:rPr>
          <w:rFonts w:hint="eastAsia" w:ascii="宋体" w:hAnsi="宋体" w:cs="宋体"/>
          <w:b/>
          <w:color w:val="auto"/>
          <w:szCs w:val="21"/>
        </w:rPr>
        <w:t>69  后继法律变化事件</w:t>
      </w:r>
    </w:p>
    <w:p>
      <w:pPr>
        <w:adjustRightInd w:val="0"/>
        <w:snapToGrid w:val="0"/>
        <w:rPr>
          <w:rFonts w:ascii="宋体" w:hAnsi="宋体" w:cs="宋体"/>
          <w:b/>
          <w:bCs/>
          <w:color w:val="auto"/>
          <w:kern w:val="0"/>
          <w:szCs w:val="21"/>
        </w:rPr>
      </w:pPr>
      <w:r>
        <w:rPr>
          <w:rFonts w:ascii="宋体" w:hAnsi="宋体" w:cs="宋体"/>
          <w:color w:val="auto"/>
          <w:kern w:val="0"/>
          <w:szCs w:val="21"/>
        </w:rPr>
        <mc:AlternateContent>
          <mc:Choice Requires="wps">
            <w:drawing>
              <wp:anchor distT="0" distB="0" distL="114300" distR="114300" simplePos="0" relativeHeight="251988992" behindDoc="0" locked="0" layoutInCell="1" allowOverlap="1">
                <wp:simplePos x="0" y="0"/>
                <wp:positionH relativeFrom="column">
                  <wp:posOffset>-133350</wp:posOffset>
                </wp:positionH>
                <wp:positionV relativeFrom="paragraph">
                  <wp:posOffset>273685</wp:posOffset>
                </wp:positionV>
                <wp:extent cx="914400" cy="619125"/>
                <wp:effectExtent l="0" t="0" r="0" b="0"/>
                <wp:wrapNone/>
                <wp:docPr id="118" name="文本框 118"/>
                <wp:cNvGraphicFramePr/>
                <a:graphic xmlns:a="http://schemas.openxmlformats.org/drawingml/2006/main">
                  <a:graphicData uri="http://schemas.microsoft.com/office/word/2010/wordprocessingShape">
                    <wps:wsp>
                      <wps:cNvSpPr txBox="1">
                        <a:spLocks noChangeArrowheads="1"/>
                      </wps:cNvSpPr>
                      <wps:spPr bwMode="auto">
                        <a:xfrm>
                          <a:off x="0" y="0"/>
                          <a:ext cx="914400" cy="619125"/>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后继法律变化的价款调整</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0.5pt;margin-top:21.55pt;height:48.75pt;width:72pt;z-index:251988992;mso-width-relative:page;mso-height-relative:page;" filled="f" stroked="f" coordsize="21600,21600" o:gfxdata="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X3YAHNcAAAAKAQAADwAAAAAAAAABACAAAAAiAAAAZHJzL2Rvd25y&#10;ZXYueG1sUEsBAhQAFAAAAAgAh07iQI6OpN7/AQAA2AMAAA4AAAAAAAAAAQAgAAAAJgEAAGRycy9l&#10;Mm9Eb2MueG1sUEsFBgAAAAAGAAYAWQEAAJcFA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后继法律变化的价款调整</w:t>
                      </w:r>
                    </w:p>
                  </w:txbxContent>
                </v:textbox>
              </v:shape>
            </w:pict>
          </mc:Fallback>
        </mc:AlternateContent>
      </w:r>
      <w:r>
        <w:rPr>
          <w:rFonts w:hint="eastAsia" w:ascii="宋体" w:hAnsi="宋体" w:cs="宋体"/>
          <w:b/>
          <w:color w:val="auto"/>
          <w:kern w:val="0"/>
          <w:szCs w:val="21"/>
        </w:rPr>
        <w:t>69.1</w:t>
      </w:r>
      <w:r>
        <w:rPr>
          <w:rFonts w:hint="eastAsia" w:ascii="宋体" w:hAnsi="宋体" w:cs="宋体"/>
          <w:b/>
          <w:bCs/>
          <w:color w:val="auto"/>
          <w:kern w:val="0"/>
          <w:szCs w:val="21"/>
        </w:rPr>
        <w:t xml:space="preserve"> </w:t>
      </w:r>
    </w:p>
    <w:p>
      <w:pPr>
        <w:adjustRightInd w:val="0"/>
        <w:snapToGrid w:val="0"/>
        <w:spacing w:line="360" w:lineRule="auto"/>
        <w:ind w:left="1619" w:leftChars="771"/>
        <w:rPr>
          <w:rFonts w:ascii="宋体" w:hAnsi="宋体" w:cs="宋体"/>
          <w:color w:val="auto"/>
          <w:kern w:val="0"/>
          <w:szCs w:val="21"/>
        </w:rPr>
      </w:pPr>
      <w:r>
        <w:rPr>
          <w:rFonts w:hint="eastAsia" w:ascii="宋体" w:hAnsi="宋体" w:cs="宋体"/>
          <w:color w:val="auto"/>
          <w:kern w:val="0"/>
          <w:szCs w:val="21"/>
        </w:rPr>
        <w:t>合同履行期间，出现国家或省颁布的法律和政策在合同工程基准日期后发生变化，且因执行上述法律和政策引起除第76条规定以外的工程造价增减事件的，合同双方当事人应调整合同价款。</w:t>
      </w:r>
    </w:p>
    <w:p>
      <w:pPr>
        <w:tabs>
          <w:tab w:val="left" w:pos="540"/>
        </w:tabs>
        <w:adjustRightInd w:val="0"/>
        <w:snapToGrid w:val="0"/>
        <w:spacing w:line="480" w:lineRule="auto"/>
        <w:rPr>
          <w:rFonts w:ascii="宋体" w:hAnsi="宋体" w:cs="宋体"/>
          <w:b/>
          <w:color w:val="auto"/>
          <w:kern w:val="0"/>
          <w:szCs w:val="21"/>
          <w:u w:val="dotted"/>
        </w:rPr>
      </w:pPr>
      <w:r>
        <w:rPr>
          <w:rFonts w:hint="eastAsia" w:ascii="宋体" w:hAnsi="宋体" w:cs="宋体"/>
          <w:b/>
          <w:color w:val="auto"/>
          <w:kern w:val="0"/>
          <w:szCs w:val="21"/>
        </w:rPr>
        <w:t xml:space="preserve">69.2  </w:t>
      </w:r>
      <w:r>
        <w:rPr>
          <w:rFonts w:hint="eastAsia" w:ascii="宋体" w:hAnsi="宋体" w:cs="宋体"/>
          <w:b/>
          <w:color w:val="auto"/>
          <w:kern w:val="0"/>
          <w:szCs w:val="21"/>
          <w:u w:val="dotted"/>
        </w:rPr>
        <w:t xml:space="preserve">                                                                                                        </w:t>
      </w:r>
    </w:p>
    <w:p>
      <w:pPr>
        <w:adjustRightInd w:val="0"/>
        <w:snapToGrid w:val="0"/>
        <w:spacing w:line="360" w:lineRule="auto"/>
        <w:ind w:left="1619" w:leftChars="771"/>
        <w:rPr>
          <w:rFonts w:ascii="宋体" w:hAnsi="宋体" w:cs="宋体"/>
          <w:color w:val="auto"/>
          <w:kern w:val="0"/>
          <w:szCs w:val="21"/>
        </w:rPr>
      </w:pPr>
      <w:r>
        <w:rPr>
          <w:rFonts w:ascii="宋体" w:hAnsi="宋体" w:cs="宋体"/>
          <w:color w:val="auto"/>
          <w:kern w:val="0"/>
          <w:szCs w:val="21"/>
        </w:rPr>
        <mc:AlternateContent>
          <mc:Choice Requires="wps">
            <w:drawing>
              <wp:anchor distT="0" distB="0" distL="114300" distR="114300" simplePos="0" relativeHeight="251987968" behindDoc="0" locked="0" layoutInCell="1" allowOverlap="1">
                <wp:simplePos x="0" y="0"/>
                <wp:positionH relativeFrom="column">
                  <wp:posOffset>-114300</wp:posOffset>
                </wp:positionH>
                <wp:positionV relativeFrom="paragraph">
                  <wp:posOffset>15875</wp:posOffset>
                </wp:positionV>
                <wp:extent cx="914400" cy="619125"/>
                <wp:effectExtent l="0" t="0" r="0" b="0"/>
                <wp:wrapNone/>
                <wp:docPr id="117" name="文本框 117"/>
                <wp:cNvGraphicFramePr/>
                <a:graphic xmlns:a="http://schemas.openxmlformats.org/drawingml/2006/main">
                  <a:graphicData uri="http://schemas.microsoft.com/office/word/2010/wordprocessingShape">
                    <wps:wsp>
                      <wps:cNvSpPr txBox="1">
                        <a:spLocks noChangeArrowheads="1"/>
                      </wps:cNvSpPr>
                      <wps:spPr bwMode="auto">
                        <a:xfrm>
                          <a:off x="0" y="0"/>
                          <a:ext cx="914400" cy="619125"/>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调整价款的方法</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5pt;height:48.75pt;width:72pt;z-index:251987968;mso-width-relative:page;mso-height-relative:page;" filled="f" stroked="f" coordsize="21600,21600" o:gfxdata="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NPIDAfVAAAACQEAAA8AAAAAAAAAAQAgAAAAIgAAAGRycy9kb3ducmV2&#10;LnhtbFBLAQIUABQAAAAIAIdO4kAybB3k/wEAANgDAAAOAAAAAAAAAAEAIAAAACQBAABkcnMvZTJv&#10;RG9jLnhtbFBLBQYAAAAABgAGAFkBAACVBQ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调整价款的方法</w:t>
                      </w:r>
                    </w:p>
                  </w:txbxContent>
                </v:textbox>
              </v:shape>
            </w:pict>
          </mc:Fallback>
        </mc:AlternateContent>
      </w:r>
      <w:r>
        <w:rPr>
          <w:rFonts w:hint="eastAsia" w:ascii="宋体" w:hAnsi="宋体" w:cs="宋体"/>
          <w:color w:val="auto"/>
          <w:kern w:val="0"/>
          <w:szCs w:val="21"/>
        </w:rPr>
        <w:t>发生第69.1款情况的，应根据合同工程实际情况，按照上述法律和政策规定计算调整的合同价款。</w:t>
      </w:r>
    </w:p>
    <w:p>
      <w:pPr>
        <w:tabs>
          <w:tab w:val="left" w:pos="1620"/>
        </w:tabs>
        <w:spacing w:line="360" w:lineRule="auto"/>
        <w:rPr>
          <w:rFonts w:ascii="宋体" w:hAnsi="宋体" w:cs="宋体"/>
          <w:b/>
          <w:color w:val="auto"/>
          <w:szCs w:val="21"/>
          <w:u w:val="single"/>
        </w:rPr>
      </w:pPr>
      <w:r>
        <w:rPr>
          <w:rFonts w:hint="eastAsia" w:ascii="宋体" w:hAnsi="宋体" w:cs="宋体"/>
          <w:b/>
          <w:color w:val="auto"/>
          <w:szCs w:val="21"/>
          <w:u w:val="single"/>
        </w:rPr>
        <w:t xml:space="preserve">                                                                                     </w:t>
      </w:r>
    </w:p>
    <w:p>
      <w:pPr>
        <w:spacing w:line="360" w:lineRule="auto"/>
        <w:rPr>
          <w:rFonts w:ascii="宋体" w:hAnsi="宋体" w:cs="宋体"/>
          <w:b/>
          <w:color w:val="auto"/>
          <w:szCs w:val="21"/>
        </w:rPr>
      </w:pPr>
    </w:p>
    <w:p>
      <w:pPr>
        <w:spacing w:line="360" w:lineRule="auto"/>
        <w:rPr>
          <w:rFonts w:ascii="宋体" w:hAnsi="宋体" w:cs="宋体"/>
          <w:b/>
          <w:bCs/>
          <w:color w:val="auto"/>
          <w:szCs w:val="21"/>
        </w:rPr>
      </w:pPr>
      <w:r>
        <w:rPr>
          <w:rFonts w:hint="eastAsia" w:ascii="宋体" w:hAnsi="宋体" w:cs="宋体"/>
          <w:b/>
          <w:color w:val="auto"/>
          <w:szCs w:val="21"/>
        </w:rPr>
        <w:t>70  项目特征描述不符事件</w:t>
      </w:r>
    </w:p>
    <w:p>
      <w:pPr>
        <w:adjustRightInd w:val="0"/>
        <w:snapToGrid w:val="0"/>
        <w:spacing w:line="360" w:lineRule="auto"/>
        <w:rPr>
          <w:rFonts w:ascii="宋体" w:hAnsi="宋体" w:cs="宋体"/>
          <w:b/>
          <w:bCs/>
          <w:color w:val="auto"/>
          <w:kern w:val="0"/>
          <w:szCs w:val="21"/>
        </w:rPr>
      </w:pPr>
      <w:r>
        <w:rPr>
          <w:rFonts w:hint="eastAsia" w:ascii="宋体" w:hAnsi="宋体" w:cs="宋体"/>
          <w:b/>
          <w:color w:val="auto"/>
          <w:kern w:val="0"/>
          <w:szCs w:val="21"/>
        </w:rPr>
        <w:t>70.1</w:t>
      </w:r>
      <w:r>
        <w:rPr>
          <w:rFonts w:hint="eastAsia" w:ascii="宋体" w:hAnsi="宋体" w:cs="宋体"/>
          <w:b/>
          <w:bCs/>
          <w:color w:val="auto"/>
          <w:kern w:val="0"/>
          <w:szCs w:val="21"/>
        </w:rPr>
        <w:t xml:space="preserve"> </w:t>
      </w:r>
    </w:p>
    <w:p>
      <w:pPr>
        <w:adjustRightInd w:val="0"/>
        <w:snapToGrid w:val="0"/>
        <w:spacing w:line="360" w:lineRule="auto"/>
        <w:ind w:left="1619" w:leftChars="771"/>
        <w:rPr>
          <w:rFonts w:ascii="宋体" w:hAnsi="宋体" w:cs="宋体"/>
          <w:color w:val="auto"/>
          <w:kern w:val="0"/>
          <w:szCs w:val="21"/>
        </w:rPr>
      </w:pPr>
      <w:r>
        <w:rPr>
          <w:rFonts w:ascii="宋体" w:hAnsi="宋体" w:cs="宋体"/>
          <w:color w:val="auto"/>
          <w:kern w:val="0"/>
          <w:szCs w:val="21"/>
        </w:rPr>
        <mc:AlternateContent>
          <mc:Choice Requires="wps">
            <w:drawing>
              <wp:anchor distT="0" distB="0" distL="114300" distR="114300" simplePos="0" relativeHeight="251990016" behindDoc="0" locked="0" layoutInCell="1" allowOverlap="1">
                <wp:simplePos x="0" y="0"/>
                <wp:positionH relativeFrom="column">
                  <wp:posOffset>-114300</wp:posOffset>
                </wp:positionH>
                <wp:positionV relativeFrom="paragraph">
                  <wp:posOffset>34290</wp:posOffset>
                </wp:positionV>
                <wp:extent cx="914400" cy="619125"/>
                <wp:effectExtent l="0" t="0" r="0" b="0"/>
                <wp:wrapNone/>
                <wp:docPr id="116" name="文本框 116"/>
                <wp:cNvGraphicFramePr/>
                <a:graphic xmlns:a="http://schemas.openxmlformats.org/drawingml/2006/main">
                  <a:graphicData uri="http://schemas.microsoft.com/office/word/2010/wordprocessingShape">
                    <wps:wsp>
                      <wps:cNvSpPr txBox="1">
                        <a:spLocks noChangeArrowheads="1"/>
                      </wps:cNvSpPr>
                      <wps:spPr bwMode="auto">
                        <a:xfrm>
                          <a:off x="0" y="0"/>
                          <a:ext cx="914400" cy="619125"/>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项目特征的准确性</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7pt;height:48.75pt;width:72pt;z-index:251990016;mso-width-relative:page;mso-height-relative:page;" filled="f" stroked="f" coordsize="21600,21600" o:gfxdata="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xySmF1gAAAAkBAAAPAAAAAAAAAAEAIAAAACIAAABkcnMvZG93bnJl&#10;di54bWxQSwECFAAUAAAACACHTuJAtrOq4P8BAADYAwAADgAAAAAAAAABACAAAAAlAQAAZHJzL2Uy&#10;b0RvYy54bWxQSwUGAAAAAAYABgBZAQAAlgU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项目特征的准确性</w:t>
                      </w:r>
                    </w:p>
                  </w:txbxContent>
                </v:textbox>
              </v:shape>
            </w:pict>
          </mc:Fallback>
        </mc:AlternateContent>
      </w:r>
      <w:r>
        <w:rPr>
          <w:rFonts w:hint="eastAsia" w:ascii="宋体" w:hAnsi="宋体" w:cs="宋体"/>
          <w:color w:val="auto"/>
          <w:kern w:val="0"/>
          <w:szCs w:val="21"/>
        </w:rPr>
        <w:t>发包人在工程量清单中对项目特征的描述，应被认为是准确的和全面的，并且与实际施工要求相符合。承包人应按照发包人提供的工程量清单，根据其项目特征描述的内容及有关要求实施合同工程，直到其被改变为止。</w:t>
      </w:r>
    </w:p>
    <w:p>
      <w:pPr>
        <w:adjustRightInd w:val="0"/>
        <w:snapToGrid w:val="0"/>
        <w:spacing w:line="480" w:lineRule="auto"/>
        <w:rPr>
          <w:rFonts w:ascii="宋体" w:hAnsi="宋体" w:cs="宋体"/>
          <w:b/>
          <w:color w:val="auto"/>
          <w:kern w:val="0"/>
          <w:szCs w:val="21"/>
        </w:rPr>
      </w:pPr>
      <w:r>
        <w:rPr>
          <w:rFonts w:hint="eastAsia" w:ascii="宋体" w:hAnsi="宋体" w:cs="宋体"/>
          <w:b/>
          <w:color w:val="auto"/>
          <w:kern w:val="0"/>
          <w:szCs w:val="21"/>
        </w:rPr>
        <w:t xml:space="preserve">70.2  </w:t>
      </w:r>
      <w:r>
        <w:rPr>
          <w:rFonts w:hint="eastAsia" w:ascii="宋体" w:hAnsi="宋体" w:cs="宋体"/>
          <w:b/>
          <w:color w:val="auto"/>
          <w:kern w:val="0"/>
          <w:szCs w:val="21"/>
          <w:u w:val="dotted"/>
        </w:rPr>
        <w:t xml:space="preserve">                                                                               </w:t>
      </w:r>
    </w:p>
    <w:p>
      <w:pPr>
        <w:adjustRightInd w:val="0"/>
        <w:snapToGrid w:val="0"/>
        <w:spacing w:line="360" w:lineRule="auto"/>
        <w:ind w:left="1619" w:leftChars="771"/>
        <w:rPr>
          <w:rFonts w:ascii="宋体" w:hAnsi="宋体" w:cs="宋体"/>
          <w:color w:val="auto"/>
          <w:kern w:val="0"/>
          <w:szCs w:val="21"/>
        </w:rPr>
      </w:pPr>
      <w:r>
        <w:rPr>
          <w:rFonts w:ascii="宋体" w:hAnsi="宋体" w:cs="宋体"/>
          <w:color w:val="auto"/>
          <w:kern w:val="0"/>
          <w:szCs w:val="21"/>
        </w:rPr>
        <mc:AlternateContent>
          <mc:Choice Requires="wps">
            <w:drawing>
              <wp:anchor distT="0" distB="0" distL="114300" distR="114300" simplePos="0" relativeHeight="251991040" behindDoc="0" locked="0" layoutInCell="1" allowOverlap="1">
                <wp:simplePos x="0" y="0"/>
                <wp:positionH relativeFrom="column">
                  <wp:posOffset>-114300</wp:posOffset>
                </wp:positionH>
                <wp:positionV relativeFrom="paragraph">
                  <wp:posOffset>5715</wp:posOffset>
                </wp:positionV>
                <wp:extent cx="914400" cy="619125"/>
                <wp:effectExtent l="0" t="0" r="0" b="0"/>
                <wp:wrapNone/>
                <wp:docPr id="115" name="文本框 115"/>
                <wp:cNvGraphicFramePr/>
                <a:graphic xmlns:a="http://schemas.openxmlformats.org/drawingml/2006/main">
                  <a:graphicData uri="http://schemas.microsoft.com/office/word/2010/wordprocessingShape">
                    <wps:wsp>
                      <wps:cNvSpPr txBox="1">
                        <a:spLocks noChangeArrowheads="1"/>
                      </wps:cNvSpPr>
                      <wps:spPr bwMode="auto">
                        <a:xfrm>
                          <a:off x="0" y="0"/>
                          <a:ext cx="914400" cy="619125"/>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项目特征描述不符的价款调整</w:t>
                            </w:r>
                          </w:p>
                          <w:p>
                            <w:pPr>
                              <w:pStyle w:val="78"/>
                              <w:spacing w:line="200" w:lineRule="exact"/>
                              <w:rPr>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45pt;height:48.75pt;width:72pt;z-index:251991040;mso-width-relative:page;mso-height-relative:page;" filled="f" stroked="f" coordsize="21600,21600" o:gfxdata="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ed//kdQAAAAHAQAADwAAAAAAAAABACAAAAAiAAAAZHJzL2Rvd25yZXYu&#10;eG1sUEsBAhQAFAAAAAgAh07iQDrTcu3/AQAA2AMAAA4AAAAAAAAAAQAgAAAAIwEAAGRycy9lMm9E&#10;b2MueG1sUEsFBgAAAAAGAAYAWQEAAJQFA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项目特征描述不符的价款调整</w:t>
                      </w:r>
                    </w:p>
                    <w:p>
                      <w:pPr>
                        <w:pStyle w:val="78"/>
                        <w:spacing w:line="200" w:lineRule="exact"/>
                        <w:rPr>
                          <w:szCs w:val="18"/>
                        </w:rPr>
                      </w:pPr>
                    </w:p>
                  </w:txbxContent>
                </v:textbox>
              </v:shape>
            </w:pict>
          </mc:Fallback>
        </mc:AlternateContent>
      </w:r>
      <w:r>
        <w:rPr>
          <w:rFonts w:hint="eastAsia" w:ascii="宋体" w:hAnsi="宋体" w:cs="宋体"/>
          <w:color w:val="auto"/>
          <w:kern w:val="0"/>
          <w:szCs w:val="21"/>
        </w:rPr>
        <w:t>合同履行期间，出现实际施工设计图纸（含设计变更）与招标文件提供的工程量清单任一项目特征描述不符，且该变化引起工程造价增减事件的，合同双方当事人应调整合同价款。</w:t>
      </w:r>
    </w:p>
    <w:p>
      <w:pPr>
        <w:adjustRightInd w:val="0"/>
        <w:snapToGrid w:val="0"/>
        <w:spacing w:line="480" w:lineRule="auto"/>
        <w:rPr>
          <w:rFonts w:ascii="宋体" w:hAnsi="宋体" w:cs="宋体"/>
          <w:b/>
          <w:color w:val="auto"/>
          <w:kern w:val="0"/>
          <w:szCs w:val="21"/>
        </w:rPr>
      </w:pPr>
      <w:r>
        <w:rPr>
          <w:rFonts w:hint="eastAsia" w:ascii="宋体" w:hAnsi="宋体" w:cs="宋体"/>
          <w:b/>
          <w:color w:val="auto"/>
          <w:kern w:val="0"/>
          <w:szCs w:val="21"/>
        </w:rPr>
        <w:t xml:space="preserve">70.3 </w:t>
      </w:r>
      <w:r>
        <w:rPr>
          <w:rFonts w:hint="eastAsia" w:ascii="宋体" w:hAnsi="宋体" w:cs="宋体"/>
          <w:b/>
          <w:color w:val="auto"/>
          <w:kern w:val="0"/>
          <w:szCs w:val="21"/>
          <w:u w:val="dotted"/>
        </w:rPr>
        <w:t xml:space="preserve">                                                                              </w:t>
      </w:r>
      <w:r>
        <w:rPr>
          <w:rFonts w:hint="eastAsia" w:ascii="宋体" w:hAnsi="宋体" w:cs="宋体"/>
          <w:b/>
          <w:color w:val="auto"/>
          <w:kern w:val="0"/>
          <w:szCs w:val="21"/>
        </w:rPr>
        <w:t xml:space="preserve"> </w:t>
      </w:r>
    </w:p>
    <w:p>
      <w:pPr>
        <w:adjustRightInd w:val="0"/>
        <w:snapToGrid w:val="0"/>
        <w:spacing w:line="360" w:lineRule="auto"/>
        <w:ind w:left="1619" w:leftChars="771"/>
        <w:rPr>
          <w:rFonts w:ascii="宋体" w:hAnsi="宋体" w:cs="宋体"/>
          <w:color w:val="auto"/>
          <w:kern w:val="0"/>
          <w:szCs w:val="21"/>
        </w:rPr>
      </w:pPr>
      <w:r>
        <w:rPr>
          <w:rFonts w:ascii="宋体" w:hAnsi="宋体" w:cs="宋体"/>
          <w:color w:val="auto"/>
          <w:kern w:val="0"/>
          <w:szCs w:val="21"/>
        </w:rPr>
        <mc:AlternateContent>
          <mc:Choice Requires="wps">
            <w:drawing>
              <wp:anchor distT="0" distB="0" distL="114300" distR="114300" simplePos="0" relativeHeight="252030976" behindDoc="0" locked="0" layoutInCell="1" allowOverlap="1">
                <wp:simplePos x="0" y="0"/>
                <wp:positionH relativeFrom="column">
                  <wp:posOffset>-114300</wp:posOffset>
                </wp:positionH>
                <wp:positionV relativeFrom="paragraph">
                  <wp:posOffset>5715</wp:posOffset>
                </wp:positionV>
                <wp:extent cx="914400" cy="619125"/>
                <wp:effectExtent l="0" t="0" r="0" b="0"/>
                <wp:wrapNone/>
                <wp:docPr id="114" name="文本框 114"/>
                <wp:cNvGraphicFramePr/>
                <a:graphic xmlns:a="http://schemas.openxmlformats.org/drawingml/2006/main">
                  <a:graphicData uri="http://schemas.microsoft.com/office/word/2010/wordprocessingShape">
                    <wps:wsp>
                      <wps:cNvSpPr txBox="1">
                        <a:spLocks noChangeArrowheads="1"/>
                      </wps:cNvSpPr>
                      <wps:spPr bwMode="auto">
                        <a:xfrm>
                          <a:off x="0" y="0"/>
                          <a:ext cx="914400" cy="619125"/>
                        </a:xfrm>
                        <a:prstGeom prst="rect">
                          <a:avLst/>
                        </a:prstGeom>
                        <a:noFill/>
                        <a:ln>
                          <a:noFill/>
                        </a:ln>
                        <a:effectLst/>
                      </wps:spPr>
                      <wps:txbx>
                        <w:txbxContent>
                          <w:p>
                            <w:pPr>
                              <w:pStyle w:val="32"/>
                              <w:spacing w:line="200" w:lineRule="exact"/>
                              <w:rPr>
                                <w:rFonts w:ascii="宋体" w:hAnsi="宋体"/>
                                <w:color w:val="FF0000"/>
                                <w:szCs w:val="18"/>
                              </w:rPr>
                            </w:pPr>
                            <w:r>
                              <w:rPr>
                                <w:rFonts w:hint="eastAsia" w:ascii="楷体_GB2312" w:hAnsi="宋体" w:eastAsia="楷体_GB2312"/>
                                <w:b/>
                                <w:color w:val="000000"/>
                                <w:sz w:val="18"/>
                                <w:szCs w:val="18"/>
                              </w:rPr>
                              <w:t>调整价款的方法</w:t>
                            </w:r>
                          </w:p>
                          <w:p>
                            <w:pPr>
                              <w:pStyle w:val="78"/>
                              <w:spacing w:line="200" w:lineRule="exact"/>
                              <w:rPr>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45pt;height:48.75pt;width:72pt;z-index:252030976;mso-width-relative:page;mso-height-relative:page;" filled="f" stroked="f" coordsize="21600,21600" o:gfxdata="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ed//kdQAAAAHAQAADwAAAAAAAAABACAAAAAiAAAAZHJzL2Rvd25yZXYu&#10;eG1sUEsBAhQAFAAAAAgAh07iQL4Mxen/AQAA2AMAAA4AAAAAAAAAAQAgAAAAIwEAAGRycy9lMm9E&#10;b2MueG1sUEsFBgAAAAAGAAYAWQEAAJQFAAAAAA==&#10;">
                <v:fill on="f" focussize="0,0"/>
                <v:stroke on="f"/>
                <v:imagedata o:title=""/>
                <o:lock v:ext="edit" aspectratio="f"/>
                <v:textbox>
                  <w:txbxContent>
                    <w:p>
                      <w:pPr>
                        <w:pStyle w:val="32"/>
                        <w:spacing w:line="200" w:lineRule="exact"/>
                        <w:rPr>
                          <w:rFonts w:ascii="宋体" w:hAnsi="宋体"/>
                          <w:color w:val="FF0000"/>
                          <w:szCs w:val="18"/>
                        </w:rPr>
                      </w:pPr>
                      <w:r>
                        <w:rPr>
                          <w:rFonts w:hint="eastAsia" w:ascii="楷体_GB2312" w:hAnsi="宋体" w:eastAsia="楷体_GB2312"/>
                          <w:b/>
                          <w:color w:val="000000"/>
                          <w:sz w:val="18"/>
                          <w:szCs w:val="18"/>
                        </w:rPr>
                        <w:t>调整价款的方法</w:t>
                      </w:r>
                    </w:p>
                    <w:p>
                      <w:pPr>
                        <w:pStyle w:val="78"/>
                        <w:spacing w:line="200" w:lineRule="exact"/>
                        <w:rPr>
                          <w:szCs w:val="18"/>
                        </w:rPr>
                      </w:pPr>
                    </w:p>
                  </w:txbxContent>
                </v:textbox>
              </v:shape>
            </w:pict>
          </mc:Fallback>
        </mc:AlternateContent>
      </w:r>
      <w:r>
        <w:rPr>
          <w:rFonts w:hint="eastAsia" w:ascii="宋体" w:hAnsi="宋体" w:cs="宋体"/>
          <w:color w:val="auto"/>
          <w:kern w:val="0"/>
          <w:szCs w:val="21"/>
        </w:rPr>
        <w:t>发生第70.2款情况的，应按照实际施工的项目特征重新确定相应工程量清单项目的综合单价，计算调整的合同价款。</w:t>
      </w:r>
    </w:p>
    <w:p>
      <w:pPr>
        <w:adjustRightInd w:val="0"/>
        <w:snapToGrid w:val="0"/>
        <w:spacing w:line="360" w:lineRule="auto"/>
        <w:rPr>
          <w:rFonts w:ascii="宋体" w:hAnsi="宋体" w:cs="宋体"/>
          <w:b/>
          <w:color w:val="auto"/>
          <w:kern w:val="0"/>
          <w:szCs w:val="21"/>
          <w:u w:val="single"/>
        </w:rPr>
      </w:pPr>
      <w:r>
        <w:rPr>
          <w:rFonts w:hint="eastAsia" w:ascii="宋体" w:hAnsi="宋体" w:cs="宋体"/>
          <w:b/>
          <w:bCs/>
          <w:color w:val="auto"/>
          <w:kern w:val="0"/>
          <w:szCs w:val="21"/>
          <w:u w:val="single"/>
        </w:rPr>
        <w:t xml:space="preserve">              </w:t>
      </w:r>
      <w:r>
        <w:rPr>
          <w:rFonts w:hint="eastAsia" w:ascii="宋体" w:hAnsi="宋体" w:cs="宋体"/>
          <w:b/>
          <w:color w:val="auto"/>
          <w:kern w:val="0"/>
          <w:szCs w:val="21"/>
          <w:u w:val="single"/>
        </w:rPr>
        <w:t xml:space="preserve">                                                                       </w:t>
      </w:r>
    </w:p>
    <w:p>
      <w:pPr>
        <w:adjustRightInd w:val="0"/>
        <w:snapToGrid w:val="0"/>
        <w:spacing w:line="360" w:lineRule="auto"/>
        <w:rPr>
          <w:rFonts w:ascii="宋体" w:hAnsi="宋体" w:cs="宋体"/>
          <w:color w:val="auto"/>
          <w:kern w:val="0"/>
          <w:szCs w:val="21"/>
        </w:rPr>
      </w:pPr>
      <w:r>
        <w:rPr>
          <w:rFonts w:hint="eastAsia" w:ascii="宋体" w:hAnsi="宋体" w:cs="宋体"/>
          <w:b/>
          <w:color w:val="auto"/>
          <w:kern w:val="0"/>
          <w:szCs w:val="21"/>
        </w:rPr>
        <w:t>71  分部分项工程量清单缺项漏项事件</w:t>
      </w:r>
    </w:p>
    <w:p>
      <w:pPr>
        <w:adjustRightInd w:val="0"/>
        <w:snapToGrid w:val="0"/>
        <w:spacing w:line="360" w:lineRule="auto"/>
        <w:rPr>
          <w:rFonts w:ascii="宋体" w:hAnsi="宋体" w:cs="宋体"/>
          <w:b/>
          <w:color w:val="auto"/>
          <w:kern w:val="0"/>
          <w:szCs w:val="21"/>
        </w:rPr>
      </w:pPr>
      <w:r>
        <w:rPr>
          <w:rFonts w:hint="eastAsia" w:ascii="宋体" w:hAnsi="宋体" w:cs="宋体"/>
          <w:b/>
          <w:color w:val="auto"/>
          <w:kern w:val="0"/>
          <w:szCs w:val="21"/>
        </w:rPr>
        <w:t xml:space="preserve">71.1  </w:t>
      </w:r>
    </w:p>
    <w:p>
      <w:pPr>
        <w:adjustRightInd w:val="0"/>
        <w:snapToGrid w:val="0"/>
        <w:spacing w:line="360" w:lineRule="auto"/>
        <w:ind w:left="1619" w:leftChars="771"/>
        <w:rPr>
          <w:rFonts w:ascii="宋体" w:hAnsi="宋体" w:cs="宋体"/>
          <w:color w:val="auto"/>
          <w:kern w:val="0"/>
          <w:szCs w:val="21"/>
        </w:rPr>
      </w:pPr>
      <w:r>
        <w:rPr>
          <w:rFonts w:ascii="宋体" w:hAnsi="宋体" w:cs="宋体"/>
          <w:color w:val="auto"/>
          <w:kern w:val="0"/>
          <w:szCs w:val="21"/>
        </w:rPr>
        <mc:AlternateContent>
          <mc:Choice Requires="wps">
            <w:drawing>
              <wp:anchor distT="0" distB="0" distL="114300" distR="114300" simplePos="0" relativeHeight="251925504" behindDoc="0" locked="0" layoutInCell="1" allowOverlap="1">
                <wp:simplePos x="0" y="0"/>
                <wp:positionH relativeFrom="column">
                  <wp:posOffset>-133350</wp:posOffset>
                </wp:positionH>
                <wp:positionV relativeFrom="paragraph">
                  <wp:posOffset>6350</wp:posOffset>
                </wp:positionV>
                <wp:extent cx="914400" cy="692150"/>
                <wp:effectExtent l="0" t="0" r="0" b="0"/>
                <wp:wrapNone/>
                <wp:docPr id="113" name="文本框 113"/>
                <wp:cNvGraphicFramePr/>
                <a:graphic xmlns:a="http://schemas.openxmlformats.org/drawingml/2006/main">
                  <a:graphicData uri="http://schemas.microsoft.com/office/word/2010/wordprocessingShape">
                    <wps:wsp>
                      <wps:cNvSpPr txBox="1">
                        <a:spLocks noChangeArrowheads="1"/>
                      </wps:cNvSpPr>
                      <wps:spPr bwMode="auto">
                        <a:xfrm>
                          <a:off x="0" y="0"/>
                          <a:ext cx="914400" cy="692150"/>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清单缺项漏项的价款调整</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0.5pt;margin-top:0.5pt;height:54.5pt;width:72pt;z-index:251925504;mso-width-relative:page;mso-height-relative:page;" filled="f" stroked="f" coordsize="21600,21600" o:gfxdata="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CFk3jDUAAAACQEAAA8AAAAAAAAAAQAgAAAAIgAAAGRycy9kb3ducmV2&#10;LnhtbFBLAQIUABQAAAAIAIdO4kCAyaaWAAIAANgDAAAOAAAAAAAAAAEAIAAAACMBAABkcnMvZTJv&#10;RG9jLnhtbFBLBQYAAAAABgAGAFkBAACVBQ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清单缺项漏项的价款调整</w:t>
                      </w:r>
                    </w:p>
                  </w:txbxContent>
                </v:textbox>
              </v:shape>
            </w:pict>
          </mc:Fallback>
        </mc:AlternateContent>
      </w:r>
      <w:r>
        <w:rPr>
          <w:rFonts w:ascii="宋体" w:hAnsi="宋体" w:cs="宋体"/>
          <w:color w:val="auto"/>
          <w:kern w:val="0"/>
          <w:szCs w:val="21"/>
        </w:rPr>
        <mc:AlternateContent>
          <mc:Choice Requires="wps">
            <w:drawing>
              <wp:anchor distT="0" distB="0" distL="114300" distR="114300" simplePos="0" relativeHeight="251896832" behindDoc="0" locked="0" layoutInCell="1" allowOverlap="1">
                <wp:simplePos x="0" y="0"/>
                <wp:positionH relativeFrom="column">
                  <wp:posOffset>-133350</wp:posOffset>
                </wp:positionH>
                <wp:positionV relativeFrom="paragraph">
                  <wp:posOffset>6350</wp:posOffset>
                </wp:positionV>
                <wp:extent cx="914400" cy="693420"/>
                <wp:effectExtent l="0" t="0" r="0" b="0"/>
                <wp:wrapNone/>
                <wp:docPr id="112" name="文本框 112"/>
                <wp:cNvGraphicFramePr/>
                <a:graphic xmlns:a="http://schemas.openxmlformats.org/drawingml/2006/main">
                  <a:graphicData uri="http://schemas.microsoft.com/office/word/2010/wordprocessingShape">
                    <wps:wsp>
                      <wps:cNvSpPr txBox="1">
                        <a:spLocks noChangeArrowheads="1"/>
                      </wps:cNvSpPr>
                      <wps:spPr bwMode="auto">
                        <a:xfrm>
                          <a:off x="0" y="0"/>
                          <a:ext cx="914400" cy="693420"/>
                        </a:xfrm>
                        <a:prstGeom prst="rect">
                          <a:avLst/>
                        </a:prstGeom>
                        <a:noFill/>
                        <a:ln>
                          <a:noFill/>
                        </a:ln>
                        <a:effectLst/>
                      </wps:spPr>
                      <wps:txbx>
                        <w:txbxContent>
                          <w:p>
                            <w:pPr>
                              <w:rPr>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0.5pt;margin-top:0.5pt;height:54.6pt;width:72pt;z-index:251896832;mso-width-relative:page;mso-height-relative:page;" filled="f" stroked="f" coordsize="21600,21600" o:gfxdata="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0GJqRNQAAAAJAQAADwAAAAAAAAABACAAAAAiAAAAZHJzL2Rvd25yZXYu&#10;eG1sUEsBAhQAFAAAAAgAh07iQCg1LhT/AQAA2AMAAA4AAAAAAAAAAQAgAAAAIwEAAGRycy9lMm9E&#10;b2MueG1sUEsFBgAAAAAGAAYAWQEAAJQFAAAAAA==&#10;">
                <v:fill on="f" focussize="0,0"/>
                <v:stroke on="f"/>
                <v:imagedata o:title=""/>
                <o:lock v:ext="edit" aspectratio="f"/>
                <v:textbox>
                  <w:txbxContent>
                    <w:p>
                      <w:pPr>
                        <w:rPr>
                          <w:szCs w:val="18"/>
                        </w:rPr>
                      </w:pPr>
                    </w:p>
                  </w:txbxContent>
                </v:textbox>
              </v:shape>
            </w:pict>
          </mc:Fallback>
        </mc:AlternateContent>
      </w:r>
      <w:r>
        <w:rPr>
          <w:rFonts w:hint="eastAsia" w:ascii="宋体" w:hAnsi="宋体" w:cs="宋体"/>
          <w:color w:val="auto"/>
          <w:kern w:val="0"/>
          <w:szCs w:val="21"/>
        </w:rPr>
        <w:t>合同履行期间，出现工程量清单中分部分项工程缺项漏项事件的，合同双方当事人应调整合同价款。</w:t>
      </w:r>
    </w:p>
    <w:p>
      <w:pPr>
        <w:adjustRightInd w:val="0"/>
        <w:snapToGrid w:val="0"/>
        <w:spacing w:line="360" w:lineRule="auto"/>
        <w:rPr>
          <w:rFonts w:ascii="宋体" w:hAnsi="宋体" w:cs="宋体"/>
          <w:b/>
          <w:color w:val="auto"/>
          <w:kern w:val="0"/>
          <w:szCs w:val="21"/>
        </w:rPr>
      </w:pPr>
      <w:r>
        <w:rPr>
          <w:rFonts w:hint="eastAsia" w:ascii="宋体" w:hAnsi="宋体" w:cs="宋体"/>
          <w:b/>
          <w:color w:val="auto"/>
          <w:kern w:val="0"/>
          <w:szCs w:val="21"/>
        </w:rPr>
        <w:t xml:space="preserve">71.2   </w:t>
      </w:r>
      <w:r>
        <w:rPr>
          <w:rFonts w:hint="eastAsia" w:ascii="宋体" w:hAnsi="宋体" w:cs="宋体"/>
          <w:b/>
          <w:color w:val="auto"/>
          <w:kern w:val="0"/>
          <w:szCs w:val="21"/>
          <w:u w:val="dotted"/>
        </w:rPr>
        <w:t xml:space="preserve">                                                                               </w:t>
      </w:r>
    </w:p>
    <w:p>
      <w:pPr>
        <w:adjustRightInd w:val="0"/>
        <w:snapToGrid w:val="0"/>
        <w:spacing w:line="360" w:lineRule="auto"/>
        <w:ind w:left="1619" w:leftChars="771" w:firstLine="1"/>
        <w:rPr>
          <w:rFonts w:ascii="宋体" w:hAnsi="宋体" w:cs="宋体"/>
          <w:b/>
          <w:color w:val="auto"/>
          <w:kern w:val="0"/>
          <w:szCs w:val="21"/>
        </w:rPr>
      </w:pPr>
      <w:r>
        <w:rPr>
          <w:rFonts w:ascii="宋体" w:hAnsi="宋体" w:cs="宋体"/>
          <w:color w:val="auto"/>
          <w:kern w:val="0"/>
          <w:szCs w:val="21"/>
        </w:rPr>
        <mc:AlternateContent>
          <mc:Choice Requires="wps">
            <w:drawing>
              <wp:anchor distT="0" distB="0" distL="114300" distR="114300" simplePos="0" relativeHeight="251926528" behindDoc="0" locked="0" layoutInCell="1" allowOverlap="1">
                <wp:simplePos x="0" y="0"/>
                <wp:positionH relativeFrom="column">
                  <wp:posOffset>-66675</wp:posOffset>
                </wp:positionH>
                <wp:positionV relativeFrom="paragraph">
                  <wp:posOffset>8890</wp:posOffset>
                </wp:positionV>
                <wp:extent cx="914400" cy="692150"/>
                <wp:effectExtent l="0" t="0" r="0" b="0"/>
                <wp:wrapNone/>
                <wp:docPr id="111" name="文本框 111"/>
                <wp:cNvGraphicFramePr/>
                <a:graphic xmlns:a="http://schemas.openxmlformats.org/drawingml/2006/main">
                  <a:graphicData uri="http://schemas.microsoft.com/office/word/2010/wordprocessingShape">
                    <wps:wsp>
                      <wps:cNvSpPr txBox="1">
                        <a:spLocks noChangeArrowheads="1"/>
                      </wps:cNvSpPr>
                      <wps:spPr bwMode="auto">
                        <a:xfrm>
                          <a:off x="0" y="0"/>
                          <a:ext cx="914400" cy="692150"/>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调整分部分项工程费的方法</w:t>
                            </w:r>
                          </w:p>
                          <w:p>
                            <w:pPr>
                              <w:spacing w:line="240" w:lineRule="exact"/>
                              <w:rPr>
                                <w:sz w:val="18"/>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25pt;margin-top:0.7pt;height:54.5pt;width:72pt;z-index:251926528;mso-width-relative:page;mso-height-relative:page;" filled="f" stroked="f" coordsize="21600,21600" o:gfxdata="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DoijLdQAAAAJAQAADwAAAAAAAAABACAAAAAiAAAAZHJzL2Rvd25yZXYu&#10;eG1sUEsBAhQAFAAAAAgAh07iQIh2yZ//AQAA2AMAAA4AAAAAAAAAAQAgAAAAIwEAAGRycy9lMm9E&#10;b2MueG1sUEsFBgAAAAAGAAYAWQEAAJQFA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调整分部分项工程费的方法</w:t>
                      </w:r>
                    </w:p>
                    <w:p>
                      <w:pPr>
                        <w:spacing w:line="240" w:lineRule="exact"/>
                        <w:rPr>
                          <w:sz w:val="18"/>
                          <w:szCs w:val="18"/>
                        </w:rPr>
                      </w:pPr>
                    </w:p>
                  </w:txbxContent>
                </v:textbox>
              </v:shape>
            </w:pict>
          </mc:Fallback>
        </mc:AlternateContent>
      </w:r>
      <w:r>
        <w:rPr>
          <w:rFonts w:hint="eastAsia" w:ascii="宋体" w:hAnsi="宋体" w:cs="宋体"/>
          <w:color w:val="auto"/>
          <w:kern w:val="0"/>
          <w:szCs w:val="21"/>
        </w:rPr>
        <w:t>工程量清单中分部分项工程出现缺项漏项，造成新增工程量清单项目的，应按照第72.2款规定计算调整的分部分项工程费。</w:t>
      </w:r>
    </w:p>
    <w:p>
      <w:pPr>
        <w:tabs>
          <w:tab w:val="left" w:pos="540"/>
        </w:tabs>
        <w:adjustRightInd w:val="0"/>
        <w:snapToGrid w:val="0"/>
        <w:spacing w:beforeLines="100" w:line="360" w:lineRule="auto"/>
        <w:ind w:right="-238"/>
        <w:rPr>
          <w:rFonts w:ascii="宋体" w:hAnsi="宋体" w:cs="宋体"/>
          <w:color w:val="auto"/>
          <w:kern w:val="0"/>
          <w:szCs w:val="21"/>
        </w:rPr>
      </w:pPr>
      <w:r>
        <w:rPr>
          <w:rFonts w:hint="eastAsia" w:ascii="宋体" w:hAnsi="宋体" w:cs="宋体"/>
          <w:b/>
          <w:color w:val="auto"/>
          <w:kern w:val="0"/>
          <w:szCs w:val="21"/>
        </w:rPr>
        <w:t xml:space="preserve">71.3  </w:t>
      </w:r>
      <w:r>
        <w:rPr>
          <w:rFonts w:hint="eastAsia" w:ascii="宋体" w:hAnsi="宋体" w:cs="宋体"/>
          <w:color w:val="auto"/>
          <w:kern w:val="0"/>
          <w:szCs w:val="21"/>
        </w:rPr>
        <w:t xml:space="preserve"> </w:t>
      </w:r>
      <w:r>
        <w:rPr>
          <w:rFonts w:hint="eastAsia" w:ascii="宋体" w:hAnsi="宋体" w:cs="宋体"/>
          <w:color w:val="auto"/>
          <w:kern w:val="0"/>
          <w:szCs w:val="21"/>
          <w:u w:val="dotted"/>
        </w:rPr>
        <w:t xml:space="preserve">                                                                               </w:t>
      </w:r>
    </w:p>
    <w:p>
      <w:pPr>
        <w:adjustRightInd w:val="0"/>
        <w:snapToGrid w:val="0"/>
        <w:spacing w:line="360" w:lineRule="auto"/>
        <w:ind w:left="1619" w:leftChars="771" w:firstLine="2"/>
        <w:rPr>
          <w:rFonts w:ascii="宋体" w:hAnsi="宋体" w:cs="宋体"/>
          <w:color w:val="auto"/>
          <w:kern w:val="0"/>
          <w:szCs w:val="21"/>
        </w:rPr>
      </w:pPr>
      <w:r>
        <w:rPr>
          <w:rFonts w:ascii="宋体" w:hAnsi="宋体" w:cs="宋体"/>
          <w:color w:val="auto"/>
          <w:kern w:val="0"/>
          <w:szCs w:val="21"/>
        </w:rPr>
        <mc:AlternateContent>
          <mc:Choice Requires="wps">
            <w:drawing>
              <wp:anchor distT="0" distB="0" distL="114300" distR="114300" simplePos="0" relativeHeight="251927552" behindDoc="0" locked="0" layoutInCell="1" allowOverlap="1">
                <wp:simplePos x="0" y="0"/>
                <wp:positionH relativeFrom="column">
                  <wp:posOffset>-133350</wp:posOffset>
                </wp:positionH>
                <wp:positionV relativeFrom="paragraph">
                  <wp:posOffset>5080</wp:posOffset>
                </wp:positionV>
                <wp:extent cx="914400" cy="692150"/>
                <wp:effectExtent l="0" t="0" r="0" b="0"/>
                <wp:wrapNone/>
                <wp:docPr id="110" name="文本框 110"/>
                <wp:cNvGraphicFramePr/>
                <a:graphic xmlns:a="http://schemas.openxmlformats.org/drawingml/2006/main">
                  <a:graphicData uri="http://schemas.microsoft.com/office/word/2010/wordprocessingShape">
                    <wps:wsp>
                      <wps:cNvSpPr txBox="1">
                        <a:spLocks noChangeArrowheads="1"/>
                      </wps:cNvSpPr>
                      <wps:spPr bwMode="auto">
                        <a:xfrm>
                          <a:off x="0" y="0"/>
                          <a:ext cx="914400" cy="692150"/>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调整措施项目费的方法</w:t>
                            </w:r>
                          </w:p>
                          <w:p>
                            <w:pPr>
                              <w:spacing w:line="240" w:lineRule="exact"/>
                              <w:rPr>
                                <w:sz w:val="18"/>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0.5pt;margin-top:0.4pt;height:54.5pt;width:72pt;z-index:251927552;mso-width-relative:page;mso-height-relative:page;" filled="f" stroked="f" coordsize="21600,21600" o:gfxdata="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NffHDnVAAAACAEAAA8AAAAAAAAAAQAgAAAAIgAAAGRycy9kb3ducmV2&#10;LnhtbFBLAQIUABQAAAAIAIdO4kAMqX6b/wEAANgDAAAOAAAAAAAAAAEAIAAAACQBAABkcnMvZTJv&#10;RG9jLnhtbFBLBQYAAAAABgAGAFkBAACVBQ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调整措施项目费的方法</w:t>
                      </w:r>
                    </w:p>
                    <w:p>
                      <w:pPr>
                        <w:spacing w:line="240" w:lineRule="exact"/>
                        <w:rPr>
                          <w:sz w:val="18"/>
                          <w:szCs w:val="18"/>
                        </w:rPr>
                      </w:pPr>
                    </w:p>
                  </w:txbxContent>
                </v:textbox>
              </v:shape>
            </w:pict>
          </mc:Fallback>
        </mc:AlternateContent>
      </w:r>
      <w:r>
        <w:rPr>
          <w:rFonts w:hint="eastAsia" w:ascii="宋体" w:hAnsi="宋体" w:cs="宋体"/>
          <w:color w:val="auto"/>
          <w:kern w:val="0"/>
          <w:szCs w:val="21"/>
        </w:rPr>
        <w:t>工程量清单中分部分项工程出现缺项漏项，引起增加措施项目的，应按照第72.3款规定在提交的实施方案被批准后计算调整的措施项目费。</w:t>
      </w:r>
    </w:p>
    <w:p>
      <w:pPr>
        <w:adjustRightInd w:val="0"/>
        <w:snapToGrid w:val="0"/>
        <w:spacing w:line="380" w:lineRule="exact"/>
        <w:rPr>
          <w:rFonts w:ascii="宋体" w:hAnsi="宋体" w:cs="宋体"/>
          <w:b/>
          <w:color w:val="auto"/>
          <w:kern w:val="0"/>
          <w:szCs w:val="21"/>
          <w:u w:val="single"/>
        </w:rPr>
      </w:pPr>
      <w:r>
        <w:rPr>
          <w:rFonts w:hint="eastAsia" w:ascii="宋体" w:hAnsi="宋体" w:cs="宋体"/>
          <w:b/>
          <w:color w:val="auto"/>
          <w:kern w:val="0"/>
          <w:szCs w:val="21"/>
          <w:u w:val="single"/>
        </w:rPr>
        <w:t xml:space="preserve">                                                                                 </w:t>
      </w:r>
    </w:p>
    <w:p>
      <w:pPr>
        <w:tabs>
          <w:tab w:val="left" w:pos="540"/>
        </w:tabs>
        <w:adjustRightInd w:val="0"/>
        <w:snapToGrid w:val="0"/>
        <w:spacing w:beforeLines="100"/>
        <w:ind w:right="-238" w:firstLine="480"/>
        <w:rPr>
          <w:rFonts w:ascii="宋体" w:hAnsi="宋体" w:cs="宋体"/>
          <w:b/>
          <w:color w:val="auto"/>
          <w:kern w:val="0"/>
          <w:szCs w:val="21"/>
          <w:u w:val="single"/>
        </w:rPr>
      </w:pPr>
    </w:p>
    <w:p>
      <w:pPr>
        <w:tabs>
          <w:tab w:val="left" w:pos="540"/>
        </w:tabs>
        <w:adjustRightInd w:val="0"/>
        <w:snapToGrid w:val="0"/>
        <w:spacing w:beforeLines="100" w:line="360" w:lineRule="auto"/>
        <w:ind w:right="-238"/>
        <w:rPr>
          <w:rFonts w:ascii="宋体" w:hAnsi="宋体" w:cs="宋体"/>
          <w:b/>
          <w:color w:val="auto"/>
          <w:kern w:val="0"/>
          <w:szCs w:val="21"/>
        </w:rPr>
      </w:pPr>
      <w:r>
        <w:rPr>
          <w:rFonts w:hint="eastAsia" w:ascii="宋体" w:hAnsi="宋体" w:cs="宋体"/>
          <w:b/>
          <w:color w:val="auto"/>
          <w:kern w:val="0"/>
          <w:szCs w:val="21"/>
        </w:rPr>
        <w:t>72  工程变更事件</w:t>
      </w:r>
    </w:p>
    <w:p>
      <w:pPr>
        <w:adjustRightInd w:val="0"/>
        <w:snapToGrid w:val="0"/>
        <w:spacing w:line="360" w:lineRule="auto"/>
        <w:rPr>
          <w:rFonts w:ascii="宋体" w:hAnsi="宋体" w:cs="宋体"/>
          <w:b/>
          <w:color w:val="auto"/>
          <w:kern w:val="0"/>
          <w:szCs w:val="21"/>
        </w:rPr>
      </w:pPr>
      <w:r>
        <w:rPr>
          <w:rFonts w:ascii="宋体" w:hAnsi="宋体" w:cs="宋体"/>
          <w:color w:val="auto"/>
          <w:kern w:val="0"/>
          <w:szCs w:val="21"/>
        </w:rPr>
        <mc:AlternateContent>
          <mc:Choice Requires="wps">
            <w:drawing>
              <wp:anchor distT="0" distB="0" distL="114300" distR="114300" simplePos="0" relativeHeight="251992064" behindDoc="0" locked="0" layoutInCell="1" allowOverlap="1">
                <wp:simplePos x="0" y="0"/>
                <wp:positionH relativeFrom="column">
                  <wp:posOffset>-114300</wp:posOffset>
                </wp:positionH>
                <wp:positionV relativeFrom="paragraph">
                  <wp:posOffset>185420</wp:posOffset>
                </wp:positionV>
                <wp:extent cx="1028700" cy="396240"/>
                <wp:effectExtent l="0" t="0" r="0" b="0"/>
                <wp:wrapNone/>
                <wp:docPr id="109" name="文本框 109"/>
                <wp:cNvGraphicFramePr/>
                <a:graphic xmlns:a="http://schemas.openxmlformats.org/drawingml/2006/main">
                  <a:graphicData uri="http://schemas.microsoft.com/office/word/2010/wordprocessingShape">
                    <wps:wsp>
                      <wps:cNvSpPr txBox="1">
                        <a:spLocks noChangeArrowheads="1"/>
                      </wps:cNvSpPr>
                      <wps:spPr bwMode="auto">
                        <a:xfrm>
                          <a:off x="0" y="0"/>
                          <a:ext cx="1028700" cy="396240"/>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工程变更的价</w:t>
                            </w:r>
                          </w:p>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款调整</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4.6pt;height:31.2pt;width:81pt;z-index:251992064;mso-width-relative:page;mso-height-relative:page;" filled="f" stroked="f" coordsize="21600,21600" o:gfxdata="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3K4/StcAAAAJAQAADwAAAAAAAAABACAAAAAiAAAAZHJzL2Rv&#10;d25yZXYueG1sUEsBAhQAFAAAAAgAh07iQCxsJ3QCAgAA2QMAAA4AAAAAAAAAAQAgAAAAJgEAAGRy&#10;cy9lMm9Eb2MueG1sUEsFBgAAAAAGAAYAWQEAAJoFA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工程变更的价</w:t>
                      </w:r>
                    </w:p>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款调整</w:t>
                      </w:r>
                    </w:p>
                  </w:txbxContent>
                </v:textbox>
              </v:shape>
            </w:pict>
          </mc:Fallback>
        </mc:AlternateContent>
      </w:r>
      <w:r>
        <w:rPr>
          <w:rFonts w:hint="eastAsia" w:ascii="宋体" w:hAnsi="宋体" w:cs="宋体"/>
          <w:b/>
          <w:color w:val="auto"/>
          <w:kern w:val="0"/>
          <w:szCs w:val="21"/>
        </w:rPr>
        <w:t xml:space="preserve">72.1      </w:t>
      </w:r>
    </w:p>
    <w:p>
      <w:pPr>
        <w:adjustRightInd w:val="0"/>
        <w:snapToGrid w:val="0"/>
        <w:spacing w:line="360" w:lineRule="auto"/>
        <w:ind w:left="1619" w:leftChars="771"/>
        <w:rPr>
          <w:rFonts w:ascii="宋体" w:hAnsi="宋体" w:cs="宋体"/>
          <w:color w:val="auto"/>
          <w:kern w:val="0"/>
          <w:szCs w:val="21"/>
        </w:rPr>
      </w:pPr>
      <w:r>
        <w:rPr>
          <w:rFonts w:hint="eastAsia" w:ascii="宋体" w:hAnsi="宋体" w:cs="宋体"/>
          <w:color w:val="auto"/>
          <w:kern w:val="0"/>
          <w:szCs w:val="21"/>
        </w:rPr>
        <w:t>合同履行期间，出现第56条工程变更事件的，合同双方当事人应调整合同价款。</w:t>
      </w:r>
    </w:p>
    <w:p>
      <w:pPr>
        <w:adjustRightInd w:val="0"/>
        <w:snapToGrid w:val="0"/>
        <w:spacing w:line="360" w:lineRule="auto"/>
        <w:rPr>
          <w:rFonts w:ascii="宋体" w:hAnsi="宋体" w:cs="宋体"/>
          <w:b/>
          <w:color w:val="auto"/>
          <w:kern w:val="0"/>
          <w:szCs w:val="21"/>
        </w:rPr>
      </w:pPr>
      <w:r>
        <w:rPr>
          <w:rFonts w:hint="eastAsia" w:ascii="宋体" w:hAnsi="宋体" w:cs="宋体"/>
          <w:b/>
          <w:color w:val="auto"/>
          <w:kern w:val="0"/>
          <w:szCs w:val="21"/>
        </w:rPr>
        <w:t xml:space="preserve">72.2   </w:t>
      </w:r>
      <w:r>
        <w:rPr>
          <w:rFonts w:hint="eastAsia" w:ascii="宋体" w:hAnsi="宋体" w:cs="宋体"/>
          <w:b/>
          <w:color w:val="auto"/>
          <w:kern w:val="0"/>
          <w:szCs w:val="21"/>
          <w:u w:val="dotted"/>
        </w:rPr>
        <w:t xml:space="preserve">                                                                               </w:t>
      </w:r>
      <w:r>
        <w:rPr>
          <w:rFonts w:hint="eastAsia" w:ascii="宋体" w:hAnsi="宋体" w:cs="宋体"/>
          <w:b/>
          <w:color w:val="auto"/>
          <w:kern w:val="0"/>
          <w:szCs w:val="21"/>
        </w:rPr>
        <w:t xml:space="preserve">    </w:t>
      </w:r>
    </w:p>
    <w:p>
      <w:pPr>
        <w:adjustRightInd w:val="0"/>
        <w:snapToGrid w:val="0"/>
        <w:spacing w:line="360" w:lineRule="auto"/>
        <w:ind w:left="1620"/>
        <w:rPr>
          <w:rFonts w:ascii="宋体" w:hAnsi="宋体" w:cs="宋体"/>
          <w:color w:val="auto"/>
          <w:kern w:val="0"/>
          <w:szCs w:val="21"/>
        </w:rPr>
      </w:pPr>
      <w:r>
        <w:rPr>
          <w:rFonts w:ascii="宋体" w:hAnsi="宋体" w:cs="宋体"/>
          <w:color w:val="auto"/>
          <w:kern w:val="0"/>
          <w:szCs w:val="21"/>
        </w:rPr>
        <mc:AlternateContent>
          <mc:Choice Requires="wps">
            <w:drawing>
              <wp:anchor distT="0" distB="0" distL="114300" distR="114300" simplePos="0" relativeHeight="251994112" behindDoc="0" locked="0" layoutInCell="1" allowOverlap="1">
                <wp:simplePos x="0" y="0"/>
                <wp:positionH relativeFrom="column">
                  <wp:posOffset>-114300</wp:posOffset>
                </wp:positionH>
                <wp:positionV relativeFrom="paragraph">
                  <wp:posOffset>6350</wp:posOffset>
                </wp:positionV>
                <wp:extent cx="914400" cy="593090"/>
                <wp:effectExtent l="0" t="0" r="0" b="0"/>
                <wp:wrapNone/>
                <wp:docPr id="108" name="文本框 108"/>
                <wp:cNvGraphicFramePr/>
                <a:graphic xmlns:a="http://schemas.openxmlformats.org/drawingml/2006/main">
                  <a:graphicData uri="http://schemas.microsoft.com/office/word/2010/wordprocessingShape">
                    <wps:wsp>
                      <wps:cNvSpPr txBox="1">
                        <a:spLocks noChangeArrowheads="1"/>
                      </wps:cNvSpPr>
                      <wps:spPr bwMode="auto">
                        <a:xfrm>
                          <a:off x="0" y="0"/>
                          <a:ext cx="914400" cy="593090"/>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调整分部分项工程费的方法</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5pt;height:46.7pt;width:72pt;z-index:251994112;mso-width-relative:page;mso-height-relative:page;" filled="f" stroked="f" coordsize="21600,21600" o:gfxdata="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Hxjj/zVAAAACAEAAA8AAAAAAAAAAQAgAAAAIgAAAGRycy9kb3ducmV2&#10;LnhtbFBLAQIUABQAAAAIAIdO4kDBigXv/wEAANgDAAAOAAAAAAAAAAEAIAAAACQBAABkcnMvZTJv&#10;RG9jLnhtbFBLBQYAAAAABgAGAFkBAACVBQ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调整分部分项工程费的方法</w:t>
                      </w:r>
                    </w:p>
                  </w:txbxContent>
                </v:textbox>
              </v:shape>
            </w:pict>
          </mc:Fallback>
        </mc:AlternateContent>
      </w:r>
      <w:r>
        <w:rPr>
          <w:rFonts w:hint="eastAsia" w:ascii="宋体" w:hAnsi="宋体" w:cs="宋体"/>
          <w:color w:val="auto"/>
          <w:kern w:val="0"/>
          <w:szCs w:val="21"/>
        </w:rPr>
        <w:t>工程变更引起分部分项工程项目发生变化，属于第73.2款规定情况的，按照其规定调整；否则按照下列规定调整分部分项工程费：</w:t>
      </w:r>
    </w:p>
    <w:p>
      <w:pPr>
        <w:tabs>
          <w:tab w:val="left" w:pos="1380"/>
          <w:tab w:val="left" w:pos="2160"/>
        </w:tabs>
        <w:adjustRightInd w:val="0"/>
        <w:snapToGrid w:val="0"/>
        <w:spacing w:line="360" w:lineRule="auto"/>
        <w:ind w:left="1380" w:leftChars="657" w:firstLine="210" w:firstLineChars="100"/>
        <w:rPr>
          <w:rFonts w:ascii="宋体" w:hAnsi="宋体" w:cs="宋体"/>
          <w:color w:val="auto"/>
          <w:kern w:val="0"/>
          <w:szCs w:val="21"/>
        </w:rPr>
      </w:pPr>
      <w:r>
        <w:rPr>
          <w:rFonts w:hint="eastAsia" w:ascii="宋体" w:hAnsi="宋体" w:cs="宋体"/>
          <w:color w:val="auto"/>
          <w:kern w:val="0"/>
          <w:szCs w:val="21"/>
        </w:rPr>
        <w:t>(1)合同中有适用于变更工程项目的，按照该项目的单价或合价调整;</w:t>
      </w:r>
    </w:p>
    <w:p>
      <w:pPr>
        <w:tabs>
          <w:tab w:val="left" w:pos="1620"/>
          <w:tab w:val="left" w:pos="2160"/>
        </w:tabs>
        <w:adjustRightInd w:val="0"/>
        <w:snapToGrid w:val="0"/>
        <w:spacing w:line="360" w:lineRule="auto"/>
        <w:ind w:left="1619" w:leftChars="771"/>
        <w:rPr>
          <w:rFonts w:ascii="宋体" w:hAnsi="宋体" w:cs="宋体"/>
          <w:color w:val="auto"/>
          <w:kern w:val="0"/>
          <w:szCs w:val="21"/>
        </w:rPr>
      </w:pPr>
      <w:r>
        <w:rPr>
          <w:rFonts w:hint="eastAsia" w:ascii="宋体" w:hAnsi="宋体" w:cs="宋体"/>
          <w:color w:val="auto"/>
          <w:kern w:val="0"/>
          <w:szCs w:val="21"/>
        </w:rPr>
        <w:t>(2)合同中没有适用、只有类似于变更工程项目的，可在合理范围内参照类似项目的单价或合价调整;</w:t>
      </w:r>
    </w:p>
    <w:p>
      <w:pPr>
        <w:tabs>
          <w:tab w:val="left" w:pos="1380"/>
          <w:tab w:val="left" w:pos="2160"/>
        </w:tabs>
        <w:adjustRightInd w:val="0"/>
        <w:snapToGrid w:val="0"/>
        <w:spacing w:line="360" w:lineRule="auto"/>
        <w:ind w:left="1619"/>
        <w:rPr>
          <w:rFonts w:ascii="宋体" w:hAnsi="宋体" w:cs="宋体"/>
          <w:color w:val="auto"/>
          <w:kern w:val="0"/>
          <w:szCs w:val="21"/>
        </w:rPr>
      </w:pPr>
      <w:r>
        <w:rPr>
          <w:rFonts w:hint="eastAsia" w:ascii="宋体" w:hAnsi="宋体" w:cs="宋体"/>
          <w:color w:val="auto"/>
          <w:kern w:val="0"/>
          <w:szCs w:val="21"/>
        </w:rPr>
        <w:t>(3)合同中没有适用也没有类似于变更工程项目的，根据变更工程资料、计量规则和计价办法、施工相应时期工程造价管理机构发布的价格信息和承包人报价浮动率提出变更工程项目的单价或合价，经合同双方当事人确认后调整;</w:t>
      </w:r>
    </w:p>
    <w:p>
      <w:pPr>
        <w:adjustRightInd w:val="0"/>
        <w:snapToGrid w:val="0"/>
        <w:spacing w:line="360" w:lineRule="auto"/>
        <w:ind w:left="1619" w:leftChars="771"/>
        <w:rPr>
          <w:rFonts w:ascii="宋体" w:hAnsi="宋体" w:cs="宋体"/>
          <w:color w:val="auto"/>
          <w:kern w:val="0"/>
          <w:szCs w:val="21"/>
        </w:rPr>
      </w:pPr>
      <w:r>
        <w:rPr>
          <w:rFonts w:hint="eastAsia" w:ascii="宋体" w:hAnsi="宋体" w:cs="宋体"/>
          <w:color w:val="auto"/>
          <w:kern w:val="0"/>
          <w:szCs w:val="21"/>
        </w:rPr>
        <w:t>其中，招标工程：承包人报价浮动率L=（1—中标价格/招标控制价）×100%；</w:t>
      </w:r>
    </w:p>
    <w:p>
      <w:pPr>
        <w:adjustRightInd w:val="0"/>
        <w:snapToGrid w:val="0"/>
        <w:spacing w:line="360" w:lineRule="auto"/>
        <w:ind w:firstLine="1890" w:firstLineChars="900"/>
        <w:rPr>
          <w:rFonts w:ascii="宋体" w:hAnsi="宋体" w:cs="宋体"/>
          <w:color w:val="auto"/>
          <w:kern w:val="0"/>
          <w:szCs w:val="21"/>
        </w:rPr>
      </w:pPr>
      <w:r>
        <w:rPr>
          <w:rFonts w:hint="eastAsia" w:ascii="宋体" w:hAnsi="宋体" w:cs="宋体"/>
          <w:color w:val="auto"/>
          <w:kern w:val="0"/>
          <w:szCs w:val="21"/>
        </w:rPr>
        <w:t>非招标工程：承包人报价浮动率L=（1—报价值/施工图预算）×100%。</w:t>
      </w:r>
    </w:p>
    <w:p>
      <w:pPr>
        <w:adjustRightInd w:val="0"/>
        <w:snapToGrid w:val="0"/>
        <w:spacing w:line="360" w:lineRule="auto"/>
        <w:ind w:left="1619" w:leftChars="771" w:firstLine="1"/>
        <w:rPr>
          <w:rFonts w:ascii="宋体" w:hAnsi="宋体" w:cs="宋体"/>
          <w:color w:val="auto"/>
          <w:kern w:val="0"/>
          <w:szCs w:val="21"/>
        </w:rPr>
      </w:pPr>
      <w:r>
        <w:rPr>
          <w:rFonts w:hint="eastAsia" w:ascii="宋体" w:hAnsi="宋体" w:cs="宋体"/>
          <w:color w:val="auto"/>
          <w:kern w:val="0"/>
          <w:szCs w:val="21"/>
        </w:rPr>
        <w:t>式中：中标价格、招标控制价或报价值、施工图预算，均不含安全文明施工费。</w:t>
      </w:r>
    </w:p>
    <w:p>
      <w:pPr>
        <w:adjustRightInd w:val="0"/>
        <w:snapToGrid w:val="0"/>
        <w:spacing w:line="360" w:lineRule="auto"/>
        <w:ind w:left="1619" w:leftChars="771"/>
        <w:rPr>
          <w:rFonts w:ascii="宋体" w:hAnsi="宋体" w:cs="宋体"/>
          <w:color w:val="auto"/>
          <w:kern w:val="0"/>
          <w:szCs w:val="21"/>
        </w:rPr>
      </w:pPr>
      <w:r>
        <w:rPr>
          <w:rFonts w:hint="eastAsia" w:ascii="宋体" w:hAnsi="宋体" w:cs="宋体"/>
          <w:color w:val="auto"/>
          <w:kern w:val="0"/>
          <w:szCs w:val="21"/>
        </w:rPr>
        <w:t>(4) 合同中没有适用也没有类似于变更工程项目，且施工相应时期工程造价管理机构发布的价格信息缺项的，根据变更工程资料、计量规则、计价办法和通过市场调查等的有合法依据的市场价格提出变更工程项目的单价或合价，经合同双方当事人确认后调整。</w:t>
      </w:r>
    </w:p>
    <w:p>
      <w:pPr>
        <w:adjustRightInd w:val="0"/>
        <w:snapToGrid w:val="0"/>
        <w:spacing w:line="360" w:lineRule="auto"/>
        <w:rPr>
          <w:rFonts w:ascii="宋体" w:hAnsi="宋体" w:cs="宋体"/>
          <w:b/>
          <w:color w:val="auto"/>
          <w:kern w:val="0"/>
          <w:szCs w:val="21"/>
        </w:rPr>
      </w:pPr>
      <w:r>
        <w:rPr>
          <w:rFonts w:hint="eastAsia" w:ascii="宋体" w:hAnsi="宋体" w:cs="宋体"/>
          <w:b/>
          <w:color w:val="auto"/>
          <w:kern w:val="0"/>
          <w:szCs w:val="21"/>
        </w:rPr>
        <w:t xml:space="preserve">72.3  </w:t>
      </w:r>
      <w:r>
        <w:rPr>
          <w:rFonts w:hint="eastAsia" w:ascii="宋体" w:hAnsi="宋体" w:cs="宋体"/>
          <w:b/>
          <w:color w:val="auto"/>
          <w:kern w:val="0"/>
          <w:szCs w:val="21"/>
          <w:u w:val="dotted"/>
        </w:rPr>
        <w:t xml:space="preserve">                                                                                                       </w:t>
      </w:r>
    </w:p>
    <w:p>
      <w:pPr>
        <w:adjustRightInd w:val="0"/>
        <w:snapToGrid w:val="0"/>
        <w:spacing w:line="360" w:lineRule="auto"/>
        <w:ind w:left="1619" w:leftChars="771"/>
        <w:rPr>
          <w:rFonts w:ascii="宋体" w:hAnsi="宋体" w:cs="宋体"/>
          <w:color w:val="auto"/>
          <w:kern w:val="0"/>
          <w:szCs w:val="21"/>
        </w:rPr>
      </w:pPr>
      <w:r>
        <w:rPr>
          <w:rFonts w:ascii="宋体" w:hAnsi="宋体" w:cs="宋体"/>
          <w:color w:val="auto"/>
          <w:kern w:val="0"/>
          <w:szCs w:val="21"/>
        </w:rPr>
        <mc:AlternateContent>
          <mc:Choice Requires="wps">
            <w:drawing>
              <wp:anchor distT="0" distB="0" distL="114300" distR="114300" simplePos="0" relativeHeight="251995136" behindDoc="0" locked="0" layoutInCell="1" allowOverlap="1">
                <wp:simplePos x="0" y="0"/>
                <wp:positionH relativeFrom="column">
                  <wp:posOffset>-114300</wp:posOffset>
                </wp:positionH>
                <wp:positionV relativeFrom="paragraph">
                  <wp:posOffset>45720</wp:posOffset>
                </wp:positionV>
                <wp:extent cx="914400" cy="396240"/>
                <wp:effectExtent l="0" t="0" r="0" b="0"/>
                <wp:wrapNone/>
                <wp:docPr id="107" name="文本框 107"/>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调整措施项目费的方法</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6pt;height:31.2pt;width:72pt;z-index:251995136;mso-width-relative:page;mso-height-relative:page;" filled="f" stroked="f" coordsize="21600,21600" o:gfxdata="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lPS031QAAAAgBAAAPAAAAAAAAAAEAIAAAACIAAABkcnMvZG93bnJl&#10;di54bWxQSwECFAAUAAAACACHTuJAEED2DAACAADYAwAADgAAAAAAAAABACAAAAAkAQAAZHJzL2Uy&#10;b0RvYy54bWxQSwUGAAAAAAYABgBZAQAAlgU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调整措施项目费的方法</w:t>
                      </w:r>
                    </w:p>
                  </w:txbxContent>
                </v:textbox>
              </v:shape>
            </w:pict>
          </mc:Fallback>
        </mc:AlternateContent>
      </w:r>
      <w:r>
        <w:rPr>
          <w:rFonts w:hint="eastAsia" w:ascii="宋体" w:hAnsi="宋体" w:cs="宋体"/>
          <w:color w:val="auto"/>
          <w:kern w:val="0"/>
          <w:szCs w:val="21"/>
        </w:rPr>
        <w:t>工程变更引起措施项目发生变化的，合同双方当事人不利一方当事人有权提出调整措施项目费。提出调整措施项目费的，应事先将拟实施的方案提交另一方当事人确认，并详细说明与原方案措施项目相比的变化情况。拟实施的方案，经合同双方当事人确认后执行。该情况下，应按照下列规定调整措施项目费：</w:t>
      </w:r>
    </w:p>
    <w:p>
      <w:pPr>
        <w:adjustRightInd w:val="0"/>
        <w:snapToGrid w:val="0"/>
        <w:spacing w:line="360" w:lineRule="auto"/>
        <w:ind w:left="1619" w:leftChars="771"/>
        <w:rPr>
          <w:rFonts w:ascii="宋体" w:hAnsi="宋体" w:cs="宋体"/>
          <w:color w:val="auto"/>
          <w:kern w:val="0"/>
          <w:szCs w:val="21"/>
        </w:rPr>
      </w:pPr>
      <w:r>
        <w:rPr>
          <w:rFonts w:hint="eastAsia" w:ascii="宋体" w:hAnsi="宋体" w:cs="宋体"/>
          <w:color w:val="auto"/>
          <w:kern w:val="0"/>
          <w:szCs w:val="21"/>
        </w:rPr>
        <w:t>(1)安全文明施工费，按照实际发生变化的措施项目调整，不得浮动。</w:t>
      </w:r>
    </w:p>
    <w:p>
      <w:pPr>
        <w:adjustRightInd w:val="0"/>
        <w:snapToGrid w:val="0"/>
        <w:spacing w:line="360" w:lineRule="auto"/>
        <w:ind w:left="1630" w:leftChars="776"/>
        <w:rPr>
          <w:rFonts w:ascii="宋体" w:hAnsi="宋体" w:cs="宋体"/>
          <w:color w:val="auto"/>
          <w:kern w:val="0"/>
          <w:szCs w:val="21"/>
        </w:rPr>
      </w:pPr>
      <w:r>
        <w:rPr>
          <w:rFonts w:hint="eastAsia" w:ascii="宋体" w:hAnsi="宋体" w:cs="宋体"/>
          <w:color w:val="auto"/>
          <w:kern w:val="0"/>
          <w:szCs w:val="21"/>
        </w:rPr>
        <w:t>(2)凡可计算工程量的措施项目费，按照实际发生变化的措施项目的工程量乘以第72.2款规定的单价或合价调整。</w:t>
      </w:r>
    </w:p>
    <w:p>
      <w:pPr>
        <w:adjustRightInd w:val="0"/>
        <w:snapToGrid w:val="0"/>
        <w:spacing w:line="360" w:lineRule="auto"/>
        <w:ind w:left="1619" w:leftChars="771"/>
        <w:rPr>
          <w:rFonts w:ascii="宋体" w:hAnsi="宋体" w:cs="宋体"/>
          <w:color w:val="auto"/>
          <w:kern w:val="0"/>
          <w:szCs w:val="21"/>
        </w:rPr>
      </w:pPr>
      <w:r>
        <w:rPr>
          <w:rFonts w:hint="eastAsia" w:ascii="宋体" w:hAnsi="宋体" w:cs="宋体"/>
          <w:color w:val="auto"/>
          <w:kern w:val="0"/>
          <w:szCs w:val="21"/>
        </w:rPr>
        <w:t>(3)凡按系数计算的措施项目费，除本款第(1)点情形外，按照实际发生变化的措施项目调整，但应考虑承包人报价浮动因素，即调整金额按照实际调整金额乘以第72.2款规定的承包人报价浮动率计算。</w:t>
      </w:r>
    </w:p>
    <w:p>
      <w:pPr>
        <w:adjustRightInd w:val="0"/>
        <w:snapToGrid w:val="0"/>
        <w:spacing w:line="360" w:lineRule="auto"/>
        <w:ind w:left="1619" w:leftChars="771"/>
        <w:rPr>
          <w:rFonts w:ascii="宋体" w:hAnsi="宋体" w:cs="宋体"/>
          <w:color w:val="auto"/>
          <w:kern w:val="0"/>
          <w:szCs w:val="21"/>
        </w:rPr>
      </w:pPr>
      <w:r>
        <w:rPr>
          <w:rFonts w:hint="eastAsia" w:ascii="宋体" w:hAnsi="宋体" w:cs="宋体"/>
          <w:color w:val="auto"/>
          <w:kern w:val="0"/>
          <w:szCs w:val="21"/>
        </w:rPr>
        <w:t>如果不利一方当事人未按本款规定事先将拟实施的方案提交给另一方当事人，则认为工程变更不引起措施项目费的调整或不利一方当事人放弃调整措施项目费的权利。</w:t>
      </w:r>
    </w:p>
    <w:p>
      <w:pPr>
        <w:adjustRightInd w:val="0"/>
        <w:snapToGrid w:val="0"/>
        <w:spacing w:line="360" w:lineRule="auto"/>
        <w:rPr>
          <w:rFonts w:ascii="宋体" w:hAnsi="宋体" w:cs="宋体"/>
          <w:b/>
          <w:color w:val="auto"/>
          <w:kern w:val="0"/>
          <w:szCs w:val="21"/>
        </w:rPr>
      </w:pPr>
      <w:r>
        <w:rPr>
          <w:rFonts w:hint="eastAsia" w:ascii="宋体" w:hAnsi="宋体" w:cs="宋体"/>
          <w:b/>
          <w:color w:val="auto"/>
          <w:kern w:val="0"/>
          <w:szCs w:val="21"/>
        </w:rPr>
        <w:t xml:space="preserve">72.4  </w:t>
      </w:r>
      <w:r>
        <w:rPr>
          <w:rFonts w:hint="eastAsia" w:ascii="宋体" w:hAnsi="宋体" w:cs="宋体"/>
          <w:b/>
          <w:color w:val="auto"/>
          <w:kern w:val="0"/>
          <w:szCs w:val="21"/>
          <w:u w:val="dotted"/>
        </w:rPr>
        <w:t xml:space="preserve">                                                                                                       </w:t>
      </w:r>
    </w:p>
    <w:p>
      <w:pPr>
        <w:spacing w:line="360" w:lineRule="auto"/>
        <w:ind w:left="1676" w:leftChars="798"/>
        <w:rPr>
          <w:rFonts w:ascii="宋体" w:hAnsi="宋体" w:cs="宋体"/>
          <w:color w:val="auto"/>
          <w:szCs w:val="21"/>
        </w:rPr>
      </w:pPr>
      <w:r>
        <w:rPr>
          <w:rFonts w:ascii="宋体" w:hAnsi="宋体" w:cs="宋体"/>
          <w:color w:val="auto"/>
          <w:szCs w:val="21"/>
        </w:rPr>
        <mc:AlternateContent>
          <mc:Choice Requires="wps">
            <w:drawing>
              <wp:anchor distT="0" distB="0" distL="114300" distR="114300" simplePos="0" relativeHeight="251996160" behindDoc="0" locked="0" layoutInCell="1" allowOverlap="1">
                <wp:simplePos x="0" y="0"/>
                <wp:positionH relativeFrom="column">
                  <wp:posOffset>-114300</wp:posOffset>
                </wp:positionH>
                <wp:positionV relativeFrom="paragraph">
                  <wp:posOffset>13335</wp:posOffset>
                </wp:positionV>
                <wp:extent cx="1028700" cy="766445"/>
                <wp:effectExtent l="0" t="0" r="0" b="0"/>
                <wp:wrapNone/>
                <wp:docPr id="106" name="文本框 106"/>
                <wp:cNvGraphicFramePr/>
                <a:graphic xmlns:a="http://schemas.openxmlformats.org/drawingml/2006/main">
                  <a:graphicData uri="http://schemas.microsoft.com/office/word/2010/wordprocessingShape">
                    <wps:wsp>
                      <wps:cNvSpPr txBox="1">
                        <a:spLocks noChangeArrowheads="1"/>
                      </wps:cNvSpPr>
                      <wps:spPr bwMode="auto">
                        <a:xfrm>
                          <a:off x="0" y="0"/>
                          <a:ext cx="1028700" cy="766445"/>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调整承包人报</w:t>
                            </w:r>
                          </w:p>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价偏差的方法</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05pt;height:60.35pt;width:81pt;z-index:251996160;mso-width-relative:page;mso-height-relative:page;" filled="f" stroked="f" coordsize="21600,21600" o:gfxdata="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gDLkB1gAAAAkBAAAPAAAAAAAAAAEAIAAAACIAAABkcnMvZG93&#10;bnJldi54bWxQSwECFAAUAAAACACHTuJAEjbzOwICAADZAwAADgAAAAAAAAABACAAAAAlAQAAZHJz&#10;L2Uyb0RvYy54bWxQSwUGAAAAAAYABgBZAQAAmQU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调整承包人报</w:t>
                      </w:r>
                    </w:p>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价偏差的方法</w:t>
                      </w:r>
                    </w:p>
                  </w:txbxContent>
                </v:textbox>
              </v:shape>
            </w:pict>
          </mc:Fallback>
        </mc:AlternateContent>
      </w:r>
      <w:r>
        <w:rPr>
          <w:rFonts w:hint="eastAsia" w:ascii="宋体" w:hAnsi="宋体" w:cs="宋体"/>
          <w:color w:val="auto"/>
          <w:szCs w:val="21"/>
        </w:rPr>
        <w:t>工程量发生变化的分部分项工程项目，如承包人投标价分部分项清单项目填报的综合单价与发包人招标控制价或预算价相应清单项目的综合单价偏差超过一定幅度时，合同双方当事人应调整合同价款。调整工程价款时，合同双方当事人不利一方应事先向另一方提出，经合同双方当事人确认后执行。除专用条款另有约定外，应按照下列规定调整分部分项工程费：</w:t>
      </w:r>
    </w:p>
    <w:p>
      <w:pPr>
        <w:adjustRightInd w:val="0"/>
        <w:snapToGrid w:val="0"/>
        <w:spacing w:line="360" w:lineRule="auto"/>
        <w:ind w:left="1619" w:leftChars="771"/>
        <w:rPr>
          <w:rFonts w:ascii="宋体" w:hAnsi="宋体" w:cs="宋体"/>
          <w:color w:val="auto"/>
          <w:kern w:val="0"/>
          <w:szCs w:val="21"/>
        </w:rPr>
      </w:pPr>
      <w:r>
        <w:rPr>
          <w:rFonts w:hint="eastAsia" w:ascii="宋体" w:hAnsi="宋体" w:cs="宋体"/>
          <w:color w:val="auto"/>
          <w:kern w:val="0"/>
          <w:szCs w:val="21"/>
        </w:rPr>
        <w:t>(1)当P</w:t>
      </w:r>
      <w:r>
        <w:rPr>
          <w:rFonts w:hint="eastAsia" w:ascii="宋体" w:hAnsi="宋体" w:cs="宋体"/>
          <w:color w:val="auto"/>
          <w:kern w:val="0"/>
          <w:szCs w:val="21"/>
          <w:vertAlign w:val="subscript"/>
        </w:rPr>
        <w:t xml:space="preserve">0 </w:t>
      </w:r>
      <w:r>
        <w:rPr>
          <w:rFonts w:hint="eastAsia" w:ascii="宋体" w:hAnsi="宋体" w:cs="宋体"/>
          <w:color w:val="auto"/>
          <w:kern w:val="0"/>
          <w:szCs w:val="21"/>
        </w:rPr>
        <w:t>&lt;P</w:t>
      </w:r>
      <w:r>
        <w:rPr>
          <w:rFonts w:hint="eastAsia" w:ascii="宋体" w:hAnsi="宋体" w:cs="宋体"/>
          <w:color w:val="auto"/>
          <w:kern w:val="0"/>
          <w:szCs w:val="21"/>
          <w:vertAlign w:val="subscript"/>
        </w:rPr>
        <w:t>1</w:t>
      </w:r>
      <w:r>
        <w:rPr>
          <w:rFonts w:hint="eastAsia" w:ascii="宋体" w:hAnsi="宋体" w:cs="宋体"/>
          <w:color w:val="auto"/>
          <w:kern w:val="0"/>
          <w:szCs w:val="21"/>
        </w:rPr>
        <w:t xml:space="preserve"> ×(1-L)×(1-15%)时，该类项目的综合单价按照P</w:t>
      </w:r>
      <w:r>
        <w:rPr>
          <w:rFonts w:hint="eastAsia" w:ascii="宋体" w:hAnsi="宋体" w:cs="宋体"/>
          <w:color w:val="auto"/>
          <w:kern w:val="0"/>
          <w:szCs w:val="21"/>
          <w:vertAlign w:val="subscript"/>
        </w:rPr>
        <w:t>1</w:t>
      </w:r>
      <w:r>
        <w:rPr>
          <w:rFonts w:hint="eastAsia" w:ascii="宋体" w:hAnsi="宋体" w:cs="宋体"/>
          <w:color w:val="auto"/>
          <w:kern w:val="0"/>
          <w:szCs w:val="21"/>
        </w:rPr>
        <w:t xml:space="preserve"> ×(1-L)×(1-15%)调整。 </w:t>
      </w:r>
    </w:p>
    <w:p>
      <w:pPr>
        <w:adjustRightInd w:val="0"/>
        <w:snapToGrid w:val="0"/>
        <w:spacing w:line="360" w:lineRule="auto"/>
        <w:ind w:left="1619" w:leftChars="771"/>
        <w:rPr>
          <w:rFonts w:ascii="宋体" w:hAnsi="宋体" w:cs="宋体"/>
          <w:color w:val="auto"/>
          <w:kern w:val="0"/>
          <w:szCs w:val="21"/>
        </w:rPr>
      </w:pPr>
      <w:r>
        <w:rPr>
          <w:rFonts w:hint="eastAsia" w:ascii="宋体" w:hAnsi="宋体" w:cs="宋体"/>
          <w:color w:val="auto"/>
          <w:kern w:val="0"/>
          <w:szCs w:val="21"/>
        </w:rPr>
        <w:t>(2)当P</w:t>
      </w:r>
      <w:r>
        <w:rPr>
          <w:rFonts w:hint="eastAsia" w:ascii="宋体" w:hAnsi="宋体" w:cs="宋体"/>
          <w:color w:val="auto"/>
          <w:kern w:val="0"/>
          <w:szCs w:val="21"/>
          <w:vertAlign w:val="subscript"/>
        </w:rPr>
        <w:t xml:space="preserve">0 </w:t>
      </w:r>
      <w:r>
        <w:rPr>
          <w:rFonts w:hint="eastAsia" w:ascii="宋体" w:hAnsi="宋体" w:cs="宋体"/>
          <w:color w:val="auto"/>
          <w:kern w:val="0"/>
          <w:szCs w:val="21"/>
        </w:rPr>
        <w:t>&gt;P</w:t>
      </w:r>
      <w:r>
        <w:rPr>
          <w:rFonts w:hint="eastAsia" w:ascii="宋体" w:hAnsi="宋体" w:cs="宋体"/>
          <w:color w:val="auto"/>
          <w:kern w:val="0"/>
          <w:szCs w:val="21"/>
          <w:vertAlign w:val="subscript"/>
        </w:rPr>
        <w:t>1</w:t>
      </w:r>
      <w:r>
        <w:rPr>
          <w:rFonts w:hint="eastAsia" w:ascii="宋体" w:hAnsi="宋体" w:cs="宋体"/>
          <w:color w:val="auto"/>
          <w:kern w:val="0"/>
          <w:szCs w:val="21"/>
        </w:rPr>
        <w:t xml:space="preserve"> × (1+15%)时，该类项目的综合单价按照P</w:t>
      </w:r>
      <w:r>
        <w:rPr>
          <w:rFonts w:hint="eastAsia" w:ascii="宋体" w:hAnsi="宋体" w:cs="宋体"/>
          <w:color w:val="auto"/>
          <w:kern w:val="0"/>
          <w:szCs w:val="21"/>
          <w:vertAlign w:val="subscript"/>
        </w:rPr>
        <w:t>1</w:t>
      </w:r>
      <w:r>
        <w:rPr>
          <w:rFonts w:hint="eastAsia" w:ascii="宋体" w:hAnsi="宋体" w:cs="宋体"/>
          <w:color w:val="auto"/>
          <w:kern w:val="0"/>
          <w:szCs w:val="21"/>
        </w:rPr>
        <w:t xml:space="preserve"> ×（1+15%)调整。 </w:t>
      </w:r>
    </w:p>
    <w:p>
      <w:pPr>
        <w:adjustRightInd w:val="0"/>
        <w:snapToGrid w:val="0"/>
        <w:spacing w:line="360" w:lineRule="auto"/>
        <w:ind w:firstLine="1417" w:firstLineChars="675"/>
        <w:rPr>
          <w:rFonts w:ascii="宋体" w:hAnsi="宋体" w:cs="宋体"/>
          <w:color w:val="auto"/>
          <w:kern w:val="0"/>
          <w:szCs w:val="21"/>
        </w:rPr>
      </w:pPr>
      <w:r>
        <w:rPr>
          <w:rFonts w:hint="eastAsia" w:ascii="宋体" w:hAnsi="宋体" w:cs="宋体"/>
          <w:color w:val="auto"/>
          <w:kern w:val="0"/>
          <w:szCs w:val="21"/>
        </w:rPr>
        <w:t>式中：P</w:t>
      </w:r>
      <w:r>
        <w:rPr>
          <w:rFonts w:hint="eastAsia" w:ascii="宋体" w:hAnsi="宋体" w:cs="宋体"/>
          <w:color w:val="auto"/>
          <w:kern w:val="0"/>
          <w:szCs w:val="21"/>
          <w:vertAlign w:val="subscript"/>
        </w:rPr>
        <w:t>0</w:t>
      </w:r>
      <w:r>
        <w:rPr>
          <w:rFonts w:hint="eastAsia" w:ascii="宋体" w:hAnsi="宋体" w:cs="宋体"/>
          <w:color w:val="auto"/>
          <w:kern w:val="0"/>
          <w:szCs w:val="21"/>
        </w:rPr>
        <w:t>——承包人在工程量清单中填报的综合单价。</w:t>
      </w:r>
    </w:p>
    <w:p>
      <w:pPr>
        <w:adjustRightInd w:val="0"/>
        <w:snapToGrid w:val="0"/>
        <w:spacing w:line="360" w:lineRule="auto"/>
        <w:ind w:firstLine="2047" w:firstLineChars="975"/>
        <w:rPr>
          <w:rFonts w:ascii="宋体" w:hAnsi="宋体" w:cs="宋体"/>
          <w:color w:val="auto"/>
          <w:kern w:val="0"/>
          <w:szCs w:val="21"/>
        </w:rPr>
      </w:pPr>
      <w:r>
        <w:rPr>
          <w:rFonts w:hint="eastAsia" w:ascii="宋体" w:hAnsi="宋体" w:cs="宋体"/>
          <w:color w:val="auto"/>
          <w:kern w:val="0"/>
          <w:szCs w:val="21"/>
        </w:rPr>
        <w:t>P</w:t>
      </w:r>
      <w:r>
        <w:rPr>
          <w:rFonts w:hint="eastAsia" w:ascii="宋体" w:hAnsi="宋体" w:cs="宋体"/>
          <w:color w:val="auto"/>
          <w:kern w:val="0"/>
          <w:szCs w:val="21"/>
          <w:vertAlign w:val="subscript"/>
        </w:rPr>
        <w:t>1</w:t>
      </w:r>
      <w:r>
        <w:rPr>
          <w:rFonts w:hint="eastAsia" w:ascii="宋体" w:hAnsi="宋体" w:cs="宋体"/>
          <w:color w:val="auto"/>
          <w:kern w:val="0"/>
          <w:szCs w:val="21"/>
        </w:rPr>
        <w:t>——发包人招标控制价或施工预算相应清单项目的综合单价。</w:t>
      </w:r>
    </w:p>
    <w:p>
      <w:pPr>
        <w:adjustRightInd w:val="0"/>
        <w:snapToGrid w:val="0"/>
        <w:spacing w:line="360" w:lineRule="auto"/>
        <w:ind w:firstLine="2047" w:firstLineChars="975"/>
        <w:rPr>
          <w:rFonts w:ascii="宋体" w:hAnsi="宋体" w:cs="宋体"/>
          <w:b/>
          <w:color w:val="auto"/>
          <w:kern w:val="0"/>
          <w:szCs w:val="21"/>
        </w:rPr>
      </w:pPr>
      <w:r>
        <w:rPr>
          <w:rFonts w:hint="eastAsia" w:ascii="宋体" w:hAnsi="宋体" w:cs="宋体"/>
          <w:color w:val="auto"/>
          <w:kern w:val="0"/>
          <w:szCs w:val="21"/>
        </w:rPr>
        <w:t>L——第72.2款规定的承包人报价浮动率。</w:t>
      </w:r>
    </w:p>
    <w:p>
      <w:pPr>
        <w:adjustRightInd w:val="0"/>
        <w:snapToGrid w:val="0"/>
        <w:spacing w:line="480" w:lineRule="auto"/>
        <w:rPr>
          <w:rFonts w:ascii="宋体" w:hAnsi="宋体" w:cs="宋体"/>
          <w:b/>
          <w:color w:val="auto"/>
          <w:kern w:val="0"/>
          <w:szCs w:val="21"/>
        </w:rPr>
      </w:pPr>
      <w:r>
        <w:rPr>
          <w:rFonts w:hint="eastAsia" w:ascii="宋体" w:hAnsi="宋体" w:cs="宋体"/>
          <w:b/>
          <w:color w:val="auto"/>
          <w:kern w:val="0"/>
          <w:szCs w:val="21"/>
        </w:rPr>
        <w:t xml:space="preserve">72.5  </w:t>
      </w:r>
      <w:r>
        <w:rPr>
          <w:rFonts w:hint="eastAsia" w:ascii="宋体" w:hAnsi="宋体" w:cs="宋体"/>
          <w:b/>
          <w:color w:val="auto"/>
          <w:kern w:val="0"/>
          <w:szCs w:val="21"/>
          <w:u w:val="dotted"/>
        </w:rPr>
        <w:t xml:space="preserve">                                                                                                       </w:t>
      </w:r>
    </w:p>
    <w:p>
      <w:pPr>
        <w:adjustRightInd w:val="0"/>
        <w:snapToGrid w:val="0"/>
        <w:spacing w:line="360" w:lineRule="auto"/>
        <w:ind w:left="1619" w:leftChars="771"/>
        <w:rPr>
          <w:rFonts w:ascii="宋体" w:hAnsi="宋体" w:cs="宋体"/>
          <w:color w:val="auto"/>
          <w:kern w:val="0"/>
          <w:szCs w:val="21"/>
        </w:rPr>
      </w:pPr>
      <w:r>
        <w:rPr>
          <w:rFonts w:ascii="宋体" w:hAnsi="宋体" w:cs="宋体"/>
          <w:color w:val="auto"/>
          <w:kern w:val="0"/>
          <w:szCs w:val="21"/>
        </w:rPr>
        <mc:AlternateContent>
          <mc:Choice Requires="wps">
            <w:drawing>
              <wp:anchor distT="0" distB="0" distL="114300" distR="114300" simplePos="0" relativeHeight="251993088" behindDoc="0" locked="0" layoutInCell="1" allowOverlap="1">
                <wp:simplePos x="0" y="0"/>
                <wp:positionH relativeFrom="column">
                  <wp:posOffset>-114300</wp:posOffset>
                </wp:positionH>
                <wp:positionV relativeFrom="paragraph">
                  <wp:posOffset>45720</wp:posOffset>
                </wp:positionV>
                <wp:extent cx="914400" cy="396240"/>
                <wp:effectExtent l="0" t="0" r="0" b="0"/>
                <wp:wrapNone/>
                <wp:docPr id="105" name="文本框 105"/>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删减工作或工程的补偿</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6pt;height:31.2pt;width:72pt;z-index:251993088;mso-width-relative:page;mso-height-relative:page;" filled="f" stroked="f" coordsize="21600,21600" o:gfxdata="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lPS031QAAAAgBAAAPAAAAAAAAAAEAIAAAACIAAABkcnMvZG93bnJl&#10;di54bWxQSwECFAAUAAAACACHTuJAGP+ZBQACAADYAwAADgAAAAAAAAABACAAAAAkAQAAZHJzL2Uy&#10;b0RvYy54bWxQSwUGAAAAAAYABgBZAQAAlgU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删减工作或工程的补偿</w:t>
                      </w:r>
                    </w:p>
                  </w:txbxContent>
                </v:textbox>
              </v:shape>
            </w:pict>
          </mc:Fallback>
        </mc:AlternateContent>
      </w:r>
      <w:r>
        <w:rPr>
          <w:rFonts w:hint="eastAsia" w:ascii="宋体" w:hAnsi="宋体" w:cs="宋体"/>
          <w:color w:val="auto"/>
          <w:kern w:val="0"/>
          <w:szCs w:val="21"/>
        </w:rPr>
        <w:t>如果因为非承包人原因删减了合同中的某项原定工作或工程，致使承包人发生的费用或(和)得到的收益不能被包括在其他已支付或应支付的项目中，也未被包含在任何替代的工作或工程中，则承包人有权按照本条规定提出并得到补偿。</w:t>
      </w:r>
    </w:p>
    <w:p>
      <w:pPr>
        <w:adjustRightInd w:val="0"/>
        <w:snapToGrid w:val="0"/>
        <w:ind w:right="-238"/>
        <w:rPr>
          <w:rFonts w:ascii="宋体" w:hAnsi="宋体" w:cs="宋体"/>
          <w:b/>
          <w:color w:val="auto"/>
          <w:kern w:val="0"/>
          <w:szCs w:val="21"/>
          <w:u w:val="single"/>
        </w:rPr>
      </w:pPr>
      <w:r>
        <w:rPr>
          <w:rFonts w:hint="eastAsia" w:ascii="宋体" w:hAnsi="宋体" w:cs="宋体"/>
          <w:b/>
          <w:color w:val="auto"/>
          <w:kern w:val="0"/>
          <w:szCs w:val="21"/>
          <w:u w:val="single"/>
        </w:rPr>
        <w:t xml:space="preserve">                                                                                 </w:t>
      </w:r>
    </w:p>
    <w:p>
      <w:pPr>
        <w:spacing w:line="240" w:lineRule="exact"/>
        <w:rPr>
          <w:rFonts w:ascii="宋体" w:hAnsi="宋体" w:cs="宋体"/>
          <w:color w:val="auto"/>
          <w:szCs w:val="21"/>
        </w:rPr>
      </w:pPr>
    </w:p>
    <w:p>
      <w:pPr>
        <w:tabs>
          <w:tab w:val="left" w:pos="540"/>
        </w:tabs>
        <w:adjustRightInd w:val="0"/>
        <w:snapToGrid w:val="0"/>
        <w:spacing w:beforeLines="100" w:line="360" w:lineRule="auto"/>
        <w:ind w:right="-238"/>
        <w:rPr>
          <w:rFonts w:ascii="宋体" w:hAnsi="宋体" w:cs="宋体"/>
          <w:b/>
          <w:color w:val="auto"/>
          <w:kern w:val="0"/>
          <w:szCs w:val="21"/>
        </w:rPr>
      </w:pPr>
      <w:r>
        <w:rPr>
          <w:rFonts w:hint="eastAsia" w:ascii="宋体" w:hAnsi="宋体" w:cs="宋体"/>
          <w:b/>
          <w:color w:val="auto"/>
          <w:kern w:val="0"/>
          <w:szCs w:val="21"/>
        </w:rPr>
        <w:t>73  工程量偏差事件</w:t>
      </w:r>
    </w:p>
    <w:p>
      <w:pPr>
        <w:adjustRightInd w:val="0"/>
        <w:snapToGrid w:val="0"/>
        <w:spacing w:line="360" w:lineRule="auto"/>
        <w:rPr>
          <w:rFonts w:ascii="宋体" w:hAnsi="宋体" w:cs="宋体"/>
          <w:b/>
          <w:color w:val="auto"/>
          <w:kern w:val="0"/>
          <w:szCs w:val="21"/>
        </w:rPr>
      </w:pPr>
      <w:r>
        <w:rPr>
          <w:rFonts w:hint="eastAsia" w:ascii="宋体" w:hAnsi="宋体" w:cs="宋体"/>
          <w:b/>
          <w:color w:val="auto"/>
          <w:kern w:val="0"/>
          <w:szCs w:val="21"/>
        </w:rPr>
        <w:t>73.1</w:t>
      </w:r>
    </w:p>
    <w:p>
      <w:pPr>
        <w:adjustRightInd w:val="0"/>
        <w:snapToGrid w:val="0"/>
        <w:spacing w:line="360" w:lineRule="auto"/>
        <w:ind w:left="1619" w:leftChars="771"/>
        <w:rPr>
          <w:rFonts w:ascii="宋体" w:hAnsi="宋体" w:cs="宋体"/>
          <w:color w:val="auto"/>
          <w:kern w:val="0"/>
          <w:szCs w:val="21"/>
        </w:rPr>
      </w:pPr>
      <w:r>
        <w:rPr>
          <w:rFonts w:ascii="宋体" w:hAnsi="宋体" w:cs="宋体"/>
          <w:color w:val="auto"/>
          <w:kern w:val="0"/>
          <w:szCs w:val="21"/>
        </w:rPr>
        <mc:AlternateContent>
          <mc:Choice Requires="wps">
            <w:drawing>
              <wp:anchor distT="0" distB="0" distL="114300" distR="114300" simplePos="0" relativeHeight="251997184" behindDoc="0" locked="0" layoutInCell="1" allowOverlap="1">
                <wp:simplePos x="0" y="0"/>
                <wp:positionH relativeFrom="column">
                  <wp:posOffset>-114300</wp:posOffset>
                </wp:positionH>
                <wp:positionV relativeFrom="paragraph">
                  <wp:posOffset>1905</wp:posOffset>
                </wp:positionV>
                <wp:extent cx="1028700" cy="760095"/>
                <wp:effectExtent l="0" t="0" r="0" b="0"/>
                <wp:wrapNone/>
                <wp:docPr id="104" name="文本框 104"/>
                <wp:cNvGraphicFramePr/>
                <a:graphic xmlns:a="http://schemas.openxmlformats.org/drawingml/2006/main">
                  <a:graphicData uri="http://schemas.microsoft.com/office/word/2010/wordprocessingShape">
                    <wps:wsp>
                      <wps:cNvSpPr txBox="1">
                        <a:spLocks noChangeArrowheads="1"/>
                      </wps:cNvSpPr>
                      <wps:spPr bwMode="auto">
                        <a:xfrm>
                          <a:off x="0" y="0"/>
                          <a:ext cx="1028700" cy="760095"/>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工程量偏差价</w:t>
                            </w:r>
                          </w:p>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款调整</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15pt;height:59.85pt;width:81pt;z-index:251997184;mso-width-relative:page;mso-height-relative:page;" filled="f" stroked="f" coordsize="21600,21600" o:gfxdata="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ufPVO1AAAAAgBAAAPAAAAAAAAAAEAIAAAACIAAABkcnMvZG93bnJl&#10;di54bWxQSwECFAAUAAAACACHTuJA7uoAcAECAADZAwAADgAAAAAAAAABACAAAAAjAQAAZHJzL2Uy&#10;b0RvYy54bWxQSwUGAAAAAAYABgBZAQAAlgU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工程量偏差价</w:t>
                      </w:r>
                    </w:p>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款调整</w:t>
                      </w:r>
                    </w:p>
                  </w:txbxContent>
                </v:textbox>
              </v:shape>
            </w:pict>
          </mc:Fallback>
        </mc:AlternateContent>
      </w:r>
      <w:r>
        <w:rPr>
          <w:rFonts w:hint="eastAsia" w:ascii="宋体" w:hAnsi="宋体" w:cs="宋体"/>
          <w:color w:val="auto"/>
          <w:kern w:val="0"/>
          <w:szCs w:val="21"/>
        </w:rPr>
        <w:t>工程量偏差是指承包人按照合同签订时的图纸（含经发包人批准由承包人提供的施工设计图纸和履行本合同的相关大样图等）实施、完成合同工程的应予计量的实际工程量与工程量清单开列的工程量之间的偏差。</w:t>
      </w:r>
    </w:p>
    <w:p>
      <w:pPr>
        <w:adjustRightInd w:val="0"/>
        <w:snapToGrid w:val="0"/>
        <w:spacing w:line="360" w:lineRule="auto"/>
        <w:ind w:left="1619" w:leftChars="771"/>
        <w:rPr>
          <w:rFonts w:ascii="宋体" w:hAnsi="宋体" w:cs="宋体"/>
          <w:color w:val="auto"/>
          <w:kern w:val="0"/>
          <w:szCs w:val="21"/>
        </w:rPr>
      </w:pPr>
      <w:r>
        <w:rPr>
          <w:rFonts w:hint="eastAsia" w:ascii="宋体" w:hAnsi="宋体" w:cs="宋体"/>
          <w:color w:val="auto"/>
          <w:kern w:val="0"/>
          <w:szCs w:val="21"/>
        </w:rPr>
        <w:t>合同履行期间，出现工程量偏差，且符合第73.2款、第73.3款规定事件的，合同双方当事人应调整合同价款。调整合同价款时，出现第72.4款情形的，应先按照其规定调整，再按照本条规定调整。</w:t>
      </w:r>
    </w:p>
    <w:p>
      <w:pPr>
        <w:adjustRightInd w:val="0"/>
        <w:snapToGrid w:val="0"/>
        <w:spacing w:line="360" w:lineRule="auto"/>
        <w:rPr>
          <w:rFonts w:ascii="宋体" w:hAnsi="宋体" w:cs="宋体"/>
          <w:b/>
          <w:color w:val="auto"/>
          <w:kern w:val="0"/>
          <w:szCs w:val="21"/>
        </w:rPr>
      </w:pPr>
      <w:r>
        <w:rPr>
          <w:rFonts w:hint="eastAsia" w:ascii="宋体" w:hAnsi="宋体" w:cs="宋体"/>
          <w:b/>
          <w:color w:val="auto"/>
          <w:kern w:val="0"/>
          <w:szCs w:val="21"/>
        </w:rPr>
        <w:t xml:space="preserve">73.2  </w:t>
      </w:r>
      <w:r>
        <w:rPr>
          <w:rFonts w:hint="eastAsia" w:ascii="宋体" w:hAnsi="宋体" w:cs="宋体"/>
          <w:b/>
          <w:color w:val="auto"/>
          <w:kern w:val="0"/>
          <w:szCs w:val="21"/>
          <w:u w:val="dotted"/>
        </w:rPr>
        <w:t xml:space="preserve">                                                                                                        </w:t>
      </w:r>
    </w:p>
    <w:p>
      <w:pPr>
        <w:adjustRightInd w:val="0"/>
        <w:snapToGrid w:val="0"/>
        <w:spacing w:line="360" w:lineRule="auto"/>
        <w:ind w:left="1619" w:leftChars="771"/>
        <w:rPr>
          <w:rFonts w:ascii="宋体" w:hAnsi="宋体" w:cs="宋体"/>
          <w:color w:val="auto"/>
          <w:kern w:val="0"/>
          <w:szCs w:val="21"/>
        </w:rPr>
      </w:pPr>
      <w:r>
        <w:rPr>
          <w:rFonts w:ascii="宋体" w:hAnsi="宋体" w:cs="宋体"/>
          <w:color w:val="auto"/>
          <w:kern w:val="0"/>
          <w:szCs w:val="21"/>
        </w:rPr>
        <mc:AlternateContent>
          <mc:Choice Requires="wps">
            <w:drawing>
              <wp:anchor distT="0" distB="0" distL="114300" distR="114300" simplePos="0" relativeHeight="251998208" behindDoc="0" locked="0" layoutInCell="1" allowOverlap="1">
                <wp:simplePos x="0" y="0"/>
                <wp:positionH relativeFrom="column">
                  <wp:posOffset>-114300</wp:posOffset>
                </wp:positionH>
                <wp:positionV relativeFrom="paragraph">
                  <wp:posOffset>26670</wp:posOffset>
                </wp:positionV>
                <wp:extent cx="914400" cy="444500"/>
                <wp:effectExtent l="0" t="0" r="0" b="0"/>
                <wp:wrapNone/>
                <wp:docPr id="103" name="文本框 103"/>
                <wp:cNvGraphicFramePr/>
                <a:graphic xmlns:a="http://schemas.openxmlformats.org/drawingml/2006/main">
                  <a:graphicData uri="http://schemas.microsoft.com/office/word/2010/wordprocessingShape">
                    <wps:wsp>
                      <wps:cNvSpPr txBox="1">
                        <a:spLocks noChangeArrowheads="1"/>
                      </wps:cNvSpPr>
                      <wps:spPr bwMode="auto">
                        <a:xfrm>
                          <a:off x="0" y="0"/>
                          <a:ext cx="914400" cy="444500"/>
                        </a:xfrm>
                        <a:prstGeom prst="rect">
                          <a:avLst/>
                        </a:prstGeom>
                        <a:noFill/>
                        <a:ln>
                          <a:noFill/>
                        </a:ln>
                        <a:effectLst/>
                      </wps:spPr>
                      <wps:txbx>
                        <w:txbxContent>
                          <w:p>
                            <w:pPr>
                              <w:pStyle w:val="32"/>
                              <w:spacing w:line="200" w:lineRule="exact"/>
                              <w:rPr>
                                <w:rFonts w:ascii="宋体" w:hAnsi="宋体"/>
                                <w:sz w:val="18"/>
                                <w:szCs w:val="18"/>
                              </w:rPr>
                            </w:pPr>
                            <w:r>
                              <w:rPr>
                                <w:rFonts w:hint="eastAsia" w:ascii="楷体_GB2312" w:hAnsi="宋体" w:eastAsia="楷体_GB2312"/>
                                <w:b/>
                                <w:color w:val="000000"/>
                                <w:sz w:val="18"/>
                                <w:szCs w:val="18"/>
                              </w:rPr>
                              <w:t>调整分部分项工程费的方法</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1pt;height:35pt;width:72pt;z-index:251998208;mso-width-relative:page;mso-height-relative:page;" filled="f" stroked="f" coordsize="21600,21600" o:gfxdata="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Uiq+t1QAAAAgBAAAPAAAAAAAAAAEAIAAAACIAAABkcnMvZG93bnJldi54&#10;bWxQSwECFAAUAAAACACHTuJAVL5t8v0BAADYAwAADgAAAAAAAAABACAAAAAkAQAAZHJzL2Uyb0Rv&#10;Yy54bWxQSwUGAAAAAAYABgBZAQAAkwUAAAAA&#10;">
                <v:fill on="f" focussize="0,0"/>
                <v:stroke on="f"/>
                <v:imagedata o:title=""/>
                <o:lock v:ext="edit" aspectratio="f"/>
                <v:textbox>
                  <w:txbxContent>
                    <w:p>
                      <w:pPr>
                        <w:pStyle w:val="32"/>
                        <w:spacing w:line="200" w:lineRule="exact"/>
                        <w:rPr>
                          <w:rFonts w:ascii="宋体" w:hAnsi="宋体"/>
                          <w:sz w:val="18"/>
                          <w:szCs w:val="18"/>
                        </w:rPr>
                      </w:pPr>
                      <w:r>
                        <w:rPr>
                          <w:rFonts w:hint="eastAsia" w:ascii="楷体_GB2312" w:hAnsi="宋体" w:eastAsia="楷体_GB2312"/>
                          <w:b/>
                          <w:color w:val="000000"/>
                          <w:sz w:val="18"/>
                          <w:szCs w:val="18"/>
                        </w:rPr>
                        <w:t>调整分部分项工程费的方法</w:t>
                      </w:r>
                    </w:p>
                  </w:txbxContent>
                </v:textbox>
              </v:shape>
            </w:pict>
          </mc:Fallback>
        </mc:AlternateContent>
      </w:r>
      <w:r>
        <w:rPr>
          <w:rFonts w:hint="eastAsia" w:ascii="宋体" w:hAnsi="宋体" w:cs="宋体"/>
          <w:color w:val="auto"/>
          <w:kern w:val="0"/>
          <w:szCs w:val="21"/>
        </w:rPr>
        <w:t>对于某一分部分项工程项目，如果因本条规定工程量偏差和第56条规定工程变更等原因导致工程量偏差超过10%，且该变化使其分部分项工程费变化超过0.1%，则超过10%部分的综合单价应予调整。除专用条款另有约定外，应按照下列规定调整该分部分项工程费结算价：</w:t>
      </w:r>
    </w:p>
    <w:p>
      <w:pPr>
        <w:adjustRightInd w:val="0"/>
        <w:snapToGrid w:val="0"/>
        <w:spacing w:line="360" w:lineRule="auto"/>
        <w:ind w:left="2062" w:leftChars="707" w:hanging="577" w:hangingChars="275"/>
        <w:rPr>
          <w:rFonts w:ascii="宋体" w:hAnsi="宋体" w:cs="宋体"/>
          <w:iCs/>
          <w:color w:val="auto"/>
          <w:kern w:val="0"/>
          <w:szCs w:val="21"/>
        </w:rPr>
      </w:pPr>
      <w:r>
        <w:rPr>
          <w:rFonts w:hint="eastAsia" w:ascii="宋体" w:hAnsi="宋体" w:cs="宋体"/>
          <w:color w:val="auto"/>
          <w:kern w:val="0"/>
          <w:szCs w:val="21"/>
        </w:rPr>
        <w:t>（1）当</w:t>
      </w:r>
      <w:r>
        <w:rPr>
          <w:rFonts w:hint="eastAsia" w:ascii="宋体" w:hAnsi="宋体" w:cs="宋体"/>
          <w:iCs/>
          <w:color w:val="auto"/>
          <w:kern w:val="0"/>
          <w:szCs w:val="21"/>
        </w:rPr>
        <w:t>Q</w:t>
      </w:r>
      <w:r>
        <w:rPr>
          <w:rFonts w:hint="eastAsia" w:ascii="宋体" w:hAnsi="宋体" w:cs="宋体"/>
          <w:iCs/>
          <w:color w:val="auto"/>
          <w:kern w:val="0"/>
          <w:szCs w:val="21"/>
          <w:vertAlign w:val="subscript"/>
        </w:rPr>
        <w:t>1</w:t>
      </w:r>
      <w:r>
        <w:rPr>
          <w:rFonts w:hint="eastAsia" w:ascii="宋体" w:hAnsi="宋体" w:cs="宋体"/>
          <w:iCs/>
          <w:color w:val="auto"/>
          <w:kern w:val="0"/>
          <w:szCs w:val="21"/>
        </w:rPr>
        <w:t>﹥</w:t>
      </w:r>
      <w:r>
        <w:rPr>
          <w:rFonts w:hint="eastAsia" w:ascii="宋体" w:hAnsi="宋体" w:cs="宋体"/>
          <w:color w:val="auto"/>
          <w:kern w:val="0"/>
          <w:szCs w:val="21"/>
        </w:rPr>
        <w:t>1.1</w:t>
      </w:r>
      <w:r>
        <w:rPr>
          <w:rFonts w:hint="eastAsia" w:ascii="宋体" w:hAnsi="宋体" w:cs="宋体"/>
          <w:iCs/>
          <w:color w:val="auto"/>
          <w:kern w:val="0"/>
          <w:szCs w:val="21"/>
        </w:rPr>
        <w:t>Q</w:t>
      </w:r>
      <w:r>
        <w:rPr>
          <w:rFonts w:hint="eastAsia" w:ascii="宋体" w:hAnsi="宋体" w:cs="宋体"/>
          <w:iCs/>
          <w:color w:val="auto"/>
          <w:kern w:val="0"/>
          <w:szCs w:val="21"/>
          <w:vertAlign w:val="subscript"/>
        </w:rPr>
        <w:t>0</w:t>
      </w:r>
      <w:r>
        <w:rPr>
          <w:rFonts w:hint="eastAsia" w:ascii="宋体" w:hAnsi="宋体" w:cs="宋体"/>
          <w:color w:val="auto"/>
          <w:kern w:val="0"/>
          <w:szCs w:val="21"/>
        </w:rPr>
        <w:t>时，S</w:t>
      </w:r>
      <w:r>
        <w:rPr>
          <w:rFonts w:hint="eastAsia" w:ascii="宋体" w:hAnsi="宋体" w:cs="宋体"/>
          <w:iCs/>
          <w:color w:val="auto"/>
          <w:kern w:val="0"/>
          <w:szCs w:val="21"/>
        </w:rPr>
        <w:t>=</w:t>
      </w:r>
      <w:r>
        <w:rPr>
          <w:rFonts w:hint="eastAsia" w:ascii="宋体" w:hAnsi="宋体" w:cs="宋体"/>
          <w:color w:val="auto"/>
          <w:kern w:val="0"/>
          <w:szCs w:val="21"/>
        </w:rPr>
        <w:t>1.1</w:t>
      </w:r>
      <w:r>
        <w:rPr>
          <w:rFonts w:hint="eastAsia" w:ascii="宋体" w:hAnsi="宋体" w:cs="宋体"/>
          <w:iCs/>
          <w:color w:val="auto"/>
          <w:kern w:val="0"/>
          <w:szCs w:val="21"/>
        </w:rPr>
        <w:t>Q</w:t>
      </w:r>
      <w:r>
        <w:rPr>
          <w:rFonts w:hint="eastAsia" w:ascii="宋体" w:hAnsi="宋体" w:cs="宋体"/>
          <w:iCs/>
          <w:color w:val="auto"/>
          <w:kern w:val="0"/>
          <w:szCs w:val="21"/>
          <w:vertAlign w:val="subscript"/>
        </w:rPr>
        <w:t>0</w:t>
      </w:r>
      <w:r>
        <w:rPr>
          <w:rFonts w:hint="eastAsia" w:ascii="宋体" w:hAnsi="宋体" w:cs="宋体"/>
          <w:iCs/>
          <w:color w:val="auto"/>
          <w:kern w:val="0"/>
          <w:szCs w:val="21"/>
        </w:rPr>
        <w:t>×P</w:t>
      </w:r>
      <w:r>
        <w:rPr>
          <w:rFonts w:hint="eastAsia" w:ascii="宋体" w:hAnsi="宋体" w:cs="宋体"/>
          <w:iCs/>
          <w:color w:val="auto"/>
          <w:kern w:val="0"/>
          <w:szCs w:val="21"/>
          <w:vertAlign w:val="subscript"/>
        </w:rPr>
        <w:t>0</w:t>
      </w:r>
      <w:r>
        <w:rPr>
          <w:rFonts w:hint="eastAsia" w:ascii="宋体" w:hAnsi="宋体" w:cs="宋体"/>
          <w:iCs/>
          <w:color w:val="auto"/>
          <w:kern w:val="0"/>
          <w:szCs w:val="21"/>
        </w:rPr>
        <w:t>+（Q</w:t>
      </w:r>
      <w:r>
        <w:rPr>
          <w:rFonts w:hint="eastAsia" w:ascii="宋体" w:hAnsi="宋体" w:cs="宋体"/>
          <w:iCs/>
          <w:color w:val="auto"/>
          <w:kern w:val="0"/>
          <w:szCs w:val="21"/>
          <w:vertAlign w:val="subscript"/>
        </w:rPr>
        <w:t>1</w:t>
      </w:r>
      <w:r>
        <w:rPr>
          <w:rFonts w:hint="eastAsia" w:ascii="宋体" w:hAnsi="宋体" w:cs="宋体"/>
          <w:iCs/>
          <w:color w:val="auto"/>
          <w:kern w:val="0"/>
          <w:szCs w:val="21"/>
        </w:rPr>
        <w:t>-</w:t>
      </w:r>
      <w:r>
        <w:rPr>
          <w:rFonts w:hint="eastAsia" w:ascii="宋体" w:hAnsi="宋体" w:cs="宋体"/>
          <w:color w:val="auto"/>
          <w:kern w:val="0"/>
          <w:szCs w:val="21"/>
        </w:rPr>
        <w:t>1.1</w:t>
      </w:r>
      <w:r>
        <w:rPr>
          <w:rFonts w:hint="eastAsia" w:ascii="宋体" w:hAnsi="宋体" w:cs="宋体"/>
          <w:iCs/>
          <w:color w:val="auto"/>
          <w:kern w:val="0"/>
          <w:szCs w:val="21"/>
        </w:rPr>
        <w:t>Q</w:t>
      </w:r>
      <w:r>
        <w:rPr>
          <w:rFonts w:hint="eastAsia" w:ascii="宋体" w:hAnsi="宋体" w:cs="宋体"/>
          <w:iCs/>
          <w:color w:val="auto"/>
          <w:kern w:val="0"/>
          <w:szCs w:val="21"/>
          <w:vertAlign w:val="subscript"/>
        </w:rPr>
        <w:t>0</w:t>
      </w:r>
      <w:r>
        <w:rPr>
          <w:rFonts w:hint="eastAsia" w:ascii="宋体" w:hAnsi="宋体" w:cs="宋体"/>
          <w:iCs/>
          <w:color w:val="auto"/>
          <w:kern w:val="0"/>
          <w:szCs w:val="21"/>
        </w:rPr>
        <w:t>）×P</w:t>
      </w:r>
      <w:r>
        <w:rPr>
          <w:rFonts w:hint="eastAsia" w:ascii="宋体" w:hAnsi="宋体" w:cs="宋体"/>
          <w:iCs/>
          <w:color w:val="auto"/>
          <w:kern w:val="0"/>
          <w:szCs w:val="21"/>
          <w:vertAlign w:val="subscript"/>
        </w:rPr>
        <w:t>1</w:t>
      </w:r>
    </w:p>
    <w:p>
      <w:pPr>
        <w:adjustRightInd w:val="0"/>
        <w:snapToGrid w:val="0"/>
        <w:spacing w:line="360" w:lineRule="auto"/>
        <w:ind w:left="1982" w:leftChars="694" w:hanging="525" w:hangingChars="250"/>
        <w:rPr>
          <w:rFonts w:ascii="宋体" w:hAnsi="宋体" w:cs="宋体"/>
          <w:iCs/>
          <w:color w:val="auto"/>
          <w:kern w:val="0"/>
          <w:szCs w:val="21"/>
          <w:vertAlign w:val="subscript"/>
        </w:rPr>
      </w:pPr>
      <w:r>
        <w:rPr>
          <w:rFonts w:hint="eastAsia" w:ascii="宋体" w:hAnsi="宋体" w:cs="宋体"/>
          <w:color w:val="auto"/>
          <w:kern w:val="0"/>
          <w:szCs w:val="21"/>
        </w:rPr>
        <w:t>（2）当</w:t>
      </w:r>
      <w:r>
        <w:rPr>
          <w:rFonts w:hint="eastAsia" w:ascii="宋体" w:hAnsi="宋体" w:cs="宋体"/>
          <w:iCs/>
          <w:color w:val="auto"/>
          <w:kern w:val="0"/>
          <w:szCs w:val="21"/>
        </w:rPr>
        <w:t>Q</w:t>
      </w:r>
      <w:r>
        <w:rPr>
          <w:rFonts w:hint="eastAsia" w:ascii="宋体" w:hAnsi="宋体" w:cs="宋体"/>
          <w:iCs/>
          <w:color w:val="auto"/>
          <w:kern w:val="0"/>
          <w:szCs w:val="21"/>
          <w:vertAlign w:val="subscript"/>
        </w:rPr>
        <w:t>1</w:t>
      </w:r>
      <w:r>
        <w:rPr>
          <w:rFonts w:hint="eastAsia" w:ascii="宋体" w:hAnsi="宋体" w:cs="宋体"/>
          <w:iCs/>
          <w:color w:val="auto"/>
          <w:kern w:val="0"/>
          <w:szCs w:val="21"/>
        </w:rPr>
        <w:t>﹤</w:t>
      </w:r>
      <w:r>
        <w:rPr>
          <w:rFonts w:hint="eastAsia" w:ascii="宋体" w:hAnsi="宋体" w:cs="宋体"/>
          <w:color w:val="auto"/>
          <w:kern w:val="0"/>
          <w:szCs w:val="21"/>
        </w:rPr>
        <w:t>0.9</w:t>
      </w:r>
      <w:r>
        <w:rPr>
          <w:rFonts w:hint="eastAsia" w:ascii="宋体" w:hAnsi="宋体" w:cs="宋体"/>
          <w:iCs/>
          <w:color w:val="auto"/>
          <w:kern w:val="0"/>
          <w:szCs w:val="21"/>
        </w:rPr>
        <w:t>Q</w:t>
      </w:r>
      <w:r>
        <w:rPr>
          <w:rFonts w:hint="eastAsia" w:ascii="宋体" w:hAnsi="宋体" w:cs="宋体"/>
          <w:color w:val="auto"/>
          <w:kern w:val="0"/>
          <w:szCs w:val="21"/>
          <w:vertAlign w:val="subscript"/>
        </w:rPr>
        <w:t>0</w:t>
      </w:r>
      <w:r>
        <w:rPr>
          <w:rFonts w:hint="eastAsia" w:ascii="宋体" w:hAnsi="宋体" w:cs="宋体"/>
          <w:color w:val="auto"/>
          <w:kern w:val="0"/>
          <w:szCs w:val="21"/>
        </w:rPr>
        <w:t>时，S</w:t>
      </w:r>
      <w:r>
        <w:rPr>
          <w:rFonts w:hint="eastAsia" w:ascii="宋体" w:hAnsi="宋体" w:cs="宋体"/>
          <w:iCs/>
          <w:color w:val="auto"/>
          <w:kern w:val="0"/>
          <w:szCs w:val="21"/>
        </w:rPr>
        <w:t>=</w:t>
      </w:r>
      <w:r>
        <w:rPr>
          <w:rFonts w:hint="eastAsia" w:ascii="宋体" w:hAnsi="宋体" w:cs="宋体"/>
          <w:color w:val="auto"/>
          <w:kern w:val="0"/>
          <w:szCs w:val="21"/>
        </w:rPr>
        <w:t>0.9</w:t>
      </w:r>
      <w:r>
        <w:rPr>
          <w:rFonts w:hint="eastAsia" w:ascii="宋体" w:hAnsi="宋体" w:cs="宋体"/>
          <w:iCs/>
          <w:color w:val="auto"/>
          <w:kern w:val="0"/>
          <w:szCs w:val="21"/>
        </w:rPr>
        <w:t>Q</w:t>
      </w:r>
      <w:r>
        <w:rPr>
          <w:rFonts w:hint="eastAsia" w:ascii="宋体" w:hAnsi="宋体" w:cs="宋体"/>
          <w:iCs/>
          <w:color w:val="auto"/>
          <w:kern w:val="0"/>
          <w:szCs w:val="21"/>
          <w:vertAlign w:val="subscript"/>
        </w:rPr>
        <w:t>0</w:t>
      </w:r>
      <w:r>
        <w:rPr>
          <w:rFonts w:hint="eastAsia" w:ascii="宋体" w:hAnsi="宋体" w:cs="宋体"/>
          <w:iCs/>
          <w:color w:val="auto"/>
          <w:kern w:val="0"/>
          <w:szCs w:val="21"/>
        </w:rPr>
        <w:t>×P</w:t>
      </w:r>
      <w:r>
        <w:rPr>
          <w:rFonts w:hint="eastAsia" w:ascii="宋体" w:hAnsi="宋体" w:cs="宋体"/>
          <w:iCs/>
          <w:color w:val="auto"/>
          <w:kern w:val="0"/>
          <w:szCs w:val="21"/>
          <w:vertAlign w:val="subscript"/>
        </w:rPr>
        <w:t>0</w:t>
      </w:r>
      <w:r>
        <w:rPr>
          <w:rFonts w:hint="eastAsia" w:ascii="宋体" w:hAnsi="宋体" w:cs="宋体"/>
          <w:iCs/>
          <w:color w:val="auto"/>
          <w:kern w:val="0"/>
          <w:szCs w:val="21"/>
        </w:rPr>
        <w:t>-（0.9Q</w:t>
      </w:r>
      <w:r>
        <w:rPr>
          <w:rFonts w:hint="eastAsia" w:ascii="宋体" w:hAnsi="宋体" w:cs="宋体"/>
          <w:iCs/>
          <w:color w:val="auto"/>
          <w:kern w:val="0"/>
          <w:szCs w:val="21"/>
          <w:vertAlign w:val="subscript"/>
        </w:rPr>
        <w:t>0</w:t>
      </w:r>
      <w:r>
        <w:rPr>
          <w:rFonts w:hint="eastAsia" w:ascii="宋体" w:hAnsi="宋体" w:cs="宋体"/>
          <w:iCs/>
          <w:color w:val="auto"/>
          <w:kern w:val="0"/>
          <w:szCs w:val="21"/>
        </w:rPr>
        <w:t>-Q</w:t>
      </w:r>
      <w:r>
        <w:rPr>
          <w:rFonts w:hint="eastAsia" w:ascii="宋体" w:hAnsi="宋体" w:cs="宋体"/>
          <w:iCs/>
          <w:color w:val="auto"/>
          <w:kern w:val="0"/>
          <w:szCs w:val="21"/>
          <w:vertAlign w:val="subscript"/>
        </w:rPr>
        <w:t>1</w:t>
      </w:r>
      <w:r>
        <w:rPr>
          <w:rFonts w:hint="eastAsia" w:ascii="宋体" w:hAnsi="宋体" w:cs="宋体"/>
          <w:iCs/>
          <w:color w:val="auto"/>
          <w:kern w:val="0"/>
          <w:szCs w:val="21"/>
        </w:rPr>
        <w:t>）×P</w:t>
      </w:r>
      <w:r>
        <w:rPr>
          <w:rFonts w:hint="eastAsia" w:ascii="宋体" w:hAnsi="宋体" w:cs="宋体"/>
          <w:iCs/>
          <w:color w:val="auto"/>
          <w:kern w:val="0"/>
          <w:szCs w:val="21"/>
          <w:vertAlign w:val="subscript"/>
        </w:rPr>
        <w:t>1</w:t>
      </w:r>
    </w:p>
    <w:p>
      <w:pPr>
        <w:adjustRightInd w:val="0"/>
        <w:snapToGrid w:val="0"/>
        <w:spacing w:line="360" w:lineRule="auto"/>
        <w:ind w:firstLine="1417" w:firstLineChars="675"/>
        <w:rPr>
          <w:rFonts w:ascii="宋体" w:hAnsi="宋体" w:cs="宋体"/>
          <w:color w:val="auto"/>
          <w:kern w:val="0"/>
          <w:szCs w:val="21"/>
        </w:rPr>
      </w:pPr>
      <w:r>
        <w:rPr>
          <w:rFonts w:hint="eastAsia" w:ascii="宋体" w:hAnsi="宋体" w:cs="宋体"/>
          <w:color w:val="auto"/>
          <w:kern w:val="0"/>
          <w:szCs w:val="21"/>
        </w:rPr>
        <w:t>式中</w:t>
      </w:r>
      <w:r>
        <w:rPr>
          <w:rFonts w:hint="eastAsia" w:ascii="宋体" w:hAnsi="宋体" w:cs="宋体"/>
          <w:iCs/>
          <w:color w:val="auto"/>
          <w:kern w:val="0"/>
          <w:szCs w:val="21"/>
        </w:rPr>
        <w:t>S——</w:t>
      </w:r>
      <w:r>
        <w:rPr>
          <w:rFonts w:hint="eastAsia" w:ascii="宋体" w:hAnsi="宋体" w:cs="宋体"/>
          <w:color w:val="auto"/>
          <w:kern w:val="0"/>
          <w:szCs w:val="21"/>
        </w:rPr>
        <w:t>调整后的某一分部分项工程费结算价；</w:t>
      </w:r>
    </w:p>
    <w:p>
      <w:pPr>
        <w:adjustRightInd w:val="0"/>
        <w:snapToGrid w:val="0"/>
        <w:spacing w:line="360" w:lineRule="auto"/>
        <w:ind w:firstLine="1890" w:firstLineChars="900"/>
        <w:rPr>
          <w:rFonts w:ascii="宋体" w:hAnsi="宋体" w:cs="宋体"/>
          <w:color w:val="auto"/>
          <w:kern w:val="0"/>
          <w:szCs w:val="21"/>
        </w:rPr>
      </w:pPr>
      <w:r>
        <w:rPr>
          <w:rFonts w:hint="eastAsia" w:ascii="宋体" w:hAnsi="宋体" w:cs="宋体"/>
          <w:iCs/>
          <w:color w:val="auto"/>
          <w:kern w:val="0"/>
          <w:szCs w:val="21"/>
        </w:rPr>
        <w:t>Q</w:t>
      </w:r>
      <w:r>
        <w:rPr>
          <w:rFonts w:hint="eastAsia" w:ascii="宋体" w:hAnsi="宋体" w:cs="宋体"/>
          <w:iCs/>
          <w:color w:val="auto"/>
          <w:kern w:val="0"/>
          <w:szCs w:val="21"/>
          <w:vertAlign w:val="subscript"/>
        </w:rPr>
        <w:t>1</w:t>
      </w:r>
      <w:r>
        <w:rPr>
          <w:rFonts w:hint="eastAsia" w:ascii="宋体" w:hAnsi="宋体" w:cs="宋体"/>
          <w:iCs/>
          <w:color w:val="auto"/>
          <w:kern w:val="0"/>
          <w:szCs w:val="21"/>
        </w:rPr>
        <w:t>——</w:t>
      </w:r>
      <w:r>
        <w:rPr>
          <w:rFonts w:hint="eastAsia" w:ascii="宋体" w:hAnsi="宋体" w:cs="宋体"/>
          <w:color w:val="auto"/>
          <w:kern w:val="0"/>
          <w:szCs w:val="21"/>
        </w:rPr>
        <w:t>最终完成的工程量；</w:t>
      </w:r>
    </w:p>
    <w:p>
      <w:pPr>
        <w:adjustRightInd w:val="0"/>
        <w:snapToGrid w:val="0"/>
        <w:spacing w:line="360" w:lineRule="auto"/>
        <w:ind w:firstLine="1890" w:firstLineChars="900"/>
        <w:rPr>
          <w:rFonts w:ascii="宋体" w:hAnsi="宋体" w:cs="宋体"/>
          <w:color w:val="auto"/>
          <w:kern w:val="0"/>
          <w:szCs w:val="21"/>
        </w:rPr>
      </w:pPr>
      <w:r>
        <w:rPr>
          <w:rFonts w:hint="eastAsia" w:ascii="宋体" w:hAnsi="宋体" w:cs="宋体"/>
          <w:iCs/>
          <w:color w:val="auto"/>
          <w:kern w:val="0"/>
          <w:szCs w:val="21"/>
        </w:rPr>
        <w:t>Q</w:t>
      </w:r>
      <w:r>
        <w:rPr>
          <w:rFonts w:hint="eastAsia" w:ascii="宋体" w:hAnsi="宋体" w:cs="宋体"/>
          <w:iCs/>
          <w:color w:val="auto"/>
          <w:kern w:val="0"/>
          <w:szCs w:val="21"/>
          <w:vertAlign w:val="subscript"/>
        </w:rPr>
        <w:t>0</w:t>
      </w:r>
      <w:r>
        <w:rPr>
          <w:rFonts w:hint="eastAsia" w:ascii="宋体" w:hAnsi="宋体" w:cs="宋体"/>
          <w:iCs/>
          <w:color w:val="auto"/>
          <w:kern w:val="0"/>
          <w:szCs w:val="21"/>
        </w:rPr>
        <w:t>——</w:t>
      </w:r>
      <w:r>
        <w:rPr>
          <w:rFonts w:hint="eastAsia" w:ascii="宋体" w:hAnsi="宋体" w:cs="宋体"/>
          <w:color w:val="auto"/>
          <w:kern w:val="0"/>
          <w:szCs w:val="21"/>
        </w:rPr>
        <w:t>工程量清单中开列的工程量；</w:t>
      </w:r>
    </w:p>
    <w:p>
      <w:pPr>
        <w:adjustRightInd w:val="0"/>
        <w:snapToGrid w:val="0"/>
        <w:spacing w:line="360" w:lineRule="auto"/>
        <w:ind w:firstLine="1890" w:firstLineChars="900"/>
        <w:rPr>
          <w:rFonts w:ascii="宋体" w:hAnsi="宋体" w:cs="宋体"/>
          <w:color w:val="auto"/>
          <w:kern w:val="0"/>
          <w:szCs w:val="21"/>
        </w:rPr>
      </w:pPr>
      <w:r>
        <w:rPr>
          <w:rFonts w:hint="eastAsia" w:ascii="宋体" w:hAnsi="宋体" w:cs="宋体"/>
          <w:iCs/>
          <w:color w:val="auto"/>
          <w:kern w:val="0"/>
          <w:szCs w:val="21"/>
        </w:rPr>
        <w:t>P</w:t>
      </w:r>
      <w:r>
        <w:rPr>
          <w:rFonts w:hint="eastAsia" w:ascii="宋体" w:hAnsi="宋体" w:cs="宋体"/>
          <w:iCs/>
          <w:color w:val="auto"/>
          <w:kern w:val="0"/>
          <w:szCs w:val="21"/>
          <w:vertAlign w:val="subscript"/>
        </w:rPr>
        <w:t>1</w:t>
      </w:r>
      <w:r>
        <w:rPr>
          <w:rFonts w:hint="eastAsia" w:ascii="宋体" w:hAnsi="宋体" w:cs="宋体"/>
          <w:iCs/>
          <w:color w:val="auto"/>
          <w:kern w:val="0"/>
          <w:szCs w:val="21"/>
        </w:rPr>
        <w:t>——</w:t>
      </w:r>
      <w:r>
        <w:rPr>
          <w:rFonts w:hint="eastAsia" w:ascii="宋体" w:hAnsi="宋体" w:cs="宋体"/>
          <w:color w:val="auto"/>
          <w:kern w:val="0"/>
          <w:szCs w:val="21"/>
        </w:rPr>
        <w:t>按照最终完成工程量重新调整后的综合单价；</w:t>
      </w:r>
    </w:p>
    <w:p>
      <w:pPr>
        <w:adjustRightInd w:val="0"/>
        <w:snapToGrid w:val="0"/>
        <w:spacing w:line="360" w:lineRule="auto"/>
        <w:ind w:firstLine="1890" w:firstLineChars="900"/>
        <w:rPr>
          <w:rFonts w:ascii="宋体" w:hAnsi="宋体" w:cs="宋体"/>
          <w:b/>
          <w:color w:val="auto"/>
          <w:kern w:val="0"/>
          <w:szCs w:val="21"/>
        </w:rPr>
      </w:pPr>
      <w:r>
        <w:rPr>
          <w:rFonts w:hint="eastAsia" w:ascii="宋体" w:hAnsi="宋体" w:cs="宋体"/>
          <w:iCs/>
          <w:color w:val="auto"/>
          <w:kern w:val="0"/>
          <w:szCs w:val="21"/>
        </w:rPr>
        <w:t>P</w:t>
      </w:r>
      <w:r>
        <w:rPr>
          <w:rFonts w:hint="eastAsia" w:ascii="宋体" w:hAnsi="宋体" w:cs="宋体"/>
          <w:iCs/>
          <w:color w:val="auto"/>
          <w:kern w:val="0"/>
          <w:szCs w:val="21"/>
          <w:vertAlign w:val="subscript"/>
        </w:rPr>
        <w:t>0</w:t>
      </w:r>
      <w:r>
        <w:rPr>
          <w:rFonts w:hint="eastAsia" w:ascii="宋体" w:hAnsi="宋体" w:cs="宋体"/>
          <w:iCs/>
          <w:color w:val="auto"/>
          <w:kern w:val="0"/>
          <w:szCs w:val="21"/>
        </w:rPr>
        <w:t>——</w:t>
      </w:r>
      <w:r>
        <w:rPr>
          <w:rFonts w:hint="eastAsia" w:ascii="宋体" w:hAnsi="宋体" w:cs="宋体"/>
          <w:color w:val="auto"/>
          <w:kern w:val="0"/>
          <w:szCs w:val="21"/>
        </w:rPr>
        <w:t>承包人在工程量清单中填报的综合单价。</w:t>
      </w:r>
    </w:p>
    <w:p>
      <w:pPr>
        <w:adjustRightInd w:val="0"/>
        <w:snapToGrid w:val="0"/>
        <w:spacing w:line="480" w:lineRule="auto"/>
        <w:rPr>
          <w:rFonts w:ascii="宋体" w:hAnsi="宋体" w:cs="宋体"/>
          <w:color w:val="auto"/>
          <w:kern w:val="0"/>
          <w:szCs w:val="21"/>
        </w:rPr>
      </w:pPr>
      <w:r>
        <w:rPr>
          <w:rFonts w:hint="eastAsia" w:ascii="宋体" w:hAnsi="宋体" w:cs="宋体"/>
          <w:b/>
          <w:color w:val="auto"/>
          <w:kern w:val="0"/>
          <w:szCs w:val="21"/>
        </w:rPr>
        <w:t>73.3</w:t>
      </w:r>
      <w:r>
        <w:rPr>
          <w:rFonts w:hint="eastAsia" w:ascii="宋体" w:hAnsi="宋体" w:cs="宋体"/>
          <w:color w:val="auto"/>
          <w:kern w:val="0"/>
          <w:szCs w:val="21"/>
        </w:rPr>
        <w:t xml:space="preserve">  </w:t>
      </w:r>
      <w:r>
        <w:rPr>
          <w:rFonts w:hint="eastAsia" w:ascii="宋体" w:hAnsi="宋体" w:cs="宋体"/>
          <w:color w:val="auto"/>
          <w:kern w:val="0"/>
          <w:szCs w:val="21"/>
          <w:u w:val="dotted"/>
        </w:rPr>
        <w:t xml:space="preserve">                                                                                                        </w:t>
      </w:r>
    </w:p>
    <w:p>
      <w:pPr>
        <w:adjustRightInd w:val="0"/>
        <w:snapToGrid w:val="0"/>
        <w:spacing w:line="360" w:lineRule="auto"/>
        <w:ind w:left="1619" w:leftChars="771"/>
        <w:rPr>
          <w:rFonts w:ascii="宋体" w:hAnsi="宋体" w:cs="宋体"/>
          <w:color w:val="auto"/>
          <w:kern w:val="0"/>
          <w:szCs w:val="21"/>
        </w:rPr>
      </w:pPr>
      <w:r>
        <w:rPr>
          <w:rFonts w:ascii="宋体" w:hAnsi="宋体" w:cs="宋体"/>
          <w:color w:val="auto"/>
          <w:kern w:val="0"/>
          <w:szCs w:val="21"/>
        </w:rPr>
        <mc:AlternateContent>
          <mc:Choice Requires="wps">
            <w:drawing>
              <wp:anchor distT="0" distB="0" distL="114300" distR="114300" simplePos="0" relativeHeight="251999232" behindDoc="0" locked="0" layoutInCell="1" allowOverlap="1">
                <wp:simplePos x="0" y="0"/>
                <wp:positionH relativeFrom="column">
                  <wp:posOffset>-114300</wp:posOffset>
                </wp:positionH>
                <wp:positionV relativeFrom="paragraph">
                  <wp:posOffset>51435</wp:posOffset>
                </wp:positionV>
                <wp:extent cx="914400" cy="505460"/>
                <wp:effectExtent l="0" t="0" r="0" b="0"/>
                <wp:wrapNone/>
                <wp:docPr id="102" name="文本框 102"/>
                <wp:cNvGraphicFramePr/>
                <a:graphic xmlns:a="http://schemas.openxmlformats.org/drawingml/2006/main">
                  <a:graphicData uri="http://schemas.microsoft.com/office/word/2010/wordprocessingShape">
                    <wps:wsp>
                      <wps:cNvSpPr txBox="1">
                        <a:spLocks noChangeArrowheads="1"/>
                      </wps:cNvSpPr>
                      <wps:spPr bwMode="auto">
                        <a:xfrm>
                          <a:off x="0" y="0"/>
                          <a:ext cx="914400" cy="505460"/>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调整措施项目费的方法</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4.05pt;height:39.8pt;width:72pt;z-index:251999232;mso-width-relative:page;mso-height-relative:page;" filled="f" stroked="f" coordsize="21600,21600" o:gfxdata="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dUWMptQAAAAIAQAADwAAAAAAAAABACAAAAAiAAAAZHJzL2Rvd25yZXYu&#10;eG1sUEsBAhQAFAAAAAgAh07iQBS1LZz/AQAA2AMAAA4AAAAAAAAAAQAgAAAAIwEAAGRycy9lMm9E&#10;b2MueG1sUEsFBgAAAAAGAAYAWQEAAJQFA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调整措施项目费的方法</w:t>
                      </w:r>
                    </w:p>
                  </w:txbxContent>
                </v:textbox>
              </v:shape>
            </w:pict>
          </mc:Fallback>
        </mc:AlternateContent>
      </w:r>
      <w:r>
        <w:rPr>
          <w:rFonts w:hint="eastAsia" w:ascii="宋体" w:hAnsi="宋体" w:cs="宋体"/>
          <w:color w:val="auto"/>
          <w:kern w:val="0"/>
          <w:szCs w:val="21"/>
        </w:rPr>
        <w:t>如果因本条规定工程量偏差使某一分部分项工程费的变化超过10%，且该变化引起措施项目相应发生变化，则发生变化部分的措施项目费应按照第72.3款规定调整。除专用条款另有约定外，应按照下列规定调整发生变化的措施项目费结算价：</w:t>
      </w:r>
    </w:p>
    <w:p>
      <w:pPr>
        <w:tabs>
          <w:tab w:val="left" w:pos="900"/>
        </w:tabs>
        <w:adjustRightInd w:val="0"/>
        <w:snapToGrid w:val="0"/>
        <w:spacing w:line="360" w:lineRule="auto"/>
        <w:ind w:left="2165" w:leftChars="781" w:hanging="525" w:hangingChars="250"/>
        <w:rPr>
          <w:rFonts w:ascii="宋体" w:hAnsi="宋体" w:cs="宋体"/>
          <w:iCs/>
          <w:color w:val="auto"/>
          <w:kern w:val="0"/>
          <w:szCs w:val="21"/>
        </w:rPr>
      </w:pPr>
      <w:r>
        <w:rPr>
          <w:rFonts w:hint="eastAsia" w:ascii="宋体" w:hAnsi="宋体" w:cs="宋体"/>
          <w:color w:val="auto"/>
          <w:kern w:val="0"/>
          <w:szCs w:val="21"/>
        </w:rPr>
        <w:t>（1）当</w:t>
      </w:r>
      <w:r>
        <w:rPr>
          <w:rFonts w:hint="eastAsia" w:ascii="宋体" w:hAnsi="宋体" w:cs="宋体"/>
          <w:iCs/>
          <w:color w:val="auto"/>
          <w:kern w:val="0"/>
          <w:szCs w:val="21"/>
        </w:rPr>
        <w:t>S</w:t>
      </w:r>
      <w:r>
        <w:rPr>
          <w:rFonts w:hint="eastAsia" w:ascii="宋体" w:hAnsi="宋体" w:cs="宋体"/>
          <w:iCs/>
          <w:color w:val="auto"/>
          <w:kern w:val="0"/>
          <w:szCs w:val="21"/>
          <w:vertAlign w:val="subscript"/>
        </w:rPr>
        <w:t>1</w:t>
      </w:r>
      <w:r>
        <w:rPr>
          <w:rFonts w:hint="eastAsia" w:ascii="宋体" w:hAnsi="宋体" w:cs="宋体"/>
          <w:iCs/>
          <w:color w:val="auto"/>
          <w:kern w:val="0"/>
          <w:szCs w:val="21"/>
        </w:rPr>
        <w:t>﹥</w:t>
      </w:r>
      <w:r>
        <w:rPr>
          <w:rFonts w:hint="eastAsia" w:ascii="宋体" w:hAnsi="宋体" w:cs="宋体"/>
          <w:color w:val="auto"/>
          <w:kern w:val="0"/>
          <w:szCs w:val="21"/>
        </w:rPr>
        <w:t>1.1</w:t>
      </w:r>
      <w:r>
        <w:rPr>
          <w:rFonts w:hint="eastAsia" w:ascii="宋体" w:hAnsi="宋体" w:cs="宋体"/>
          <w:iCs/>
          <w:color w:val="auto"/>
          <w:kern w:val="0"/>
          <w:szCs w:val="21"/>
        </w:rPr>
        <w:t>S</w:t>
      </w:r>
      <w:r>
        <w:rPr>
          <w:rFonts w:hint="eastAsia" w:ascii="宋体" w:hAnsi="宋体" w:cs="宋体"/>
          <w:iCs/>
          <w:color w:val="auto"/>
          <w:kern w:val="0"/>
          <w:szCs w:val="21"/>
          <w:vertAlign w:val="subscript"/>
        </w:rPr>
        <w:t>0</w:t>
      </w:r>
      <w:r>
        <w:rPr>
          <w:rFonts w:hint="eastAsia" w:ascii="宋体" w:hAnsi="宋体" w:cs="宋体"/>
          <w:color w:val="auto"/>
          <w:kern w:val="0"/>
          <w:szCs w:val="21"/>
        </w:rPr>
        <w:t>时，</w:t>
      </w:r>
      <w:r>
        <w:rPr>
          <w:rFonts w:hint="eastAsia" w:ascii="宋体" w:hAnsi="宋体" w:cs="宋体"/>
          <w:iCs/>
          <w:color w:val="auto"/>
          <w:kern w:val="0"/>
          <w:szCs w:val="21"/>
        </w:rPr>
        <w:t>M</w:t>
      </w:r>
      <w:r>
        <w:rPr>
          <w:rFonts w:hint="eastAsia" w:ascii="宋体" w:hAnsi="宋体" w:cs="宋体"/>
          <w:iCs/>
          <w:color w:val="auto"/>
          <w:kern w:val="0"/>
          <w:szCs w:val="21"/>
          <w:vertAlign w:val="subscript"/>
        </w:rPr>
        <w:t>1</w:t>
      </w:r>
      <w:r>
        <w:rPr>
          <w:rFonts w:hint="eastAsia" w:ascii="宋体" w:hAnsi="宋体" w:cs="宋体"/>
          <w:iCs/>
          <w:color w:val="auto"/>
          <w:kern w:val="0"/>
          <w:szCs w:val="21"/>
        </w:rPr>
        <w:t>=M</w:t>
      </w:r>
      <w:r>
        <w:rPr>
          <w:rFonts w:hint="eastAsia" w:ascii="宋体" w:hAnsi="宋体" w:cs="宋体"/>
          <w:iCs/>
          <w:color w:val="auto"/>
          <w:kern w:val="0"/>
          <w:szCs w:val="21"/>
          <w:vertAlign w:val="subscript"/>
        </w:rPr>
        <w:t>0</w:t>
      </w:r>
      <w:r>
        <w:rPr>
          <w:rFonts w:hint="eastAsia" w:ascii="宋体" w:hAnsi="宋体" w:cs="宋体"/>
          <w:iCs/>
          <w:color w:val="auto"/>
          <w:kern w:val="0"/>
          <w:szCs w:val="21"/>
        </w:rPr>
        <w:t>+△M</w:t>
      </w:r>
    </w:p>
    <w:p>
      <w:pPr>
        <w:adjustRightInd w:val="0"/>
        <w:snapToGrid w:val="0"/>
        <w:spacing w:line="360" w:lineRule="auto"/>
        <w:ind w:left="2165" w:leftChars="781" w:hanging="525" w:hangingChars="250"/>
        <w:rPr>
          <w:rFonts w:ascii="宋体" w:hAnsi="宋体" w:cs="宋体"/>
          <w:iCs/>
          <w:color w:val="auto"/>
          <w:kern w:val="0"/>
          <w:szCs w:val="21"/>
        </w:rPr>
      </w:pPr>
      <w:r>
        <w:rPr>
          <w:rFonts w:hint="eastAsia" w:ascii="宋体" w:hAnsi="宋体" w:cs="宋体"/>
          <w:color w:val="auto"/>
          <w:kern w:val="0"/>
          <w:szCs w:val="21"/>
        </w:rPr>
        <w:t>（2）当S</w:t>
      </w:r>
      <w:r>
        <w:rPr>
          <w:rFonts w:hint="eastAsia" w:ascii="宋体" w:hAnsi="宋体" w:cs="宋体"/>
          <w:color w:val="auto"/>
          <w:kern w:val="0"/>
          <w:szCs w:val="21"/>
          <w:vertAlign w:val="subscript"/>
        </w:rPr>
        <w:t>1</w:t>
      </w:r>
      <w:r>
        <w:rPr>
          <w:rFonts w:hint="eastAsia" w:ascii="宋体" w:hAnsi="宋体" w:cs="宋体"/>
          <w:color w:val="auto"/>
          <w:kern w:val="0"/>
          <w:szCs w:val="21"/>
        </w:rPr>
        <w:t>﹤0.9S</w:t>
      </w:r>
      <w:r>
        <w:rPr>
          <w:rFonts w:hint="eastAsia" w:ascii="宋体" w:hAnsi="宋体" w:cs="宋体"/>
          <w:color w:val="auto"/>
          <w:kern w:val="0"/>
          <w:szCs w:val="21"/>
          <w:vertAlign w:val="subscript"/>
        </w:rPr>
        <w:t>0</w:t>
      </w:r>
      <w:r>
        <w:rPr>
          <w:rFonts w:hint="eastAsia" w:ascii="宋体" w:hAnsi="宋体" w:cs="宋体"/>
          <w:color w:val="auto"/>
          <w:kern w:val="0"/>
          <w:szCs w:val="21"/>
        </w:rPr>
        <w:t>时，</w:t>
      </w:r>
      <w:r>
        <w:rPr>
          <w:rFonts w:hint="eastAsia" w:ascii="宋体" w:hAnsi="宋体" w:cs="宋体"/>
          <w:iCs/>
          <w:color w:val="auto"/>
          <w:kern w:val="0"/>
          <w:szCs w:val="21"/>
        </w:rPr>
        <w:t>M</w:t>
      </w:r>
      <w:r>
        <w:rPr>
          <w:rFonts w:hint="eastAsia" w:ascii="宋体" w:hAnsi="宋体" w:cs="宋体"/>
          <w:iCs/>
          <w:color w:val="auto"/>
          <w:kern w:val="0"/>
          <w:szCs w:val="21"/>
          <w:vertAlign w:val="subscript"/>
        </w:rPr>
        <w:t>1</w:t>
      </w:r>
      <w:r>
        <w:rPr>
          <w:rFonts w:hint="eastAsia" w:ascii="宋体" w:hAnsi="宋体" w:cs="宋体"/>
          <w:iCs/>
          <w:color w:val="auto"/>
          <w:kern w:val="0"/>
          <w:szCs w:val="21"/>
        </w:rPr>
        <w:t>=M</w:t>
      </w:r>
      <w:r>
        <w:rPr>
          <w:rFonts w:hint="eastAsia" w:ascii="宋体" w:hAnsi="宋体" w:cs="宋体"/>
          <w:iCs/>
          <w:color w:val="auto"/>
          <w:kern w:val="0"/>
          <w:szCs w:val="21"/>
          <w:vertAlign w:val="subscript"/>
        </w:rPr>
        <w:t>0</w:t>
      </w:r>
      <w:r>
        <w:rPr>
          <w:rFonts w:hint="eastAsia" w:ascii="宋体" w:hAnsi="宋体" w:cs="宋体"/>
          <w:iCs/>
          <w:color w:val="auto"/>
          <w:kern w:val="0"/>
          <w:szCs w:val="21"/>
        </w:rPr>
        <w:t>–△M</w:t>
      </w:r>
    </w:p>
    <w:p>
      <w:pPr>
        <w:adjustRightInd w:val="0"/>
        <w:snapToGrid w:val="0"/>
        <w:spacing w:line="360" w:lineRule="auto"/>
        <w:ind w:firstLine="1575" w:firstLineChars="750"/>
        <w:rPr>
          <w:rFonts w:ascii="宋体" w:hAnsi="宋体" w:cs="宋体"/>
          <w:color w:val="auto"/>
          <w:kern w:val="0"/>
          <w:szCs w:val="21"/>
        </w:rPr>
      </w:pPr>
      <w:r>
        <w:rPr>
          <w:rFonts w:hint="eastAsia" w:ascii="宋体" w:hAnsi="宋体" w:cs="宋体"/>
          <w:color w:val="auto"/>
          <w:kern w:val="0"/>
          <w:szCs w:val="21"/>
        </w:rPr>
        <w:t>式中</w:t>
      </w:r>
      <w:r>
        <w:rPr>
          <w:rFonts w:hint="eastAsia" w:ascii="宋体" w:hAnsi="宋体" w:cs="宋体"/>
          <w:iCs/>
          <w:color w:val="auto"/>
          <w:kern w:val="0"/>
          <w:szCs w:val="21"/>
        </w:rPr>
        <w:t>M</w:t>
      </w:r>
      <w:r>
        <w:rPr>
          <w:rFonts w:hint="eastAsia" w:ascii="宋体" w:hAnsi="宋体" w:cs="宋体"/>
          <w:iCs/>
          <w:color w:val="auto"/>
          <w:kern w:val="0"/>
          <w:szCs w:val="21"/>
          <w:vertAlign w:val="subscript"/>
        </w:rPr>
        <w:t>1</w:t>
      </w:r>
      <w:r>
        <w:rPr>
          <w:rFonts w:hint="eastAsia" w:ascii="宋体" w:hAnsi="宋体" w:cs="宋体"/>
          <w:iCs/>
          <w:color w:val="auto"/>
          <w:kern w:val="0"/>
          <w:szCs w:val="21"/>
        </w:rPr>
        <w:t>——</w:t>
      </w:r>
      <w:r>
        <w:rPr>
          <w:rFonts w:hint="eastAsia" w:ascii="宋体" w:hAnsi="宋体" w:cs="宋体"/>
          <w:color w:val="auto"/>
          <w:kern w:val="0"/>
          <w:szCs w:val="21"/>
        </w:rPr>
        <w:t>调整后的发生变化措施项目费结算价；</w:t>
      </w:r>
    </w:p>
    <w:p>
      <w:pPr>
        <w:adjustRightInd w:val="0"/>
        <w:snapToGrid w:val="0"/>
        <w:spacing w:line="360" w:lineRule="auto"/>
        <w:ind w:firstLine="1995" w:firstLineChars="950"/>
        <w:rPr>
          <w:rFonts w:ascii="宋体" w:hAnsi="宋体" w:cs="宋体"/>
          <w:color w:val="auto"/>
          <w:kern w:val="0"/>
          <w:szCs w:val="21"/>
        </w:rPr>
      </w:pPr>
      <w:r>
        <w:rPr>
          <w:rFonts w:hint="eastAsia" w:ascii="宋体" w:hAnsi="宋体" w:cs="宋体"/>
          <w:iCs/>
          <w:color w:val="auto"/>
          <w:kern w:val="0"/>
          <w:szCs w:val="21"/>
        </w:rPr>
        <w:t>M</w:t>
      </w:r>
      <w:r>
        <w:rPr>
          <w:rFonts w:hint="eastAsia" w:ascii="宋体" w:hAnsi="宋体" w:cs="宋体"/>
          <w:iCs/>
          <w:color w:val="auto"/>
          <w:kern w:val="0"/>
          <w:szCs w:val="21"/>
          <w:vertAlign w:val="subscript"/>
        </w:rPr>
        <w:t>0</w:t>
      </w:r>
      <w:r>
        <w:rPr>
          <w:rFonts w:hint="eastAsia" w:ascii="宋体" w:hAnsi="宋体" w:cs="宋体"/>
          <w:iCs/>
          <w:color w:val="auto"/>
          <w:kern w:val="0"/>
          <w:szCs w:val="21"/>
        </w:rPr>
        <w:t>——</w:t>
      </w:r>
      <w:r>
        <w:rPr>
          <w:rFonts w:hint="eastAsia" w:ascii="宋体" w:hAnsi="宋体" w:cs="宋体"/>
          <w:color w:val="auto"/>
          <w:kern w:val="0"/>
          <w:szCs w:val="21"/>
        </w:rPr>
        <w:t>承包人在工程量清单中填报的措施项目费；</w:t>
      </w:r>
    </w:p>
    <w:p>
      <w:pPr>
        <w:adjustRightInd w:val="0"/>
        <w:snapToGrid w:val="0"/>
        <w:spacing w:line="360" w:lineRule="auto"/>
        <w:ind w:left="960" w:leftChars="457" w:firstLine="1155" w:firstLineChars="550"/>
        <w:rPr>
          <w:rFonts w:ascii="宋体" w:hAnsi="宋体" w:cs="宋体"/>
          <w:color w:val="auto"/>
          <w:kern w:val="0"/>
          <w:szCs w:val="21"/>
        </w:rPr>
      </w:pPr>
      <w:r>
        <w:rPr>
          <w:rFonts w:hint="eastAsia" w:ascii="MS Mincho" w:hAnsi="MS Mincho" w:eastAsia="MS Mincho" w:cs="MS Mincho"/>
          <w:iCs/>
          <w:color w:val="auto"/>
          <w:kern w:val="0"/>
          <w:szCs w:val="21"/>
        </w:rPr>
        <w:t>∆</w:t>
      </w:r>
      <w:r>
        <w:rPr>
          <w:rFonts w:hint="eastAsia" w:ascii="宋体" w:hAnsi="宋体" w:cs="宋体"/>
          <w:iCs/>
          <w:color w:val="auto"/>
          <w:kern w:val="0"/>
          <w:szCs w:val="21"/>
        </w:rPr>
        <w:t>M——</w:t>
      </w:r>
      <w:r>
        <w:rPr>
          <w:rFonts w:hint="eastAsia" w:ascii="宋体" w:hAnsi="宋体" w:cs="宋体"/>
          <w:color w:val="auto"/>
          <w:kern w:val="0"/>
          <w:szCs w:val="21"/>
        </w:rPr>
        <w:t>按照第72.3款规定调整的发生变化部分的措施项目费；</w:t>
      </w:r>
    </w:p>
    <w:p>
      <w:pPr>
        <w:adjustRightInd w:val="0"/>
        <w:snapToGrid w:val="0"/>
        <w:spacing w:line="360" w:lineRule="auto"/>
        <w:ind w:firstLine="1995" w:firstLineChars="950"/>
        <w:rPr>
          <w:rFonts w:ascii="宋体" w:hAnsi="宋体" w:cs="宋体"/>
          <w:color w:val="auto"/>
          <w:kern w:val="0"/>
          <w:szCs w:val="21"/>
        </w:rPr>
      </w:pPr>
      <w:r>
        <w:rPr>
          <w:rFonts w:hint="eastAsia" w:ascii="宋体" w:hAnsi="宋体" w:cs="宋体"/>
          <w:iCs/>
          <w:color w:val="auto"/>
          <w:kern w:val="0"/>
          <w:szCs w:val="21"/>
        </w:rPr>
        <w:t>S</w:t>
      </w:r>
      <w:r>
        <w:rPr>
          <w:rFonts w:hint="eastAsia" w:ascii="宋体" w:hAnsi="宋体" w:cs="宋体"/>
          <w:iCs/>
          <w:color w:val="auto"/>
          <w:kern w:val="0"/>
          <w:szCs w:val="21"/>
          <w:vertAlign w:val="subscript"/>
        </w:rPr>
        <w:t>1</w:t>
      </w:r>
      <w:r>
        <w:rPr>
          <w:rFonts w:hint="eastAsia" w:ascii="宋体" w:hAnsi="宋体" w:cs="宋体"/>
          <w:iCs/>
          <w:color w:val="auto"/>
          <w:kern w:val="0"/>
          <w:szCs w:val="21"/>
        </w:rPr>
        <w:t>——</w:t>
      </w:r>
      <w:r>
        <w:rPr>
          <w:rFonts w:hint="eastAsia" w:ascii="宋体" w:hAnsi="宋体" w:cs="宋体"/>
          <w:color w:val="auto"/>
          <w:kern w:val="0"/>
          <w:szCs w:val="21"/>
        </w:rPr>
        <w:t>调整后的某一分部分项工程费结算价；</w:t>
      </w:r>
    </w:p>
    <w:p>
      <w:pPr>
        <w:adjustRightInd w:val="0"/>
        <w:snapToGrid w:val="0"/>
        <w:spacing w:line="360" w:lineRule="auto"/>
        <w:ind w:firstLine="1995" w:firstLineChars="950"/>
        <w:rPr>
          <w:rFonts w:ascii="宋体" w:hAnsi="宋体" w:cs="宋体"/>
          <w:iCs/>
          <w:color w:val="auto"/>
          <w:kern w:val="0"/>
          <w:szCs w:val="21"/>
        </w:rPr>
      </w:pPr>
      <w:r>
        <w:rPr>
          <w:rFonts w:hint="eastAsia" w:ascii="宋体" w:hAnsi="宋体" w:cs="宋体"/>
          <w:iCs/>
          <w:color w:val="auto"/>
          <w:kern w:val="0"/>
          <w:szCs w:val="21"/>
        </w:rPr>
        <w:t>S</w:t>
      </w:r>
      <w:r>
        <w:rPr>
          <w:rFonts w:hint="eastAsia" w:ascii="宋体" w:hAnsi="宋体" w:cs="宋体"/>
          <w:iCs/>
          <w:color w:val="auto"/>
          <w:kern w:val="0"/>
          <w:szCs w:val="21"/>
          <w:vertAlign w:val="subscript"/>
        </w:rPr>
        <w:t>0</w:t>
      </w:r>
      <w:r>
        <w:rPr>
          <w:rFonts w:hint="eastAsia" w:ascii="宋体" w:hAnsi="宋体" w:cs="宋体"/>
          <w:iCs/>
          <w:color w:val="auto"/>
          <w:kern w:val="0"/>
          <w:szCs w:val="21"/>
        </w:rPr>
        <w:t>——</w:t>
      </w:r>
      <w:r>
        <w:rPr>
          <w:rFonts w:hint="eastAsia" w:ascii="宋体" w:hAnsi="宋体" w:cs="宋体"/>
          <w:color w:val="auto"/>
          <w:kern w:val="0"/>
          <w:szCs w:val="21"/>
        </w:rPr>
        <w:t>承包人报价文件对应的某一分部分项工程费。</w:t>
      </w:r>
    </w:p>
    <w:p>
      <w:pPr>
        <w:tabs>
          <w:tab w:val="left" w:pos="1620"/>
        </w:tabs>
        <w:rPr>
          <w:rFonts w:ascii="宋体" w:hAnsi="宋体" w:cs="宋体"/>
          <w:b/>
          <w:color w:val="auto"/>
          <w:szCs w:val="21"/>
          <w:u w:val="single"/>
        </w:rPr>
      </w:pPr>
      <w:r>
        <w:rPr>
          <w:rFonts w:hint="eastAsia" w:ascii="宋体" w:hAnsi="宋体" w:cs="宋体"/>
          <w:b/>
          <w:color w:val="auto"/>
          <w:szCs w:val="21"/>
          <w:u w:val="single"/>
        </w:rPr>
        <w:t xml:space="preserve">                                                                                       </w:t>
      </w:r>
    </w:p>
    <w:p>
      <w:pPr>
        <w:tabs>
          <w:tab w:val="left" w:pos="540"/>
        </w:tabs>
        <w:adjustRightInd w:val="0"/>
        <w:snapToGrid w:val="0"/>
        <w:spacing w:beforeLines="100" w:line="240" w:lineRule="exact"/>
        <w:ind w:right="-238" w:firstLine="601"/>
        <w:rPr>
          <w:rFonts w:ascii="宋体" w:hAnsi="宋体" w:cs="宋体"/>
          <w:b/>
          <w:color w:val="auto"/>
          <w:kern w:val="0"/>
          <w:szCs w:val="21"/>
        </w:rPr>
      </w:pPr>
    </w:p>
    <w:p>
      <w:pPr>
        <w:tabs>
          <w:tab w:val="left" w:pos="540"/>
        </w:tabs>
        <w:adjustRightInd w:val="0"/>
        <w:snapToGrid w:val="0"/>
        <w:spacing w:beforeLines="100" w:line="360" w:lineRule="auto"/>
        <w:ind w:right="-238"/>
        <w:rPr>
          <w:rFonts w:ascii="宋体" w:hAnsi="宋体" w:cs="宋体"/>
          <w:b/>
          <w:color w:val="auto"/>
          <w:kern w:val="0"/>
          <w:szCs w:val="21"/>
        </w:rPr>
      </w:pPr>
      <w:r>
        <w:rPr>
          <w:rFonts w:hint="eastAsia" w:ascii="宋体" w:hAnsi="宋体" w:cs="宋体"/>
          <w:b/>
          <w:color w:val="auto"/>
          <w:kern w:val="0"/>
          <w:szCs w:val="21"/>
        </w:rPr>
        <w:t>74  费用索赔事件</w:t>
      </w:r>
    </w:p>
    <w:p>
      <w:pPr>
        <w:adjustRightInd w:val="0"/>
        <w:snapToGrid w:val="0"/>
        <w:spacing w:line="360" w:lineRule="auto"/>
        <w:rPr>
          <w:rFonts w:ascii="宋体" w:hAnsi="宋体" w:cs="宋体"/>
          <w:b/>
          <w:color w:val="auto"/>
          <w:kern w:val="0"/>
          <w:szCs w:val="21"/>
        </w:rPr>
      </w:pPr>
      <w:r>
        <w:rPr>
          <w:rFonts w:hint="eastAsia" w:ascii="宋体" w:hAnsi="宋体" w:cs="宋体"/>
          <w:b/>
          <w:color w:val="auto"/>
          <w:kern w:val="0"/>
          <w:szCs w:val="21"/>
        </w:rPr>
        <w:t xml:space="preserve">74.1      </w:t>
      </w:r>
    </w:p>
    <w:p>
      <w:pPr>
        <w:adjustRightInd w:val="0"/>
        <w:snapToGrid w:val="0"/>
        <w:spacing w:line="360" w:lineRule="auto"/>
        <w:ind w:left="1619" w:leftChars="771"/>
        <w:rPr>
          <w:rFonts w:ascii="宋体" w:hAnsi="宋体" w:cs="宋体"/>
          <w:color w:val="auto"/>
          <w:kern w:val="0"/>
          <w:szCs w:val="21"/>
        </w:rPr>
      </w:pPr>
      <w:r>
        <w:rPr>
          <w:rFonts w:ascii="宋体" w:hAnsi="宋体" w:cs="宋体"/>
          <w:color w:val="auto"/>
          <w:kern w:val="0"/>
          <w:szCs w:val="21"/>
        </w:rPr>
        <mc:AlternateContent>
          <mc:Choice Requires="wps">
            <w:drawing>
              <wp:anchor distT="0" distB="0" distL="114300" distR="114300" simplePos="0" relativeHeight="252032000" behindDoc="0" locked="0" layoutInCell="1" allowOverlap="1">
                <wp:simplePos x="0" y="0"/>
                <wp:positionH relativeFrom="column">
                  <wp:posOffset>-114300</wp:posOffset>
                </wp:positionH>
                <wp:positionV relativeFrom="paragraph">
                  <wp:posOffset>15875</wp:posOffset>
                </wp:positionV>
                <wp:extent cx="914400" cy="396240"/>
                <wp:effectExtent l="0" t="0" r="0" b="0"/>
                <wp:wrapNone/>
                <wp:docPr id="101" name="文本框 101"/>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索赔的价款调整</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5pt;height:31.2pt;width:72pt;z-index:252032000;mso-width-relative:page;mso-height-relative:page;" filled="f" stroked="f" coordsize="21600,21600" o:gfxdata="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A/P8HDVAAAACAEAAA8AAAAAAAAAAQAgAAAAIgAAAGRycy9kb3ducmV2&#10;LnhtbFBLAQIUABQAAAAIAIdO4kAIgUYX/wEAANgDAAAOAAAAAAAAAAEAIAAAACQBAABkcnMvZTJv&#10;RG9jLnhtbFBLBQYAAAAABgAGAFkBAACVBQ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索赔的价款调整</w:t>
                      </w:r>
                    </w:p>
                  </w:txbxContent>
                </v:textbox>
              </v:shape>
            </w:pict>
          </mc:Fallback>
        </mc:AlternateContent>
      </w:r>
      <w:r>
        <w:rPr>
          <w:rFonts w:hint="eastAsia" w:ascii="宋体" w:hAnsi="宋体" w:cs="宋体"/>
          <w:color w:val="auto"/>
          <w:kern w:val="0"/>
          <w:szCs w:val="21"/>
        </w:rPr>
        <w:t>费用索赔是指合同履行期间，对于非自己过错而应由对方当事人承担责任的情况造成的损失，向对方当事人提出经济补偿要求的行为。</w:t>
      </w:r>
    </w:p>
    <w:p>
      <w:pPr>
        <w:adjustRightInd w:val="0"/>
        <w:snapToGrid w:val="0"/>
        <w:spacing w:line="360" w:lineRule="auto"/>
        <w:ind w:left="1619" w:leftChars="771"/>
        <w:rPr>
          <w:rFonts w:ascii="宋体" w:hAnsi="宋体" w:cs="宋体"/>
          <w:color w:val="auto"/>
          <w:kern w:val="0"/>
          <w:szCs w:val="21"/>
        </w:rPr>
      </w:pPr>
      <w:r>
        <w:rPr>
          <w:rFonts w:hint="eastAsia" w:ascii="宋体" w:hAnsi="宋体" w:cs="宋体"/>
          <w:color w:val="auto"/>
          <w:kern w:val="0"/>
          <w:szCs w:val="21"/>
        </w:rPr>
        <w:t>合同履行期间，出现费用索赔事件的，合同双方当事人应调整合同价款。</w:t>
      </w:r>
    </w:p>
    <w:p>
      <w:pPr>
        <w:adjustRightInd w:val="0"/>
        <w:snapToGrid w:val="0"/>
        <w:spacing w:line="360" w:lineRule="auto"/>
        <w:rPr>
          <w:rFonts w:ascii="宋体" w:hAnsi="宋体" w:cs="宋体"/>
          <w:b/>
          <w:color w:val="auto"/>
          <w:kern w:val="0"/>
          <w:szCs w:val="21"/>
        </w:rPr>
      </w:pPr>
      <w:r>
        <w:rPr>
          <w:rFonts w:hint="eastAsia" w:ascii="宋体" w:hAnsi="宋体" w:cs="宋体"/>
          <w:b/>
          <w:color w:val="auto"/>
          <w:kern w:val="0"/>
          <w:szCs w:val="21"/>
        </w:rPr>
        <w:t xml:space="preserve">74.2  </w:t>
      </w:r>
      <w:r>
        <w:rPr>
          <w:rFonts w:hint="eastAsia" w:ascii="宋体" w:hAnsi="宋体" w:cs="宋体"/>
          <w:b/>
          <w:color w:val="auto"/>
          <w:kern w:val="0"/>
          <w:szCs w:val="21"/>
          <w:u w:val="dotted"/>
        </w:rPr>
        <w:t xml:space="preserve">                                                                                      </w:t>
      </w:r>
      <w:r>
        <w:rPr>
          <w:rFonts w:hint="eastAsia" w:ascii="宋体" w:hAnsi="宋体" w:cs="宋体"/>
          <w:b/>
          <w:color w:val="auto"/>
          <w:kern w:val="0"/>
          <w:szCs w:val="21"/>
        </w:rPr>
        <w:t xml:space="preserve">      </w:t>
      </w:r>
    </w:p>
    <w:p>
      <w:pPr>
        <w:adjustRightInd w:val="0"/>
        <w:snapToGrid w:val="0"/>
        <w:spacing w:line="360" w:lineRule="auto"/>
        <w:ind w:left="1619" w:leftChars="771"/>
        <w:rPr>
          <w:rFonts w:ascii="宋体" w:hAnsi="宋体" w:cs="宋体"/>
          <w:color w:val="auto"/>
          <w:kern w:val="0"/>
          <w:szCs w:val="21"/>
        </w:rPr>
      </w:pPr>
      <w:r>
        <w:rPr>
          <w:rFonts w:ascii="宋体" w:hAnsi="宋体" w:cs="宋体"/>
          <w:color w:val="auto"/>
          <w:kern w:val="0"/>
          <w:szCs w:val="21"/>
        </w:rPr>
        <mc:AlternateContent>
          <mc:Choice Requires="wps">
            <w:drawing>
              <wp:anchor distT="0" distB="0" distL="114300" distR="114300" simplePos="0" relativeHeight="252000256" behindDoc="0" locked="0" layoutInCell="1" allowOverlap="1">
                <wp:simplePos x="0" y="0"/>
                <wp:positionH relativeFrom="column">
                  <wp:posOffset>-114300</wp:posOffset>
                </wp:positionH>
                <wp:positionV relativeFrom="paragraph">
                  <wp:posOffset>15875</wp:posOffset>
                </wp:positionV>
                <wp:extent cx="914400" cy="396240"/>
                <wp:effectExtent l="0" t="0" r="0" b="0"/>
                <wp:wrapNone/>
                <wp:docPr id="100" name="文本框 100"/>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发出索赔意向书</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5pt;height:31.2pt;width:72pt;z-index:252000256;mso-width-relative:page;mso-height-relative:page;" filled="f" stroked="f" coordsize="21600,21600" o:gfxdata="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D8/wcNUAAAAIAQAADwAAAAAAAAABACAAAAAiAAAAZHJzL2Rvd25yZXYu&#10;eG1sUEsBAhQAFAAAAAgAh07iQIxe8RP+AQAA2AMAAA4AAAAAAAAAAQAgAAAAJAEAAGRycy9lMm9E&#10;b2MueG1sUEsFBgAAAAAGAAYAWQEAAJQFA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发出索赔意向书</w:t>
                      </w:r>
                    </w:p>
                  </w:txbxContent>
                </v:textbox>
              </v:shape>
            </w:pict>
          </mc:Fallback>
        </mc:AlternateContent>
      </w:r>
      <w:r>
        <w:rPr>
          <w:rFonts w:hint="eastAsia" w:ascii="宋体" w:hAnsi="宋体" w:cs="宋体"/>
          <w:color w:val="auto"/>
          <w:kern w:val="0"/>
          <w:szCs w:val="21"/>
        </w:rPr>
        <w:t>如果承包人根据合同约定提出任何费用或其它形式的损失索赔时，应在该索赔事件首次发生之后的14天内向造价工程师发出索赔意向书，并抄送发包人。</w:t>
      </w:r>
    </w:p>
    <w:p>
      <w:pPr>
        <w:adjustRightInd w:val="0"/>
        <w:snapToGrid w:val="0"/>
        <w:spacing w:line="360" w:lineRule="auto"/>
        <w:rPr>
          <w:rFonts w:ascii="宋体" w:hAnsi="宋体" w:cs="宋体"/>
          <w:b/>
          <w:color w:val="auto"/>
          <w:kern w:val="0"/>
          <w:szCs w:val="21"/>
        </w:rPr>
      </w:pPr>
      <w:r>
        <w:rPr>
          <w:rFonts w:hint="eastAsia" w:ascii="宋体" w:hAnsi="宋体" w:cs="宋体"/>
          <w:b/>
          <w:color w:val="auto"/>
          <w:kern w:val="0"/>
          <w:szCs w:val="21"/>
        </w:rPr>
        <w:t xml:space="preserve">74.3  </w:t>
      </w:r>
      <w:r>
        <w:rPr>
          <w:rFonts w:hint="eastAsia" w:ascii="宋体" w:hAnsi="宋体" w:cs="宋体"/>
          <w:b/>
          <w:color w:val="auto"/>
          <w:kern w:val="0"/>
          <w:szCs w:val="21"/>
          <w:u w:val="dotted"/>
        </w:rPr>
        <w:t xml:space="preserve">                                                                                                        </w:t>
      </w:r>
    </w:p>
    <w:p>
      <w:pPr>
        <w:adjustRightInd w:val="0"/>
        <w:snapToGrid w:val="0"/>
        <w:spacing w:line="360" w:lineRule="auto"/>
        <w:ind w:left="1619" w:leftChars="771"/>
        <w:rPr>
          <w:rFonts w:ascii="宋体" w:hAnsi="宋体" w:cs="宋体"/>
          <w:color w:val="auto"/>
          <w:kern w:val="0"/>
          <w:szCs w:val="21"/>
        </w:rPr>
      </w:pPr>
      <w:r>
        <w:rPr>
          <w:rFonts w:ascii="宋体" w:hAnsi="宋体" w:cs="宋体"/>
          <w:color w:val="auto"/>
          <w:kern w:val="0"/>
          <w:szCs w:val="21"/>
        </w:rPr>
        <mc:AlternateContent>
          <mc:Choice Requires="wps">
            <w:drawing>
              <wp:anchor distT="0" distB="0" distL="114300" distR="114300" simplePos="0" relativeHeight="252001280" behindDoc="0" locked="0" layoutInCell="1" allowOverlap="1">
                <wp:simplePos x="0" y="0"/>
                <wp:positionH relativeFrom="column">
                  <wp:posOffset>-114300</wp:posOffset>
                </wp:positionH>
                <wp:positionV relativeFrom="paragraph">
                  <wp:posOffset>635</wp:posOffset>
                </wp:positionV>
                <wp:extent cx="914400" cy="522605"/>
                <wp:effectExtent l="0" t="0" r="0" b="0"/>
                <wp:wrapNone/>
                <wp:docPr id="99" name="文本框 99"/>
                <wp:cNvGraphicFramePr/>
                <a:graphic xmlns:a="http://schemas.openxmlformats.org/drawingml/2006/main">
                  <a:graphicData uri="http://schemas.microsoft.com/office/word/2010/wordprocessingShape">
                    <wps:wsp>
                      <wps:cNvSpPr txBox="1">
                        <a:spLocks noChangeArrowheads="1"/>
                      </wps:cNvSpPr>
                      <wps:spPr bwMode="auto">
                        <a:xfrm>
                          <a:off x="0" y="0"/>
                          <a:ext cx="914400" cy="522605"/>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索赔记录的保存和审查</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05pt;height:41.15pt;width:72pt;z-index:252001280;mso-width-relative:page;mso-height-relative:page;" filled="f" stroked="f" coordsize="21600,21600" o:gfxdata="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3TZAp0wAAAAcBAAAPAAAAAAAAAAEAIAAAACIAAABkcnMvZG93bnJldi54&#10;bWxQSwECFAAUAAAACACHTuJAc8Eb+v8BAADWAwAADgAAAAAAAAABACAAAAAiAQAAZHJzL2Uyb0Rv&#10;Yy54bWxQSwUGAAAAAAYABgBZAQAAkwU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索赔记录的保存和审查</w:t>
                      </w:r>
                    </w:p>
                  </w:txbxContent>
                </v:textbox>
              </v:shape>
            </w:pict>
          </mc:Fallback>
        </mc:AlternateContent>
      </w:r>
      <w:r>
        <w:rPr>
          <w:rFonts w:hint="eastAsia" w:ascii="宋体" w:hAnsi="宋体" w:cs="宋体"/>
          <w:color w:val="auto"/>
          <w:kern w:val="0"/>
          <w:szCs w:val="21"/>
        </w:rPr>
        <w:t>在索赔事件发生时，承包人应保存当时的记录，作为申请索赔的凭证。造价工程师在接到索赔意向书时，无需确认是否属于发包人责任，应先审查记录并可要求承包人进一步作好补充记录。承包人应配合造价工程师审查其记录，在造价工程师有要求时，应当向造价工程师提供记录的复印件。</w:t>
      </w:r>
    </w:p>
    <w:p>
      <w:pPr>
        <w:adjustRightInd w:val="0"/>
        <w:snapToGrid w:val="0"/>
        <w:spacing w:line="360" w:lineRule="auto"/>
        <w:rPr>
          <w:rFonts w:ascii="宋体" w:hAnsi="宋体" w:cs="宋体"/>
          <w:color w:val="auto"/>
          <w:kern w:val="0"/>
          <w:szCs w:val="21"/>
        </w:rPr>
      </w:pPr>
      <w:r>
        <w:rPr>
          <w:rFonts w:hint="eastAsia" w:ascii="宋体" w:hAnsi="宋体" w:cs="宋体"/>
          <w:b/>
          <w:color w:val="auto"/>
          <w:kern w:val="0"/>
          <w:szCs w:val="21"/>
        </w:rPr>
        <w:t xml:space="preserve">74.4 </w:t>
      </w:r>
      <w:r>
        <w:rPr>
          <w:rFonts w:hint="eastAsia" w:ascii="宋体" w:hAnsi="宋体" w:cs="宋体"/>
          <w:color w:val="auto"/>
          <w:kern w:val="0"/>
          <w:szCs w:val="21"/>
        </w:rPr>
        <w:t xml:space="preserve"> </w:t>
      </w:r>
      <w:r>
        <w:rPr>
          <w:rFonts w:hint="eastAsia" w:ascii="宋体" w:hAnsi="宋体" w:cs="宋体"/>
          <w:color w:val="auto"/>
          <w:kern w:val="0"/>
          <w:szCs w:val="21"/>
          <w:u w:val="dotted"/>
        </w:rPr>
        <w:t xml:space="preserve">                                                                                                        </w:t>
      </w:r>
    </w:p>
    <w:p>
      <w:pPr>
        <w:adjustRightInd w:val="0"/>
        <w:snapToGrid w:val="0"/>
        <w:spacing w:line="360" w:lineRule="auto"/>
        <w:ind w:left="1619" w:leftChars="771"/>
        <w:rPr>
          <w:rFonts w:ascii="宋体" w:hAnsi="宋体" w:cs="宋体"/>
          <w:color w:val="auto"/>
          <w:kern w:val="0"/>
          <w:szCs w:val="21"/>
        </w:rPr>
      </w:pPr>
      <w:r>
        <w:rPr>
          <w:rFonts w:ascii="宋体" w:hAnsi="宋体" w:cs="宋体"/>
          <w:color w:val="auto"/>
          <w:kern w:val="0"/>
          <w:szCs w:val="21"/>
        </w:rPr>
        <mc:AlternateContent>
          <mc:Choice Requires="wps">
            <w:drawing>
              <wp:anchor distT="0" distB="0" distL="114300" distR="114300" simplePos="0" relativeHeight="252002304" behindDoc="0" locked="0" layoutInCell="1" allowOverlap="1">
                <wp:simplePos x="0" y="0"/>
                <wp:positionH relativeFrom="column">
                  <wp:posOffset>-114300</wp:posOffset>
                </wp:positionH>
                <wp:positionV relativeFrom="paragraph">
                  <wp:posOffset>5080</wp:posOffset>
                </wp:positionV>
                <wp:extent cx="1028700" cy="480060"/>
                <wp:effectExtent l="0" t="0" r="0" b="0"/>
                <wp:wrapNone/>
                <wp:docPr id="98" name="文本框 98"/>
                <wp:cNvGraphicFramePr/>
                <a:graphic xmlns:a="http://schemas.openxmlformats.org/drawingml/2006/main">
                  <a:graphicData uri="http://schemas.microsoft.com/office/word/2010/wordprocessingShape">
                    <wps:wsp>
                      <wps:cNvSpPr txBox="1">
                        <a:spLocks noChangeArrowheads="1"/>
                      </wps:cNvSpPr>
                      <wps:spPr bwMode="auto">
                        <a:xfrm>
                          <a:off x="0" y="0"/>
                          <a:ext cx="1028700" cy="480060"/>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提交费用索赔</w:t>
                            </w:r>
                          </w:p>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报告</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4pt;height:37.8pt;width:81pt;z-index:252002304;mso-width-relative:page;mso-height-relative:page;" filled="f" stroked="f" coordsize="21600,21600" o:gfxdata="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mGayXNMAAAAHAQAADwAAAAAAAAABACAAAAAiAAAAZHJzL2Rvd25yZXYu&#10;eG1sUEsBAhQAFAAAAAgAh07iQCcZaVYAAgAA1wMAAA4AAAAAAAAAAQAgAAAAIgEAAGRycy9lMm9E&#10;b2MueG1sUEsFBgAAAAAGAAYAWQEAAJQFA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提交费用索赔</w:t>
                      </w:r>
                    </w:p>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报告</w:t>
                      </w:r>
                    </w:p>
                  </w:txbxContent>
                </v:textbox>
              </v:shape>
            </w:pict>
          </mc:Fallback>
        </mc:AlternateContent>
      </w:r>
      <w:r>
        <w:rPr>
          <w:rFonts w:hint="eastAsia" w:ascii="宋体" w:hAnsi="宋体" w:cs="宋体"/>
          <w:color w:val="auto"/>
          <w:kern w:val="0"/>
          <w:szCs w:val="21"/>
        </w:rPr>
        <w:t>在发出索赔意向书后的14天内，承包人应向造价工程师提交费用索赔报告和有关资料。如果索赔事件持续进行，承包人应每隔7天向造价工程师发出索赔意向书，在索赔事件终结后的14天内，提交最终费用索赔报告和有关资料。</w:t>
      </w:r>
    </w:p>
    <w:p>
      <w:pPr>
        <w:adjustRightInd w:val="0"/>
        <w:snapToGrid w:val="0"/>
        <w:spacing w:line="360" w:lineRule="auto"/>
        <w:rPr>
          <w:rFonts w:ascii="宋体" w:hAnsi="宋体" w:cs="宋体"/>
          <w:b/>
          <w:color w:val="auto"/>
          <w:kern w:val="0"/>
          <w:szCs w:val="21"/>
        </w:rPr>
      </w:pPr>
      <w:r>
        <w:rPr>
          <w:rFonts w:ascii="宋体" w:hAnsi="宋体" w:cs="宋体"/>
          <w:color w:val="auto"/>
          <w:kern w:val="0"/>
          <w:szCs w:val="21"/>
        </w:rPr>
        <mc:AlternateContent>
          <mc:Choice Requires="wps">
            <w:drawing>
              <wp:anchor distT="0" distB="0" distL="114300" distR="114300" simplePos="0" relativeHeight="252003328" behindDoc="0" locked="0" layoutInCell="1" allowOverlap="1">
                <wp:simplePos x="0" y="0"/>
                <wp:positionH relativeFrom="column">
                  <wp:posOffset>-114300</wp:posOffset>
                </wp:positionH>
                <wp:positionV relativeFrom="paragraph">
                  <wp:posOffset>250825</wp:posOffset>
                </wp:positionV>
                <wp:extent cx="800100" cy="324485"/>
                <wp:effectExtent l="0" t="0" r="0" b="0"/>
                <wp:wrapNone/>
                <wp:docPr id="97" name="文本框 97"/>
                <wp:cNvGraphicFramePr/>
                <a:graphic xmlns:a="http://schemas.openxmlformats.org/drawingml/2006/main">
                  <a:graphicData uri="http://schemas.microsoft.com/office/word/2010/wordprocessingShape">
                    <wps:wsp>
                      <wps:cNvSpPr txBox="1">
                        <a:spLocks noChangeArrowheads="1"/>
                      </wps:cNvSpPr>
                      <wps:spPr bwMode="auto">
                        <a:xfrm>
                          <a:off x="0" y="0"/>
                          <a:ext cx="800100" cy="324485"/>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无权索赔</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75pt;height:25.55pt;width:63pt;z-index:252003328;mso-width-relative:page;mso-height-relative:page;" filled="f" stroked="f" coordsize="21600,21600" o:gfxdata="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XDV2otYAAAAJAQAADwAAAAAAAAABACAAAAAiAAAAZHJzL2Rvd25y&#10;ZXYueG1sUEsBAhQAFAAAAAgAh07iQA6bd6gAAgAA1gMAAA4AAAAAAAAAAQAgAAAAJQEAAGRycy9l&#10;Mm9Eb2MueG1sUEsFBgAAAAAGAAYAWQEAAJcFA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无权索赔</w:t>
                      </w:r>
                    </w:p>
                  </w:txbxContent>
                </v:textbox>
              </v:shape>
            </w:pict>
          </mc:Fallback>
        </mc:AlternateContent>
      </w:r>
      <w:r>
        <w:rPr>
          <w:rFonts w:hint="eastAsia" w:ascii="宋体" w:hAnsi="宋体" w:cs="宋体"/>
          <w:b/>
          <w:color w:val="auto"/>
          <w:kern w:val="0"/>
          <w:szCs w:val="21"/>
        </w:rPr>
        <w:t xml:space="preserve">74.5  </w:t>
      </w:r>
      <w:r>
        <w:rPr>
          <w:rFonts w:hint="eastAsia" w:ascii="宋体" w:hAnsi="宋体" w:cs="宋体"/>
          <w:b/>
          <w:color w:val="auto"/>
          <w:kern w:val="0"/>
          <w:szCs w:val="21"/>
          <w:u w:val="dotted"/>
        </w:rPr>
        <w:t xml:space="preserve">                                                                                                        </w:t>
      </w:r>
    </w:p>
    <w:p>
      <w:pPr>
        <w:adjustRightInd w:val="0"/>
        <w:snapToGrid w:val="0"/>
        <w:spacing w:line="360" w:lineRule="auto"/>
        <w:ind w:left="1619" w:leftChars="771"/>
        <w:rPr>
          <w:rFonts w:ascii="宋体" w:hAnsi="宋体" w:cs="宋体"/>
          <w:b/>
          <w:color w:val="auto"/>
          <w:kern w:val="0"/>
          <w:szCs w:val="21"/>
        </w:rPr>
      </w:pPr>
      <w:r>
        <w:rPr>
          <w:rFonts w:hint="eastAsia" w:ascii="宋体" w:hAnsi="宋体" w:cs="宋体"/>
          <w:color w:val="auto"/>
          <w:kern w:val="0"/>
          <w:szCs w:val="21"/>
        </w:rPr>
        <w:t>如果承包人提出的索赔未能遵守第74.2款至第74.4款规定，则承包人无权获得索赔或只限于获得由造价工程师按照提供记录予以核实的部分款额。</w:t>
      </w:r>
    </w:p>
    <w:p>
      <w:pPr>
        <w:adjustRightInd w:val="0"/>
        <w:snapToGrid w:val="0"/>
        <w:spacing w:line="360" w:lineRule="auto"/>
        <w:rPr>
          <w:rFonts w:ascii="宋体" w:hAnsi="宋体" w:cs="宋体"/>
          <w:b/>
          <w:color w:val="auto"/>
          <w:kern w:val="0"/>
          <w:szCs w:val="21"/>
        </w:rPr>
      </w:pPr>
      <w:r>
        <w:rPr>
          <w:rFonts w:hint="eastAsia" w:ascii="宋体" w:hAnsi="宋体" w:cs="宋体"/>
          <w:b/>
          <w:color w:val="auto"/>
          <w:kern w:val="0"/>
          <w:szCs w:val="21"/>
        </w:rPr>
        <w:t xml:space="preserve">74.6  </w:t>
      </w:r>
      <w:r>
        <w:rPr>
          <w:rFonts w:hint="eastAsia" w:ascii="宋体" w:hAnsi="宋体" w:cs="宋体"/>
          <w:b/>
          <w:color w:val="auto"/>
          <w:kern w:val="0"/>
          <w:szCs w:val="21"/>
          <w:u w:val="dotted"/>
        </w:rPr>
        <w:t xml:space="preserve">                                                                                                        </w:t>
      </w:r>
    </w:p>
    <w:p>
      <w:pPr>
        <w:adjustRightInd w:val="0"/>
        <w:snapToGrid w:val="0"/>
        <w:spacing w:line="360" w:lineRule="auto"/>
        <w:ind w:left="1619" w:leftChars="771"/>
        <w:rPr>
          <w:rFonts w:ascii="宋体" w:hAnsi="宋体" w:cs="宋体"/>
          <w:b/>
          <w:color w:val="auto"/>
          <w:kern w:val="0"/>
          <w:szCs w:val="21"/>
        </w:rPr>
      </w:pPr>
      <w:r>
        <w:rPr>
          <w:rFonts w:ascii="宋体" w:hAnsi="宋体" w:cs="宋体"/>
          <w:color w:val="auto"/>
          <w:kern w:val="0"/>
          <w:szCs w:val="21"/>
        </w:rPr>
        <mc:AlternateContent>
          <mc:Choice Requires="wps">
            <w:drawing>
              <wp:anchor distT="0" distB="0" distL="114300" distR="114300" simplePos="0" relativeHeight="252004352" behindDoc="0" locked="0" layoutInCell="1" allowOverlap="1">
                <wp:simplePos x="0" y="0"/>
                <wp:positionH relativeFrom="column">
                  <wp:posOffset>-114300</wp:posOffset>
                </wp:positionH>
                <wp:positionV relativeFrom="paragraph">
                  <wp:posOffset>8255</wp:posOffset>
                </wp:positionV>
                <wp:extent cx="914400" cy="438785"/>
                <wp:effectExtent l="0" t="0" r="0" b="0"/>
                <wp:wrapNone/>
                <wp:docPr id="96" name="文本框 96"/>
                <wp:cNvGraphicFramePr/>
                <a:graphic xmlns:a="http://schemas.openxmlformats.org/drawingml/2006/main">
                  <a:graphicData uri="http://schemas.microsoft.com/office/word/2010/wordprocessingShape">
                    <wps:wsp>
                      <wps:cNvSpPr txBox="1">
                        <a:spLocks noChangeArrowheads="1"/>
                      </wps:cNvSpPr>
                      <wps:spPr bwMode="auto">
                        <a:xfrm>
                          <a:off x="0" y="0"/>
                          <a:ext cx="914400" cy="438785"/>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核实费用索赔报告的限制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65pt;height:34.55pt;width:72pt;z-index:252004352;mso-width-relative:page;mso-height-relative:page;" filled="f" stroked="f" coordsize="21600,21600" o:gfxdata="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r/00F1QAAAAgBAAAPAAAAAAAAAAEAIAAAACIAAABkcnMvZG93bnJl&#10;di54bWxQSwECFAAUAAAACACHTuJANz+/0gACAADWAwAADgAAAAAAAAABACAAAAAkAQAAZHJzL2Uy&#10;b0RvYy54bWxQSwUGAAAAAAYABgBZAQAAlgU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核实费用索赔报告的限制</w:t>
                      </w:r>
                    </w:p>
                  </w:txbxContent>
                </v:textbox>
              </v:shape>
            </w:pict>
          </mc:Fallback>
        </mc:AlternateContent>
      </w:r>
      <w:r>
        <w:rPr>
          <w:rFonts w:hint="eastAsia" w:ascii="宋体" w:hAnsi="宋体" w:cs="宋体"/>
          <w:color w:val="auto"/>
          <w:kern w:val="0"/>
          <w:szCs w:val="21"/>
        </w:rPr>
        <w:t>造价工程师应在收到承包人提交的费用索赔报告和有关资料后的28天内予以核实或要求承包人进一步补充索赔理由和证据，并与合同双方当事人协商确定承包人有权获得的全部或部分的索赔款额；协商不能达成一致的，由造价工程师暂定，通知承包人并抄报发包人。如果造价工程师在规定期限内未予答复也未对承包人作出进一步要求，视为该费用索赔报告已经被认可。</w:t>
      </w:r>
    </w:p>
    <w:p>
      <w:pPr>
        <w:adjustRightInd w:val="0"/>
        <w:snapToGrid w:val="0"/>
        <w:spacing w:line="360" w:lineRule="auto"/>
        <w:rPr>
          <w:rFonts w:ascii="宋体" w:hAnsi="宋体" w:cs="宋体"/>
          <w:b/>
          <w:color w:val="auto"/>
          <w:kern w:val="0"/>
          <w:szCs w:val="21"/>
        </w:rPr>
      </w:pPr>
      <w:r>
        <w:rPr>
          <w:rFonts w:hint="eastAsia" w:ascii="宋体" w:hAnsi="宋体" w:cs="宋体"/>
          <w:b/>
          <w:color w:val="auto"/>
          <w:kern w:val="0"/>
          <w:szCs w:val="21"/>
        </w:rPr>
        <w:t xml:space="preserve">74.7  </w:t>
      </w:r>
      <w:r>
        <w:rPr>
          <w:rFonts w:hint="eastAsia" w:ascii="宋体" w:hAnsi="宋体" w:cs="宋体"/>
          <w:b/>
          <w:color w:val="auto"/>
          <w:kern w:val="0"/>
          <w:szCs w:val="21"/>
          <w:u w:val="dotted"/>
        </w:rPr>
        <w:t xml:space="preserve">                                                                                                        </w:t>
      </w:r>
    </w:p>
    <w:p>
      <w:pPr>
        <w:adjustRightInd w:val="0"/>
        <w:snapToGrid w:val="0"/>
        <w:spacing w:line="360" w:lineRule="auto"/>
        <w:ind w:left="1619" w:leftChars="771"/>
        <w:rPr>
          <w:rFonts w:ascii="宋体" w:hAnsi="宋体" w:cs="宋体"/>
          <w:color w:val="auto"/>
          <w:kern w:val="0"/>
          <w:szCs w:val="21"/>
        </w:rPr>
      </w:pPr>
      <w:r>
        <w:rPr>
          <w:rFonts w:ascii="宋体" w:hAnsi="宋体" w:cs="宋体"/>
          <w:color w:val="auto"/>
          <w:kern w:val="0"/>
          <w:szCs w:val="21"/>
        </w:rPr>
        <mc:AlternateContent>
          <mc:Choice Requires="wps">
            <w:drawing>
              <wp:anchor distT="0" distB="0" distL="114300" distR="114300" simplePos="0" relativeHeight="252005376" behindDoc="0" locked="0" layoutInCell="1" allowOverlap="1">
                <wp:simplePos x="0" y="0"/>
                <wp:positionH relativeFrom="column">
                  <wp:posOffset>-114300</wp:posOffset>
                </wp:positionH>
                <wp:positionV relativeFrom="paragraph">
                  <wp:posOffset>38735</wp:posOffset>
                </wp:positionV>
                <wp:extent cx="800100" cy="349885"/>
                <wp:effectExtent l="0" t="0" r="0" b="0"/>
                <wp:wrapNone/>
                <wp:docPr id="95" name="文本框 95"/>
                <wp:cNvGraphicFramePr/>
                <a:graphic xmlns:a="http://schemas.openxmlformats.org/drawingml/2006/main">
                  <a:graphicData uri="http://schemas.microsoft.com/office/word/2010/wordprocessingShape">
                    <wps:wsp>
                      <wps:cNvSpPr txBox="1">
                        <a:spLocks noChangeArrowheads="1"/>
                      </wps:cNvSpPr>
                      <wps:spPr bwMode="auto">
                        <a:xfrm>
                          <a:off x="0" y="0"/>
                          <a:ext cx="800100" cy="349885"/>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反索赔</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05pt;height:27.55pt;width:63pt;z-index:252005376;mso-width-relative:page;mso-height-relative:page;" filled="f" stroked="f" coordsize="21600,21600" o:gfxdata="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PrekmnTAAAACAEAAA8AAAAAAAAAAQAgAAAAIgAAAGRycy9kb3ducmV2&#10;LnhtbFBLAQIUABQAAAAIAIdO4kDhnVs6AQIAANYDAAAOAAAAAAAAAAEAIAAAACIBAABkcnMvZTJv&#10;RG9jLnhtbFBLBQYAAAAABgAGAFkBAACVBQ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反索赔</w:t>
                      </w:r>
                    </w:p>
                  </w:txbxContent>
                </v:textbox>
              </v:shape>
            </w:pict>
          </mc:Fallback>
        </mc:AlternateContent>
      </w:r>
      <w:r>
        <w:rPr>
          <w:rFonts w:hint="eastAsia" w:ascii="宋体" w:hAnsi="宋体" w:cs="宋体"/>
          <w:color w:val="auto"/>
          <w:kern w:val="0"/>
          <w:szCs w:val="21"/>
        </w:rPr>
        <w:t>承包人未能按照合同约定履行各项义务或发生错误，给发包人造成损失，发包人可按照本条规定的时限和要求向承包人提出索赔。</w:t>
      </w:r>
    </w:p>
    <w:p>
      <w:pPr>
        <w:adjustRightInd w:val="0"/>
        <w:snapToGrid w:val="0"/>
        <w:spacing w:line="360" w:lineRule="auto"/>
        <w:rPr>
          <w:rFonts w:ascii="宋体" w:hAnsi="宋体" w:cs="宋体"/>
          <w:b/>
          <w:color w:val="auto"/>
          <w:kern w:val="0"/>
          <w:szCs w:val="21"/>
        </w:rPr>
      </w:pPr>
      <w:r>
        <w:rPr>
          <w:rFonts w:hint="eastAsia" w:ascii="宋体" w:hAnsi="宋体" w:cs="宋体"/>
          <w:b/>
          <w:color w:val="auto"/>
          <w:kern w:val="0"/>
          <w:szCs w:val="21"/>
        </w:rPr>
        <w:t xml:space="preserve">74.8  </w:t>
      </w:r>
      <w:r>
        <w:rPr>
          <w:rFonts w:hint="eastAsia" w:ascii="宋体" w:hAnsi="宋体" w:cs="宋体"/>
          <w:b/>
          <w:color w:val="auto"/>
          <w:kern w:val="0"/>
          <w:szCs w:val="21"/>
          <w:u w:val="dotted"/>
        </w:rPr>
        <w:t xml:space="preserve">                                                                                                        </w:t>
      </w:r>
    </w:p>
    <w:p>
      <w:pPr>
        <w:adjustRightInd w:val="0"/>
        <w:snapToGrid w:val="0"/>
        <w:spacing w:line="360" w:lineRule="auto"/>
        <w:ind w:left="1619" w:leftChars="771"/>
        <w:rPr>
          <w:rFonts w:ascii="宋体" w:hAnsi="宋体" w:cs="宋体"/>
          <w:color w:val="auto"/>
          <w:kern w:val="0"/>
          <w:szCs w:val="21"/>
        </w:rPr>
      </w:pPr>
      <w:r>
        <w:rPr>
          <w:rFonts w:ascii="宋体" w:hAnsi="宋体" w:cs="宋体"/>
          <w:color w:val="auto"/>
          <w:kern w:val="0"/>
          <w:szCs w:val="21"/>
        </w:rPr>
        <mc:AlternateContent>
          <mc:Choice Requires="wps">
            <w:drawing>
              <wp:anchor distT="0" distB="0" distL="114300" distR="114300" simplePos="0" relativeHeight="252006400" behindDoc="0" locked="0" layoutInCell="1" allowOverlap="1">
                <wp:simplePos x="0" y="0"/>
                <wp:positionH relativeFrom="column">
                  <wp:posOffset>-114300</wp:posOffset>
                </wp:positionH>
                <wp:positionV relativeFrom="paragraph">
                  <wp:posOffset>18415</wp:posOffset>
                </wp:positionV>
                <wp:extent cx="914400" cy="622300"/>
                <wp:effectExtent l="0" t="0" r="0" b="0"/>
                <wp:wrapNone/>
                <wp:docPr id="94" name="文本框 94"/>
                <wp:cNvGraphicFramePr/>
                <a:graphic xmlns:a="http://schemas.openxmlformats.org/drawingml/2006/main">
                  <a:graphicData uri="http://schemas.microsoft.com/office/word/2010/wordprocessingShape">
                    <wps:wsp>
                      <wps:cNvSpPr txBox="1">
                        <a:spLocks noChangeArrowheads="1"/>
                      </wps:cNvSpPr>
                      <wps:spPr bwMode="auto">
                        <a:xfrm>
                          <a:off x="0" y="0"/>
                          <a:ext cx="914400" cy="622300"/>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调整价款的确认与支付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45pt;height:49pt;width:72pt;z-index:252006400;mso-width-relative:page;mso-height-relative:page;" filled="f" stroked="f" coordsize="21600,21600" o:gfxdata="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z666a9YAAAAJAQAADwAAAAAAAAABACAAAAAiAAAAZHJzL2Rvd25yZXYu&#10;eG1sUEsBAhQAFAAAAAgAh07iQAAscPf9AQAA1gMAAA4AAAAAAAAAAQAgAAAAJQEAAGRycy9lMm9E&#10;b2MueG1sUEsFBgAAAAAGAAYAWQEAAJQFA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调整价款的确认与支付</w:t>
                      </w:r>
                    </w:p>
                  </w:txbxContent>
                </v:textbox>
              </v:shape>
            </w:pict>
          </mc:Fallback>
        </mc:AlternateContent>
      </w:r>
      <w:r>
        <w:rPr>
          <w:rFonts w:hint="eastAsia" w:ascii="宋体" w:hAnsi="宋体" w:cs="宋体"/>
          <w:color w:val="auto"/>
          <w:kern w:val="0"/>
          <w:szCs w:val="21"/>
        </w:rPr>
        <w:t>费用索赔报告被认可，则表明该事件已索赔成功，合同双方当事人应确认由此引起调整的合同价款，并作为追加（减）合同价款，与工程进度款或结算款同期支付。</w:t>
      </w:r>
    </w:p>
    <w:p>
      <w:pPr>
        <w:adjustRightInd w:val="0"/>
        <w:snapToGrid w:val="0"/>
        <w:ind w:right="-238"/>
        <w:rPr>
          <w:rFonts w:ascii="宋体" w:hAnsi="宋体" w:cs="宋体"/>
          <w:b/>
          <w:color w:val="auto"/>
          <w:kern w:val="0"/>
          <w:szCs w:val="21"/>
          <w:u w:val="single"/>
        </w:rPr>
      </w:pPr>
      <w:r>
        <w:rPr>
          <w:rFonts w:hint="eastAsia" w:ascii="宋体" w:hAnsi="宋体" w:cs="宋体"/>
          <w:b/>
          <w:color w:val="auto"/>
          <w:kern w:val="0"/>
          <w:szCs w:val="21"/>
          <w:u w:val="single"/>
        </w:rPr>
        <w:t xml:space="preserve">                                                                                 </w:t>
      </w:r>
    </w:p>
    <w:p>
      <w:pPr>
        <w:tabs>
          <w:tab w:val="left" w:pos="1620"/>
        </w:tabs>
        <w:rPr>
          <w:rFonts w:ascii="宋体" w:hAnsi="宋体" w:cs="宋体"/>
          <w:color w:val="auto"/>
          <w:szCs w:val="21"/>
        </w:rPr>
      </w:pPr>
    </w:p>
    <w:p>
      <w:pPr>
        <w:tabs>
          <w:tab w:val="left" w:pos="540"/>
        </w:tabs>
        <w:adjustRightInd w:val="0"/>
        <w:snapToGrid w:val="0"/>
        <w:spacing w:beforeLines="100" w:line="360" w:lineRule="auto"/>
        <w:ind w:right="-238"/>
        <w:rPr>
          <w:rFonts w:ascii="宋体" w:hAnsi="宋体" w:cs="宋体"/>
          <w:b/>
          <w:color w:val="auto"/>
          <w:kern w:val="0"/>
          <w:szCs w:val="21"/>
        </w:rPr>
      </w:pPr>
      <w:r>
        <w:rPr>
          <w:rFonts w:hint="eastAsia" w:ascii="宋体" w:hAnsi="宋体" w:cs="宋体"/>
          <w:b/>
          <w:color w:val="auto"/>
          <w:kern w:val="0"/>
          <w:szCs w:val="21"/>
        </w:rPr>
        <w:t>75  现场签证事件</w:t>
      </w:r>
    </w:p>
    <w:p>
      <w:pPr>
        <w:adjustRightInd w:val="0"/>
        <w:snapToGrid w:val="0"/>
        <w:spacing w:line="360" w:lineRule="auto"/>
        <w:rPr>
          <w:rFonts w:ascii="宋体" w:hAnsi="宋体" w:cs="宋体"/>
          <w:b/>
          <w:color w:val="auto"/>
          <w:kern w:val="0"/>
          <w:szCs w:val="21"/>
          <w:u w:val="dotted"/>
        </w:rPr>
      </w:pPr>
      <w:r>
        <w:rPr>
          <w:rFonts w:hint="eastAsia" w:ascii="宋体" w:hAnsi="宋体" w:cs="宋体"/>
          <w:b/>
          <w:color w:val="auto"/>
          <w:kern w:val="0"/>
          <w:szCs w:val="21"/>
        </w:rPr>
        <w:t xml:space="preserve">75.1 </w:t>
      </w:r>
    </w:p>
    <w:p>
      <w:pPr>
        <w:adjustRightInd w:val="0"/>
        <w:snapToGrid w:val="0"/>
        <w:spacing w:line="360" w:lineRule="auto"/>
        <w:ind w:left="1619" w:leftChars="771"/>
        <w:rPr>
          <w:rFonts w:ascii="宋体" w:hAnsi="宋体" w:cs="宋体"/>
          <w:color w:val="auto"/>
          <w:kern w:val="0"/>
          <w:szCs w:val="21"/>
        </w:rPr>
      </w:pPr>
      <w:r>
        <w:rPr>
          <w:rFonts w:ascii="宋体" w:hAnsi="宋体" w:cs="宋体"/>
          <w:color w:val="auto"/>
          <w:kern w:val="0"/>
          <w:szCs w:val="21"/>
        </w:rPr>
        <mc:AlternateContent>
          <mc:Choice Requires="wps">
            <w:drawing>
              <wp:anchor distT="0" distB="0" distL="114300" distR="114300" simplePos="0" relativeHeight="252012544" behindDoc="0" locked="0" layoutInCell="1" allowOverlap="1">
                <wp:simplePos x="0" y="0"/>
                <wp:positionH relativeFrom="column">
                  <wp:posOffset>-114300</wp:posOffset>
                </wp:positionH>
                <wp:positionV relativeFrom="paragraph">
                  <wp:posOffset>5080</wp:posOffset>
                </wp:positionV>
                <wp:extent cx="914400" cy="510540"/>
                <wp:effectExtent l="0" t="0" r="0" b="0"/>
                <wp:wrapNone/>
                <wp:docPr id="93" name="文本框 93"/>
                <wp:cNvGraphicFramePr/>
                <a:graphic xmlns:a="http://schemas.openxmlformats.org/drawingml/2006/main">
                  <a:graphicData uri="http://schemas.microsoft.com/office/word/2010/wordprocessingShape">
                    <wps:wsp>
                      <wps:cNvSpPr txBox="1">
                        <a:spLocks noChangeArrowheads="1"/>
                      </wps:cNvSpPr>
                      <wps:spPr bwMode="auto">
                        <a:xfrm>
                          <a:off x="0" y="0"/>
                          <a:ext cx="914400" cy="510540"/>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现场签证的价款调整</w:t>
                            </w:r>
                          </w:p>
                          <w:p>
                            <w:pPr>
                              <w:rPr>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4pt;height:40.2pt;width:72pt;z-index:252012544;mso-width-relative:page;mso-height-relative:page;" filled="f" stroked="f" coordsize="21600,21600" o:gfxdata="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VbjX+0wAAAAcBAAAPAAAAAAAAAAEAIAAAACIAAABkcnMvZG93bnJldi54&#10;bWxQSwECFAAUAAAACACHTuJA+5hHLP8BAADWAwAADgAAAAAAAAABACAAAAAiAQAAZHJzL2Uyb0Rv&#10;Yy54bWxQSwUGAAAAAAYABgBZAQAAkwU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现场签证的价款调整</w:t>
                      </w:r>
                    </w:p>
                    <w:p>
                      <w:pPr>
                        <w:rPr>
                          <w:szCs w:val="18"/>
                        </w:rPr>
                      </w:pPr>
                    </w:p>
                  </w:txbxContent>
                </v:textbox>
              </v:shape>
            </w:pict>
          </mc:Fallback>
        </mc:AlternateContent>
      </w:r>
      <w:r>
        <w:rPr>
          <w:rFonts w:hint="eastAsia" w:ascii="宋体" w:hAnsi="宋体" w:cs="宋体"/>
          <w:color w:val="auto"/>
          <w:kern w:val="0"/>
          <w:szCs w:val="21"/>
        </w:rPr>
        <w:t>现场签证是指合同双方当事人就施工过程中涉及的责任事件所作的签认证明。</w:t>
      </w:r>
    </w:p>
    <w:p>
      <w:pPr>
        <w:adjustRightInd w:val="0"/>
        <w:snapToGrid w:val="0"/>
        <w:spacing w:line="360" w:lineRule="auto"/>
        <w:ind w:left="1619" w:leftChars="771"/>
        <w:rPr>
          <w:rFonts w:ascii="宋体" w:hAnsi="宋体" w:cs="宋体"/>
          <w:color w:val="auto"/>
          <w:kern w:val="0"/>
          <w:szCs w:val="21"/>
        </w:rPr>
      </w:pPr>
      <w:r>
        <w:rPr>
          <w:rFonts w:hint="eastAsia" w:ascii="宋体" w:hAnsi="宋体" w:cs="宋体"/>
          <w:color w:val="auto"/>
          <w:kern w:val="0"/>
          <w:szCs w:val="21"/>
        </w:rPr>
        <w:t>合同履行期间，出现现场签证事件的，合同双方当事人应调整合同价款。</w:t>
      </w:r>
    </w:p>
    <w:p>
      <w:pPr>
        <w:adjustRightInd w:val="0"/>
        <w:snapToGrid w:val="0"/>
        <w:spacing w:line="360" w:lineRule="auto"/>
        <w:rPr>
          <w:rFonts w:ascii="宋体" w:hAnsi="宋体" w:cs="宋体"/>
          <w:b/>
          <w:bCs/>
          <w:color w:val="auto"/>
          <w:kern w:val="0"/>
          <w:szCs w:val="21"/>
        </w:rPr>
      </w:pPr>
      <w:r>
        <w:rPr>
          <w:rFonts w:hint="eastAsia" w:ascii="宋体" w:hAnsi="宋体" w:cs="宋体"/>
          <w:b/>
          <w:color w:val="auto"/>
          <w:kern w:val="0"/>
          <w:szCs w:val="21"/>
        </w:rPr>
        <w:t xml:space="preserve">75.2  </w:t>
      </w:r>
      <w:r>
        <w:rPr>
          <w:rFonts w:hint="eastAsia" w:ascii="宋体" w:hAnsi="宋体" w:cs="宋体"/>
          <w:b/>
          <w:color w:val="auto"/>
          <w:kern w:val="0"/>
          <w:szCs w:val="21"/>
          <w:u w:val="dotted"/>
        </w:rPr>
        <w:t xml:space="preserve">                                                                          </w:t>
      </w:r>
    </w:p>
    <w:p>
      <w:pPr>
        <w:adjustRightInd w:val="0"/>
        <w:snapToGrid w:val="0"/>
        <w:spacing w:line="360" w:lineRule="auto"/>
        <w:ind w:left="1617" w:leftChars="770" w:firstLine="1"/>
        <w:rPr>
          <w:rFonts w:ascii="宋体" w:hAnsi="宋体" w:cs="宋体"/>
          <w:color w:val="auto"/>
          <w:kern w:val="0"/>
          <w:szCs w:val="21"/>
        </w:rPr>
      </w:pPr>
      <w:r>
        <w:rPr>
          <w:rFonts w:ascii="宋体" w:hAnsi="宋体" w:cs="宋体"/>
          <w:color w:val="auto"/>
          <w:kern w:val="0"/>
          <w:szCs w:val="21"/>
        </w:rPr>
        <mc:AlternateContent>
          <mc:Choice Requires="wps">
            <w:drawing>
              <wp:anchor distT="0" distB="0" distL="114300" distR="114300" simplePos="0" relativeHeight="252007424" behindDoc="0" locked="0" layoutInCell="1" allowOverlap="1">
                <wp:simplePos x="0" y="0"/>
                <wp:positionH relativeFrom="column">
                  <wp:posOffset>-114300</wp:posOffset>
                </wp:positionH>
                <wp:positionV relativeFrom="paragraph">
                  <wp:posOffset>18415</wp:posOffset>
                </wp:positionV>
                <wp:extent cx="914400" cy="510540"/>
                <wp:effectExtent l="0" t="0" r="0" b="0"/>
                <wp:wrapNone/>
                <wp:docPr id="92" name="文本框 92"/>
                <wp:cNvGraphicFramePr/>
                <a:graphic xmlns:a="http://schemas.openxmlformats.org/drawingml/2006/main">
                  <a:graphicData uri="http://schemas.microsoft.com/office/word/2010/wordprocessingShape">
                    <wps:wsp>
                      <wps:cNvSpPr txBox="1">
                        <a:spLocks noChangeArrowheads="1"/>
                      </wps:cNvSpPr>
                      <wps:spPr bwMode="auto">
                        <a:xfrm>
                          <a:off x="0" y="0"/>
                          <a:ext cx="914400" cy="510540"/>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现场签证的提出</w:t>
                            </w:r>
                          </w:p>
                          <w:p>
                            <w:pPr>
                              <w:rPr>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45pt;height:40.2pt;width:72pt;z-index:252007424;mso-width-relative:page;mso-height-relative:page;" filled="f" stroked="f" coordsize="21600,21600" o:gfxdata="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OGXnnfVAAAACAEAAA8AAAAAAAAAAQAgAAAAIgAAAGRycy9kb3ducmV2&#10;LnhtbFBLAQIUABQAAAAIAIdO4kDIEcNS/wEAANYDAAAOAAAAAAAAAAEAIAAAACQBAABkcnMvZTJv&#10;RG9jLnhtbFBLBQYAAAAABgAGAFkBAACVBQ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现场签证的提出</w:t>
                      </w:r>
                    </w:p>
                    <w:p>
                      <w:pPr>
                        <w:rPr>
                          <w:szCs w:val="18"/>
                        </w:rPr>
                      </w:pPr>
                    </w:p>
                  </w:txbxContent>
                </v:textbox>
              </v:shape>
            </w:pict>
          </mc:Fallback>
        </mc:AlternateContent>
      </w:r>
      <w:r>
        <w:rPr>
          <w:rFonts w:hint="eastAsia" w:ascii="宋体" w:hAnsi="宋体" w:cs="宋体"/>
          <w:color w:val="auto"/>
          <w:kern w:val="0"/>
          <w:szCs w:val="21"/>
        </w:rPr>
        <w:t>承包人应发包人要求完成合同以外的零星项目、非承包人责任事件等工作的，发包人应通知监理工程师及时以书面形式向承包人发出工作指令，提供所需的相关资料；承包人在收到监理工程师书面通知后，应及时向发包人提出现场签证要求。</w:t>
      </w:r>
    </w:p>
    <w:p>
      <w:pPr>
        <w:adjustRightInd w:val="0"/>
        <w:snapToGrid w:val="0"/>
        <w:spacing w:line="360" w:lineRule="auto"/>
        <w:rPr>
          <w:rFonts w:ascii="宋体" w:hAnsi="宋体" w:cs="宋体"/>
          <w:b/>
          <w:bCs/>
          <w:color w:val="auto"/>
          <w:kern w:val="0"/>
          <w:szCs w:val="21"/>
        </w:rPr>
      </w:pPr>
      <w:r>
        <w:rPr>
          <w:rFonts w:hint="eastAsia" w:ascii="宋体" w:hAnsi="宋体" w:cs="宋体"/>
          <w:b/>
          <w:color w:val="auto"/>
          <w:kern w:val="0"/>
          <w:szCs w:val="21"/>
        </w:rPr>
        <w:t xml:space="preserve">75.3  </w:t>
      </w:r>
      <w:r>
        <w:rPr>
          <w:rFonts w:hint="eastAsia" w:ascii="宋体" w:hAnsi="宋体" w:cs="宋体"/>
          <w:b/>
          <w:color w:val="auto"/>
          <w:kern w:val="0"/>
          <w:szCs w:val="21"/>
          <w:u w:val="dotted"/>
        </w:rPr>
        <w:t xml:space="preserve">                                                                          </w:t>
      </w:r>
    </w:p>
    <w:p>
      <w:pPr>
        <w:adjustRightInd w:val="0"/>
        <w:snapToGrid w:val="0"/>
        <w:spacing w:line="360" w:lineRule="auto"/>
        <w:ind w:left="1619" w:leftChars="771"/>
        <w:rPr>
          <w:rFonts w:ascii="宋体" w:hAnsi="宋体" w:cs="宋体"/>
          <w:color w:val="auto"/>
          <w:kern w:val="0"/>
          <w:szCs w:val="21"/>
        </w:rPr>
      </w:pPr>
      <w:r>
        <w:rPr>
          <w:rFonts w:ascii="宋体" w:hAnsi="宋体" w:cs="宋体"/>
          <w:color w:val="auto"/>
          <w:kern w:val="0"/>
          <w:szCs w:val="21"/>
        </w:rPr>
        <mc:AlternateContent>
          <mc:Choice Requires="wps">
            <w:drawing>
              <wp:anchor distT="0" distB="0" distL="114300" distR="114300" simplePos="0" relativeHeight="252008448" behindDoc="0" locked="0" layoutInCell="1" allowOverlap="1">
                <wp:simplePos x="0" y="0"/>
                <wp:positionH relativeFrom="column">
                  <wp:posOffset>-114300</wp:posOffset>
                </wp:positionH>
                <wp:positionV relativeFrom="paragraph">
                  <wp:posOffset>5080</wp:posOffset>
                </wp:positionV>
                <wp:extent cx="914400" cy="510540"/>
                <wp:effectExtent l="0" t="0" r="0" b="0"/>
                <wp:wrapNone/>
                <wp:docPr id="91" name="文本框 91"/>
                <wp:cNvGraphicFramePr/>
                <a:graphic xmlns:a="http://schemas.openxmlformats.org/drawingml/2006/main">
                  <a:graphicData uri="http://schemas.microsoft.com/office/word/2010/wordprocessingShape">
                    <wps:wsp>
                      <wps:cNvSpPr txBox="1">
                        <a:spLocks noChangeArrowheads="1"/>
                      </wps:cNvSpPr>
                      <wps:spPr bwMode="auto">
                        <a:xfrm>
                          <a:off x="0" y="0"/>
                          <a:ext cx="914400" cy="510540"/>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现场签证报告的确认</w:t>
                            </w:r>
                          </w:p>
                          <w:p>
                            <w:pPr>
                              <w:rPr>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4pt;height:40.2pt;width:72pt;z-index:252008448;mso-width-relative:page;mso-height-relative:page;" filled="f" stroked="f" coordsize="21600,21600" o:gfxdata="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VbjX+0wAAAAcBAAAPAAAAAAAAAAEAIAAAACIAAABkcnMvZG93bnJldi54&#10;bWxQSwECFAAUAAAACACHTuJAnYpO0f8BAADWAwAADgAAAAAAAAABACAAAAAiAQAAZHJzL2Uyb0Rv&#10;Yy54bWxQSwUGAAAAAAYABgBZAQAAkwU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现场签证报告的确认</w:t>
                      </w:r>
                    </w:p>
                    <w:p>
                      <w:pPr>
                        <w:rPr>
                          <w:szCs w:val="18"/>
                        </w:rPr>
                      </w:pPr>
                    </w:p>
                  </w:txbxContent>
                </v:textbox>
              </v:shape>
            </w:pict>
          </mc:Fallback>
        </mc:AlternateContent>
      </w:r>
      <w:r>
        <w:rPr>
          <w:rFonts w:hint="eastAsia" w:ascii="宋体" w:hAnsi="宋体" w:cs="宋体"/>
          <w:color w:val="auto"/>
          <w:kern w:val="0"/>
          <w:szCs w:val="21"/>
        </w:rPr>
        <w:t>除专用条款另有约定外，承包人应在收到监理工程师书面通知后的7天内，向发包人提交现场签证报告，并抄送监理工程师、造价工程师。发包人在收到承包人的现场签证报告后，应通知监理工程师、造价工程师对报告内容予以核实，并在收到现场签证报告后的48小时内予以确认或提出修改意见。发包人在收到承包人现场签证报告后的48小时内未确认也未提出修改意见的，视为承包人提交的现场签证报告已被认可。</w:t>
      </w:r>
    </w:p>
    <w:p>
      <w:pPr>
        <w:adjustRightInd w:val="0"/>
        <w:snapToGrid w:val="0"/>
        <w:spacing w:line="360" w:lineRule="auto"/>
        <w:rPr>
          <w:rFonts w:ascii="宋体" w:hAnsi="宋体" w:cs="宋体"/>
          <w:b/>
          <w:bCs/>
          <w:color w:val="auto"/>
          <w:kern w:val="0"/>
          <w:szCs w:val="21"/>
        </w:rPr>
      </w:pPr>
      <w:r>
        <w:rPr>
          <w:rFonts w:hint="eastAsia" w:ascii="宋体" w:hAnsi="宋体" w:cs="宋体"/>
          <w:b/>
          <w:color w:val="auto"/>
          <w:kern w:val="0"/>
          <w:szCs w:val="21"/>
        </w:rPr>
        <w:t xml:space="preserve">75.4  </w:t>
      </w:r>
      <w:r>
        <w:rPr>
          <w:rFonts w:hint="eastAsia" w:ascii="宋体" w:hAnsi="宋体" w:cs="宋体"/>
          <w:b/>
          <w:color w:val="auto"/>
          <w:kern w:val="0"/>
          <w:szCs w:val="21"/>
          <w:u w:val="dotted"/>
        </w:rPr>
        <w:t xml:space="preserve">                                                                          </w:t>
      </w:r>
    </w:p>
    <w:p>
      <w:pPr>
        <w:adjustRightInd w:val="0"/>
        <w:snapToGrid w:val="0"/>
        <w:spacing w:line="360" w:lineRule="auto"/>
        <w:ind w:left="1619" w:leftChars="771"/>
        <w:rPr>
          <w:rFonts w:ascii="宋体" w:hAnsi="宋体" w:cs="宋体"/>
          <w:color w:val="auto"/>
          <w:kern w:val="0"/>
          <w:szCs w:val="21"/>
        </w:rPr>
      </w:pPr>
      <w:r>
        <w:rPr>
          <w:rFonts w:ascii="宋体" w:hAnsi="宋体" w:cs="宋体"/>
          <w:color w:val="auto"/>
          <w:kern w:val="0"/>
          <w:szCs w:val="21"/>
        </w:rPr>
        <mc:AlternateContent>
          <mc:Choice Requires="wps">
            <w:drawing>
              <wp:anchor distT="0" distB="0" distL="114300" distR="114300" simplePos="0" relativeHeight="252009472" behindDoc="0" locked="0" layoutInCell="1" allowOverlap="1">
                <wp:simplePos x="0" y="0"/>
                <wp:positionH relativeFrom="column">
                  <wp:posOffset>-114300</wp:posOffset>
                </wp:positionH>
                <wp:positionV relativeFrom="paragraph">
                  <wp:posOffset>34290</wp:posOffset>
                </wp:positionV>
                <wp:extent cx="914400" cy="480060"/>
                <wp:effectExtent l="0" t="0" r="0" b="0"/>
                <wp:wrapNone/>
                <wp:docPr id="90" name="文本框 90"/>
                <wp:cNvGraphicFramePr/>
                <a:graphic xmlns:a="http://schemas.openxmlformats.org/drawingml/2006/main">
                  <a:graphicData uri="http://schemas.microsoft.com/office/word/2010/wordprocessingShape">
                    <wps:wsp>
                      <wps:cNvSpPr txBox="1">
                        <a:spLocks noChangeArrowheads="1"/>
                      </wps:cNvSpPr>
                      <wps:spPr bwMode="auto">
                        <a:xfrm>
                          <a:off x="0" y="0"/>
                          <a:ext cx="914400" cy="480060"/>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现场签证的要求</w:t>
                            </w:r>
                          </w:p>
                          <w:p>
                            <w:pPr>
                              <w:pStyle w:val="46"/>
                              <w:adjustRightInd w:val="0"/>
                              <w:snapToGrid w:val="0"/>
                              <w:spacing w:line="360" w:lineRule="auto"/>
                              <w:rPr>
                                <w:rFonts w:ascii="Times New Roman" w:hAnsi="Times New Roman"/>
                                <w:b/>
                                <w:bCs/>
                                <w:sz w:val="18"/>
                                <w:szCs w:val="18"/>
                              </w:rPr>
                            </w:pPr>
                          </w:p>
                          <w:p>
                            <w:pPr>
                              <w:rPr>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7pt;height:37.8pt;width:72pt;z-index:252009472;mso-width-relative:page;mso-height-relative:page;" filled="f" stroked="f" coordsize="21600,21600" o:gfxdata="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NzO099UAAAAIAQAADwAAAAAAAAABACAAAAAiAAAAZHJzL2Rvd25yZXYu&#10;eG1sUEsBAhQAFAAAAAgAh07iQCUpBUz+AQAA1gMAAA4AAAAAAAAAAQAgAAAAJAEAAGRycy9lMm9E&#10;b2MueG1sUEsFBgAAAAAGAAYAWQEAAJQFA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现场签证的要求</w:t>
                      </w:r>
                    </w:p>
                    <w:p>
                      <w:pPr>
                        <w:pStyle w:val="46"/>
                        <w:adjustRightInd w:val="0"/>
                        <w:snapToGrid w:val="0"/>
                        <w:spacing w:line="360" w:lineRule="auto"/>
                        <w:rPr>
                          <w:rFonts w:ascii="Times New Roman" w:hAnsi="Times New Roman"/>
                          <w:b/>
                          <w:bCs/>
                          <w:sz w:val="18"/>
                          <w:szCs w:val="18"/>
                        </w:rPr>
                      </w:pPr>
                    </w:p>
                    <w:p>
                      <w:pPr>
                        <w:rPr>
                          <w:szCs w:val="18"/>
                        </w:rPr>
                      </w:pPr>
                    </w:p>
                  </w:txbxContent>
                </v:textbox>
              </v:shape>
            </w:pict>
          </mc:Fallback>
        </mc:AlternateContent>
      </w:r>
      <w:r>
        <w:rPr>
          <w:rFonts w:hint="eastAsia" w:ascii="宋体" w:hAnsi="宋体" w:cs="宋体"/>
          <w:color w:val="auto"/>
          <w:kern w:val="0"/>
          <w:szCs w:val="21"/>
        </w:rPr>
        <w:t>计日工有相应单价或合同中有适用单价的项目，合同双方当事人仅在现场签证报告中列明完成该类项目所需的人工、材料、工程设备和施工设备机械台班的数量。</w:t>
      </w:r>
    </w:p>
    <w:p>
      <w:pPr>
        <w:adjustRightInd w:val="0"/>
        <w:snapToGrid w:val="0"/>
        <w:spacing w:line="360" w:lineRule="auto"/>
        <w:ind w:left="1619" w:leftChars="771"/>
        <w:rPr>
          <w:rFonts w:ascii="宋体" w:hAnsi="宋体" w:cs="宋体"/>
          <w:color w:val="auto"/>
          <w:kern w:val="0"/>
          <w:szCs w:val="21"/>
        </w:rPr>
      </w:pPr>
      <w:r>
        <w:rPr>
          <w:rFonts w:hint="eastAsia" w:ascii="宋体" w:hAnsi="宋体" w:cs="宋体"/>
          <w:color w:val="auto"/>
          <w:kern w:val="0"/>
          <w:szCs w:val="21"/>
        </w:rPr>
        <w:t>计日工没有相应单价或合同中没有适用单价的项目，合同双方当事人应在现场签证报告中列明完成这类项目所需的人工、材料、工程设备和施工设备机械台班的数量和单价。</w:t>
      </w:r>
    </w:p>
    <w:p>
      <w:pPr>
        <w:adjustRightInd w:val="0"/>
        <w:snapToGrid w:val="0"/>
        <w:spacing w:line="480" w:lineRule="auto"/>
        <w:rPr>
          <w:rFonts w:ascii="宋体" w:hAnsi="宋体" w:cs="宋体"/>
          <w:b/>
          <w:bCs/>
          <w:color w:val="auto"/>
          <w:kern w:val="0"/>
          <w:szCs w:val="21"/>
        </w:rPr>
      </w:pPr>
      <w:r>
        <w:rPr>
          <w:rFonts w:hint="eastAsia" w:ascii="宋体" w:hAnsi="宋体" w:cs="宋体"/>
          <w:b/>
          <w:color w:val="auto"/>
          <w:kern w:val="0"/>
          <w:szCs w:val="21"/>
        </w:rPr>
        <w:t xml:space="preserve">75.5  </w:t>
      </w:r>
      <w:r>
        <w:rPr>
          <w:rFonts w:hint="eastAsia" w:ascii="宋体" w:hAnsi="宋体" w:cs="宋体"/>
          <w:b/>
          <w:color w:val="auto"/>
          <w:kern w:val="0"/>
          <w:szCs w:val="21"/>
          <w:u w:val="dotted"/>
        </w:rPr>
        <w:t xml:space="preserve">                                                                          </w:t>
      </w:r>
    </w:p>
    <w:p>
      <w:pPr>
        <w:adjustRightInd w:val="0"/>
        <w:snapToGrid w:val="0"/>
        <w:spacing w:line="360" w:lineRule="auto"/>
        <w:ind w:left="1619" w:leftChars="771"/>
        <w:rPr>
          <w:rFonts w:ascii="宋体" w:hAnsi="宋体" w:cs="宋体"/>
          <w:color w:val="auto"/>
          <w:kern w:val="0"/>
          <w:szCs w:val="21"/>
        </w:rPr>
      </w:pPr>
      <w:r>
        <w:rPr>
          <w:rFonts w:ascii="宋体" w:hAnsi="宋体" w:cs="宋体"/>
          <w:color w:val="auto"/>
          <w:kern w:val="0"/>
          <w:szCs w:val="21"/>
        </w:rPr>
        <mc:AlternateContent>
          <mc:Choice Requires="wps">
            <w:drawing>
              <wp:anchor distT="0" distB="0" distL="114300" distR="114300" simplePos="0" relativeHeight="252011520" behindDoc="0" locked="0" layoutInCell="1" allowOverlap="1">
                <wp:simplePos x="0" y="0"/>
                <wp:positionH relativeFrom="column">
                  <wp:posOffset>-114300</wp:posOffset>
                </wp:positionH>
                <wp:positionV relativeFrom="paragraph">
                  <wp:posOffset>77470</wp:posOffset>
                </wp:positionV>
                <wp:extent cx="914400" cy="480060"/>
                <wp:effectExtent l="0" t="0" r="0" b="0"/>
                <wp:wrapNone/>
                <wp:docPr id="89" name="文本框 89"/>
                <wp:cNvGraphicFramePr/>
                <a:graphic xmlns:a="http://schemas.openxmlformats.org/drawingml/2006/main">
                  <a:graphicData uri="http://schemas.microsoft.com/office/word/2010/wordprocessingShape">
                    <wps:wsp>
                      <wps:cNvSpPr txBox="1">
                        <a:spLocks noChangeArrowheads="1"/>
                      </wps:cNvSpPr>
                      <wps:spPr bwMode="auto">
                        <a:xfrm>
                          <a:off x="0" y="0"/>
                          <a:ext cx="914400" cy="480060"/>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现场签证工作的实施</w:t>
                            </w:r>
                          </w:p>
                          <w:p>
                            <w:pPr>
                              <w:pStyle w:val="46"/>
                              <w:adjustRightInd w:val="0"/>
                              <w:snapToGrid w:val="0"/>
                              <w:rPr>
                                <w:rFonts w:ascii="Times New Roman" w:hAnsi="Times New Roman"/>
                                <w:b/>
                                <w:bCs/>
                                <w:sz w:val="18"/>
                                <w:szCs w:val="18"/>
                              </w:rPr>
                            </w:pPr>
                          </w:p>
                          <w:p>
                            <w:pPr>
                              <w:pStyle w:val="46"/>
                              <w:adjustRightInd w:val="0"/>
                              <w:snapToGrid w:val="0"/>
                              <w:spacing w:line="360" w:lineRule="auto"/>
                              <w:rPr>
                                <w:rFonts w:ascii="Times New Roman" w:hAnsi="Times New Roman"/>
                                <w:b/>
                                <w:bCs/>
                                <w:sz w:val="18"/>
                                <w:szCs w:val="18"/>
                              </w:rPr>
                            </w:pPr>
                          </w:p>
                          <w:p>
                            <w:pPr>
                              <w:rPr>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6.1pt;height:37.8pt;width:72pt;z-index:252011520;mso-width-relative:page;mso-height-relative:page;" filled="f" stroked="f" coordsize="21600,21600" o:gfxdata="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NsenpzWAAAACQEAAA8AAAAAAAAAAQAgAAAAIgAAAGRycy9kb3ducmV2&#10;LnhtbFBLAQIUABQAAAAIAIdO4kCTAOnP/gEAANYDAAAOAAAAAAAAAAEAIAAAACUBAABkcnMvZTJv&#10;RG9jLnhtbFBLBQYAAAAABgAGAFkBAACVBQ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现场签证工作的实施</w:t>
                      </w:r>
                    </w:p>
                    <w:p>
                      <w:pPr>
                        <w:pStyle w:val="46"/>
                        <w:adjustRightInd w:val="0"/>
                        <w:snapToGrid w:val="0"/>
                        <w:rPr>
                          <w:rFonts w:ascii="Times New Roman" w:hAnsi="Times New Roman"/>
                          <w:b/>
                          <w:bCs/>
                          <w:sz w:val="18"/>
                          <w:szCs w:val="18"/>
                        </w:rPr>
                      </w:pPr>
                    </w:p>
                    <w:p>
                      <w:pPr>
                        <w:pStyle w:val="46"/>
                        <w:adjustRightInd w:val="0"/>
                        <w:snapToGrid w:val="0"/>
                        <w:spacing w:line="360" w:lineRule="auto"/>
                        <w:rPr>
                          <w:rFonts w:ascii="Times New Roman" w:hAnsi="Times New Roman"/>
                          <w:b/>
                          <w:bCs/>
                          <w:sz w:val="18"/>
                          <w:szCs w:val="18"/>
                        </w:rPr>
                      </w:pPr>
                    </w:p>
                    <w:p>
                      <w:pPr>
                        <w:rPr>
                          <w:szCs w:val="18"/>
                        </w:rPr>
                      </w:pPr>
                    </w:p>
                  </w:txbxContent>
                </v:textbox>
              </v:shape>
            </w:pict>
          </mc:Fallback>
        </mc:AlternateContent>
      </w:r>
      <w:r>
        <w:rPr>
          <w:rFonts w:hint="eastAsia" w:ascii="宋体" w:hAnsi="宋体" w:cs="宋体"/>
          <w:color w:val="auto"/>
          <w:kern w:val="0"/>
          <w:szCs w:val="21"/>
        </w:rPr>
        <w:t>承包人应在发包人确认现场签证报告后的48小时内，按照监理工程师发出的工作指令及时组织实施相关工作。否则，由此引起的损失和（或）延误的工期由承包人承担。</w:t>
      </w:r>
    </w:p>
    <w:p>
      <w:pPr>
        <w:adjustRightInd w:val="0"/>
        <w:snapToGrid w:val="0"/>
        <w:spacing w:line="480" w:lineRule="auto"/>
        <w:rPr>
          <w:rFonts w:ascii="宋体" w:hAnsi="宋体" w:cs="宋体"/>
          <w:b/>
          <w:color w:val="auto"/>
          <w:kern w:val="0"/>
          <w:szCs w:val="21"/>
          <w:u w:val="dotted"/>
        </w:rPr>
      </w:pPr>
      <w:r>
        <w:rPr>
          <w:rFonts w:hint="eastAsia" w:ascii="宋体" w:hAnsi="宋体" w:cs="宋体"/>
          <w:b/>
          <w:color w:val="auto"/>
          <w:kern w:val="0"/>
          <w:szCs w:val="21"/>
        </w:rPr>
        <w:t xml:space="preserve">75.6  </w:t>
      </w:r>
      <w:r>
        <w:rPr>
          <w:rFonts w:hint="eastAsia" w:ascii="宋体" w:hAnsi="宋体" w:cs="宋体"/>
          <w:b/>
          <w:color w:val="auto"/>
          <w:kern w:val="0"/>
          <w:szCs w:val="21"/>
          <w:u w:val="dotted"/>
        </w:rPr>
        <w:t xml:space="preserve">                                                                           </w:t>
      </w:r>
    </w:p>
    <w:p>
      <w:pPr>
        <w:adjustRightInd w:val="0"/>
        <w:snapToGrid w:val="0"/>
        <w:spacing w:line="360" w:lineRule="auto"/>
        <w:ind w:left="1619" w:leftChars="771"/>
        <w:rPr>
          <w:rFonts w:ascii="宋体" w:hAnsi="宋体" w:cs="宋体"/>
          <w:color w:val="auto"/>
          <w:kern w:val="0"/>
          <w:szCs w:val="21"/>
        </w:rPr>
      </w:pPr>
      <w:r>
        <w:rPr>
          <w:rFonts w:ascii="宋体" w:hAnsi="宋体" w:cs="宋体"/>
          <w:color w:val="auto"/>
          <w:kern w:val="0"/>
          <w:szCs w:val="21"/>
        </w:rPr>
        <mc:AlternateContent>
          <mc:Choice Requires="wps">
            <w:drawing>
              <wp:anchor distT="0" distB="0" distL="114300" distR="114300" simplePos="0" relativeHeight="252010496" behindDoc="0" locked="0" layoutInCell="1" allowOverlap="1">
                <wp:simplePos x="0" y="0"/>
                <wp:positionH relativeFrom="column">
                  <wp:posOffset>-114300</wp:posOffset>
                </wp:positionH>
                <wp:positionV relativeFrom="paragraph">
                  <wp:posOffset>77470</wp:posOffset>
                </wp:positionV>
                <wp:extent cx="914400" cy="480060"/>
                <wp:effectExtent l="0" t="0" r="0" b="0"/>
                <wp:wrapNone/>
                <wp:docPr id="88" name="文本框 88"/>
                <wp:cNvGraphicFramePr/>
                <a:graphic xmlns:a="http://schemas.openxmlformats.org/drawingml/2006/main">
                  <a:graphicData uri="http://schemas.microsoft.com/office/word/2010/wordprocessingShape">
                    <wps:wsp>
                      <wps:cNvSpPr txBox="1">
                        <a:spLocks noChangeArrowheads="1"/>
                      </wps:cNvSpPr>
                      <wps:spPr bwMode="auto">
                        <a:xfrm>
                          <a:off x="0" y="0"/>
                          <a:ext cx="914400" cy="480060"/>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现场签证的限制</w:t>
                            </w:r>
                          </w:p>
                          <w:p>
                            <w:pPr>
                              <w:pStyle w:val="32"/>
                              <w:spacing w:line="200" w:lineRule="exact"/>
                              <w:rPr>
                                <w:rFonts w:ascii="楷体_GB2312" w:hAnsi="宋体" w:eastAsia="楷体_GB2312"/>
                                <w:b/>
                                <w:color w:val="000000"/>
                                <w:sz w:val="18"/>
                                <w:szCs w:val="18"/>
                              </w:rPr>
                            </w:pPr>
                          </w:p>
                          <w:p>
                            <w:pPr>
                              <w:pStyle w:val="46"/>
                              <w:adjustRightInd w:val="0"/>
                              <w:snapToGrid w:val="0"/>
                              <w:spacing w:line="360" w:lineRule="auto"/>
                              <w:rPr>
                                <w:rFonts w:ascii="Times New Roman" w:hAnsi="Times New Roman"/>
                                <w:b/>
                                <w:bCs/>
                                <w:sz w:val="18"/>
                                <w:szCs w:val="18"/>
                              </w:rPr>
                            </w:pPr>
                          </w:p>
                          <w:p>
                            <w:pPr>
                              <w:rPr>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6.1pt;height:37.8pt;width:72pt;z-index:252010496;mso-width-relative:page;mso-height-relative:page;" filled="f" stroked="f" coordsize="21600,21600" o:gfxdata="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2x6enNYAAAAJAQAADwAAAAAAAAABACAAAAAiAAAAZHJzL2Rvd25yZXYu&#10;eG1sUEsBAhQAFAAAAAgAh07iQKCJbbH9AQAA1gMAAA4AAAAAAAAAAQAgAAAAJQEAAGRycy9lMm9E&#10;b2MueG1sUEsFBgAAAAAGAAYAWQEAAJQFA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现场签证的限制</w:t>
                      </w:r>
                    </w:p>
                    <w:p>
                      <w:pPr>
                        <w:pStyle w:val="32"/>
                        <w:spacing w:line="200" w:lineRule="exact"/>
                        <w:rPr>
                          <w:rFonts w:ascii="楷体_GB2312" w:hAnsi="宋体" w:eastAsia="楷体_GB2312"/>
                          <w:b/>
                          <w:color w:val="000000"/>
                          <w:sz w:val="18"/>
                          <w:szCs w:val="18"/>
                        </w:rPr>
                      </w:pPr>
                    </w:p>
                    <w:p>
                      <w:pPr>
                        <w:pStyle w:val="46"/>
                        <w:adjustRightInd w:val="0"/>
                        <w:snapToGrid w:val="0"/>
                        <w:spacing w:line="360" w:lineRule="auto"/>
                        <w:rPr>
                          <w:rFonts w:ascii="Times New Roman" w:hAnsi="Times New Roman"/>
                          <w:b/>
                          <w:bCs/>
                          <w:sz w:val="18"/>
                          <w:szCs w:val="18"/>
                        </w:rPr>
                      </w:pPr>
                    </w:p>
                    <w:p>
                      <w:pPr>
                        <w:rPr>
                          <w:szCs w:val="18"/>
                        </w:rPr>
                      </w:pPr>
                    </w:p>
                  </w:txbxContent>
                </v:textbox>
              </v:shape>
            </w:pict>
          </mc:Fallback>
        </mc:AlternateContent>
      </w:r>
      <w:r>
        <w:rPr>
          <w:rFonts w:hint="eastAsia" w:ascii="宋体" w:hAnsi="宋体" w:cs="宋体"/>
          <w:color w:val="auto"/>
          <w:kern w:val="0"/>
          <w:szCs w:val="21"/>
        </w:rPr>
        <w:t>合同工程发生现场签证事件，未经发包人签证、确认，承包人便擅自实施相关工作的，除非征得发包人同意，否则发生的费用由承包人承担。</w:t>
      </w:r>
    </w:p>
    <w:p>
      <w:pPr>
        <w:adjustRightInd w:val="0"/>
        <w:snapToGrid w:val="0"/>
        <w:spacing w:line="480" w:lineRule="auto"/>
        <w:rPr>
          <w:rFonts w:ascii="宋体" w:hAnsi="宋体" w:cs="宋体"/>
          <w:b/>
          <w:color w:val="auto"/>
          <w:kern w:val="0"/>
          <w:szCs w:val="21"/>
          <w:u w:val="dotted"/>
        </w:rPr>
      </w:pPr>
      <w:r>
        <w:rPr>
          <w:rFonts w:hint="eastAsia" w:ascii="宋体" w:hAnsi="宋体" w:cs="宋体"/>
          <w:b/>
          <w:color w:val="auto"/>
          <w:kern w:val="0"/>
          <w:szCs w:val="21"/>
        </w:rPr>
        <w:t xml:space="preserve">75.7  </w:t>
      </w:r>
      <w:r>
        <w:rPr>
          <w:rFonts w:hint="eastAsia" w:ascii="宋体" w:hAnsi="宋体" w:cs="宋体"/>
          <w:b/>
          <w:color w:val="auto"/>
          <w:kern w:val="0"/>
          <w:szCs w:val="21"/>
          <w:u w:val="dotted"/>
        </w:rPr>
        <w:t xml:space="preserve">                                                                           </w:t>
      </w:r>
    </w:p>
    <w:p>
      <w:pPr>
        <w:adjustRightInd w:val="0"/>
        <w:snapToGrid w:val="0"/>
        <w:spacing w:line="360" w:lineRule="auto"/>
        <w:ind w:left="1619" w:leftChars="771"/>
        <w:rPr>
          <w:rFonts w:ascii="宋体" w:hAnsi="宋体" w:cs="宋体"/>
          <w:color w:val="auto"/>
          <w:kern w:val="0"/>
          <w:szCs w:val="21"/>
        </w:rPr>
      </w:pPr>
      <w:r>
        <w:rPr>
          <w:rFonts w:ascii="宋体" w:hAnsi="宋体" w:cs="宋体"/>
          <w:color w:val="auto"/>
          <w:kern w:val="0"/>
          <w:szCs w:val="21"/>
        </w:rPr>
        <mc:AlternateContent>
          <mc:Choice Requires="wps">
            <w:drawing>
              <wp:anchor distT="0" distB="0" distL="114300" distR="114300" simplePos="0" relativeHeight="252033024" behindDoc="0" locked="0" layoutInCell="1" allowOverlap="1">
                <wp:simplePos x="0" y="0"/>
                <wp:positionH relativeFrom="column">
                  <wp:posOffset>-114300</wp:posOffset>
                </wp:positionH>
                <wp:positionV relativeFrom="paragraph">
                  <wp:posOffset>77470</wp:posOffset>
                </wp:positionV>
                <wp:extent cx="914400" cy="480060"/>
                <wp:effectExtent l="0" t="0" r="0" b="0"/>
                <wp:wrapNone/>
                <wp:docPr id="87" name="文本框 87"/>
                <wp:cNvGraphicFramePr/>
                <a:graphic xmlns:a="http://schemas.openxmlformats.org/drawingml/2006/main">
                  <a:graphicData uri="http://schemas.microsoft.com/office/word/2010/wordprocessingShape">
                    <wps:wsp>
                      <wps:cNvSpPr txBox="1">
                        <a:spLocks noChangeArrowheads="1"/>
                      </wps:cNvSpPr>
                      <wps:spPr bwMode="auto">
                        <a:xfrm>
                          <a:off x="0" y="0"/>
                          <a:ext cx="914400" cy="480060"/>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调整价款的确认与支付</w:t>
                            </w:r>
                          </w:p>
                          <w:p>
                            <w:pPr>
                              <w:pStyle w:val="46"/>
                              <w:adjustRightInd w:val="0"/>
                              <w:snapToGrid w:val="0"/>
                              <w:rPr>
                                <w:rFonts w:ascii="Times New Roman" w:hAnsi="Times New Roman"/>
                                <w:b/>
                                <w:bCs/>
                                <w:sz w:val="18"/>
                                <w:szCs w:val="18"/>
                              </w:rPr>
                            </w:pPr>
                          </w:p>
                          <w:p>
                            <w:pPr>
                              <w:pStyle w:val="46"/>
                              <w:adjustRightInd w:val="0"/>
                              <w:snapToGrid w:val="0"/>
                              <w:spacing w:line="360" w:lineRule="auto"/>
                              <w:rPr>
                                <w:rFonts w:ascii="Times New Roman" w:hAnsi="Times New Roman"/>
                                <w:b/>
                                <w:bCs/>
                                <w:sz w:val="18"/>
                                <w:szCs w:val="18"/>
                              </w:rPr>
                            </w:pPr>
                          </w:p>
                          <w:p>
                            <w:pPr>
                              <w:rPr>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6.1pt;height:37.8pt;width:72pt;z-index:252033024;mso-width-relative:page;mso-height-relative:page;" filled="f" stroked="f" coordsize="21600,21600" o:gfxdata="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NsenpzWAAAACQEAAA8AAAAAAAAAAQAgAAAAIgAAAGRycy9kb3ducmV2&#10;LnhtbFBLAQIUABQAAAAIAIdO4kBidUVR/gEAANYDAAAOAAAAAAAAAAEAIAAAACUBAABkcnMvZTJv&#10;RG9jLnhtbFBLBQYAAAAABgAGAFkBAACVBQ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调整价款的确认与支付</w:t>
                      </w:r>
                    </w:p>
                    <w:p>
                      <w:pPr>
                        <w:pStyle w:val="46"/>
                        <w:adjustRightInd w:val="0"/>
                        <w:snapToGrid w:val="0"/>
                        <w:rPr>
                          <w:rFonts w:ascii="Times New Roman" w:hAnsi="Times New Roman"/>
                          <w:b/>
                          <w:bCs/>
                          <w:sz w:val="18"/>
                          <w:szCs w:val="18"/>
                        </w:rPr>
                      </w:pPr>
                    </w:p>
                    <w:p>
                      <w:pPr>
                        <w:pStyle w:val="46"/>
                        <w:adjustRightInd w:val="0"/>
                        <w:snapToGrid w:val="0"/>
                        <w:spacing w:line="360" w:lineRule="auto"/>
                        <w:rPr>
                          <w:rFonts w:ascii="Times New Roman" w:hAnsi="Times New Roman"/>
                          <w:b/>
                          <w:bCs/>
                          <w:sz w:val="18"/>
                          <w:szCs w:val="18"/>
                        </w:rPr>
                      </w:pPr>
                    </w:p>
                    <w:p>
                      <w:pPr>
                        <w:rPr>
                          <w:szCs w:val="18"/>
                        </w:rPr>
                      </w:pPr>
                    </w:p>
                  </w:txbxContent>
                </v:textbox>
              </v:shape>
            </w:pict>
          </mc:Fallback>
        </mc:AlternateContent>
      </w:r>
      <w:r>
        <w:rPr>
          <w:rFonts w:hint="eastAsia" w:ascii="宋体" w:hAnsi="宋体" w:cs="宋体"/>
          <w:color w:val="auto"/>
          <w:kern w:val="0"/>
          <w:szCs w:val="21"/>
        </w:rPr>
        <w:t>现场签证工作完成后的48小时内，合同双方当事人应确认由此引起调整的合同价款，并作为追加合同价款，与工程进度款同期支付。</w:t>
      </w:r>
    </w:p>
    <w:p>
      <w:pPr>
        <w:adjustRightInd w:val="0"/>
        <w:snapToGrid w:val="0"/>
        <w:spacing w:line="240" w:lineRule="exact"/>
        <w:rPr>
          <w:rFonts w:ascii="宋体" w:hAnsi="宋体" w:cs="宋体"/>
          <w:b/>
          <w:color w:val="auto"/>
          <w:kern w:val="0"/>
          <w:szCs w:val="21"/>
          <w:u w:val="single"/>
        </w:rPr>
      </w:pPr>
      <w:r>
        <w:rPr>
          <w:rFonts w:hint="eastAsia" w:ascii="宋体" w:hAnsi="宋体" w:cs="宋体"/>
          <w:b/>
          <w:color w:val="auto"/>
          <w:kern w:val="0"/>
          <w:szCs w:val="21"/>
          <w:u w:val="single"/>
        </w:rPr>
        <w:t xml:space="preserve">                                                                              </w:t>
      </w:r>
    </w:p>
    <w:p>
      <w:pPr>
        <w:tabs>
          <w:tab w:val="left" w:pos="540"/>
        </w:tabs>
        <w:adjustRightInd w:val="0"/>
        <w:snapToGrid w:val="0"/>
        <w:spacing w:line="240" w:lineRule="exact"/>
        <w:ind w:right="-238"/>
        <w:rPr>
          <w:rFonts w:ascii="宋体" w:hAnsi="宋体" w:cs="宋体"/>
          <w:color w:val="auto"/>
          <w:kern w:val="0"/>
          <w:szCs w:val="21"/>
        </w:rPr>
      </w:pPr>
    </w:p>
    <w:p>
      <w:pPr>
        <w:tabs>
          <w:tab w:val="left" w:pos="540"/>
        </w:tabs>
        <w:adjustRightInd w:val="0"/>
        <w:snapToGrid w:val="0"/>
        <w:spacing w:beforeLines="100" w:line="360" w:lineRule="auto"/>
        <w:ind w:right="-238"/>
        <w:rPr>
          <w:rFonts w:ascii="宋体" w:hAnsi="宋体" w:cs="宋体"/>
          <w:b/>
          <w:color w:val="auto"/>
          <w:kern w:val="0"/>
          <w:szCs w:val="21"/>
        </w:rPr>
      </w:pPr>
      <w:r>
        <w:rPr>
          <w:rFonts w:hint="eastAsia" w:ascii="宋体" w:hAnsi="宋体" w:cs="宋体"/>
          <w:b/>
          <w:color w:val="auto"/>
          <w:kern w:val="0"/>
          <w:szCs w:val="21"/>
        </w:rPr>
        <w:t>76  物价涨落事件</w:t>
      </w:r>
    </w:p>
    <w:p>
      <w:pPr>
        <w:adjustRightInd w:val="0"/>
        <w:snapToGrid w:val="0"/>
        <w:spacing w:line="360" w:lineRule="auto"/>
        <w:rPr>
          <w:rFonts w:ascii="宋体" w:hAnsi="宋体" w:cs="宋体"/>
          <w:b/>
          <w:color w:val="auto"/>
          <w:kern w:val="0"/>
          <w:szCs w:val="21"/>
        </w:rPr>
      </w:pPr>
      <w:r>
        <w:rPr>
          <w:rFonts w:ascii="宋体" w:hAnsi="宋体" w:cs="宋体"/>
          <w:color w:val="auto"/>
          <w:kern w:val="0"/>
          <w:szCs w:val="21"/>
        </w:rPr>
        <mc:AlternateContent>
          <mc:Choice Requires="wps">
            <w:drawing>
              <wp:anchor distT="0" distB="0" distL="114300" distR="114300" simplePos="0" relativeHeight="252022784" behindDoc="0" locked="0" layoutInCell="1" allowOverlap="1">
                <wp:simplePos x="0" y="0"/>
                <wp:positionH relativeFrom="column">
                  <wp:posOffset>-114300</wp:posOffset>
                </wp:positionH>
                <wp:positionV relativeFrom="paragraph">
                  <wp:posOffset>274320</wp:posOffset>
                </wp:positionV>
                <wp:extent cx="914400" cy="591185"/>
                <wp:effectExtent l="0" t="0" r="0" b="0"/>
                <wp:wrapNone/>
                <wp:docPr id="86" name="文本框 86"/>
                <wp:cNvGraphicFramePr/>
                <a:graphic xmlns:a="http://schemas.openxmlformats.org/drawingml/2006/main">
                  <a:graphicData uri="http://schemas.microsoft.com/office/word/2010/wordprocessingShape">
                    <wps:wsp>
                      <wps:cNvSpPr txBox="1">
                        <a:spLocks noChangeArrowheads="1"/>
                      </wps:cNvSpPr>
                      <wps:spPr bwMode="auto">
                        <a:xfrm>
                          <a:off x="0" y="0"/>
                          <a:ext cx="914400" cy="591185"/>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物价涨落的价款调整</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1.6pt;height:46.55pt;width:72pt;z-index:252022784;mso-width-relative:page;mso-height-relative:page;" filled="f" stroked="f" coordsize="21600,21600" o:gfxdata="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Nsyqi3XAAAACgEAAA8AAAAAAAAAAQAgAAAAIgAAAGRycy9kb3du&#10;cmV2LnhtbFBLAQIUABQAAAAIAIdO4kCMw8QfAAIAANYDAAAOAAAAAAAAAAEAIAAAACYBAABkcnMv&#10;ZTJvRG9jLnhtbFBLBQYAAAAABgAGAFkBAACYBQ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物价涨落的价款调整</w:t>
                      </w:r>
                    </w:p>
                  </w:txbxContent>
                </v:textbox>
              </v:shape>
            </w:pict>
          </mc:Fallback>
        </mc:AlternateContent>
      </w:r>
      <w:r>
        <w:rPr>
          <w:rFonts w:hint="eastAsia" w:ascii="宋体" w:hAnsi="宋体" w:cs="宋体"/>
          <w:b/>
          <w:color w:val="auto"/>
          <w:kern w:val="0"/>
          <w:szCs w:val="21"/>
        </w:rPr>
        <w:t xml:space="preserve">76.1      </w:t>
      </w:r>
    </w:p>
    <w:p>
      <w:pPr>
        <w:adjustRightInd w:val="0"/>
        <w:snapToGrid w:val="0"/>
        <w:spacing w:line="420" w:lineRule="exact"/>
        <w:ind w:left="1619" w:leftChars="771"/>
        <w:rPr>
          <w:rFonts w:ascii="宋体" w:hAnsi="宋体" w:cs="宋体"/>
          <w:color w:val="auto"/>
          <w:kern w:val="0"/>
          <w:szCs w:val="21"/>
        </w:rPr>
      </w:pPr>
      <w:r>
        <w:rPr>
          <w:rFonts w:hint="eastAsia" w:ascii="宋体" w:hAnsi="宋体" w:cs="宋体"/>
          <w:color w:val="auto"/>
          <w:kern w:val="0"/>
          <w:szCs w:val="21"/>
        </w:rPr>
        <w:t>合同履行期间，出现工程造价管理机构发布的人工、材料、工程设备和施工设备机械台班单价或价格涨落超过合同工程基准日期相应单价或价格，且符合第76.2款、第76.3款规定事件的，合同双方当事人应调整合同价款。</w:t>
      </w:r>
    </w:p>
    <w:p>
      <w:pPr>
        <w:tabs>
          <w:tab w:val="left" w:pos="540"/>
        </w:tabs>
        <w:adjustRightInd w:val="0"/>
        <w:snapToGrid w:val="0"/>
        <w:spacing w:line="360" w:lineRule="auto"/>
        <w:rPr>
          <w:rFonts w:ascii="宋体" w:hAnsi="宋体" w:cs="宋体"/>
          <w:b/>
          <w:color w:val="auto"/>
          <w:kern w:val="0"/>
          <w:szCs w:val="21"/>
          <w:u w:val="dotted"/>
        </w:rPr>
      </w:pPr>
      <w:r>
        <w:rPr>
          <w:rFonts w:ascii="宋体" w:hAnsi="宋体" w:cs="宋体"/>
          <w:color w:val="auto"/>
          <w:kern w:val="0"/>
          <w:szCs w:val="21"/>
        </w:rPr>
        <mc:AlternateContent>
          <mc:Choice Requires="wps">
            <w:drawing>
              <wp:anchor distT="0" distB="0" distL="114300" distR="114300" simplePos="0" relativeHeight="252023808" behindDoc="0" locked="0" layoutInCell="1" allowOverlap="1">
                <wp:simplePos x="0" y="0"/>
                <wp:positionH relativeFrom="column">
                  <wp:posOffset>-133350</wp:posOffset>
                </wp:positionH>
                <wp:positionV relativeFrom="paragraph">
                  <wp:posOffset>247650</wp:posOffset>
                </wp:positionV>
                <wp:extent cx="914400" cy="619125"/>
                <wp:effectExtent l="0" t="0" r="0" b="0"/>
                <wp:wrapNone/>
                <wp:docPr id="85" name="文本框 85"/>
                <wp:cNvGraphicFramePr/>
                <a:graphic xmlns:a="http://schemas.openxmlformats.org/drawingml/2006/main">
                  <a:graphicData uri="http://schemas.microsoft.com/office/word/2010/wordprocessingShape">
                    <wps:wsp>
                      <wps:cNvSpPr txBox="1">
                        <a:spLocks noChangeArrowheads="1"/>
                      </wps:cNvSpPr>
                      <wps:spPr bwMode="auto">
                        <a:xfrm>
                          <a:off x="0" y="0"/>
                          <a:ext cx="914400" cy="619125"/>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人工费的调整方法</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0.5pt;margin-top:19.5pt;height:48.75pt;width:72pt;z-index:252023808;mso-width-relative:page;mso-height-relative:page;" filled="f" stroked="f" coordsize="21600,21600" o:gfxdata="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ac+tl9cAAAAKAQAADwAAAAAAAAABACAAAAAiAAAAZHJzL2Rvd25y&#10;ZXYueG1sUEsBAhQAFAAAAAgAh07iQKnzLDv/AQAA1gMAAA4AAAAAAAAAAQAgAAAAJgEAAGRycy9l&#10;Mm9Eb2MueG1sUEsFBgAAAAAGAAYAWQEAAJcFA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人工费的调整方法</w:t>
                      </w:r>
                    </w:p>
                  </w:txbxContent>
                </v:textbox>
              </v:shape>
            </w:pict>
          </mc:Fallback>
        </mc:AlternateContent>
      </w:r>
      <w:r>
        <w:rPr>
          <w:rFonts w:hint="eastAsia" w:ascii="宋体" w:hAnsi="宋体" w:cs="宋体"/>
          <w:b/>
          <w:color w:val="auto"/>
          <w:kern w:val="0"/>
          <w:szCs w:val="21"/>
        </w:rPr>
        <w:t xml:space="preserve">76.2  </w:t>
      </w:r>
      <w:r>
        <w:rPr>
          <w:rFonts w:hint="eastAsia" w:ascii="宋体" w:hAnsi="宋体" w:cs="宋体"/>
          <w:b/>
          <w:color w:val="auto"/>
          <w:kern w:val="0"/>
          <w:szCs w:val="21"/>
          <w:u w:val="dotted"/>
        </w:rPr>
        <w:t xml:space="preserve">                                                                                                        </w:t>
      </w:r>
    </w:p>
    <w:p>
      <w:pPr>
        <w:adjustRightInd w:val="0"/>
        <w:snapToGrid w:val="0"/>
        <w:spacing w:line="420" w:lineRule="exact"/>
        <w:ind w:left="1619" w:leftChars="771"/>
        <w:rPr>
          <w:rFonts w:ascii="宋体" w:hAnsi="宋体" w:cs="宋体"/>
          <w:color w:val="auto"/>
          <w:kern w:val="0"/>
          <w:szCs w:val="21"/>
        </w:rPr>
      </w:pPr>
      <w:r>
        <w:rPr>
          <w:rFonts w:hint="eastAsia" w:ascii="宋体" w:hAnsi="宋体" w:cs="宋体"/>
          <w:color w:val="auto"/>
          <w:kern w:val="0"/>
          <w:szCs w:val="21"/>
        </w:rPr>
        <w:t>按照第76.1款规定人工单价发生涨落的，应按照合同工程发生的人工数量和合同履行期与基准日期人工单价对比的价差的乘积计算调整的人工费。</w:t>
      </w:r>
    </w:p>
    <w:p>
      <w:pPr>
        <w:tabs>
          <w:tab w:val="left" w:pos="540"/>
        </w:tabs>
        <w:adjustRightInd w:val="0"/>
        <w:snapToGrid w:val="0"/>
        <w:spacing w:line="360" w:lineRule="auto"/>
        <w:rPr>
          <w:rFonts w:ascii="宋体" w:hAnsi="宋体" w:cs="宋体"/>
          <w:b/>
          <w:color w:val="auto"/>
          <w:kern w:val="0"/>
          <w:szCs w:val="21"/>
          <w:u w:val="dotted"/>
        </w:rPr>
      </w:pPr>
      <w:r>
        <w:rPr>
          <w:rFonts w:hint="eastAsia" w:ascii="宋体" w:hAnsi="宋体" w:cs="宋体"/>
          <w:b/>
          <w:color w:val="auto"/>
          <w:kern w:val="0"/>
          <w:szCs w:val="21"/>
        </w:rPr>
        <w:t xml:space="preserve">76.3  </w:t>
      </w:r>
      <w:r>
        <w:rPr>
          <w:rFonts w:hint="eastAsia" w:ascii="宋体" w:hAnsi="宋体" w:cs="宋体"/>
          <w:b/>
          <w:color w:val="auto"/>
          <w:kern w:val="0"/>
          <w:szCs w:val="21"/>
          <w:u w:val="dotted"/>
        </w:rPr>
        <w:t xml:space="preserve">                                                                                                        </w:t>
      </w:r>
    </w:p>
    <w:p>
      <w:pPr>
        <w:adjustRightInd w:val="0"/>
        <w:snapToGrid w:val="0"/>
        <w:spacing w:line="420" w:lineRule="exact"/>
        <w:ind w:left="1619" w:leftChars="771"/>
        <w:rPr>
          <w:rFonts w:ascii="宋体" w:hAnsi="宋体" w:cs="宋体"/>
          <w:color w:val="auto"/>
          <w:kern w:val="0"/>
          <w:szCs w:val="21"/>
        </w:rPr>
      </w:pPr>
      <w:r>
        <w:rPr>
          <w:rFonts w:ascii="宋体" w:hAnsi="宋体" w:cs="宋体"/>
          <w:color w:val="auto"/>
          <w:kern w:val="0"/>
          <w:szCs w:val="21"/>
        </w:rPr>
        <mc:AlternateContent>
          <mc:Choice Requires="wps">
            <w:drawing>
              <wp:anchor distT="0" distB="0" distL="114300" distR="114300" simplePos="0" relativeHeight="252024832" behindDoc="0" locked="0" layoutInCell="1" allowOverlap="1">
                <wp:simplePos x="0" y="0"/>
                <wp:positionH relativeFrom="column">
                  <wp:posOffset>-114300</wp:posOffset>
                </wp:positionH>
                <wp:positionV relativeFrom="paragraph">
                  <wp:posOffset>15875</wp:posOffset>
                </wp:positionV>
                <wp:extent cx="914400" cy="1003300"/>
                <wp:effectExtent l="0" t="0" r="0" b="0"/>
                <wp:wrapNone/>
                <wp:docPr id="84" name="文本框 84"/>
                <wp:cNvGraphicFramePr/>
                <a:graphic xmlns:a="http://schemas.openxmlformats.org/drawingml/2006/main">
                  <a:graphicData uri="http://schemas.microsoft.com/office/word/2010/wordprocessingShape">
                    <wps:wsp>
                      <wps:cNvSpPr txBox="1">
                        <a:spLocks noChangeArrowheads="1"/>
                      </wps:cNvSpPr>
                      <wps:spPr bwMode="auto">
                        <a:xfrm>
                          <a:off x="0" y="0"/>
                          <a:ext cx="914400" cy="1003300"/>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承包人采购材料和工程设备的材料设备费、施工机械费调整方法</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5pt;height:79pt;width:72pt;z-index:252024832;mso-width-relative:page;mso-height-relative:page;" filled="f" stroked="f" coordsize="21600,21600" o:gfxdata="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K9Au8/WAAAACQEAAA8AAAAAAAAAAQAgAAAAIgAAAGRycy9kb3ducmV2&#10;LnhtbFBLAQIUABQAAAAIAIdO4kBtHbUH/gEAANcDAAAOAAAAAAAAAAEAIAAAACUBAABkcnMvZTJv&#10;RG9jLnhtbFBLBQYAAAAABgAGAFkBAACVBQ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承包人采购材料和工程设备的材料设备费、施工机械费调整方法</w:t>
                      </w:r>
                    </w:p>
                  </w:txbxContent>
                </v:textbox>
              </v:shape>
            </w:pict>
          </mc:Fallback>
        </mc:AlternateContent>
      </w:r>
      <w:r>
        <w:rPr>
          <w:rFonts w:hint="eastAsia" w:ascii="宋体" w:hAnsi="宋体" w:cs="宋体"/>
          <w:color w:val="auto"/>
          <w:kern w:val="0"/>
          <w:szCs w:val="21"/>
        </w:rPr>
        <w:t>承包人采购材料和工程设备的，按照第76.1款规定材料、工程设备价格和施工设备机械台班单价涨落分别超过5%和10%，则超过部分的价格应予调整。该情况下，应按照下列方法之一计算调整的材料费、工程设备费和施工机械费，但应扣除合同双方当事人不利一方当事人承担上述幅度的风险费用。</w:t>
      </w:r>
    </w:p>
    <w:p>
      <w:pPr>
        <w:adjustRightInd w:val="0"/>
        <w:snapToGrid w:val="0"/>
        <w:spacing w:line="420" w:lineRule="exact"/>
        <w:ind w:left="1619" w:leftChars="771"/>
        <w:rPr>
          <w:rFonts w:ascii="宋体" w:hAnsi="宋体" w:cs="宋体"/>
          <w:color w:val="auto"/>
          <w:kern w:val="0"/>
          <w:szCs w:val="21"/>
        </w:rPr>
      </w:pPr>
      <w:r>
        <w:rPr>
          <w:rFonts w:hint="eastAsia" w:ascii="宋体" w:hAnsi="宋体" w:cs="宋体"/>
          <w:color w:val="auto"/>
          <w:kern w:val="0"/>
          <w:szCs w:val="21"/>
        </w:rPr>
        <w:t>(1）价格系数法</w:t>
      </w:r>
    </w:p>
    <w:p>
      <w:pPr>
        <w:adjustRightInd w:val="0"/>
        <w:snapToGrid w:val="0"/>
        <w:spacing w:line="420" w:lineRule="exact"/>
        <w:ind w:left="1978" w:leftChars="942" w:firstLine="52" w:firstLineChars="25"/>
        <w:rPr>
          <w:rFonts w:ascii="宋体" w:hAnsi="宋体" w:cs="宋体"/>
          <w:iCs/>
          <w:color w:val="auto"/>
          <w:kern w:val="0"/>
          <w:szCs w:val="21"/>
        </w:rPr>
      </w:pPr>
      <w:r>
        <w:rPr>
          <w:rFonts w:hint="eastAsia" w:ascii="宋体" w:hAnsi="宋体" w:cs="宋体"/>
          <w:iCs/>
          <w:color w:val="auto"/>
          <w:kern w:val="0"/>
          <w:szCs w:val="21"/>
        </w:rPr>
        <w:t>C</w:t>
      </w:r>
      <w:r>
        <w:rPr>
          <w:rFonts w:hint="eastAsia" w:ascii="宋体" w:hAnsi="宋体" w:cs="宋体"/>
          <w:iCs/>
          <w:color w:val="auto"/>
          <w:spacing w:val="-42"/>
          <w:kern w:val="0"/>
          <w:szCs w:val="21"/>
        </w:rPr>
        <w:t>′</w:t>
      </w:r>
      <w:r>
        <w:rPr>
          <w:rFonts w:hint="eastAsia" w:ascii="宋体" w:hAnsi="宋体" w:cs="宋体"/>
          <w:iCs/>
          <w:color w:val="auto"/>
          <w:kern w:val="0"/>
          <w:szCs w:val="21"/>
          <w:vertAlign w:val="subscript"/>
        </w:rPr>
        <w:t>n</w:t>
      </w:r>
      <w:r>
        <w:rPr>
          <w:rFonts w:hint="eastAsia" w:ascii="宋体" w:hAnsi="宋体" w:cs="宋体"/>
          <w:iCs/>
          <w:color w:val="auto"/>
          <w:kern w:val="0"/>
          <w:szCs w:val="21"/>
        </w:rPr>
        <w:t>=c</w:t>
      </w:r>
      <w:r>
        <w:rPr>
          <w:rFonts w:hint="eastAsia" w:ascii="宋体" w:hAnsi="宋体" w:cs="宋体"/>
          <w:iCs/>
          <w:color w:val="auto"/>
          <w:kern w:val="0"/>
          <w:szCs w:val="21"/>
          <w:vertAlign w:val="subscript"/>
        </w:rPr>
        <w:t>n</w:t>
      </w:r>
      <w:r>
        <w:rPr>
          <w:rFonts w:hint="eastAsia" w:ascii="宋体" w:hAnsi="宋体" w:cs="宋体"/>
          <w:iCs/>
          <w:color w:val="auto"/>
          <w:kern w:val="0"/>
          <w:szCs w:val="21"/>
        </w:rPr>
        <w:t>.p</w:t>
      </w:r>
      <w:r>
        <w:rPr>
          <w:rFonts w:hint="eastAsia" w:ascii="宋体" w:hAnsi="宋体" w:cs="宋体"/>
          <w:iCs/>
          <w:color w:val="auto"/>
          <w:kern w:val="0"/>
          <w:szCs w:val="21"/>
          <w:vertAlign w:val="subscript"/>
        </w:rPr>
        <w:t>n</w:t>
      </w:r>
      <w:r>
        <w:rPr>
          <w:rFonts w:hint="eastAsia" w:ascii="宋体" w:hAnsi="宋体" w:cs="宋体"/>
          <w:iCs/>
          <w:color w:val="auto"/>
          <w:kern w:val="0"/>
          <w:szCs w:val="21"/>
        </w:rPr>
        <w:t>=c</w:t>
      </w:r>
      <w:r>
        <w:rPr>
          <w:rFonts w:hint="eastAsia" w:ascii="宋体" w:hAnsi="宋体" w:cs="宋体"/>
          <w:iCs/>
          <w:color w:val="auto"/>
          <w:kern w:val="0"/>
          <w:szCs w:val="21"/>
          <w:vertAlign w:val="subscript"/>
        </w:rPr>
        <w:t>n</w:t>
      </w:r>
      <w:r>
        <w:rPr>
          <w:rFonts w:hint="eastAsia" w:ascii="宋体" w:hAnsi="宋体" w:cs="宋体"/>
          <w:iCs/>
          <w:color w:val="auto"/>
          <w:kern w:val="0"/>
          <w:szCs w:val="21"/>
        </w:rPr>
        <w:t>(a+b·L</w:t>
      </w:r>
      <w:r>
        <w:rPr>
          <w:rFonts w:hint="eastAsia" w:ascii="宋体" w:hAnsi="宋体" w:cs="宋体"/>
          <w:iCs/>
          <w:color w:val="auto"/>
          <w:kern w:val="0"/>
          <w:szCs w:val="21"/>
          <w:vertAlign w:val="subscript"/>
        </w:rPr>
        <w:t>n</w:t>
      </w:r>
      <w:r>
        <w:rPr>
          <w:rFonts w:hint="eastAsia" w:ascii="宋体" w:hAnsi="宋体" w:cs="宋体"/>
          <w:iCs/>
          <w:color w:val="auto"/>
          <w:kern w:val="0"/>
          <w:szCs w:val="21"/>
        </w:rPr>
        <w:t xml:space="preserve"> /L</w:t>
      </w:r>
      <w:r>
        <w:rPr>
          <w:rFonts w:hint="eastAsia" w:ascii="宋体" w:hAnsi="宋体" w:cs="宋体"/>
          <w:iCs/>
          <w:color w:val="auto"/>
          <w:kern w:val="0"/>
          <w:szCs w:val="21"/>
          <w:vertAlign w:val="subscript"/>
        </w:rPr>
        <w:t>0</w:t>
      </w:r>
      <w:r>
        <w:rPr>
          <w:rFonts w:hint="eastAsia" w:ascii="宋体" w:hAnsi="宋体" w:cs="宋体"/>
          <w:iCs/>
          <w:color w:val="auto"/>
          <w:kern w:val="0"/>
          <w:szCs w:val="21"/>
        </w:rPr>
        <w:t>+c·E</w:t>
      </w:r>
      <w:r>
        <w:rPr>
          <w:rFonts w:hint="eastAsia" w:ascii="宋体" w:hAnsi="宋体" w:cs="宋体"/>
          <w:iCs/>
          <w:color w:val="auto"/>
          <w:kern w:val="0"/>
          <w:szCs w:val="21"/>
          <w:vertAlign w:val="subscript"/>
        </w:rPr>
        <w:t>n</w:t>
      </w:r>
      <w:r>
        <w:rPr>
          <w:rFonts w:hint="eastAsia" w:ascii="宋体" w:hAnsi="宋体" w:cs="宋体"/>
          <w:iCs/>
          <w:color w:val="auto"/>
          <w:kern w:val="0"/>
          <w:szCs w:val="21"/>
        </w:rPr>
        <w:t>/E</w:t>
      </w:r>
      <w:r>
        <w:rPr>
          <w:rFonts w:hint="eastAsia" w:ascii="宋体" w:hAnsi="宋体" w:cs="宋体"/>
          <w:iCs/>
          <w:color w:val="auto"/>
          <w:kern w:val="0"/>
          <w:szCs w:val="21"/>
          <w:vertAlign w:val="subscript"/>
        </w:rPr>
        <w:t>0</w:t>
      </w:r>
      <w:r>
        <w:rPr>
          <w:rFonts w:hint="eastAsia" w:ascii="宋体" w:hAnsi="宋体" w:cs="宋体"/>
          <w:iCs/>
          <w:color w:val="auto"/>
          <w:kern w:val="0"/>
          <w:szCs w:val="21"/>
        </w:rPr>
        <w:t>+……q·M</w:t>
      </w:r>
      <w:r>
        <w:rPr>
          <w:rFonts w:hint="eastAsia" w:ascii="宋体" w:hAnsi="宋体" w:cs="宋体"/>
          <w:iCs/>
          <w:color w:val="auto"/>
          <w:kern w:val="0"/>
          <w:szCs w:val="21"/>
          <w:vertAlign w:val="subscript"/>
        </w:rPr>
        <w:t>n</w:t>
      </w:r>
      <w:r>
        <w:rPr>
          <w:rFonts w:hint="eastAsia" w:ascii="宋体" w:hAnsi="宋体" w:cs="宋体"/>
          <w:iCs/>
          <w:color w:val="auto"/>
          <w:kern w:val="0"/>
          <w:szCs w:val="21"/>
        </w:rPr>
        <w:t>/M</w:t>
      </w:r>
      <w:r>
        <w:rPr>
          <w:rFonts w:hint="eastAsia" w:ascii="宋体" w:hAnsi="宋体" w:cs="宋体"/>
          <w:iCs/>
          <w:color w:val="auto"/>
          <w:kern w:val="0"/>
          <w:szCs w:val="21"/>
          <w:vertAlign w:val="subscript"/>
        </w:rPr>
        <w:t>0</w:t>
      </w:r>
      <w:r>
        <w:rPr>
          <w:rFonts w:hint="eastAsia" w:ascii="宋体" w:hAnsi="宋体" w:cs="宋体"/>
          <w:iCs/>
          <w:color w:val="auto"/>
          <w:kern w:val="0"/>
          <w:szCs w:val="21"/>
        </w:rPr>
        <w:t>)</w:t>
      </w:r>
    </w:p>
    <w:p>
      <w:pPr>
        <w:adjustRightInd w:val="0"/>
        <w:snapToGrid w:val="0"/>
        <w:spacing w:line="420" w:lineRule="exact"/>
        <w:ind w:left="2131" w:leftChars="772" w:hanging="510" w:hangingChars="243"/>
        <w:rPr>
          <w:rFonts w:ascii="宋体" w:hAnsi="宋体" w:cs="宋体"/>
          <w:color w:val="auto"/>
          <w:kern w:val="0"/>
          <w:szCs w:val="21"/>
        </w:rPr>
      </w:pPr>
      <w:r>
        <w:rPr>
          <w:rFonts w:hint="eastAsia" w:ascii="宋体" w:hAnsi="宋体" w:cs="宋体"/>
          <w:color w:val="auto"/>
          <w:kern w:val="0"/>
          <w:szCs w:val="21"/>
        </w:rPr>
        <w:t>式中</w:t>
      </w:r>
      <w:r>
        <w:rPr>
          <w:rFonts w:hint="eastAsia" w:ascii="宋体" w:hAnsi="宋体" w:cs="宋体"/>
          <w:iCs/>
          <w:color w:val="auto"/>
          <w:kern w:val="0"/>
          <w:szCs w:val="21"/>
        </w:rPr>
        <w:t>C</w:t>
      </w:r>
      <w:r>
        <w:rPr>
          <w:rFonts w:hint="eastAsia" w:ascii="宋体" w:hAnsi="宋体" w:cs="宋体"/>
          <w:iCs/>
          <w:color w:val="auto"/>
          <w:spacing w:val="-42"/>
          <w:kern w:val="0"/>
          <w:szCs w:val="21"/>
        </w:rPr>
        <w:t>′</w:t>
      </w:r>
      <w:r>
        <w:rPr>
          <w:rFonts w:hint="eastAsia" w:ascii="宋体" w:hAnsi="宋体" w:cs="宋体"/>
          <w:iCs/>
          <w:color w:val="auto"/>
          <w:kern w:val="0"/>
          <w:szCs w:val="21"/>
          <w:vertAlign w:val="subscript"/>
        </w:rPr>
        <w:t>n</w:t>
      </w:r>
      <w:r>
        <w:rPr>
          <w:rFonts w:hint="eastAsia" w:ascii="宋体" w:hAnsi="宋体" w:cs="宋体"/>
          <w:iCs/>
          <w:color w:val="auto"/>
          <w:kern w:val="0"/>
          <w:szCs w:val="21"/>
        </w:rPr>
        <w:t>——</w:t>
      </w:r>
      <w:r>
        <w:rPr>
          <w:rFonts w:hint="eastAsia" w:ascii="宋体" w:hAnsi="宋体" w:cs="宋体"/>
          <w:color w:val="auto"/>
          <w:kern w:val="0"/>
          <w:szCs w:val="21"/>
        </w:rPr>
        <w:t>调整后合同履行期间第</w:t>
      </w:r>
      <w:r>
        <w:rPr>
          <w:rFonts w:hint="eastAsia" w:ascii="宋体" w:hAnsi="宋体" w:cs="宋体"/>
          <w:iCs/>
          <w:color w:val="auto"/>
          <w:kern w:val="0"/>
          <w:szCs w:val="21"/>
        </w:rPr>
        <w:t>n</w:t>
      </w:r>
      <w:r>
        <w:rPr>
          <w:rFonts w:hint="eastAsia" w:ascii="宋体" w:hAnsi="宋体" w:cs="宋体"/>
          <w:color w:val="auto"/>
          <w:kern w:val="0"/>
          <w:szCs w:val="21"/>
        </w:rPr>
        <w:t>支付期应支付的合同价款；</w:t>
      </w:r>
    </w:p>
    <w:p>
      <w:pPr>
        <w:adjustRightInd w:val="0"/>
        <w:snapToGrid w:val="0"/>
        <w:spacing w:line="420" w:lineRule="exact"/>
        <w:ind w:left="1978" w:leftChars="942" w:firstLine="197" w:firstLineChars="94"/>
        <w:rPr>
          <w:rFonts w:ascii="宋体" w:hAnsi="宋体" w:cs="宋体"/>
          <w:color w:val="auto"/>
          <w:kern w:val="0"/>
          <w:szCs w:val="21"/>
        </w:rPr>
      </w:pPr>
      <w:r>
        <w:rPr>
          <w:rFonts w:hint="eastAsia" w:ascii="宋体" w:hAnsi="宋体" w:cs="宋体"/>
          <w:iCs/>
          <w:color w:val="auto"/>
          <w:kern w:val="0"/>
          <w:szCs w:val="21"/>
        </w:rPr>
        <w:t>C</w:t>
      </w:r>
      <w:r>
        <w:rPr>
          <w:rFonts w:hint="eastAsia" w:ascii="宋体" w:hAnsi="宋体" w:cs="宋体"/>
          <w:iCs/>
          <w:color w:val="auto"/>
          <w:kern w:val="0"/>
          <w:szCs w:val="21"/>
          <w:vertAlign w:val="subscript"/>
        </w:rPr>
        <w:t>n</w:t>
      </w:r>
      <w:r>
        <w:rPr>
          <w:rFonts w:hint="eastAsia" w:ascii="宋体" w:hAnsi="宋体" w:cs="宋体"/>
          <w:iCs/>
          <w:color w:val="auto"/>
          <w:kern w:val="0"/>
          <w:szCs w:val="21"/>
        </w:rPr>
        <w:t>——</w:t>
      </w:r>
      <w:r>
        <w:rPr>
          <w:rFonts w:hint="eastAsia" w:ascii="宋体" w:hAnsi="宋体" w:cs="宋体"/>
          <w:color w:val="auto"/>
          <w:kern w:val="0"/>
          <w:szCs w:val="21"/>
        </w:rPr>
        <w:t>调整前合同履行期间第</w:t>
      </w:r>
      <w:r>
        <w:rPr>
          <w:rFonts w:hint="eastAsia" w:ascii="宋体" w:hAnsi="宋体" w:cs="宋体"/>
          <w:iCs/>
          <w:color w:val="auto"/>
          <w:kern w:val="0"/>
          <w:szCs w:val="21"/>
        </w:rPr>
        <w:t>n</w:t>
      </w:r>
      <w:r>
        <w:rPr>
          <w:rFonts w:hint="eastAsia" w:ascii="宋体" w:hAnsi="宋体" w:cs="宋体"/>
          <w:color w:val="auto"/>
          <w:kern w:val="0"/>
          <w:szCs w:val="21"/>
        </w:rPr>
        <w:t>支付期应支付的合同价款；</w:t>
      </w:r>
    </w:p>
    <w:p>
      <w:pPr>
        <w:adjustRightInd w:val="0"/>
        <w:snapToGrid w:val="0"/>
        <w:spacing w:line="420" w:lineRule="exact"/>
        <w:ind w:left="1619" w:leftChars="771" w:firstLine="512" w:firstLineChars="244"/>
        <w:rPr>
          <w:rFonts w:ascii="宋体" w:hAnsi="宋体" w:cs="宋体"/>
          <w:color w:val="auto"/>
          <w:kern w:val="0"/>
          <w:szCs w:val="21"/>
        </w:rPr>
      </w:pPr>
      <w:r>
        <w:rPr>
          <w:rFonts w:hint="eastAsia" w:ascii="宋体" w:hAnsi="宋体" w:cs="宋体"/>
          <w:iCs/>
          <w:color w:val="auto"/>
          <w:kern w:val="0"/>
          <w:szCs w:val="21"/>
        </w:rPr>
        <w:t>P</w:t>
      </w:r>
      <w:r>
        <w:rPr>
          <w:rFonts w:hint="eastAsia" w:ascii="宋体" w:hAnsi="宋体" w:cs="宋体"/>
          <w:iCs/>
          <w:color w:val="auto"/>
          <w:kern w:val="0"/>
          <w:szCs w:val="21"/>
          <w:vertAlign w:val="subscript"/>
        </w:rPr>
        <w:t>n</w:t>
      </w:r>
      <w:r>
        <w:rPr>
          <w:rFonts w:hint="eastAsia" w:ascii="宋体" w:hAnsi="宋体" w:cs="宋体"/>
          <w:iCs/>
          <w:color w:val="auto"/>
          <w:kern w:val="0"/>
          <w:szCs w:val="21"/>
        </w:rPr>
        <w:t>——</w:t>
      </w:r>
      <w:r>
        <w:rPr>
          <w:rFonts w:hint="eastAsia" w:ascii="宋体" w:hAnsi="宋体" w:cs="宋体"/>
          <w:color w:val="auto"/>
          <w:kern w:val="0"/>
          <w:szCs w:val="21"/>
        </w:rPr>
        <w:t>第</w:t>
      </w:r>
      <w:r>
        <w:rPr>
          <w:rFonts w:hint="eastAsia" w:ascii="宋体" w:hAnsi="宋体" w:cs="宋体"/>
          <w:iCs/>
          <w:color w:val="auto"/>
          <w:kern w:val="0"/>
          <w:szCs w:val="21"/>
        </w:rPr>
        <w:t>n</w:t>
      </w:r>
      <w:r>
        <w:rPr>
          <w:rFonts w:hint="eastAsia" w:ascii="宋体" w:hAnsi="宋体" w:cs="宋体"/>
          <w:color w:val="auto"/>
          <w:kern w:val="0"/>
          <w:szCs w:val="21"/>
        </w:rPr>
        <w:t>支付期间合同价款调整系数。</w:t>
      </w:r>
    </w:p>
    <w:p>
      <w:pPr>
        <w:adjustRightInd w:val="0"/>
        <w:snapToGrid w:val="0"/>
        <w:spacing w:line="420" w:lineRule="exact"/>
        <w:ind w:left="1619" w:leftChars="771"/>
        <w:rPr>
          <w:rFonts w:ascii="宋体" w:hAnsi="宋体" w:cs="宋体"/>
          <w:color w:val="auto"/>
          <w:kern w:val="0"/>
          <w:szCs w:val="21"/>
        </w:rPr>
      </w:pPr>
      <w:r>
        <w:rPr>
          <w:rFonts w:hint="eastAsia" w:ascii="宋体" w:hAnsi="宋体" w:cs="宋体"/>
          <w:color w:val="auto"/>
          <w:kern w:val="0"/>
          <w:szCs w:val="21"/>
        </w:rPr>
        <w:t>“a”是基准日期固定系数，表示合同付款中的不予调整部分的权重系数；“</w:t>
      </w:r>
      <w:r>
        <w:rPr>
          <w:rFonts w:hint="eastAsia" w:ascii="宋体" w:hAnsi="宋体" w:cs="宋体"/>
          <w:iCs/>
          <w:color w:val="auto"/>
          <w:kern w:val="0"/>
          <w:szCs w:val="21"/>
        </w:rPr>
        <w:t>b”、“c”、……、“q”</w:t>
      </w:r>
      <w:r>
        <w:rPr>
          <w:rFonts w:hint="eastAsia" w:ascii="宋体" w:hAnsi="宋体" w:cs="宋体"/>
          <w:color w:val="auto"/>
          <w:kern w:val="0"/>
          <w:szCs w:val="21"/>
        </w:rPr>
        <w:t>分别表示基准日期各相关要素占合同价款总额的权重系数，可表示材料、工程设备、施工设备机械台班等资源。合同双方当事人应在专用条款中约定各资源的权重系数，要求：</w:t>
      </w:r>
      <w:r>
        <w:rPr>
          <w:rFonts w:hint="eastAsia" w:ascii="宋体" w:hAnsi="宋体" w:cs="宋体"/>
          <w:iCs/>
          <w:color w:val="auto"/>
          <w:kern w:val="0"/>
          <w:szCs w:val="21"/>
        </w:rPr>
        <w:t>a+b+c+……+q</w:t>
      </w:r>
      <w:r>
        <w:rPr>
          <w:rFonts w:hint="eastAsia" w:ascii="宋体" w:hAnsi="宋体" w:cs="宋体"/>
          <w:color w:val="auto"/>
          <w:kern w:val="0"/>
          <w:szCs w:val="21"/>
        </w:rPr>
        <w:t>＝1。</w:t>
      </w:r>
    </w:p>
    <w:p>
      <w:pPr>
        <w:adjustRightInd w:val="0"/>
        <w:snapToGrid w:val="0"/>
        <w:spacing w:line="420" w:lineRule="exact"/>
        <w:ind w:left="1619" w:leftChars="771"/>
        <w:rPr>
          <w:rFonts w:ascii="宋体" w:hAnsi="宋体" w:cs="宋体"/>
          <w:color w:val="auto"/>
          <w:kern w:val="0"/>
          <w:szCs w:val="21"/>
        </w:rPr>
      </w:pPr>
      <w:r>
        <w:rPr>
          <w:rFonts w:hint="eastAsia" w:ascii="宋体" w:hAnsi="宋体" w:cs="宋体"/>
          <w:iCs/>
          <w:color w:val="auto"/>
          <w:kern w:val="0"/>
          <w:szCs w:val="21"/>
        </w:rPr>
        <w:t>“L</w:t>
      </w:r>
      <w:r>
        <w:rPr>
          <w:rFonts w:hint="eastAsia" w:ascii="宋体" w:hAnsi="宋体" w:cs="宋体"/>
          <w:iCs/>
          <w:color w:val="auto"/>
          <w:kern w:val="0"/>
          <w:szCs w:val="21"/>
          <w:vertAlign w:val="subscript"/>
        </w:rPr>
        <w:t>n</w:t>
      </w:r>
      <w:r>
        <w:rPr>
          <w:rFonts w:hint="eastAsia" w:ascii="宋体" w:hAnsi="宋体" w:cs="宋体"/>
          <w:iCs/>
          <w:color w:val="auto"/>
          <w:kern w:val="0"/>
          <w:szCs w:val="21"/>
        </w:rPr>
        <w:t>”、“E</w:t>
      </w:r>
      <w:r>
        <w:rPr>
          <w:rFonts w:hint="eastAsia" w:ascii="宋体" w:hAnsi="宋体" w:cs="宋体"/>
          <w:iCs/>
          <w:color w:val="auto"/>
          <w:kern w:val="0"/>
          <w:szCs w:val="21"/>
          <w:vertAlign w:val="subscript"/>
        </w:rPr>
        <w:t>n</w:t>
      </w:r>
      <w:r>
        <w:rPr>
          <w:rFonts w:hint="eastAsia" w:ascii="宋体" w:hAnsi="宋体" w:cs="宋体"/>
          <w:iCs/>
          <w:color w:val="auto"/>
          <w:kern w:val="0"/>
          <w:szCs w:val="21"/>
        </w:rPr>
        <w:t>”、……、“M</w:t>
      </w:r>
      <w:r>
        <w:rPr>
          <w:rFonts w:hint="eastAsia" w:ascii="宋体" w:hAnsi="宋体" w:cs="宋体"/>
          <w:iCs/>
          <w:color w:val="auto"/>
          <w:kern w:val="0"/>
          <w:szCs w:val="21"/>
          <w:vertAlign w:val="subscript"/>
        </w:rPr>
        <w:t>n</w:t>
      </w:r>
      <w:r>
        <w:rPr>
          <w:rFonts w:hint="eastAsia" w:ascii="宋体" w:hAnsi="宋体" w:cs="宋体"/>
          <w:color w:val="auto"/>
          <w:kern w:val="0"/>
          <w:szCs w:val="21"/>
        </w:rPr>
        <w:t>”表示合同履行期间第</w:t>
      </w:r>
      <w:r>
        <w:rPr>
          <w:rFonts w:hint="eastAsia" w:ascii="宋体" w:hAnsi="宋体" w:cs="宋体"/>
          <w:iCs/>
          <w:color w:val="auto"/>
          <w:kern w:val="0"/>
          <w:szCs w:val="21"/>
        </w:rPr>
        <w:t>n</w:t>
      </w:r>
      <w:r>
        <w:rPr>
          <w:rFonts w:hint="eastAsia" w:ascii="宋体" w:hAnsi="宋体" w:cs="宋体"/>
          <w:color w:val="auto"/>
          <w:kern w:val="0"/>
          <w:szCs w:val="21"/>
        </w:rPr>
        <w:t xml:space="preserve">支付期工程造价管理机构发布的各相关要素价格； </w:t>
      </w:r>
      <w:r>
        <w:rPr>
          <w:rFonts w:hint="eastAsia" w:ascii="宋体" w:hAnsi="宋体" w:cs="宋体"/>
          <w:iCs/>
          <w:color w:val="auto"/>
          <w:kern w:val="0"/>
          <w:szCs w:val="21"/>
        </w:rPr>
        <w:t>“L</w:t>
      </w:r>
      <w:r>
        <w:rPr>
          <w:rFonts w:hint="eastAsia" w:ascii="宋体" w:hAnsi="宋体" w:cs="宋体"/>
          <w:iCs/>
          <w:color w:val="auto"/>
          <w:kern w:val="0"/>
          <w:szCs w:val="21"/>
          <w:vertAlign w:val="subscript"/>
        </w:rPr>
        <w:t>0</w:t>
      </w:r>
      <w:r>
        <w:rPr>
          <w:rFonts w:hint="eastAsia" w:ascii="宋体" w:hAnsi="宋体" w:cs="宋体"/>
          <w:iCs/>
          <w:color w:val="auto"/>
          <w:kern w:val="0"/>
          <w:szCs w:val="21"/>
        </w:rPr>
        <w:t>”、“E</w:t>
      </w:r>
      <w:r>
        <w:rPr>
          <w:rFonts w:hint="eastAsia" w:ascii="宋体" w:hAnsi="宋体" w:cs="宋体"/>
          <w:iCs/>
          <w:color w:val="auto"/>
          <w:kern w:val="0"/>
          <w:szCs w:val="21"/>
          <w:vertAlign w:val="subscript"/>
        </w:rPr>
        <w:t>0</w:t>
      </w:r>
      <w:r>
        <w:rPr>
          <w:rFonts w:hint="eastAsia" w:ascii="宋体" w:hAnsi="宋体" w:cs="宋体"/>
          <w:color w:val="auto"/>
          <w:kern w:val="0"/>
          <w:szCs w:val="21"/>
        </w:rPr>
        <w:t>” 、……、“</w:t>
      </w:r>
      <w:r>
        <w:rPr>
          <w:rFonts w:hint="eastAsia" w:ascii="宋体" w:hAnsi="宋体" w:cs="宋体"/>
          <w:iCs/>
          <w:color w:val="auto"/>
          <w:kern w:val="0"/>
          <w:szCs w:val="21"/>
        </w:rPr>
        <w:t>M</w:t>
      </w:r>
      <w:r>
        <w:rPr>
          <w:rFonts w:hint="eastAsia" w:ascii="宋体" w:hAnsi="宋体" w:cs="宋体"/>
          <w:iCs/>
          <w:color w:val="auto"/>
          <w:kern w:val="0"/>
          <w:szCs w:val="21"/>
          <w:vertAlign w:val="subscript"/>
        </w:rPr>
        <w:t>0</w:t>
      </w:r>
      <w:r>
        <w:rPr>
          <w:rFonts w:hint="eastAsia" w:ascii="宋体" w:hAnsi="宋体" w:cs="宋体"/>
          <w:color w:val="auto"/>
          <w:kern w:val="0"/>
          <w:szCs w:val="21"/>
        </w:rPr>
        <w:t>”表示基准日期工程造价管理机构发布的各相关要素价格。</w:t>
      </w:r>
    </w:p>
    <w:p>
      <w:pPr>
        <w:adjustRightInd w:val="0"/>
        <w:snapToGrid w:val="0"/>
        <w:spacing w:line="420" w:lineRule="exact"/>
        <w:ind w:left="1619" w:leftChars="771"/>
        <w:rPr>
          <w:rFonts w:ascii="宋体" w:hAnsi="宋体" w:cs="宋体"/>
          <w:color w:val="auto"/>
          <w:kern w:val="0"/>
          <w:szCs w:val="21"/>
        </w:rPr>
      </w:pPr>
      <w:r>
        <w:rPr>
          <w:rFonts w:hint="eastAsia" w:ascii="宋体" w:hAnsi="宋体" w:cs="宋体"/>
          <w:color w:val="auto"/>
          <w:kern w:val="0"/>
          <w:szCs w:val="21"/>
        </w:rPr>
        <w:t>(2）价格调差法</w:t>
      </w:r>
    </w:p>
    <w:p>
      <w:pPr>
        <w:adjustRightInd w:val="0"/>
        <w:snapToGrid w:val="0"/>
        <w:spacing w:line="420" w:lineRule="exact"/>
        <w:ind w:left="1619" w:leftChars="771"/>
        <w:rPr>
          <w:rFonts w:ascii="宋体" w:hAnsi="宋体" w:cs="宋体"/>
          <w:color w:val="auto"/>
          <w:kern w:val="0"/>
          <w:szCs w:val="21"/>
        </w:rPr>
      </w:pPr>
      <w:r>
        <w:rPr>
          <w:rFonts w:hint="eastAsia" w:ascii="宋体" w:hAnsi="宋体" w:cs="宋体"/>
          <w:color w:val="auto"/>
          <w:kern w:val="0"/>
          <w:szCs w:val="21"/>
        </w:rPr>
        <w:t>按照合同工程发生的材料、工程设备、施工设备机械台班的数量和合同履行期与基准日期相应价格或单价对比的价差的乘积计算。</w:t>
      </w:r>
    </w:p>
    <w:p>
      <w:pPr>
        <w:tabs>
          <w:tab w:val="left" w:pos="540"/>
        </w:tabs>
        <w:adjustRightInd w:val="0"/>
        <w:snapToGrid w:val="0"/>
        <w:spacing w:line="480" w:lineRule="auto"/>
        <w:rPr>
          <w:rFonts w:ascii="宋体" w:hAnsi="宋体" w:cs="宋体"/>
          <w:color w:val="auto"/>
          <w:kern w:val="0"/>
          <w:szCs w:val="21"/>
          <w:u w:val="dotted"/>
        </w:rPr>
      </w:pPr>
      <w:r>
        <w:rPr>
          <w:rFonts w:hint="eastAsia" w:ascii="宋体" w:hAnsi="宋体" w:cs="宋体"/>
          <w:b/>
          <w:color w:val="auto"/>
          <w:kern w:val="0"/>
          <w:szCs w:val="21"/>
        </w:rPr>
        <w:t>76.4</w:t>
      </w:r>
      <w:r>
        <w:rPr>
          <w:rFonts w:hint="eastAsia" w:ascii="宋体" w:hAnsi="宋体" w:cs="宋体"/>
          <w:color w:val="auto"/>
          <w:kern w:val="0"/>
          <w:szCs w:val="21"/>
        </w:rPr>
        <w:t xml:space="preserve">  </w:t>
      </w:r>
      <w:r>
        <w:rPr>
          <w:rFonts w:hint="eastAsia" w:ascii="宋体" w:hAnsi="宋体" w:cs="宋体"/>
          <w:color w:val="auto"/>
          <w:kern w:val="0"/>
          <w:szCs w:val="21"/>
          <w:u w:val="dotted"/>
        </w:rPr>
        <w:t xml:space="preserve">                                                                                                        </w:t>
      </w:r>
    </w:p>
    <w:p>
      <w:pPr>
        <w:adjustRightInd w:val="0"/>
        <w:snapToGrid w:val="0"/>
        <w:spacing w:line="420" w:lineRule="exact"/>
        <w:ind w:left="1619" w:leftChars="771"/>
        <w:rPr>
          <w:rFonts w:ascii="宋体" w:hAnsi="宋体" w:cs="宋体"/>
          <w:color w:val="auto"/>
          <w:kern w:val="0"/>
          <w:szCs w:val="21"/>
        </w:rPr>
      </w:pPr>
      <w:r>
        <w:rPr>
          <w:rFonts w:ascii="宋体" w:hAnsi="宋体" w:cs="宋体"/>
          <w:color w:val="auto"/>
          <w:kern w:val="0"/>
          <w:szCs w:val="21"/>
        </w:rPr>
        <mc:AlternateContent>
          <mc:Choice Requires="wps">
            <w:drawing>
              <wp:anchor distT="0" distB="0" distL="114300" distR="114300" simplePos="0" relativeHeight="252054528" behindDoc="0" locked="0" layoutInCell="1" allowOverlap="1">
                <wp:simplePos x="0" y="0"/>
                <wp:positionH relativeFrom="column">
                  <wp:posOffset>-114300</wp:posOffset>
                </wp:positionH>
                <wp:positionV relativeFrom="paragraph">
                  <wp:posOffset>15875</wp:posOffset>
                </wp:positionV>
                <wp:extent cx="914400" cy="711835"/>
                <wp:effectExtent l="0" t="0" r="0" b="0"/>
                <wp:wrapNone/>
                <wp:docPr id="83" name="文本框 83"/>
                <wp:cNvGraphicFramePr/>
                <a:graphic xmlns:a="http://schemas.openxmlformats.org/drawingml/2006/main">
                  <a:graphicData uri="http://schemas.microsoft.com/office/word/2010/wordprocessingShape">
                    <wps:wsp>
                      <wps:cNvSpPr txBox="1">
                        <a:spLocks noChangeArrowheads="1"/>
                      </wps:cNvSpPr>
                      <wps:spPr bwMode="auto">
                        <a:xfrm>
                          <a:off x="0" y="0"/>
                          <a:ext cx="914400" cy="711835"/>
                        </a:xfrm>
                        <a:prstGeom prst="rect">
                          <a:avLst/>
                        </a:prstGeom>
                        <a:noFill/>
                        <a:ln>
                          <a:noFill/>
                        </a:ln>
                        <a:effectLst/>
                      </wps:spPr>
                      <wps:txbx>
                        <w:txbxContent>
                          <w:p>
                            <w:pPr>
                              <w:pStyle w:val="32"/>
                              <w:spacing w:line="200" w:lineRule="exact"/>
                              <w:rPr>
                                <w:rFonts w:ascii="宋体" w:hAnsi="宋体"/>
                                <w:sz w:val="18"/>
                                <w:szCs w:val="18"/>
                              </w:rPr>
                            </w:pPr>
                            <w:r>
                              <w:rPr>
                                <w:rFonts w:hint="eastAsia" w:ascii="楷体_GB2312" w:hAnsi="宋体" w:eastAsia="楷体_GB2312"/>
                                <w:b/>
                                <w:color w:val="000000"/>
                                <w:sz w:val="18"/>
                                <w:szCs w:val="18"/>
                              </w:rPr>
                              <w:t>承包人采购材料设备发生工期延误的价格确定</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5pt;height:56.05pt;width:72pt;z-index:252054528;mso-width-relative:page;mso-height-relative:page;" filled="f" stroked="f" coordsize="21600,21600" o:gfxdata="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Hq+dL1gAAAAkBAAAPAAAAAAAAAAEAIAAAACIAAABkcnMvZG93bnJl&#10;di54bWxQSwECFAAUAAAACACHTuJAFeVcBf8BAADWAwAADgAAAAAAAAABACAAAAAlAQAAZHJzL2Uy&#10;b0RvYy54bWxQSwUGAAAAAAYABgBZAQAAlgUAAAAA&#10;">
                <v:fill on="f" focussize="0,0"/>
                <v:stroke on="f"/>
                <v:imagedata o:title=""/>
                <o:lock v:ext="edit" aspectratio="f"/>
                <v:textbox>
                  <w:txbxContent>
                    <w:p>
                      <w:pPr>
                        <w:pStyle w:val="32"/>
                        <w:spacing w:line="200" w:lineRule="exact"/>
                        <w:rPr>
                          <w:rFonts w:ascii="宋体" w:hAnsi="宋体"/>
                          <w:sz w:val="18"/>
                          <w:szCs w:val="18"/>
                        </w:rPr>
                      </w:pPr>
                      <w:r>
                        <w:rPr>
                          <w:rFonts w:hint="eastAsia" w:ascii="楷体_GB2312" w:hAnsi="宋体" w:eastAsia="楷体_GB2312"/>
                          <w:b/>
                          <w:color w:val="000000"/>
                          <w:sz w:val="18"/>
                          <w:szCs w:val="18"/>
                        </w:rPr>
                        <w:t>承包人采购材料设备发生工期延误的价格确定</w:t>
                      </w:r>
                    </w:p>
                  </w:txbxContent>
                </v:textbox>
              </v:shape>
            </w:pict>
          </mc:Fallback>
        </mc:AlternateContent>
      </w:r>
      <w:r>
        <w:rPr>
          <w:rFonts w:hint="eastAsia" w:ascii="宋体" w:hAnsi="宋体" w:cs="宋体"/>
          <w:color w:val="auto"/>
          <w:kern w:val="0"/>
          <w:szCs w:val="21"/>
        </w:rPr>
        <w:t>执行第76.3款规定时，发生合同工程工期延误的，应按照下列规定确定合同履行期用于调整的价格或单价：</w:t>
      </w:r>
    </w:p>
    <w:p>
      <w:pPr>
        <w:adjustRightInd w:val="0"/>
        <w:snapToGrid w:val="0"/>
        <w:spacing w:line="420" w:lineRule="exact"/>
        <w:ind w:left="1619" w:leftChars="771"/>
        <w:rPr>
          <w:rFonts w:ascii="宋体" w:hAnsi="宋体" w:cs="宋体"/>
          <w:color w:val="auto"/>
          <w:kern w:val="0"/>
          <w:szCs w:val="21"/>
        </w:rPr>
      </w:pPr>
      <w:r>
        <w:rPr>
          <w:rFonts w:hint="eastAsia" w:ascii="宋体" w:hAnsi="宋体" w:cs="宋体"/>
          <w:color w:val="auto"/>
          <w:kern w:val="0"/>
          <w:szCs w:val="21"/>
        </w:rPr>
        <w:t>由于发包人原因导致工期延误的，则计划进度日期后续工程的价格或单价，采用计划进度日期与实际进度日期两者的较高者；</w:t>
      </w:r>
    </w:p>
    <w:p>
      <w:pPr>
        <w:adjustRightInd w:val="0"/>
        <w:snapToGrid w:val="0"/>
        <w:spacing w:line="420" w:lineRule="exact"/>
        <w:ind w:left="1619" w:leftChars="771"/>
        <w:rPr>
          <w:rFonts w:ascii="宋体" w:hAnsi="宋体" w:cs="宋体"/>
          <w:color w:val="auto"/>
          <w:kern w:val="0"/>
          <w:szCs w:val="21"/>
        </w:rPr>
      </w:pPr>
      <w:r>
        <w:rPr>
          <w:rFonts w:hint="eastAsia" w:ascii="宋体" w:hAnsi="宋体" w:cs="宋体"/>
          <w:color w:val="auto"/>
          <w:kern w:val="0"/>
          <w:szCs w:val="21"/>
        </w:rPr>
        <w:t>由于承包人原因导致工期延误的，则计划进度日期后续工程的价格或单价，采用计划进度日期与实际进度日期两者的较低者。</w:t>
      </w:r>
    </w:p>
    <w:p>
      <w:pPr>
        <w:tabs>
          <w:tab w:val="left" w:pos="540"/>
        </w:tabs>
        <w:adjustRightInd w:val="0"/>
        <w:snapToGrid w:val="0"/>
        <w:spacing w:line="480" w:lineRule="auto"/>
        <w:rPr>
          <w:rFonts w:ascii="宋体" w:hAnsi="宋体" w:cs="宋体"/>
          <w:color w:val="auto"/>
          <w:kern w:val="0"/>
          <w:szCs w:val="21"/>
          <w:u w:val="dotted"/>
        </w:rPr>
      </w:pPr>
      <w:r>
        <w:rPr>
          <w:rFonts w:hint="eastAsia" w:ascii="宋体" w:hAnsi="宋体" w:cs="宋体"/>
          <w:b/>
          <w:color w:val="auto"/>
          <w:kern w:val="0"/>
          <w:szCs w:val="21"/>
        </w:rPr>
        <w:t>76.5</w:t>
      </w:r>
      <w:r>
        <w:rPr>
          <w:rFonts w:hint="eastAsia" w:ascii="宋体" w:hAnsi="宋体" w:cs="宋体"/>
          <w:color w:val="auto"/>
          <w:kern w:val="0"/>
          <w:szCs w:val="21"/>
        </w:rPr>
        <w:t xml:space="preserve">  </w:t>
      </w:r>
      <w:r>
        <w:rPr>
          <w:rFonts w:hint="eastAsia" w:ascii="宋体" w:hAnsi="宋体" w:cs="宋体"/>
          <w:color w:val="auto"/>
          <w:kern w:val="0"/>
          <w:szCs w:val="21"/>
          <w:u w:val="dotted"/>
        </w:rPr>
        <w:t xml:space="preserve">                                                                                                        </w:t>
      </w:r>
    </w:p>
    <w:p>
      <w:pPr>
        <w:adjustRightInd w:val="0"/>
        <w:snapToGrid w:val="0"/>
        <w:spacing w:line="420" w:lineRule="exact"/>
        <w:ind w:left="1619" w:leftChars="771"/>
        <w:rPr>
          <w:rFonts w:ascii="宋体" w:hAnsi="宋体" w:cs="宋体"/>
          <w:color w:val="auto"/>
          <w:kern w:val="0"/>
          <w:szCs w:val="21"/>
        </w:rPr>
      </w:pPr>
      <w:r>
        <w:rPr>
          <w:rFonts w:ascii="宋体" w:hAnsi="宋体" w:cs="宋体"/>
          <w:color w:val="auto"/>
          <w:kern w:val="0"/>
          <w:szCs w:val="21"/>
        </w:rPr>
        <mc:AlternateContent>
          <mc:Choice Requires="wps">
            <w:drawing>
              <wp:anchor distT="0" distB="0" distL="114300" distR="114300" simplePos="0" relativeHeight="252025856" behindDoc="0" locked="0" layoutInCell="1" allowOverlap="1">
                <wp:simplePos x="0" y="0"/>
                <wp:positionH relativeFrom="column">
                  <wp:posOffset>-66675</wp:posOffset>
                </wp:positionH>
                <wp:positionV relativeFrom="paragraph">
                  <wp:posOffset>31115</wp:posOffset>
                </wp:positionV>
                <wp:extent cx="914400" cy="711835"/>
                <wp:effectExtent l="0" t="0" r="0" b="0"/>
                <wp:wrapNone/>
                <wp:docPr id="82" name="文本框 82"/>
                <wp:cNvGraphicFramePr/>
                <a:graphic xmlns:a="http://schemas.openxmlformats.org/drawingml/2006/main">
                  <a:graphicData uri="http://schemas.microsoft.com/office/word/2010/wordprocessingShape">
                    <wps:wsp>
                      <wps:cNvSpPr txBox="1">
                        <a:spLocks noChangeArrowheads="1"/>
                      </wps:cNvSpPr>
                      <wps:spPr bwMode="auto">
                        <a:xfrm>
                          <a:off x="0" y="0"/>
                          <a:ext cx="914400" cy="711835"/>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承包人采购材料设备的调价限制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25pt;margin-top:2.45pt;height:56.05pt;width:72pt;z-index:252025856;mso-width-relative:page;mso-height-relative:page;" filled="f" stroked="f" coordsize="21600,21600" o:gfxdata="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Iz7LB1gAAAAkBAAAPAAAAAAAAAAEAIAAAACIAAABkcnMvZG93bnJl&#10;di54bWxQSwECFAAUAAAACACHTuJAJmzYe/8BAADWAwAADgAAAAAAAAABACAAAAAlAQAAZHJzL2Uy&#10;b0RvYy54bWxQSwUGAAAAAAYABgBZAQAAlgU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承包人采购材料设备的调价限制</w:t>
                      </w:r>
                    </w:p>
                  </w:txbxContent>
                </v:textbox>
              </v:shape>
            </w:pict>
          </mc:Fallback>
        </mc:AlternateContent>
      </w:r>
      <w:r>
        <w:rPr>
          <w:rFonts w:hint="eastAsia" w:ascii="宋体" w:hAnsi="宋体" w:cs="宋体"/>
          <w:color w:val="auto"/>
          <w:kern w:val="0"/>
          <w:szCs w:val="21"/>
        </w:rPr>
        <w:t>承包人在采购材料和工程设备前，应向发包人提交一份能阐明采购材料、工程设备数量和新单价的书面报告。发包人应在收到承包人书面报告后的3个工作日内，通知造价工程师核实，并经监理工程师确认用于合同工程后，对承包人采购材料、工程设备的数量和新单价予以确定；发包人对此未确定也未提出修改意见的，视为承包人提交的书面报告已被认可，作为调整合同价款的依据。承包人未经发包人确定即自行采购材料和工程设备，再向发包人提出调整合同价款的，如发包人不同意，则合同价款不予调整。</w:t>
      </w:r>
    </w:p>
    <w:p>
      <w:pPr>
        <w:tabs>
          <w:tab w:val="left" w:pos="540"/>
        </w:tabs>
        <w:adjustRightInd w:val="0"/>
        <w:snapToGrid w:val="0"/>
        <w:spacing w:line="360" w:lineRule="auto"/>
        <w:rPr>
          <w:rFonts w:ascii="宋体" w:hAnsi="宋体" w:cs="宋体"/>
          <w:b/>
          <w:color w:val="auto"/>
          <w:kern w:val="0"/>
          <w:szCs w:val="21"/>
          <w:u w:val="dotted"/>
        </w:rPr>
      </w:pPr>
      <w:r>
        <w:rPr>
          <w:rFonts w:hint="eastAsia" w:ascii="宋体" w:hAnsi="宋体" w:cs="宋体"/>
          <w:b/>
          <w:color w:val="auto"/>
          <w:kern w:val="0"/>
          <w:szCs w:val="21"/>
        </w:rPr>
        <w:t xml:space="preserve">76.6  </w:t>
      </w:r>
      <w:r>
        <w:rPr>
          <w:rFonts w:hint="eastAsia" w:ascii="宋体" w:hAnsi="宋体" w:cs="宋体"/>
          <w:b/>
          <w:color w:val="auto"/>
          <w:kern w:val="0"/>
          <w:szCs w:val="21"/>
          <w:u w:val="dotted"/>
        </w:rPr>
        <w:t xml:space="preserve">                                                                                                        </w:t>
      </w:r>
    </w:p>
    <w:p>
      <w:pPr>
        <w:adjustRightInd w:val="0"/>
        <w:snapToGrid w:val="0"/>
        <w:spacing w:line="420" w:lineRule="exact"/>
        <w:ind w:left="1619" w:leftChars="771"/>
        <w:rPr>
          <w:rFonts w:ascii="宋体" w:hAnsi="宋体" w:cs="宋体"/>
          <w:color w:val="auto"/>
          <w:kern w:val="0"/>
          <w:szCs w:val="21"/>
        </w:rPr>
      </w:pPr>
      <w:r>
        <w:rPr>
          <w:rFonts w:ascii="宋体" w:hAnsi="宋体" w:cs="宋体"/>
          <w:color w:val="auto"/>
          <w:kern w:val="0"/>
          <w:szCs w:val="21"/>
        </w:rPr>
        <mc:AlternateContent>
          <mc:Choice Requires="wps">
            <w:drawing>
              <wp:anchor distT="0" distB="0" distL="114300" distR="114300" simplePos="0" relativeHeight="252026880" behindDoc="0" locked="0" layoutInCell="1" allowOverlap="1">
                <wp:simplePos x="0" y="0"/>
                <wp:positionH relativeFrom="column">
                  <wp:posOffset>-114300</wp:posOffset>
                </wp:positionH>
                <wp:positionV relativeFrom="paragraph">
                  <wp:posOffset>15875</wp:posOffset>
                </wp:positionV>
                <wp:extent cx="914400" cy="619125"/>
                <wp:effectExtent l="0" t="0" r="0" b="0"/>
                <wp:wrapNone/>
                <wp:docPr id="81" name="文本框 81"/>
                <wp:cNvGraphicFramePr/>
                <a:graphic xmlns:a="http://schemas.openxmlformats.org/drawingml/2006/main">
                  <a:graphicData uri="http://schemas.microsoft.com/office/word/2010/wordprocessingShape">
                    <wps:wsp>
                      <wps:cNvSpPr txBox="1">
                        <a:spLocks noChangeArrowheads="1"/>
                      </wps:cNvSpPr>
                      <wps:spPr bwMode="auto">
                        <a:xfrm>
                          <a:off x="0" y="0"/>
                          <a:ext cx="914400" cy="619125"/>
                        </a:xfrm>
                        <a:prstGeom prst="rect">
                          <a:avLst/>
                        </a:prstGeom>
                        <a:noFill/>
                        <a:ln>
                          <a:noFill/>
                        </a:ln>
                        <a:effectLst/>
                      </wps:spPr>
                      <wps:txbx>
                        <w:txbxContent>
                          <w:p>
                            <w:pPr>
                              <w:pStyle w:val="78"/>
                              <w:spacing w:line="200" w:lineRule="exact"/>
                              <w:rPr>
                                <w:rFonts w:ascii="楷体_GB2312"/>
                                <w:szCs w:val="18"/>
                              </w:rPr>
                            </w:pPr>
                            <w:r>
                              <w:rPr>
                                <w:rFonts w:hint="eastAsia" w:ascii="楷体_GB2312"/>
                                <w:szCs w:val="18"/>
                              </w:rPr>
                              <w:t>发包人供应材料设备的价款调整</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5pt;height:48.75pt;width:72pt;z-index:252026880;mso-width-relative:page;mso-height-relative:page;" filled="f" stroked="f" coordsize="21600,21600" o:gfxdata="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NPIDAfVAAAACQEAAA8AAAAAAAAAAQAgAAAAIgAAAGRycy9kb3ducmV2&#10;LnhtbFBLAQIUABQAAAAIAIdO4kAk0U8a/wEAANYDAAAOAAAAAAAAAAEAIAAAACQBAABkcnMvZTJv&#10;RG9jLnhtbFBLBQYAAAAABgAGAFkBAACVBQAAAAA=&#10;">
                <v:fill on="f" focussize="0,0"/>
                <v:stroke on="f"/>
                <v:imagedata o:title=""/>
                <o:lock v:ext="edit" aspectratio="f"/>
                <v:textbox>
                  <w:txbxContent>
                    <w:p>
                      <w:pPr>
                        <w:pStyle w:val="78"/>
                        <w:spacing w:line="200" w:lineRule="exact"/>
                        <w:rPr>
                          <w:rFonts w:ascii="楷体_GB2312"/>
                          <w:szCs w:val="18"/>
                        </w:rPr>
                      </w:pPr>
                      <w:r>
                        <w:rPr>
                          <w:rFonts w:hint="eastAsia" w:ascii="楷体_GB2312"/>
                          <w:szCs w:val="18"/>
                        </w:rPr>
                        <w:t>发包人供应材料设备的价款调整</w:t>
                      </w:r>
                    </w:p>
                  </w:txbxContent>
                </v:textbox>
              </v:shape>
            </w:pict>
          </mc:Fallback>
        </mc:AlternateContent>
      </w:r>
      <w:r>
        <w:rPr>
          <w:rFonts w:hint="eastAsia" w:ascii="宋体" w:hAnsi="宋体" w:cs="宋体"/>
          <w:color w:val="auto"/>
          <w:kern w:val="0"/>
          <w:szCs w:val="21"/>
        </w:rPr>
        <w:t>发包人供应材料和工程设备的，由发包人按照实际变化调整，列入合同工程的工程造价内。</w:t>
      </w:r>
    </w:p>
    <w:p>
      <w:pPr>
        <w:adjustRightInd w:val="0"/>
        <w:snapToGrid w:val="0"/>
        <w:ind w:right="-238"/>
        <w:rPr>
          <w:rFonts w:ascii="宋体" w:hAnsi="宋体" w:cs="宋体"/>
          <w:b/>
          <w:color w:val="auto"/>
          <w:kern w:val="0"/>
          <w:szCs w:val="21"/>
          <w:u w:val="single"/>
        </w:rPr>
      </w:pPr>
      <w:r>
        <w:rPr>
          <w:rFonts w:hint="eastAsia" w:ascii="宋体" w:hAnsi="宋体" w:cs="宋体"/>
          <w:b/>
          <w:color w:val="auto"/>
          <w:kern w:val="0"/>
          <w:szCs w:val="21"/>
          <w:u w:val="single"/>
        </w:rPr>
        <w:t xml:space="preserve">                                                                                </w:t>
      </w:r>
    </w:p>
    <w:p>
      <w:pPr>
        <w:tabs>
          <w:tab w:val="left" w:pos="540"/>
        </w:tabs>
        <w:adjustRightInd w:val="0"/>
        <w:snapToGrid w:val="0"/>
        <w:spacing w:line="360" w:lineRule="auto"/>
        <w:rPr>
          <w:rFonts w:ascii="宋体" w:hAnsi="宋体" w:cs="宋体"/>
          <w:b/>
          <w:color w:val="auto"/>
          <w:kern w:val="0"/>
          <w:szCs w:val="21"/>
        </w:rPr>
      </w:pPr>
    </w:p>
    <w:p>
      <w:pPr>
        <w:spacing w:line="360" w:lineRule="auto"/>
        <w:rPr>
          <w:rFonts w:ascii="宋体" w:hAnsi="宋体" w:cs="宋体"/>
          <w:b/>
          <w:bCs/>
          <w:color w:val="auto"/>
          <w:szCs w:val="21"/>
        </w:rPr>
      </w:pPr>
      <w:r>
        <w:rPr>
          <w:rFonts w:hint="eastAsia" w:ascii="宋体" w:hAnsi="宋体" w:cs="宋体"/>
          <w:b/>
          <w:color w:val="auto"/>
          <w:szCs w:val="21"/>
        </w:rPr>
        <w:t>77  合同价款调整程序</w:t>
      </w:r>
    </w:p>
    <w:p>
      <w:pPr>
        <w:spacing w:line="360" w:lineRule="auto"/>
        <w:rPr>
          <w:rFonts w:ascii="宋体" w:hAnsi="宋体" w:cs="宋体"/>
          <w:b/>
          <w:bCs/>
          <w:color w:val="auto"/>
          <w:szCs w:val="21"/>
        </w:rPr>
      </w:pPr>
      <w:r>
        <w:rPr>
          <w:rFonts w:hint="eastAsia" w:ascii="宋体" w:hAnsi="宋体" w:cs="宋体"/>
          <w:b/>
          <w:color w:val="auto"/>
          <w:szCs w:val="21"/>
        </w:rPr>
        <w:t>77.1</w:t>
      </w:r>
    </w:p>
    <w:p>
      <w:pPr>
        <w:spacing w:line="360" w:lineRule="auto"/>
        <w:ind w:left="1619" w:leftChars="771" w:firstLine="2"/>
        <w:rPr>
          <w:rFonts w:ascii="宋体" w:hAnsi="宋体" w:cs="宋体"/>
          <w:color w:val="auto"/>
          <w:szCs w:val="21"/>
        </w:rPr>
      </w:pPr>
      <w:r>
        <w:rPr>
          <w:rFonts w:ascii="宋体" w:hAnsi="宋体" w:cs="宋体"/>
          <w:color w:val="auto"/>
          <w:szCs w:val="21"/>
        </w:rPr>
        <mc:AlternateContent>
          <mc:Choice Requires="wps">
            <w:drawing>
              <wp:anchor distT="0" distB="0" distL="114300" distR="114300" simplePos="0" relativeHeight="252017664" behindDoc="0" locked="0" layoutInCell="1" allowOverlap="1">
                <wp:simplePos x="0" y="0"/>
                <wp:positionH relativeFrom="column">
                  <wp:posOffset>-114300</wp:posOffset>
                </wp:positionH>
                <wp:positionV relativeFrom="paragraph">
                  <wp:posOffset>15875</wp:posOffset>
                </wp:positionV>
                <wp:extent cx="914400" cy="693420"/>
                <wp:effectExtent l="0" t="0" r="0" b="0"/>
                <wp:wrapNone/>
                <wp:docPr id="80" name="文本框 80"/>
                <wp:cNvGraphicFramePr/>
                <a:graphic xmlns:a="http://schemas.openxmlformats.org/drawingml/2006/main">
                  <a:graphicData uri="http://schemas.microsoft.com/office/word/2010/wordprocessingShape">
                    <wps:wsp>
                      <wps:cNvSpPr txBox="1">
                        <a:spLocks noChangeArrowheads="1"/>
                      </wps:cNvSpPr>
                      <wps:spPr bwMode="auto">
                        <a:xfrm>
                          <a:off x="0" y="0"/>
                          <a:ext cx="914400" cy="693420"/>
                        </a:xfrm>
                        <a:prstGeom prst="rect">
                          <a:avLst/>
                        </a:prstGeom>
                        <a:noFill/>
                        <a:ln>
                          <a:noFill/>
                        </a:ln>
                        <a:effectLst/>
                      </wps:spPr>
                      <wps:txbx>
                        <w:txbxContent>
                          <w:p>
                            <w:pPr>
                              <w:pStyle w:val="78"/>
                              <w:spacing w:line="200" w:lineRule="exact"/>
                              <w:rPr>
                                <w:szCs w:val="18"/>
                              </w:rPr>
                            </w:pPr>
                            <w:r>
                              <w:rPr>
                                <w:rFonts w:hint="eastAsia" w:ascii="楷体_GB2312"/>
                                <w:szCs w:val="18"/>
                              </w:rPr>
                              <w:t xml:space="preserve">合同价款调整程序的规定    </w:t>
                            </w:r>
                            <w:r>
                              <w:rPr>
                                <w:rFonts w:hint="eastAsia"/>
                                <w:szCs w:val="18"/>
                              </w:rPr>
                              <w:t xml:space="preserve">                         </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5pt;height:54.6pt;width:72pt;z-index:252017664;mso-width-relative:page;mso-height-relative:page;" filled="f" stroked="f" coordsize="21600,21600" o:gfxdata="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ED7j7fWAAAACQEAAA8AAAAAAAAAAQAgAAAAIgAAAGRycy9kb3ducmV2&#10;LnhtbFBLAQIUABQAAAAIAIdO4kCZoJCC/gEAANYDAAAOAAAAAAAAAAEAIAAAACUBAABkcnMvZTJv&#10;RG9jLnhtbFBLBQYAAAAABgAGAFkBAACVBQAAAAA=&#10;">
                <v:fill on="f" focussize="0,0"/>
                <v:stroke on="f"/>
                <v:imagedata o:title=""/>
                <o:lock v:ext="edit" aspectratio="f"/>
                <v:textbox>
                  <w:txbxContent>
                    <w:p>
                      <w:pPr>
                        <w:pStyle w:val="78"/>
                        <w:spacing w:line="200" w:lineRule="exact"/>
                        <w:rPr>
                          <w:szCs w:val="18"/>
                        </w:rPr>
                      </w:pPr>
                      <w:r>
                        <w:rPr>
                          <w:rFonts w:hint="eastAsia" w:ascii="楷体_GB2312"/>
                          <w:szCs w:val="18"/>
                        </w:rPr>
                        <w:t xml:space="preserve">合同价款调整程序的规定    </w:t>
                      </w:r>
                      <w:r>
                        <w:rPr>
                          <w:rFonts w:hint="eastAsia"/>
                          <w:szCs w:val="18"/>
                        </w:rPr>
                        <w:t xml:space="preserve">                         </w:t>
                      </w:r>
                    </w:p>
                  </w:txbxContent>
                </v:textbox>
              </v:shape>
            </w:pict>
          </mc:Fallback>
        </mc:AlternateContent>
      </w:r>
      <w:r>
        <w:rPr>
          <w:rFonts w:hint="eastAsia" w:ascii="宋体" w:hAnsi="宋体" w:cs="宋体"/>
          <w:color w:val="auto"/>
          <w:szCs w:val="21"/>
        </w:rPr>
        <w:t>合同履行期间，出现第68.2款规定调整合同价款事件的，除费用索赔、现场签证事件分别按照第74条、第75条规定程序外，合同双方当事人应按照本条规定程序调整合同价款。</w:t>
      </w:r>
    </w:p>
    <w:p>
      <w:pPr>
        <w:adjustRightInd w:val="0"/>
        <w:snapToGrid w:val="0"/>
        <w:spacing w:line="360" w:lineRule="auto"/>
        <w:rPr>
          <w:rFonts w:ascii="宋体" w:hAnsi="宋体" w:cs="宋体"/>
          <w:b/>
          <w:color w:val="auto"/>
          <w:kern w:val="0"/>
          <w:szCs w:val="21"/>
        </w:rPr>
      </w:pPr>
      <w:r>
        <w:rPr>
          <w:rFonts w:ascii="宋体" w:hAnsi="宋体" w:cs="宋体"/>
          <w:color w:val="auto"/>
          <w:kern w:val="0"/>
          <w:szCs w:val="21"/>
        </w:rPr>
        <mc:AlternateContent>
          <mc:Choice Requires="wps">
            <w:drawing>
              <wp:anchor distT="0" distB="0" distL="114300" distR="114300" simplePos="0" relativeHeight="252018688" behindDoc="0" locked="0" layoutInCell="1" allowOverlap="1">
                <wp:simplePos x="0" y="0"/>
                <wp:positionH relativeFrom="column">
                  <wp:posOffset>-58420</wp:posOffset>
                </wp:positionH>
                <wp:positionV relativeFrom="paragraph">
                  <wp:posOffset>246380</wp:posOffset>
                </wp:positionV>
                <wp:extent cx="914400" cy="619125"/>
                <wp:effectExtent l="0" t="0" r="0" b="0"/>
                <wp:wrapNone/>
                <wp:docPr id="79" name="文本框 79"/>
                <wp:cNvGraphicFramePr/>
                <a:graphic xmlns:a="http://schemas.openxmlformats.org/drawingml/2006/main">
                  <a:graphicData uri="http://schemas.microsoft.com/office/word/2010/wordprocessingShape">
                    <wps:wsp>
                      <wps:cNvSpPr txBox="1">
                        <a:spLocks noChangeArrowheads="1"/>
                      </wps:cNvSpPr>
                      <wps:spPr bwMode="auto">
                        <a:xfrm>
                          <a:off x="0" y="0"/>
                          <a:ext cx="914400" cy="619125"/>
                        </a:xfrm>
                        <a:prstGeom prst="rect">
                          <a:avLst/>
                        </a:prstGeom>
                        <a:noFill/>
                        <a:ln>
                          <a:noFill/>
                        </a:ln>
                        <a:effectLst/>
                      </wps:spPr>
                      <wps:txbx>
                        <w:txbxContent>
                          <w:p>
                            <w:pPr>
                              <w:pStyle w:val="78"/>
                              <w:spacing w:line="200" w:lineRule="exact"/>
                              <w:rPr>
                                <w:rFonts w:ascii="楷体_GB2312"/>
                                <w:szCs w:val="18"/>
                              </w:rPr>
                            </w:pPr>
                            <w:r>
                              <w:rPr>
                                <w:rFonts w:hint="eastAsia" w:ascii="楷体_GB2312"/>
                                <w:szCs w:val="18"/>
                              </w:rPr>
                              <w:t>合同价款调增报告的提出</w:t>
                            </w:r>
                          </w:p>
                          <w:p>
                            <w:pPr>
                              <w:pStyle w:val="78"/>
                              <w:spacing w:line="200" w:lineRule="exact"/>
                              <w:rPr>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6pt;margin-top:19.4pt;height:48.75pt;width:72pt;z-index:252018688;mso-width-relative:page;mso-height-relative:page;" filled="f" stroked="f" coordsize="21600,21600" o:gfxdata="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FQvB/7VAAAACQEAAA8AAAAAAAAAAQAgAAAAIgAAAGRycy9kb3ducmV2&#10;LnhtbFBLAQIUABQAAAAIAIdO4kBeHwMt/wEAANYDAAAOAAAAAAAAAAEAIAAAACQBAABkcnMvZTJv&#10;RG9jLnhtbFBLBQYAAAAABgAGAFkBAACVBQAAAAA=&#10;">
                <v:fill on="f" focussize="0,0"/>
                <v:stroke on="f"/>
                <v:imagedata o:title=""/>
                <o:lock v:ext="edit" aspectratio="f"/>
                <v:textbox>
                  <w:txbxContent>
                    <w:p>
                      <w:pPr>
                        <w:pStyle w:val="78"/>
                        <w:spacing w:line="200" w:lineRule="exact"/>
                        <w:rPr>
                          <w:rFonts w:ascii="楷体_GB2312"/>
                          <w:szCs w:val="18"/>
                        </w:rPr>
                      </w:pPr>
                      <w:r>
                        <w:rPr>
                          <w:rFonts w:hint="eastAsia" w:ascii="楷体_GB2312"/>
                          <w:szCs w:val="18"/>
                        </w:rPr>
                        <w:t>合同价款调增报告的提出</w:t>
                      </w:r>
                    </w:p>
                    <w:p>
                      <w:pPr>
                        <w:pStyle w:val="78"/>
                        <w:spacing w:line="200" w:lineRule="exact"/>
                        <w:rPr>
                          <w:szCs w:val="18"/>
                        </w:rPr>
                      </w:pPr>
                    </w:p>
                  </w:txbxContent>
                </v:textbox>
              </v:shape>
            </w:pict>
          </mc:Fallback>
        </mc:AlternateContent>
      </w:r>
      <w:r>
        <w:rPr>
          <w:rFonts w:hint="eastAsia" w:ascii="宋体" w:hAnsi="宋体" w:cs="宋体"/>
          <w:b/>
          <w:color w:val="auto"/>
          <w:kern w:val="0"/>
          <w:szCs w:val="21"/>
        </w:rPr>
        <w:t xml:space="preserve">77.2 </w:t>
      </w:r>
      <w:r>
        <w:rPr>
          <w:rFonts w:hint="eastAsia" w:ascii="宋体" w:hAnsi="宋体" w:cs="宋体"/>
          <w:b/>
          <w:color w:val="auto"/>
          <w:kern w:val="0"/>
          <w:szCs w:val="21"/>
          <w:u w:val="dotted"/>
        </w:rPr>
        <w:t xml:space="preserve">                                                                               </w:t>
      </w:r>
    </w:p>
    <w:p>
      <w:pPr>
        <w:adjustRightInd w:val="0"/>
        <w:snapToGrid w:val="0"/>
        <w:spacing w:line="360" w:lineRule="auto"/>
        <w:ind w:left="1619" w:leftChars="771"/>
        <w:rPr>
          <w:rFonts w:ascii="宋体" w:hAnsi="宋体" w:cs="宋体"/>
          <w:b/>
          <w:bCs/>
          <w:color w:val="auto"/>
          <w:kern w:val="0"/>
          <w:szCs w:val="21"/>
        </w:rPr>
      </w:pPr>
      <w:r>
        <w:rPr>
          <w:rFonts w:hint="eastAsia" w:ascii="宋体" w:hAnsi="宋体" w:cs="宋体"/>
          <w:color w:val="auto"/>
          <w:kern w:val="0"/>
          <w:szCs w:val="21"/>
        </w:rPr>
        <w:t>出现合同价款调增事件后的14天内，承包人应向造价工程师提交合同价款调增报告。并附上相关资料。如承包人在出现合同价款调增事件后的14天内未提交合同价款调增报告的，则造价工程师可在报发包人批准后，根据实际情况决定是否调整合同价款以及调整的金额。</w:t>
      </w:r>
    </w:p>
    <w:p>
      <w:pPr>
        <w:adjustRightInd w:val="0"/>
        <w:snapToGrid w:val="0"/>
        <w:spacing w:line="360" w:lineRule="auto"/>
        <w:rPr>
          <w:rFonts w:ascii="宋体" w:hAnsi="宋体" w:cs="宋体"/>
          <w:color w:val="auto"/>
          <w:kern w:val="0"/>
          <w:szCs w:val="21"/>
          <w:u w:val="dotted"/>
        </w:rPr>
      </w:pPr>
      <w:r>
        <w:rPr>
          <w:rFonts w:hint="eastAsia" w:ascii="宋体" w:hAnsi="宋体" w:cs="宋体"/>
          <w:b/>
          <w:color w:val="auto"/>
          <w:kern w:val="0"/>
          <w:szCs w:val="21"/>
        </w:rPr>
        <w:t xml:space="preserve">77.3 </w:t>
      </w:r>
      <w:r>
        <w:rPr>
          <w:rFonts w:hint="eastAsia" w:ascii="宋体" w:hAnsi="宋体" w:cs="宋体"/>
          <w:color w:val="auto"/>
          <w:kern w:val="0"/>
          <w:szCs w:val="21"/>
          <w:u w:val="dotted"/>
        </w:rPr>
        <w:t xml:space="preserve">                                                                              </w:t>
      </w:r>
    </w:p>
    <w:p>
      <w:pPr>
        <w:adjustRightInd w:val="0"/>
        <w:snapToGrid w:val="0"/>
        <w:spacing w:line="360" w:lineRule="auto"/>
        <w:ind w:left="1619" w:leftChars="771"/>
        <w:rPr>
          <w:rFonts w:ascii="宋体" w:hAnsi="宋体" w:cs="宋体"/>
          <w:color w:val="auto"/>
          <w:kern w:val="0"/>
          <w:szCs w:val="21"/>
        </w:rPr>
      </w:pPr>
      <w:r>
        <w:rPr>
          <w:rFonts w:ascii="宋体" w:hAnsi="宋体" w:cs="宋体"/>
          <w:color w:val="auto"/>
          <w:kern w:val="0"/>
          <w:szCs w:val="21"/>
        </w:rPr>
        <mc:AlternateContent>
          <mc:Choice Requires="wps">
            <w:drawing>
              <wp:anchor distT="0" distB="0" distL="114300" distR="114300" simplePos="0" relativeHeight="252020736" behindDoc="0" locked="0" layoutInCell="1" allowOverlap="1">
                <wp:simplePos x="0" y="0"/>
                <wp:positionH relativeFrom="column">
                  <wp:posOffset>-114300</wp:posOffset>
                </wp:positionH>
                <wp:positionV relativeFrom="paragraph">
                  <wp:posOffset>34290</wp:posOffset>
                </wp:positionV>
                <wp:extent cx="1028700" cy="495300"/>
                <wp:effectExtent l="0" t="0" r="0" b="0"/>
                <wp:wrapNone/>
                <wp:docPr id="78" name="文本框 78"/>
                <wp:cNvGraphicFramePr/>
                <a:graphic xmlns:a="http://schemas.openxmlformats.org/drawingml/2006/main">
                  <a:graphicData uri="http://schemas.microsoft.com/office/word/2010/wordprocessingShape">
                    <wps:wsp>
                      <wps:cNvSpPr txBox="1">
                        <a:spLocks noChangeArrowheads="1"/>
                      </wps:cNvSpPr>
                      <wps:spPr bwMode="auto">
                        <a:xfrm>
                          <a:off x="0" y="0"/>
                          <a:ext cx="1028700" cy="495300"/>
                        </a:xfrm>
                        <a:prstGeom prst="rect">
                          <a:avLst/>
                        </a:prstGeom>
                        <a:noFill/>
                        <a:ln>
                          <a:noFill/>
                        </a:ln>
                        <a:effectLst/>
                      </wps:spPr>
                      <wps:txbx>
                        <w:txbxContent>
                          <w:p>
                            <w:pPr>
                              <w:pStyle w:val="78"/>
                              <w:spacing w:line="200" w:lineRule="exact"/>
                              <w:rPr>
                                <w:rFonts w:ascii="楷体_GB2312"/>
                                <w:szCs w:val="18"/>
                              </w:rPr>
                            </w:pPr>
                            <w:r>
                              <w:rPr>
                                <w:rFonts w:hint="eastAsia" w:ascii="楷体_GB2312"/>
                                <w:szCs w:val="18"/>
                              </w:rPr>
                              <w:t>调增价款的核</w:t>
                            </w:r>
                          </w:p>
                          <w:p>
                            <w:pPr>
                              <w:pStyle w:val="78"/>
                              <w:spacing w:line="200" w:lineRule="exact"/>
                              <w:rPr>
                                <w:rFonts w:ascii="楷体_GB2312"/>
                                <w:szCs w:val="18"/>
                              </w:rPr>
                            </w:pPr>
                            <w:r>
                              <w:rPr>
                                <w:rFonts w:hint="eastAsia" w:ascii="楷体_GB2312"/>
                                <w:szCs w:val="18"/>
                              </w:rPr>
                              <w:t>实</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7pt;height:39pt;width:81pt;z-index:252020736;mso-width-relative:page;mso-height-relative:page;" filled="f" stroked="f" coordsize="21600,21600" o:gfxdata="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PpiGEbVAAAACAEAAA8AAAAAAAAAAQAgAAAAIgAAAGRycy9kb3ducmV2&#10;LnhtbFBLAQIUABQAAAAIAIdO4kALISv0/wEAANcDAAAOAAAAAAAAAAEAIAAAACQBAABkcnMvZTJv&#10;RG9jLnhtbFBLBQYAAAAABgAGAFkBAACVBQAAAAA=&#10;">
                <v:fill on="f" focussize="0,0"/>
                <v:stroke on="f"/>
                <v:imagedata o:title=""/>
                <o:lock v:ext="edit" aspectratio="f"/>
                <v:textbox>
                  <w:txbxContent>
                    <w:p>
                      <w:pPr>
                        <w:pStyle w:val="78"/>
                        <w:spacing w:line="200" w:lineRule="exact"/>
                        <w:rPr>
                          <w:rFonts w:ascii="楷体_GB2312"/>
                          <w:szCs w:val="18"/>
                        </w:rPr>
                      </w:pPr>
                      <w:r>
                        <w:rPr>
                          <w:rFonts w:hint="eastAsia" w:ascii="楷体_GB2312"/>
                          <w:szCs w:val="18"/>
                        </w:rPr>
                        <w:t>调增价款的核</w:t>
                      </w:r>
                    </w:p>
                    <w:p>
                      <w:pPr>
                        <w:pStyle w:val="78"/>
                        <w:spacing w:line="200" w:lineRule="exact"/>
                        <w:rPr>
                          <w:rFonts w:ascii="楷体_GB2312"/>
                          <w:szCs w:val="18"/>
                        </w:rPr>
                      </w:pPr>
                      <w:r>
                        <w:rPr>
                          <w:rFonts w:hint="eastAsia" w:ascii="楷体_GB2312"/>
                          <w:szCs w:val="18"/>
                        </w:rPr>
                        <w:t>实</w:t>
                      </w:r>
                    </w:p>
                  </w:txbxContent>
                </v:textbox>
              </v:shape>
            </w:pict>
          </mc:Fallback>
        </mc:AlternateContent>
      </w:r>
      <w:r>
        <w:rPr>
          <w:rFonts w:hint="eastAsia" w:ascii="宋体" w:hAnsi="宋体" w:cs="宋体"/>
          <w:color w:val="auto"/>
          <w:kern w:val="0"/>
          <w:szCs w:val="21"/>
        </w:rPr>
        <w:t>造价工程师应在收到合同价款调增报告及相关资料之日起14天内对其核实，并予以确认或提出协商意见。造价工程师在收到合同价款调增报告之日起14天内未确认也未提出协商意见的，视为承包人提交的合同价款调增报告已被认可。造价工程师提出协商意见的，合同双方当事人应在承包人收到协商意见后的14天内进行协商确定；协商未能达成一致的，由造价工程师暂定调增的合同价款，通知承包人并抄报发包人。出现暂定结果的，只要不实质影响合同双方当事人履约的，合同双方当事人应实施该结果，直到其被改变为止。</w:t>
      </w:r>
    </w:p>
    <w:p>
      <w:pPr>
        <w:adjustRightInd w:val="0"/>
        <w:snapToGrid w:val="0"/>
        <w:spacing w:line="360" w:lineRule="auto"/>
        <w:rPr>
          <w:rFonts w:ascii="宋体" w:hAnsi="宋体" w:cs="宋体"/>
          <w:b/>
          <w:color w:val="auto"/>
          <w:kern w:val="0"/>
          <w:szCs w:val="21"/>
          <w:u w:val="dotted"/>
        </w:rPr>
      </w:pPr>
      <w:r>
        <w:rPr>
          <w:rFonts w:hint="eastAsia" w:ascii="宋体" w:hAnsi="宋体" w:cs="宋体"/>
          <w:b/>
          <w:color w:val="auto"/>
          <w:kern w:val="0"/>
          <w:szCs w:val="21"/>
        </w:rPr>
        <w:t xml:space="preserve">77.4 </w:t>
      </w:r>
      <w:r>
        <w:rPr>
          <w:rFonts w:hint="eastAsia" w:ascii="宋体" w:hAnsi="宋体" w:cs="宋体"/>
          <w:b/>
          <w:color w:val="auto"/>
          <w:kern w:val="0"/>
          <w:szCs w:val="21"/>
          <w:u w:val="dotted"/>
        </w:rPr>
        <w:t xml:space="preserve">                                                                              </w:t>
      </w:r>
    </w:p>
    <w:p>
      <w:pPr>
        <w:adjustRightInd w:val="0"/>
        <w:snapToGrid w:val="0"/>
        <w:spacing w:line="360" w:lineRule="auto"/>
        <w:ind w:left="1619" w:leftChars="771"/>
        <w:rPr>
          <w:rFonts w:ascii="宋体" w:hAnsi="宋体" w:cs="宋体"/>
          <w:color w:val="auto"/>
          <w:kern w:val="0"/>
          <w:szCs w:val="21"/>
        </w:rPr>
      </w:pPr>
      <w:r>
        <w:rPr>
          <w:rFonts w:ascii="宋体" w:hAnsi="宋体" w:cs="宋体"/>
          <w:color w:val="auto"/>
          <w:kern w:val="0"/>
          <w:szCs w:val="21"/>
        </w:rPr>
        <mc:AlternateContent>
          <mc:Choice Requires="wps">
            <w:drawing>
              <wp:anchor distT="0" distB="0" distL="114300" distR="114300" simplePos="0" relativeHeight="252021760" behindDoc="0" locked="0" layoutInCell="1" allowOverlap="1">
                <wp:simplePos x="0" y="0"/>
                <wp:positionH relativeFrom="column">
                  <wp:posOffset>-114300</wp:posOffset>
                </wp:positionH>
                <wp:positionV relativeFrom="paragraph">
                  <wp:posOffset>34290</wp:posOffset>
                </wp:positionV>
                <wp:extent cx="1028700" cy="495300"/>
                <wp:effectExtent l="0" t="0" r="0" b="0"/>
                <wp:wrapNone/>
                <wp:docPr id="77" name="文本框 77"/>
                <wp:cNvGraphicFramePr/>
                <a:graphic xmlns:a="http://schemas.openxmlformats.org/drawingml/2006/main">
                  <a:graphicData uri="http://schemas.microsoft.com/office/word/2010/wordprocessingShape">
                    <wps:wsp>
                      <wps:cNvSpPr txBox="1">
                        <a:spLocks noChangeArrowheads="1"/>
                      </wps:cNvSpPr>
                      <wps:spPr bwMode="auto">
                        <a:xfrm>
                          <a:off x="0" y="0"/>
                          <a:ext cx="1028700" cy="495300"/>
                        </a:xfrm>
                        <a:prstGeom prst="rect">
                          <a:avLst/>
                        </a:prstGeom>
                        <a:noFill/>
                        <a:ln>
                          <a:noFill/>
                        </a:ln>
                        <a:effectLst/>
                      </wps:spPr>
                      <wps:txbx>
                        <w:txbxContent>
                          <w:p>
                            <w:pPr>
                              <w:pStyle w:val="78"/>
                              <w:spacing w:line="200" w:lineRule="exact"/>
                              <w:rPr>
                                <w:rFonts w:ascii="楷体_GB2312"/>
                                <w:szCs w:val="18"/>
                              </w:rPr>
                            </w:pPr>
                            <w:r>
                              <w:rPr>
                                <w:rFonts w:hint="eastAsia" w:ascii="楷体_GB2312"/>
                                <w:szCs w:val="18"/>
                              </w:rPr>
                              <w:t>调增价款的支</w:t>
                            </w:r>
                          </w:p>
                          <w:p>
                            <w:pPr>
                              <w:pStyle w:val="78"/>
                              <w:spacing w:line="200" w:lineRule="exact"/>
                              <w:rPr>
                                <w:rFonts w:ascii="楷体_GB2312"/>
                                <w:szCs w:val="18"/>
                              </w:rPr>
                            </w:pPr>
                            <w:r>
                              <w:rPr>
                                <w:rFonts w:hint="eastAsia" w:ascii="楷体_GB2312"/>
                                <w:szCs w:val="18"/>
                              </w:rPr>
                              <w:t>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7pt;height:39pt;width:81pt;z-index:252021760;mso-width-relative:page;mso-height-relative:page;" filled="f" stroked="f" coordsize="21600,21600" o:gfxdata="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PpiGEbVAAAACAEAAA8AAAAAAAAAAQAgAAAAIgAAAGRycy9kb3ducmV2&#10;LnhtbFBLAQIUABQAAAAIAIdO4kBrqqGB/wEAANcDAAAOAAAAAAAAAAEAIAAAACQBAABkcnMvZTJv&#10;RG9jLnhtbFBLBQYAAAAABgAGAFkBAACVBQAAAAA=&#10;">
                <v:fill on="f" focussize="0,0"/>
                <v:stroke on="f"/>
                <v:imagedata o:title=""/>
                <o:lock v:ext="edit" aspectratio="f"/>
                <v:textbox>
                  <w:txbxContent>
                    <w:p>
                      <w:pPr>
                        <w:pStyle w:val="78"/>
                        <w:spacing w:line="200" w:lineRule="exact"/>
                        <w:rPr>
                          <w:rFonts w:ascii="楷体_GB2312"/>
                          <w:szCs w:val="18"/>
                        </w:rPr>
                      </w:pPr>
                      <w:r>
                        <w:rPr>
                          <w:rFonts w:hint="eastAsia" w:ascii="楷体_GB2312"/>
                          <w:szCs w:val="18"/>
                        </w:rPr>
                        <w:t>调增价款的支</w:t>
                      </w:r>
                    </w:p>
                    <w:p>
                      <w:pPr>
                        <w:pStyle w:val="78"/>
                        <w:spacing w:line="200" w:lineRule="exact"/>
                        <w:rPr>
                          <w:rFonts w:ascii="楷体_GB2312"/>
                          <w:szCs w:val="18"/>
                        </w:rPr>
                      </w:pPr>
                      <w:r>
                        <w:rPr>
                          <w:rFonts w:hint="eastAsia" w:ascii="楷体_GB2312"/>
                          <w:szCs w:val="18"/>
                        </w:rPr>
                        <w:t>付</w:t>
                      </w:r>
                    </w:p>
                  </w:txbxContent>
                </v:textbox>
              </v:shape>
            </w:pict>
          </mc:Fallback>
        </mc:AlternateContent>
      </w:r>
      <w:r>
        <w:rPr>
          <w:rFonts w:hint="eastAsia" w:ascii="宋体" w:hAnsi="宋体" w:cs="宋体"/>
          <w:color w:val="auto"/>
          <w:kern w:val="0"/>
          <w:szCs w:val="21"/>
        </w:rPr>
        <w:t>经合同双方当事人确认或造价工程师暂定调增的合同价款，作为追加合同价款，与工程进度款或结算款同期支付。</w:t>
      </w:r>
    </w:p>
    <w:p>
      <w:pPr>
        <w:adjustRightInd w:val="0"/>
        <w:snapToGrid w:val="0"/>
        <w:spacing w:line="360" w:lineRule="auto"/>
        <w:rPr>
          <w:rFonts w:ascii="宋体" w:hAnsi="宋体" w:cs="宋体"/>
          <w:b/>
          <w:color w:val="auto"/>
          <w:kern w:val="0"/>
          <w:szCs w:val="21"/>
        </w:rPr>
      </w:pPr>
      <w:r>
        <w:rPr>
          <w:rFonts w:hint="eastAsia" w:ascii="宋体" w:hAnsi="宋体" w:cs="宋体"/>
          <w:b/>
          <w:color w:val="auto"/>
          <w:kern w:val="0"/>
          <w:szCs w:val="21"/>
        </w:rPr>
        <w:t xml:space="preserve">77.5 </w:t>
      </w:r>
      <w:r>
        <w:rPr>
          <w:rFonts w:hint="eastAsia" w:ascii="宋体" w:hAnsi="宋体" w:cs="宋体"/>
          <w:b/>
          <w:color w:val="auto"/>
          <w:kern w:val="0"/>
          <w:szCs w:val="21"/>
          <w:u w:val="dotted"/>
        </w:rPr>
        <w:t xml:space="preserve">                                                                               </w:t>
      </w:r>
    </w:p>
    <w:p>
      <w:pPr>
        <w:adjustRightInd w:val="0"/>
        <w:snapToGrid w:val="0"/>
        <w:spacing w:line="360" w:lineRule="auto"/>
        <w:ind w:left="1606" w:leftChars="765" w:right="-238"/>
        <w:rPr>
          <w:rFonts w:ascii="宋体" w:hAnsi="宋体" w:cs="宋体"/>
          <w:color w:val="auto"/>
          <w:kern w:val="0"/>
          <w:szCs w:val="21"/>
        </w:rPr>
      </w:pPr>
      <w:r>
        <w:rPr>
          <w:rFonts w:ascii="宋体" w:hAnsi="宋体" w:cs="宋体"/>
          <w:color w:val="auto"/>
          <w:kern w:val="0"/>
          <w:szCs w:val="21"/>
        </w:rPr>
        <mc:AlternateContent>
          <mc:Choice Requires="wps">
            <w:drawing>
              <wp:anchor distT="0" distB="0" distL="114300" distR="114300" simplePos="0" relativeHeight="252019712" behindDoc="0" locked="0" layoutInCell="1" allowOverlap="1">
                <wp:simplePos x="0" y="0"/>
                <wp:positionH relativeFrom="column">
                  <wp:posOffset>-66675</wp:posOffset>
                </wp:positionH>
                <wp:positionV relativeFrom="paragraph">
                  <wp:posOffset>5715</wp:posOffset>
                </wp:positionV>
                <wp:extent cx="1143000" cy="495300"/>
                <wp:effectExtent l="0" t="0" r="0" b="0"/>
                <wp:wrapNone/>
                <wp:docPr id="76" name="文本框 76"/>
                <wp:cNvGraphicFramePr/>
                <a:graphic xmlns:a="http://schemas.openxmlformats.org/drawingml/2006/main">
                  <a:graphicData uri="http://schemas.microsoft.com/office/word/2010/wordprocessingShape">
                    <wps:wsp>
                      <wps:cNvSpPr txBox="1">
                        <a:spLocks noChangeArrowheads="1"/>
                      </wps:cNvSpPr>
                      <wps:spPr bwMode="auto">
                        <a:xfrm>
                          <a:off x="0" y="0"/>
                          <a:ext cx="1143000" cy="495300"/>
                        </a:xfrm>
                        <a:prstGeom prst="rect">
                          <a:avLst/>
                        </a:prstGeom>
                        <a:noFill/>
                        <a:ln>
                          <a:noFill/>
                        </a:ln>
                        <a:effectLst/>
                      </wps:spPr>
                      <wps:txbx>
                        <w:txbxContent>
                          <w:p>
                            <w:pPr>
                              <w:pStyle w:val="78"/>
                              <w:spacing w:line="200" w:lineRule="exact"/>
                              <w:rPr>
                                <w:rFonts w:ascii="楷体_GB2312"/>
                                <w:szCs w:val="18"/>
                              </w:rPr>
                            </w:pPr>
                            <w:r>
                              <w:rPr>
                                <w:rFonts w:hint="eastAsia" w:ascii="楷体_GB2312"/>
                                <w:szCs w:val="18"/>
                              </w:rPr>
                              <w:t>合同价款调减</w:t>
                            </w:r>
                          </w:p>
                          <w:p>
                            <w:pPr>
                              <w:pStyle w:val="78"/>
                              <w:spacing w:line="200" w:lineRule="exact"/>
                              <w:rPr>
                                <w:rFonts w:ascii="楷体_GB2312"/>
                                <w:szCs w:val="18"/>
                              </w:rPr>
                            </w:pPr>
                            <w:r>
                              <w:rPr>
                                <w:rFonts w:hint="eastAsia" w:ascii="楷体_GB2312"/>
                                <w:szCs w:val="18"/>
                              </w:rPr>
                              <w:t>事件的处理</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25pt;margin-top:0.45pt;height:39pt;width:90pt;z-index:252019712;mso-width-relative:page;mso-height-relative:page;" filled="f" stroked="f" coordsize="21600,21600" o:gfxdata="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FmpeOdMAAAAHAQAADwAAAAAAAAABACAAAAAiAAAAZHJzL2Rvd25yZXYu&#10;eG1sUEsBAhQAFAAAAAgAh07iQAlTDqwAAgAA1wMAAA4AAAAAAAAAAQAgAAAAIgEAAGRycy9lMm9E&#10;b2MueG1sUEsFBgAAAAAGAAYAWQEAAJQFAAAAAA==&#10;">
                <v:fill on="f" focussize="0,0"/>
                <v:stroke on="f"/>
                <v:imagedata o:title=""/>
                <o:lock v:ext="edit" aspectratio="f"/>
                <v:textbox>
                  <w:txbxContent>
                    <w:p>
                      <w:pPr>
                        <w:pStyle w:val="78"/>
                        <w:spacing w:line="200" w:lineRule="exact"/>
                        <w:rPr>
                          <w:rFonts w:ascii="楷体_GB2312"/>
                          <w:szCs w:val="18"/>
                        </w:rPr>
                      </w:pPr>
                      <w:r>
                        <w:rPr>
                          <w:rFonts w:hint="eastAsia" w:ascii="楷体_GB2312"/>
                          <w:szCs w:val="18"/>
                        </w:rPr>
                        <w:t>合同价款调减</w:t>
                      </w:r>
                    </w:p>
                    <w:p>
                      <w:pPr>
                        <w:pStyle w:val="78"/>
                        <w:spacing w:line="200" w:lineRule="exact"/>
                        <w:rPr>
                          <w:rFonts w:ascii="楷体_GB2312"/>
                          <w:szCs w:val="18"/>
                        </w:rPr>
                      </w:pPr>
                      <w:r>
                        <w:rPr>
                          <w:rFonts w:hint="eastAsia" w:ascii="楷体_GB2312"/>
                          <w:szCs w:val="18"/>
                        </w:rPr>
                        <w:t>事件的处理</w:t>
                      </w:r>
                    </w:p>
                  </w:txbxContent>
                </v:textbox>
              </v:shape>
            </w:pict>
          </mc:Fallback>
        </mc:AlternateContent>
      </w:r>
      <w:r>
        <w:rPr>
          <w:rFonts w:hint="eastAsia" w:ascii="宋体" w:hAnsi="宋体" w:cs="宋体"/>
          <w:color w:val="auto"/>
          <w:kern w:val="0"/>
          <w:szCs w:val="21"/>
        </w:rPr>
        <w:t>出现合同价款调减事件时，发包人可按照本条规定的时限和要求，向承包人提交合同价款调减报告以及调减的金额，但调减部分金额应按照实际调减金额乘以承包人报价浮动率计算。</w:t>
      </w:r>
    </w:p>
    <w:p>
      <w:pPr>
        <w:adjustRightInd w:val="0"/>
        <w:snapToGrid w:val="0"/>
        <w:ind w:left="1423" w:right="-238" w:hanging="1423" w:hangingChars="675"/>
        <w:rPr>
          <w:rFonts w:ascii="宋体" w:hAnsi="宋体" w:cs="宋体"/>
          <w:b/>
          <w:color w:val="auto"/>
          <w:kern w:val="0"/>
          <w:szCs w:val="21"/>
          <w:u w:val="single"/>
        </w:rPr>
      </w:pPr>
      <w:r>
        <w:rPr>
          <w:rFonts w:hint="eastAsia" w:ascii="宋体" w:hAnsi="宋体" w:cs="宋体"/>
          <w:b/>
          <w:color w:val="auto"/>
          <w:kern w:val="0"/>
          <w:szCs w:val="21"/>
          <w:u w:val="single"/>
        </w:rPr>
        <w:t xml:space="preserve">                                                                                                </w:t>
      </w:r>
    </w:p>
    <w:p>
      <w:pPr>
        <w:spacing w:line="360" w:lineRule="auto"/>
        <w:ind w:left="1423" w:hanging="1423" w:hangingChars="675"/>
        <w:rPr>
          <w:rFonts w:ascii="宋体" w:hAnsi="宋体" w:cs="宋体"/>
          <w:b/>
          <w:color w:val="auto"/>
          <w:szCs w:val="21"/>
        </w:rPr>
      </w:pPr>
    </w:p>
    <w:p>
      <w:pPr>
        <w:spacing w:line="360" w:lineRule="auto"/>
        <w:rPr>
          <w:rFonts w:ascii="宋体" w:hAnsi="宋体" w:cs="宋体"/>
          <w:b/>
          <w:color w:val="auto"/>
          <w:szCs w:val="21"/>
        </w:rPr>
      </w:pPr>
      <w:r>
        <w:rPr>
          <w:rFonts w:hint="eastAsia" w:ascii="宋体" w:hAnsi="宋体" w:cs="宋体"/>
          <w:b/>
          <w:color w:val="auto"/>
          <w:szCs w:val="21"/>
        </w:rPr>
        <w:t>78  支付事项</w:t>
      </w:r>
    </w:p>
    <w:p>
      <w:pPr>
        <w:adjustRightInd w:val="0"/>
        <w:snapToGrid w:val="0"/>
        <w:spacing w:line="360" w:lineRule="auto"/>
        <w:rPr>
          <w:rFonts w:ascii="宋体" w:hAnsi="宋体" w:cs="宋体"/>
          <w:b/>
          <w:color w:val="auto"/>
          <w:kern w:val="0"/>
          <w:szCs w:val="21"/>
        </w:rPr>
      </w:pPr>
      <w:r>
        <w:rPr>
          <w:rFonts w:hint="eastAsia" w:ascii="宋体" w:hAnsi="宋体" w:cs="宋体"/>
          <w:b/>
          <w:color w:val="auto"/>
          <w:kern w:val="0"/>
          <w:szCs w:val="21"/>
        </w:rPr>
        <w:t xml:space="preserve">78.1   </w:t>
      </w:r>
    </w:p>
    <w:p>
      <w:pPr>
        <w:adjustRightInd w:val="0"/>
        <w:snapToGrid w:val="0"/>
        <w:spacing w:line="360" w:lineRule="auto"/>
        <w:ind w:left="1619" w:leftChars="771"/>
        <w:rPr>
          <w:rFonts w:ascii="宋体" w:hAnsi="宋体" w:cs="宋体"/>
          <w:color w:val="auto"/>
          <w:kern w:val="0"/>
          <w:szCs w:val="21"/>
        </w:rPr>
      </w:pPr>
      <w:r>
        <w:rPr>
          <w:rFonts w:ascii="宋体" w:hAnsi="宋体" w:cs="宋体"/>
          <w:color w:val="auto"/>
          <w:kern w:val="0"/>
          <w:szCs w:val="21"/>
        </w:rPr>
        <mc:AlternateContent>
          <mc:Choice Requires="wps">
            <w:drawing>
              <wp:anchor distT="0" distB="0" distL="114300" distR="114300" simplePos="0" relativeHeight="252013568" behindDoc="0" locked="0" layoutInCell="1" allowOverlap="1">
                <wp:simplePos x="0" y="0"/>
                <wp:positionH relativeFrom="column">
                  <wp:posOffset>-114300</wp:posOffset>
                </wp:positionH>
                <wp:positionV relativeFrom="paragraph">
                  <wp:posOffset>21590</wp:posOffset>
                </wp:positionV>
                <wp:extent cx="1143000" cy="314325"/>
                <wp:effectExtent l="0" t="0" r="0" b="0"/>
                <wp:wrapNone/>
                <wp:docPr id="75" name="文本框 75"/>
                <wp:cNvGraphicFramePr/>
                <a:graphic xmlns:a="http://schemas.openxmlformats.org/drawingml/2006/main">
                  <a:graphicData uri="http://schemas.microsoft.com/office/word/2010/wordprocessingShape">
                    <wps:wsp>
                      <wps:cNvSpPr txBox="1">
                        <a:spLocks noChangeArrowheads="1"/>
                      </wps:cNvSpPr>
                      <wps:spPr bwMode="auto">
                        <a:xfrm>
                          <a:off x="0" y="0"/>
                          <a:ext cx="1143000" cy="314325"/>
                        </a:xfrm>
                        <a:prstGeom prst="rect">
                          <a:avLst/>
                        </a:prstGeom>
                        <a:noFill/>
                        <a:ln>
                          <a:noFill/>
                        </a:ln>
                        <a:effectLst/>
                      </wps:spPr>
                      <wps:txbx>
                        <w:txbxContent>
                          <w:p>
                            <w:pPr>
                              <w:pStyle w:val="78"/>
                              <w:spacing w:line="200" w:lineRule="exact"/>
                              <w:rPr>
                                <w:rFonts w:ascii="楷体_GB2312"/>
                                <w:szCs w:val="18"/>
                              </w:rPr>
                            </w:pPr>
                            <w:r>
                              <w:rPr>
                                <w:rFonts w:hint="eastAsia" w:ascii="楷体_GB2312"/>
                                <w:szCs w:val="18"/>
                              </w:rPr>
                              <w:t>支付工程款项</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7pt;height:24.75pt;width:90pt;z-index:252013568;mso-width-relative:page;mso-height-relative:page;" filled="f" stroked="f" coordsize="21600,21600" o:gfxdata="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WhfTL1QAAAAgBAAAPAAAAAAAAAAEAIAAAACIAAABkcnMvZG93bnJl&#10;di54bWxQSwECFAAUAAAACACHTuJAhrAjZQACAADXAwAADgAAAAAAAAABACAAAAAkAQAAZHJzL2Uy&#10;b0RvYy54bWxQSwUGAAAAAAYABgBZAQAAlgUAAAAA&#10;">
                <v:fill on="f" focussize="0,0"/>
                <v:stroke on="f"/>
                <v:imagedata o:title=""/>
                <o:lock v:ext="edit" aspectratio="f"/>
                <v:textbox>
                  <w:txbxContent>
                    <w:p>
                      <w:pPr>
                        <w:pStyle w:val="78"/>
                        <w:spacing w:line="200" w:lineRule="exact"/>
                        <w:rPr>
                          <w:rFonts w:ascii="楷体_GB2312"/>
                          <w:szCs w:val="18"/>
                        </w:rPr>
                      </w:pPr>
                      <w:r>
                        <w:rPr>
                          <w:rFonts w:hint="eastAsia" w:ascii="楷体_GB2312"/>
                          <w:szCs w:val="18"/>
                        </w:rPr>
                        <w:t>支付工程款项</w:t>
                      </w:r>
                    </w:p>
                  </w:txbxContent>
                </v:textbox>
              </v:shape>
            </w:pict>
          </mc:Fallback>
        </mc:AlternateContent>
      </w:r>
      <w:r>
        <w:rPr>
          <w:rFonts w:hint="eastAsia" w:ascii="宋体" w:hAnsi="宋体" w:cs="宋体"/>
          <w:color w:val="auto"/>
          <w:kern w:val="0"/>
          <w:szCs w:val="21"/>
        </w:rPr>
        <w:t>发包人应按照下列规定向承包人支付工程款及其他各种款项：</w:t>
      </w:r>
    </w:p>
    <w:p>
      <w:pPr>
        <w:adjustRightInd w:val="0"/>
        <w:snapToGrid w:val="0"/>
        <w:spacing w:line="360" w:lineRule="auto"/>
        <w:ind w:left="1079" w:leftChars="514" w:firstLine="630" w:firstLineChars="300"/>
        <w:rPr>
          <w:rFonts w:ascii="宋体" w:hAnsi="宋体" w:cs="宋体"/>
          <w:color w:val="auto"/>
          <w:kern w:val="0"/>
          <w:szCs w:val="21"/>
        </w:rPr>
      </w:pPr>
      <w:r>
        <w:rPr>
          <w:rFonts w:hint="eastAsia" w:ascii="宋体" w:hAnsi="宋体" w:cs="宋体"/>
          <w:color w:val="auto"/>
          <w:kern w:val="0"/>
          <w:szCs w:val="21"/>
        </w:rPr>
        <w:t>(1)预付款按照第79条的规定支付；</w:t>
      </w:r>
    </w:p>
    <w:p>
      <w:pPr>
        <w:adjustRightInd w:val="0"/>
        <w:snapToGrid w:val="0"/>
        <w:spacing w:line="360" w:lineRule="auto"/>
        <w:ind w:left="1079" w:leftChars="514" w:firstLine="630" w:firstLineChars="300"/>
        <w:rPr>
          <w:rFonts w:ascii="宋体" w:hAnsi="宋体" w:cs="宋体"/>
          <w:color w:val="auto"/>
          <w:kern w:val="0"/>
          <w:szCs w:val="21"/>
        </w:rPr>
      </w:pPr>
      <w:r>
        <w:rPr>
          <w:rFonts w:hint="eastAsia" w:ascii="宋体" w:hAnsi="宋体" w:cs="宋体"/>
          <w:color w:val="auto"/>
          <w:kern w:val="0"/>
          <w:szCs w:val="21"/>
        </w:rPr>
        <w:t>(2)安全文明施工费按照第80条规定支付；</w:t>
      </w:r>
    </w:p>
    <w:p>
      <w:pPr>
        <w:adjustRightInd w:val="0"/>
        <w:snapToGrid w:val="0"/>
        <w:spacing w:line="360" w:lineRule="auto"/>
        <w:ind w:left="1079" w:leftChars="514" w:firstLine="630" w:firstLineChars="300"/>
        <w:rPr>
          <w:rFonts w:ascii="宋体" w:hAnsi="宋体" w:cs="宋体"/>
          <w:color w:val="auto"/>
          <w:kern w:val="0"/>
          <w:szCs w:val="21"/>
        </w:rPr>
      </w:pPr>
      <w:r>
        <w:rPr>
          <w:rFonts w:hint="eastAsia" w:ascii="宋体" w:hAnsi="宋体" w:cs="宋体"/>
          <w:color w:val="auto"/>
          <w:kern w:val="0"/>
          <w:szCs w:val="21"/>
        </w:rPr>
        <w:t>(3)进度款按照第81条的规定支付；</w:t>
      </w:r>
    </w:p>
    <w:p>
      <w:pPr>
        <w:adjustRightInd w:val="0"/>
        <w:snapToGrid w:val="0"/>
        <w:spacing w:line="360" w:lineRule="auto"/>
        <w:ind w:left="481" w:leftChars="229" w:firstLine="1155" w:firstLineChars="550"/>
        <w:rPr>
          <w:rFonts w:ascii="宋体" w:hAnsi="宋体" w:cs="宋体"/>
          <w:color w:val="auto"/>
          <w:kern w:val="0"/>
          <w:szCs w:val="21"/>
        </w:rPr>
      </w:pPr>
      <w:r>
        <w:rPr>
          <w:rFonts w:hint="eastAsia" w:ascii="宋体" w:hAnsi="宋体" w:cs="宋体"/>
          <w:color w:val="auto"/>
          <w:kern w:val="0"/>
          <w:szCs w:val="21"/>
        </w:rPr>
        <w:t>(4)结算款按照第83条的规定支付；</w:t>
      </w:r>
    </w:p>
    <w:p>
      <w:pPr>
        <w:adjustRightInd w:val="0"/>
        <w:snapToGrid w:val="0"/>
        <w:spacing w:line="360" w:lineRule="auto"/>
        <w:ind w:left="1079" w:leftChars="514" w:firstLine="630" w:firstLineChars="300"/>
        <w:rPr>
          <w:rFonts w:ascii="宋体" w:hAnsi="宋体" w:cs="宋体"/>
          <w:color w:val="auto"/>
          <w:kern w:val="0"/>
          <w:szCs w:val="21"/>
        </w:rPr>
      </w:pPr>
      <w:r>
        <w:rPr>
          <w:rFonts w:hint="eastAsia" w:ascii="宋体" w:hAnsi="宋体" w:cs="宋体"/>
          <w:color w:val="auto"/>
          <w:kern w:val="0"/>
          <w:szCs w:val="21"/>
        </w:rPr>
        <w:t>(5)质量保证金按照第84条的规定支付；</w:t>
      </w:r>
    </w:p>
    <w:p>
      <w:pPr>
        <w:adjustRightInd w:val="0"/>
        <w:snapToGrid w:val="0"/>
        <w:spacing w:line="360" w:lineRule="auto"/>
        <w:ind w:left="1079" w:leftChars="514" w:firstLine="630" w:firstLineChars="300"/>
        <w:rPr>
          <w:rFonts w:ascii="宋体" w:hAnsi="宋体" w:cs="宋体"/>
          <w:color w:val="auto"/>
          <w:kern w:val="0"/>
          <w:szCs w:val="21"/>
        </w:rPr>
      </w:pPr>
      <w:r>
        <w:rPr>
          <w:rFonts w:hint="eastAsia" w:ascii="宋体" w:hAnsi="宋体" w:cs="宋体"/>
          <w:color w:val="auto"/>
          <w:kern w:val="0"/>
          <w:szCs w:val="21"/>
        </w:rPr>
        <w:t>(6)最终清算款按照第85条的规定支付。</w:t>
      </w:r>
    </w:p>
    <w:p>
      <w:pPr>
        <w:adjustRightInd w:val="0"/>
        <w:snapToGrid w:val="0"/>
        <w:spacing w:line="360" w:lineRule="auto"/>
        <w:rPr>
          <w:rFonts w:ascii="宋体" w:hAnsi="宋体" w:cs="宋体"/>
          <w:b/>
          <w:color w:val="auto"/>
          <w:kern w:val="0"/>
          <w:szCs w:val="21"/>
        </w:rPr>
      </w:pPr>
      <w:r>
        <w:rPr>
          <w:rFonts w:hint="eastAsia" w:ascii="宋体" w:hAnsi="宋体" w:cs="宋体"/>
          <w:b/>
          <w:color w:val="auto"/>
          <w:kern w:val="0"/>
          <w:szCs w:val="21"/>
        </w:rPr>
        <w:t xml:space="preserve">78.2  </w:t>
      </w:r>
      <w:r>
        <w:rPr>
          <w:rFonts w:hint="eastAsia" w:ascii="宋体" w:hAnsi="宋体" w:cs="宋体"/>
          <w:b/>
          <w:color w:val="auto"/>
          <w:kern w:val="0"/>
          <w:szCs w:val="21"/>
          <w:u w:val="dotted"/>
        </w:rPr>
        <w:t xml:space="preserve">                                                                                                         </w:t>
      </w:r>
    </w:p>
    <w:p>
      <w:pPr>
        <w:adjustRightInd w:val="0"/>
        <w:snapToGrid w:val="0"/>
        <w:spacing w:line="360" w:lineRule="auto"/>
        <w:ind w:left="1619" w:leftChars="771"/>
        <w:rPr>
          <w:rFonts w:ascii="宋体" w:hAnsi="宋体" w:cs="宋体"/>
          <w:color w:val="auto"/>
          <w:kern w:val="0"/>
          <w:szCs w:val="21"/>
        </w:rPr>
      </w:pPr>
      <w:r>
        <w:rPr>
          <w:rFonts w:ascii="宋体" w:hAnsi="宋体" w:cs="宋体"/>
          <w:color w:val="auto"/>
          <w:kern w:val="0"/>
          <w:szCs w:val="21"/>
        </w:rPr>
        <mc:AlternateContent>
          <mc:Choice Requires="wps">
            <w:drawing>
              <wp:anchor distT="0" distB="0" distL="114300" distR="114300" simplePos="0" relativeHeight="252014592" behindDoc="0" locked="0" layoutInCell="1" allowOverlap="1">
                <wp:simplePos x="0" y="0"/>
                <wp:positionH relativeFrom="column">
                  <wp:posOffset>-114300</wp:posOffset>
                </wp:positionH>
                <wp:positionV relativeFrom="paragraph">
                  <wp:posOffset>43815</wp:posOffset>
                </wp:positionV>
                <wp:extent cx="914400" cy="398145"/>
                <wp:effectExtent l="0" t="0" r="0" b="0"/>
                <wp:wrapNone/>
                <wp:docPr id="74" name="文本框 74"/>
                <wp:cNvGraphicFramePr/>
                <a:graphic xmlns:a="http://schemas.openxmlformats.org/drawingml/2006/main">
                  <a:graphicData uri="http://schemas.microsoft.com/office/word/2010/wordprocessingShape">
                    <wps:wsp>
                      <wps:cNvSpPr txBox="1">
                        <a:spLocks noChangeArrowheads="1"/>
                      </wps:cNvSpPr>
                      <wps:spPr bwMode="auto">
                        <a:xfrm>
                          <a:off x="0" y="0"/>
                          <a:ext cx="914400" cy="398145"/>
                        </a:xfrm>
                        <a:prstGeom prst="rect">
                          <a:avLst/>
                        </a:prstGeom>
                        <a:noFill/>
                        <a:ln>
                          <a:noFill/>
                        </a:ln>
                        <a:effectLst/>
                      </wps:spPr>
                      <wps:txbx>
                        <w:txbxContent>
                          <w:p>
                            <w:pPr>
                              <w:pStyle w:val="78"/>
                              <w:spacing w:line="200" w:lineRule="exact"/>
                              <w:rPr>
                                <w:rFonts w:ascii="楷体_GB2312"/>
                                <w:szCs w:val="18"/>
                              </w:rPr>
                            </w:pPr>
                            <w:r>
                              <w:rPr>
                                <w:rFonts w:hint="eastAsia" w:ascii="楷体_GB2312"/>
                                <w:szCs w:val="18"/>
                              </w:rPr>
                              <w:t>延迟支付的利息计算</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45pt;height:31.35pt;width:72pt;z-index:252014592;mso-width-relative:page;mso-height-relative:page;" filled="f" stroked="f" coordsize="21600,21600" o:gfxdata="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auCdo9QAAAAIAQAADwAAAAAAAAABACAAAAAiAAAAZHJzL2Rvd25yZXYu&#10;eG1sUEsBAhQAFAAAAAgAh07iQAsl1Tz/AQAA1gMAAA4AAAAAAAAAAQAgAAAAIwEAAGRycy9lMm9E&#10;b2MueG1sUEsFBgAAAAAGAAYAWQEAAJQFAAAAAA==&#10;">
                <v:fill on="f" focussize="0,0"/>
                <v:stroke on="f"/>
                <v:imagedata o:title=""/>
                <o:lock v:ext="edit" aspectratio="f"/>
                <v:textbox>
                  <w:txbxContent>
                    <w:p>
                      <w:pPr>
                        <w:pStyle w:val="78"/>
                        <w:spacing w:line="200" w:lineRule="exact"/>
                        <w:rPr>
                          <w:rFonts w:ascii="楷体_GB2312"/>
                          <w:szCs w:val="18"/>
                        </w:rPr>
                      </w:pPr>
                      <w:r>
                        <w:rPr>
                          <w:rFonts w:hint="eastAsia" w:ascii="楷体_GB2312"/>
                          <w:szCs w:val="18"/>
                        </w:rPr>
                        <w:t>延迟支付的利息计算</w:t>
                      </w:r>
                    </w:p>
                  </w:txbxContent>
                </v:textbox>
              </v:shape>
            </w:pict>
          </mc:Fallback>
        </mc:AlternateContent>
      </w:r>
      <w:r>
        <w:rPr>
          <w:rFonts w:hint="eastAsia" w:ascii="宋体" w:hAnsi="宋体" w:cs="宋体"/>
          <w:color w:val="auto"/>
          <w:kern w:val="0"/>
          <w:szCs w:val="21"/>
        </w:rPr>
        <w:t>如果发包人延迟支付款项，则承包人有权按照专用条款约定的利率计算和得到利息。计息时间从应支付之日算起直到该笔延迟款额支付之日止。除专用条款另有约定外，利息的利率按照中国人民银行发布的同期同类贷款利率计算。</w:t>
      </w:r>
    </w:p>
    <w:p>
      <w:pPr>
        <w:adjustRightInd w:val="0"/>
        <w:snapToGrid w:val="0"/>
        <w:spacing w:line="360" w:lineRule="auto"/>
        <w:rPr>
          <w:rFonts w:ascii="宋体" w:hAnsi="宋体" w:cs="宋体"/>
          <w:b/>
          <w:color w:val="auto"/>
          <w:kern w:val="0"/>
          <w:szCs w:val="21"/>
        </w:rPr>
      </w:pPr>
      <w:r>
        <w:rPr>
          <w:rFonts w:hint="eastAsia" w:ascii="宋体" w:hAnsi="宋体" w:cs="宋体"/>
          <w:b/>
          <w:color w:val="auto"/>
          <w:kern w:val="0"/>
          <w:szCs w:val="21"/>
        </w:rPr>
        <w:t xml:space="preserve">78.3  </w:t>
      </w:r>
      <w:r>
        <w:rPr>
          <w:rFonts w:hint="eastAsia" w:ascii="宋体" w:hAnsi="宋体" w:cs="宋体"/>
          <w:b/>
          <w:color w:val="auto"/>
          <w:kern w:val="0"/>
          <w:szCs w:val="21"/>
          <w:u w:val="dotted"/>
        </w:rPr>
        <w:t xml:space="preserve">                                                                                                        </w:t>
      </w:r>
    </w:p>
    <w:p>
      <w:pPr>
        <w:adjustRightInd w:val="0"/>
        <w:snapToGrid w:val="0"/>
        <w:spacing w:line="360" w:lineRule="auto"/>
        <w:ind w:left="1619" w:leftChars="771"/>
        <w:rPr>
          <w:rFonts w:ascii="宋体" w:hAnsi="宋体" w:cs="宋体"/>
          <w:color w:val="auto"/>
          <w:kern w:val="0"/>
          <w:szCs w:val="21"/>
        </w:rPr>
      </w:pPr>
      <w:r>
        <w:rPr>
          <w:rFonts w:ascii="宋体" w:hAnsi="宋体" w:cs="宋体"/>
          <w:color w:val="auto"/>
          <w:kern w:val="0"/>
          <w:szCs w:val="21"/>
        </w:rPr>
        <mc:AlternateContent>
          <mc:Choice Requires="wps">
            <w:drawing>
              <wp:anchor distT="0" distB="0" distL="114300" distR="114300" simplePos="0" relativeHeight="252015616" behindDoc="0" locked="0" layoutInCell="1" allowOverlap="1">
                <wp:simplePos x="0" y="0"/>
                <wp:positionH relativeFrom="column">
                  <wp:posOffset>-114300</wp:posOffset>
                </wp:positionH>
                <wp:positionV relativeFrom="paragraph">
                  <wp:posOffset>4445</wp:posOffset>
                </wp:positionV>
                <wp:extent cx="914400" cy="438150"/>
                <wp:effectExtent l="0" t="0" r="0" b="0"/>
                <wp:wrapNone/>
                <wp:docPr id="73" name="文本框 73"/>
                <wp:cNvGraphicFramePr/>
                <a:graphic xmlns:a="http://schemas.openxmlformats.org/drawingml/2006/main">
                  <a:graphicData uri="http://schemas.microsoft.com/office/word/2010/wordprocessingShape">
                    <wps:wsp>
                      <wps:cNvSpPr txBox="1">
                        <a:spLocks noChangeArrowheads="1"/>
                      </wps:cNvSpPr>
                      <wps:spPr bwMode="auto">
                        <a:xfrm>
                          <a:off x="0" y="0"/>
                          <a:ext cx="914400" cy="438150"/>
                        </a:xfrm>
                        <a:prstGeom prst="rect">
                          <a:avLst/>
                        </a:prstGeom>
                        <a:noFill/>
                        <a:ln>
                          <a:noFill/>
                        </a:ln>
                        <a:effectLst/>
                      </wps:spPr>
                      <wps:txbx>
                        <w:txbxContent>
                          <w:p>
                            <w:pPr>
                              <w:pStyle w:val="78"/>
                              <w:spacing w:line="200" w:lineRule="exact"/>
                              <w:rPr>
                                <w:rFonts w:ascii="楷体_GB2312"/>
                                <w:szCs w:val="18"/>
                              </w:rPr>
                            </w:pPr>
                            <w:r>
                              <w:rPr>
                                <w:rFonts w:hint="eastAsia" w:ascii="楷体_GB2312"/>
                                <w:szCs w:val="18"/>
                              </w:rPr>
                              <w:t>承包人提供支付凭证</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35pt;height:34.5pt;width:72pt;z-index:252015616;mso-width-relative:page;mso-height-relative:page;" filled="f" stroked="f" coordsize="21600,21600" o:gfxdata="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aqu7otQAAAAHAQAADwAAAAAAAAABACAAAAAiAAAAZHJzL2Rvd25yZXYu&#10;eG1sUEsBAhQAFAAAAAgAh07iQCO4jFb/AQAA1gMAAA4AAAAAAAAAAQAgAAAAIwEAAGRycy9lMm9E&#10;b2MueG1sUEsFBgAAAAAGAAYAWQEAAJQFAAAAAA==&#10;">
                <v:fill on="f" focussize="0,0"/>
                <v:stroke on="f"/>
                <v:imagedata o:title=""/>
                <o:lock v:ext="edit" aspectratio="f"/>
                <v:textbox>
                  <w:txbxContent>
                    <w:p>
                      <w:pPr>
                        <w:pStyle w:val="78"/>
                        <w:spacing w:line="200" w:lineRule="exact"/>
                        <w:rPr>
                          <w:rFonts w:ascii="楷体_GB2312"/>
                          <w:szCs w:val="18"/>
                        </w:rPr>
                      </w:pPr>
                      <w:r>
                        <w:rPr>
                          <w:rFonts w:hint="eastAsia" w:ascii="楷体_GB2312"/>
                          <w:szCs w:val="18"/>
                        </w:rPr>
                        <w:t>承包人提供支付凭证</w:t>
                      </w:r>
                    </w:p>
                  </w:txbxContent>
                </v:textbox>
              </v:shape>
            </w:pict>
          </mc:Fallback>
        </mc:AlternateContent>
      </w:r>
      <w:r>
        <w:rPr>
          <w:rFonts w:hint="eastAsia" w:ascii="宋体" w:hAnsi="宋体" w:cs="宋体"/>
          <w:color w:val="auto"/>
          <w:kern w:val="0"/>
          <w:szCs w:val="21"/>
        </w:rPr>
        <w:t>如果造价工程师有要求，承包人应向造价工程师提供其对雇员劳务工资、分包人已完工程款以及材料和工程设备供应商贷款的支付凭证。如果承包人未能提供上述凭证，视为承包人未向雇员、分包人、供应商支付相关款项。</w:t>
      </w:r>
    </w:p>
    <w:p>
      <w:pPr>
        <w:adjustRightInd w:val="0"/>
        <w:snapToGrid w:val="0"/>
        <w:spacing w:line="360" w:lineRule="auto"/>
        <w:rPr>
          <w:rFonts w:ascii="宋体" w:hAnsi="宋体" w:cs="宋体"/>
          <w:b/>
          <w:color w:val="auto"/>
          <w:kern w:val="0"/>
          <w:szCs w:val="21"/>
        </w:rPr>
      </w:pPr>
      <w:r>
        <w:rPr>
          <w:rFonts w:hint="eastAsia" w:ascii="宋体" w:hAnsi="宋体" w:cs="宋体"/>
          <w:b/>
          <w:color w:val="auto"/>
          <w:kern w:val="0"/>
          <w:szCs w:val="21"/>
        </w:rPr>
        <w:t xml:space="preserve">78.4  </w:t>
      </w:r>
      <w:r>
        <w:rPr>
          <w:rFonts w:hint="eastAsia" w:ascii="宋体" w:hAnsi="宋体" w:cs="宋体"/>
          <w:b/>
          <w:color w:val="auto"/>
          <w:kern w:val="0"/>
          <w:szCs w:val="21"/>
          <w:u w:val="dotted"/>
        </w:rPr>
        <w:t xml:space="preserve">                                                                                                       </w:t>
      </w:r>
    </w:p>
    <w:p>
      <w:pPr>
        <w:adjustRightInd w:val="0"/>
        <w:snapToGrid w:val="0"/>
        <w:spacing w:line="420" w:lineRule="exact"/>
        <w:ind w:left="1619" w:leftChars="771"/>
        <w:rPr>
          <w:rFonts w:ascii="宋体" w:hAnsi="宋体" w:cs="宋体"/>
          <w:color w:val="auto"/>
          <w:kern w:val="0"/>
          <w:szCs w:val="21"/>
        </w:rPr>
      </w:pPr>
      <w:r>
        <w:rPr>
          <w:rFonts w:ascii="宋体" w:hAnsi="宋体" w:cs="宋体"/>
          <w:color w:val="auto"/>
          <w:kern w:val="0"/>
          <w:szCs w:val="21"/>
        </w:rPr>
        <mc:AlternateContent>
          <mc:Choice Requires="wps">
            <w:drawing>
              <wp:anchor distT="0" distB="0" distL="114300" distR="114300" simplePos="0" relativeHeight="252016640" behindDoc="0" locked="0" layoutInCell="1" allowOverlap="1">
                <wp:simplePos x="0" y="0"/>
                <wp:positionH relativeFrom="column">
                  <wp:posOffset>-114300</wp:posOffset>
                </wp:positionH>
                <wp:positionV relativeFrom="paragraph">
                  <wp:posOffset>22225</wp:posOffset>
                </wp:positionV>
                <wp:extent cx="914400" cy="504190"/>
                <wp:effectExtent l="0" t="0" r="0" b="0"/>
                <wp:wrapNone/>
                <wp:docPr id="72" name="文本框 72"/>
                <wp:cNvGraphicFramePr/>
                <a:graphic xmlns:a="http://schemas.openxmlformats.org/drawingml/2006/main">
                  <a:graphicData uri="http://schemas.microsoft.com/office/word/2010/wordprocessingShape">
                    <wps:wsp>
                      <wps:cNvSpPr txBox="1">
                        <a:spLocks noChangeArrowheads="1"/>
                      </wps:cNvSpPr>
                      <wps:spPr bwMode="auto">
                        <a:xfrm>
                          <a:off x="0" y="0"/>
                          <a:ext cx="914400" cy="504190"/>
                        </a:xfrm>
                        <a:prstGeom prst="rect">
                          <a:avLst/>
                        </a:prstGeom>
                        <a:noFill/>
                        <a:ln>
                          <a:noFill/>
                        </a:ln>
                        <a:effectLst/>
                      </wps:spPr>
                      <wps:txbx>
                        <w:txbxContent>
                          <w:p>
                            <w:pPr>
                              <w:pStyle w:val="78"/>
                              <w:spacing w:line="200" w:lineRule="exact"/>
                              <w:rPr>
                                <w:rFonts w:ascii="楷体_GB2312"/>
                                <w:szCs w:val="18"/>
                              </w:rPr>
                            </w:pPr>
                            <w:r>
                              <w:rPr>
                                <w:rFonts w:hint="eastAsia" w:ascii="楷体_GB2312"/>
                                <w:szCs w:val="18"/>
                              </w:rPr>
                              <w:t>承包人未按规定支付款项的限制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75pt;height:39.7pt;width:72pt;z-index:252016640;mso-width-relative:page;mso-height-relative:page;" filled="f" stroked="f" coordsize="21600,21600" o:gfxdata="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HVJ7KfVAAAACAEAAA8AAAAAAAAAAQAgAAAAIgAAAGRycy9kb3ducmV2&#10;LnhtbFBLAQIUABQAAAAIAIdO4kD1iPSA/wEAANYDAAAOAAAAAAAAAAEAIAAAACQBAABkcnMvZTJv&#10;RG9jLnhtbFBLBQYAAAAABgAGAFkBAACVBQAAAAA=&#10;">
                <v:fill on="f" focussize="0,0"/>
                <v:stroke on="f"/>
                <v:imagedata o:title=""/>
                <o:lock v:ext="edit" aspectratio="f"/>
                <v:textbox>
                  <w:txbxContent>
                    <w:p>
                      <w:pPr>
                        <w:pStyle w:val="78"/>
                        <w:spacing w:line="200" w:lineRule="exact"/>
                        <w:rPr>
                          <w:rFonts w:ascii="楷体_GB2312"/>
                          <w:szCs w:val="18"/>
                        </w:rPr>
                      </w:pPr>
                      <w:r>
                        <w:rPr>
                          <w:rFonts w:hint="eastAsia" w:ascii="楷体_GB2312"/>
                          <w:szCs w:val="18"/>
                        </w:rPr>
                        <w:t>承包人未按规定支付款项的限制</w:t>
                      </w:r>
                    </w:p>
                  </w:txbxContent>
                </v:textbox>
              </v:shape>
            </w:pict>
          </mc:Fallback>
        </mc:AlternateContent>
      </w:r>
      <w:r>
        <w:rPr>
          <w:rFonts w:hint="eastAsia" w:ascii="宋体" w:hAnsi="宋体" w:cs="宋体"/>
          <w:color w:val="auto"/>
          <w:kern w:val="0"/>
          <w:szCs w:val="21"/>
        </w:rPr>
        <w:t>如果承包人未按照雇员劳务合同和政府有关规定支付雇员劳务工资，或未按照分包合同支付分包人工程款，或未按照购销合同支付材料和工程设备供应商货款，均视为承包人违约。若在造价工程师书面通知改正后的7天内，承包人仍未采取措施补救的，发包人可在不损害承包人其他权利的前提下，实施下列工作：</w:t>
      </w:r>
    </w:p>
    <w:p>
      <w:pPr>
        <w:numPr>
          <w:ilvl w:val="0"/>
          <w:numId w:val="29"/>
        </w:numPr>
        <w:tabs>
          <w:tab w:val="left" w:pos="2160"/>
        </w:tabs>
        <w:adjustRightInd w:val="0"/>
        <w:snapToGrid w:val="0"/>
        <w:spacing w:line="420" w:lineRule="exact"/>
        <w:ind w:left="1619" w:leftChars="771"/>
        <w:rPr>
          <w:rFonts w:ascii="宋体" w:hAnsi="宋体" w:cs="宋体"/>
          <w:color w:val="auto"/>
          <w:kern w:val="0"/>
          <w:szCs w:val="21"/>
        </w:rPr>
      </w:pPr>
      <w:r>
        <w:rPr>
          <w:rFonts w:hint="eastAsia" w:ascii="宋体" w:hAnsi="宋体" w:cs="宋体"/>
          <w:color w:val="auto"/>
          <w:kern w:val="0"/>
          <w:szCs w:val="21"/>
        </w:rPr>
        <w:t>立即停止向承包人支付应付的款项；</w:t>
      </w:r>
    </w:p>
    <w:p>
      <w:pPr>
        <w:numPr>
          <w:ilvl w:val="0"/>
          <w:numId w:val="29"/>
        </w:numPr>
        <w:tabs>
          <w:tab w:val="left" w:pos="2160"/>
        </w:tabs>
        <w:adjustRightInd w:val="0"/>
        <w:snapToGrid w:val="0"/>
        <w:spacing w:line="420" w:lineRule="exact"/>
        <w:ind w:left="1618" w:leftChars="770" w:hanging="1"/>
        <w:rPr>
          <w:rFonts w:ascii="宋体" w:hAnsi="宋体" w:cs="宋体"/>
          <w:color w:val="auto"/>
          <w:kern w:val="0"/>
          <w:szCs w:val="21"/>
        </w:rPr>
      </w:pPr>
      <w:r>
        <w:rPr>
          <w:rFonts w:hint="eastAsia" w:ascii="宋体" w:hAnsi="宋体" w:cs="宋体"/>
          <w:color w:val="auto"/>
          <w:kern w:val="0"/>
          <w:szCs w:val="21"/>
        </w:rPr>
        <w:t>在相应支付期应付的工程款范围内，直接向雇员、分包人和材料设备供应商支付承包人应付的款项。</w:t>
      </w:r>
    </w:p>
    <w:p>
      <w:pPr>
        <w:adjustRightInd w:val="0"/>
        <w:snapToGrid w:val="0"/>
        <w:spacing w:line="420" w:lineRule="exact"/>
        <w:ind w:left="1619" w:leftChars="771"/>
        <w:rPr>
          <w:rFonts w:ascii="宋体" w:hAnsi="宋体" w:cs="宋体"/>
          <w:color w:val="auto"/>
          <w:kern w:val="0"/>
          <w:szCs w:val="21"/>
        </w:rPr>
      </w:pPr>
      <w:r>
        <w:rPr>
          <w:rFonts w:hint="eastAsia" w:ascii="宋体" w:hAnsi="宋体" w:cs="宋体"/>
          <w:color w:val="auto"/>
          <w:kern w:val="0"/>
          <w:szCs w:val="21"/>
        </w:rPr>
        <w:t>发包人在实施上述工作后的14天内应以书面形式通知承包人，抄送造价工程师。造价工程师在签发下期支付证书时，应扣除已由发包人直接支付的款项。由于上述工作原因发生的费用由承包人承担；给发包人造成损失的，承包人应予赔偿。</w:t>
      </w:r>
    </w:p>
    <w:p>
      <w:pPr>
        <w:adjustRightInd w:val="0"/>
        <w:snapToGrid w:val="0"/>
        <w:spacing w:line="240" w:lineRule="exact"/>
        <w:ind w:right="-238"/>
        <w:rPr>
          <w:rFonts w:ascii="宋体" w:hAnsi="宋体" w:cs="宋体"/>
          <w:b/>
          <w:color w:val="auto"/>
          <w:kern w:val="0"/>
          <w:szCs w:val="21"/>
          <w:u w:val="single"/>
        </w:rPr>
      </w:pPr>
      <w:r>
        <w:rPr>
          <w:rFonts w:hint="eastAsia" w:ascii="宋体" w:hAnsi="宋体" w:cs="宋体"/>
          <w:b/>
          <w:color w:val="auto"/>
          <w:kern w:val="0"/>
          <w:szCs w:val="21"/>
          <w:u w:val="single"/>
        </w:rPr>
        <w:t xml:space="preserve">                                                                                  </w:t>
      </w:r>
    </w:p>
    <w:p>
      <w:pPr>
        <w:tabs>
          <w:tab w:val="left" w:pos="540"/>
        </w:tabs>
        <w:adjustRightInd w:val="0"/>
        <w:snapToGrid w:val="0"/>
        <w:spacing w:beforeLines="100" w:line="240" w:lineRule="exact"/>
        <w:ind w:right="-238" w:firstLine="482"/>
        <w:rPr>
          <w:rFonts w:ascii="宋体" w:hAnsi="宋体" w:cs="宋体"/>
          <w:b/>
          <w:color w:val="auto"/>
          <w:kern w:val="0"/>
          <w:szCs w:val="21"/>
        </w:rPr>
      </w:pPr>
    </w:p>
    <w:p>
      <w:pPr>
        <w:tabs>
          <w:tab w:val="left" w:pos="540"/>
        </w:tabs>
        <w:adjustRightInd w:val="0"/>
        <w:snapToGrid w:val="0"/>
        <w:spacing w:beforeLines="100" w:line="360" w:lineRule="auto"/>
        <w:ind w:right="-238"/>
        <w:rPr>
          <w:rFonts w:ascii="宋体" w:hAnsi="宋体" w:cs="宋体"/>
          <w:b/>
          <w:color w:val="auto"/>
          <w:kern w:val="0"/>
          <w:szCs w:val="21"/>
        </w:rPr>
      </w:pPr>
      <w:r>
        <w:rPr>
          <w:rFonts w:hint="eastAsia" w:ascii="宋体" w:hAnsi="宋体" w:cs="宋体"/>
          <w:b/>
          <w:color w:val="auto"/>
          <w:kern w:val="0"/>
          <w:szCs w:val="21"/>
        </w:rPr>
        <w:t>79  预付款</w:t>
      </w:r>
    </w:p>
    <w:p>
      <w:pPr>
        <w:adjustRightInd w:val="0"/>
        <w:snapToGrid w:val="0"/>
        <w:spacing w:line="360" w:lineRule="auto"/>
        <w:rPr>
          <w:rFonts w:ascii="宋体" w:hAnsi="宋体" w:cs="宋体"/>
          <w:b/>
          <w:color w:val="auto"/>
          <w:kern w:val="0"/>
          <w:szCs w:val="21"/>
        </w:rPr>
      </w:pPr>
      <w:r>
        <w:rPr>
          <w:rFonts w:ascii="宋体" w:hAnsi="宋体" w:cs="宋体"/>
          <w:color w:val="auto"/>
          <w:kern w:val="0"/>
          <w:szCs w:val="21"/>
        </w:rPr>
        <mc:AlternateContent>
          <mc:Choice Requires="wps">
            <w:drawing>
              <wp:anchor distT="0" distB="0" distL="114300" distR="114300" simplePos="0" relativeHeight="252061696" behindDoc="0" locked="0" layoutInCell="1" allowOverlap="1">
                <wp:simplePos x="0" y="0"/>
                <wp:positionH relativeFrom="column">
                  <wp:posOffset>-114300</wp:posOffset>
                </wp:positionH>
                <wp:positionV relativeFrom="paragraph">
                  <wp:posOffset>226695</wp:posOffset>
                </wp:positionV>
                <wp:extent cx="1371600" cy="560705"/>
                <wp:effectExtent l="0" t="0" r="0" b="0"/>
                <wp:wrapNone/>
                <wp:docPr id="71" name="文本框 71"/>
                <wp:cNvGraphicFramePr/>
                <a:graphic xmlns:a="http://schemas.openxmlformats.org/drawingml/2006/main">
                  <a:graphicData uri="http://schemas.microsoft.com/office/word/2010/wordprocessingShape">
                    <wps:wsp>
                      <wps:cNvSpPr txBox="1">
                        <a:spLocks noChangeArrowheads="1"/>
                      </wps:cNvSpPr>
                      <wps:spPr bwMode="auto">
                        <a:xfrm>
                          <a:off x="0" y="0"/>
                          <a:ext cx="1371600" cy="560705"/>
                        </a:xfrm>
                        <a:prstGeom prst="rect">
                          <a:avLst/>
                        </a:prstGeom>
                        <a:noFill/>
                        <a:ln>
                          <a:noFill/>
                        </a:ln>
                        <a:effectLst/>
                      </wps:spPr>
                      <wps:txbx>
                        <w:txbxContent>
                          <w:p>
                            <w:pPr>
                              <w:pStyle w:val="78"/>
                              <w:spacing w:line="200" w:lineRule="exact"/>
                              <w:rPr>
                                <w:rFonts w:ascii="楷体_GB2312"/>
                                <w:szCs w:val="18"/>
                              </w:rPr>
                            </w:pPr>
                            <w:r>
                              <w:rPr>
                                <w:rFonts w:hint="eastAsia" w:ascii="楷体_GB2312"/>
                                <w:szCs w:val="18"/>
                              </w:rPr>
                              <w:t>预付款的约定</w:t>
                            </w:r>
                          </w:p>
                          <w:p>
                            <w:pPr>
                              <w:pStyle w:val="78"/>
                              <w:spacing w:line="200" w:lineRule="exact"/>
                              <w:rPr>
                                <w:rFonts w:ascii="楷体_GB2312"/>
                                <w:szCs w:val="18"/>
                              </w:rPr>
                            </w:pPr>
                            <w:r>
                              <w:rPr>
                                <w:rFonts w:hint="eastAsia" w:ascii="楷体_GB2312"/>
                                <w:szCs w:val="18"/>
                              </w:rPr>
                              <w:t>及管理</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7.85pt;height:44.15pt;width:108pt;z-index:252061696;mso-width-relative:page;mso-height-relative:page;" filled="f" stroked="f" coordsize="21600,21600" o:gfxdata="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DIaP9/XAAAACgEAAA8AAAAAAAAAAQAgAAAAIgAAAGRycy9kb3du&#10;cmV2LnhtbFBLAQIUABQAAAAIAIdO4kBbBghpAAIAANcDAAAOAAAAAAAAAAEAIAAAACYBAABkcnMv&#10;ZTJvRG9jLnhtbFBLBQYAAAAABgAGAFkBAACYBQAAAAA=&#10;">
                <v:fill on="f" focussize="0,0"/>
                <v:stroke on="f"/>
                <v:imagedata o:title=""/>
                <o:lock v:ext="edit" aspectratio="f"/>
                <v:textbox>
                  <w:txbxContent>
                    <w:p>
                      <w:pPr>
                        <w:pStyle w:val="78"/>
                        <w:spacing w:line="200" w:lineRule="exact"/>
                        <w:rPr>
                          <w:rFonts w:ascii="楷体_GB2312"/>
                          <w:szCs w:val="18"/>
                        </w:rPr>
                      </w:pPr>
                      <w:r>
                        <w:rPr>
                          <w:rFonts w:hint="eastAsia" w:ascii="楷体_GB2312"/>
                          <w:szCs w:val="18"/>
                        </w:rPr>
                        <w:t>预付款的约定</w:t>
                      </w:r>
                    </w:p>
                    <w:p>
                      <w:pPr>
                        <w:pStyle w:val="78"/>
                        <w:spacing w:line="200" w:lineRule="exact"/>
                        <w:rPr>
                          <w:rFonts w:ascii="楷体_GB2312"/>
                          <w:szCs w:val="18"/>
                        </w:rPr>
                      </w:pPr>
                      <w:r>
                        <w:rPr>
                          <w:rFonts w:hint="eastAsia" w:ascii="楷体_GB2312"/>
                          <w:szCs w:val="18"/>
                        </w:rPr>
                        <w:t>及管理</w:t>
                      </w:r>
                    </w:p>
                  </w:txbxContent>
                </v:textbox>
              </v:shape>
            </w:pict>
          </mc:Fallback>
        </mc:AlternateContent>
      </w:r>
      <w:r>
        <w:rPr>
          <w:rFonts w:hint="eastAsia" w:ascii="宋体" w:hAnsi="宋体" w:cs="宋体"/>
          <w:b/>
          <w:color w:val="auto"/>
          <w:kern w:val="0"/>
          <w:szCs w:val="21"/>
        </w:rPr>
        <w:t xml:space="preserve">79.1      </w:t>
      </w:r>
    </w:p>
    <w:p>
      <w:pPr>
        <w:adjustRightInd w:val="0"/>
        <w:snapToGrid w:val="0"/>
        <w:spacing w:line="360" w:lineRule="auto"/>
        <w:ind w:left="1619" w:leftChars="771"/>
        <w:rPr>
          <w:rFonts w:ascii="宋体" w:hAnsi="宋体" w:cs="宋体"/>
          <w:color w:val="auto"/>
          <w:kern w:val="0"/>
          <w:szCs w:val="21"/>
        </w:rPr>
      </w:pPr>
      <w:r>
        <w:rPr>
          <w:rFonts w:hint="eastAsia" w:ascii="宋体" w:hAnsi="宋体" w:cs="宋体"/>
          <w:color w:val="auto"/>
          <w:kern w:val="0"/>
          <w:szCs w:val="21"/>
        </w:rPr>
        <w:t>除专用条款另有约定外，合同双方当事人应约定预付款，并在专用条款中明确预付款金额、支付办法和抵扣方式。</w:t>
      </w:r>
    </w:p>
    <w:p>
      <w:pPr>
        <w:adjustRightInd w:val="0"/>
        <w:snapToGrid w:val="0"/>
        <w:spacing w:line="360" w:lineRule="auto"/>
        <w:ind w:left="1619" w:leftChars="771"/>
        <w:rPr>
          <w:rFonts w:ascii="宋体" w:hAnsi="宋体" w:cs="宋体"/>
          <w:color w:val="auto"/>
          <w:kern w:val="0"/>
          <w:szCs w:val="21"/>
        </w:rPr>
      </w:pPr>
      <w:r>
        <w:rPr>
          <w:rFonts w:hint="eastAsia" w:ascii="宋体" w:hAnsi="宋体" w:cs="宋体"/>
          <w:color w:val="auto"/>
          <w:kern w:val="0"/>
          <w:szCs w:val="21"/>
        </w:rPr>
        <w:t>预付款专款专用，承包人应在财务账目中表明专用于为合同工程施工购置材料、工程设备、施工设备、修建临时设施以及组织施工队伍进场等所需的款项，不得挪作他用。除专用条款另有约定外，预付款的最高限额为合同价款的30%。</w:t>
      </w:r>
    </w:p>
    <w:p>
      <w:pPr>
        <w:tabs>
          <w:tab w:val="left" w:pos="1320"/>
        </w:tabs>
        <w:adjustRightInd w:val="0"/>
        <w:snapToGrid w:val="0"/>
        <w:spacing w:line="360" w:lineRule="auto"/>
        <w:rPr>
          <w:rFonts w:ascii="宋体" w:hAnsi="宋体" w:cs="宋体"/>
          <w:b/>
          <w:color w:val="auto"/>
          <w:kern w:val="0"/>
          <w:szCs w:val="21"/>
        </w:rPr>
      </w:pPr>
      <w:r>
        <w:rPr>
          <w:rFonts w:hint="eastAsia" w:ascii="宋体" w:hAnsi="宋体" w:cs="宋体"/>
          <w:b/>
          <w:color w:val="auto"/>
          <w:kern w:val="0"/>
          <w:szCs w:val="21"/>
        </w:rPr>
        <w:t xml:space="preserve">79.2  </w:t>
      </w:r>
      <w:r>
        <w:rPr>
          <w:rFonts w:hint="eastAsia" w:ascii="宋体" w:hAnsi="宋体" w:cs="宋体"/>
          <w:b/>
          <w:color w:val="auto"/>
          <w:kern w:val="0"/>
          <w:szCs w:val="21"/>
          <w:u w:val="dotted"/>
        </w:rPr>
        <w:t xml:space="preserve">                                                                                                        </w:t>
      </w:r>
    </w:p>
    <w:p>
      <w:pPr>
        <w:adjustRightInd w:val="0"/>
        <w:snapToGrid w:val="0"/>
        <w:spacing w:line="360" w:lineRule="auto"/>
        <w:ind w:left="1619" w:leftChars="771"/>
        <w:rPr>
          <w:rFonts w:ascii="宋体" w:hAnsi="宋体" w:cs="宋体"/>
          <w:color w:val="auto"/>
          <w:kern w:val="0"/>
          <w:szCs w:val="21"/>
        </w:rPr>
      </w:pPr>
      <w:r>
        <w:rPr>
          <w:rFonts w:ascii="宋体" w:hAnsi="宋体" w:cs="宋体"/>
          <w:color w:val="auto"/>
          <w:kern w:val="0"/>
          <w:szCs w:val="21"/>
        </w:rPr>
        <mc:AlternateContent>
          <mc:Choice Requires="wps">
            <w:drawing>
              <wp:anchor distT="0" distB="0" distL="114300" distR="114300" simplePos="0" relativeHeight="251840512" behindDoc="0" locked="0" layoutInCell="1" allowOverlap="1">
                <wp:simplePos x="0" y="0"/>
                <wp:positionH relativeFrom="column">
                  <wp:posOffset>-114300</wp:posOffset>
                </wp:positionH>
                <wp:positionV relativeFrom="paragraph">
                  <wp:posOffset>19685</wp:posOffset>
                </wp:positionV>
                <wp:extent cx="914400" cy="591185"/>
                <wp:effectExtent l="0" t="0" r="0" b="0"/>
                <wp:wrapNone/>
                <wp:docPr id="70" name="文本框 70"/>
                <wp:cNvGraphicFramePr/>
                <a:graphic xmlns:a="http://schemas.openxmlformats.org/drawingml/2006/main">
                  <a:graphicData uri="http://schemas.microsoft.com/office/word/2010/wordprocessingShape">
                    <wps:wsp>
                      <wps:cNvSpPr txBox="1">
                        <a:spLocks noChangeArrowheads="1"/>
                      </wps:cNvSpPr>
                      <wps:spPr bwMode="auto">
                        <a:xfrm>
                          <a:off x="0" y="0"/>
                          <a:ext cx="914400" cy="591185"/>
                        </a:xfrm>
                        <a:prstGeom prst="rect">
                          <a:avLst/>
                        </a:prstGeom>
                        <a:noFill/>
                        <a:ln>
                          <a:noFill/>
                        </a:ln>
                        <a:effectLst/>
                      </wps:spPr>
                      <wps:txbx>
                        <w:txbxContent>
                          <w:p>
                            <w:pPr>
                              <w:pStyle w:val="78"/>
                              <w:spacing w:line="200" w:lineRule="exact"/>
                              <w:rPr>
                                <w:rFonts w:ascii="楷体_GB2312"/>
                                <w:szCs w:val="18"/>
                              </w:rPr>
                            </w:pPr>
                            <w:r>
                              <w:rPr>
                                <w:rFonts w:hint="eastAsia" w:ascii="楷体_GB2312"/>
                                <w:szCs w:val="18"/>
                              </w:rPr>
                              <w:t>预付款支付申请的提交、核实与支付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55pt;height:46.55pt;width:72pt;z-index:251840512;mso-width-relative:page;mso-height-relative:page;" filled="f" stroked="f" coordsize="21600,21600" o:gfxdata="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AnifOTVAAAACAEAAA8AAAAAAAAAAQAgAAAAIgAAAGRycy9kb3ducmV2&#10;LnhtbFBLAQIUABQAAAAIAIdO4kAHeCS2/wEAANYDAAAOAAAAAAAAAAEAIAAAACQBAABkcnMvZTJv&#10;RG9jLnhtbFBLBQYAAAAABgAGAFkBAACVBQAAAAA=&#10;">
                <v:fill on="f" focussize="0,0"/>
                <v:stroke on="f"/>
                <v:imagedata o:title=""/>
                <o:lock v:ext="edit" aspectratio="f"/>
                <v:textbox>
                  <w:txbxContent>
                    <w:p>
                      <w:pPr>
                        <w:pStyle w:val="78"/>
                        <w:spacing w:line="200" w:lineRule="exact"/>
                        <w:rPr>
                          <w:rFonts w:ascii="楷体_GB2312"/>
                          <w:szCs w:val="18"/>
                        </w:rPr>
                      </w:pPr>
                      <w:r>
                        <w:rPr>
                          <w:rFonts w:hint="eastAsia" w:ascii="楷体_GB2312"/>
                          <w:szCs w:val="18"/>
                        </w:rPr>
                        <w:t>预付款支付申请的提交、核实与支付</w:t>
                      </w:r>
                    </w:p>
                  </w:txbxContent>
                </v:textbox>
              </v:shape>
            </w:pict>
          </mc:Fallback>
        </mc:AlternateContent>
      </w:r>
      <w:r>
        <w:rPr>
          <w:rFonts w:hint="eastAsia" w:ascii="宋体" w:hAnsi="宋体" w:cs="宋体"/>
          <w:color w:val="auto"/>
          <w:kern w:val="0"/>
          <w:szCs w:val="21"/>
        </w:rPr>
        <w:t>承包人在完成下列工作后，应按照专用条款约定的期限内向造价工程师提交预付款支付申请，并抄送发包人。</w:t>
      </w:r>
    </w:p>
    <w:p>
      <w:pPr>
        <w:adjustRightInd w:val="0"/>
        <w:snapToGrid w:val="0"/>
        <w:spacing w:line="360" w:lineRule="auto"/>
        <w:ind w:firstLine="1417" w:firstLineChars="675"/>
        <w:rPr>
          <w:rFonts w:ascii="宋体" w:hAnsi="宋体" w:cs="宋体"/>
          <w:color w:val="auto"/>
          <w:kern w:val="0"/>
          <w:szCs w:val="21"/>
        </w:rPr>
      </w:pPr>
      <w:r>
        <w:rPr>
          <w:rFonts w:hint="eastAsia" w:ascii="宋体" w:hAnsi="宋体" w:cs="宋体"/>
          <w:color w:val="auto"/>
          <w:kern w:val="0"/>
          <w:szCs w:val="21"/>
        </w:rPr>
        <w:t>（1）签订本合同；</w:t>
      </w:r>
    </w:p>
    <w:p>
      <w:pPr>
        <w:adjustRightInd w:val="0"/>
        <w:snapToGrid w:val="0"/>
        <w:spacing w:line="360" w:lineRule="auto"/>
        <w:ind w:firstLine="1417" w:firstLineChars="675"/>
        <w:rPr>
          <w:rFonts w:ascii="宋体" w:hAnsi="宋体" w:cs="宋体"/>
          <w:color w:val="auto"/>
          <w:kern w:val="0"/>
          <w:szCs w:val="21"/>
        </w:rPr>
      </w:pPr>
      <w:r>
        <w:rPr>
          <w:rFonts w:hint="eastAsia" w:ascii="宋体" w:hAnsi="宋体" w:cs="宋体"/>
          <w:color w:val="auto"/>
          <w:kern w:val="0"/>
          <w:szCs w:val="21"/>
        </w:rPr>
        <w:t>（2）按照第28.1款规定提供履约担保；</w:t>
      </w:r>
    </w:p>
    <w:p>
      <w:pPr>
        <w:adjustRightInd w:val="0"/>
        <w:snapToGrid w:val="0"/>
        <w:spacing w:line="360" w:lineRule="auto"/>
        <w:ind w:firstLine="1417" w:firstLineChars="675"/>
        <w:rPr>
          <w:rFonts w:ascii="宋体" w:hAnsi="宋体" w:cs="宋体"/>
          <w:color w:val="auto"/>
          <w:kern w:val="0"/>
          <w:szCs w:val="21"/>
        </w:rPr>
      </w:pPr>
      <w:r>
        <w:rPr>
          <w:rFonts w:hint="eastAsia" w:ascii="宋体" w:hAnsi="宋体" w:cs="宋体"/>
          <w:color w:val="auto"/>
          <w:kern w:val="0"/>
          <w:szCs w:val="21"/>
        </w:rPr>
        <w:t>（3）向发包人提供与预付款等额的预付款保函的正本。</w:t>
      </w:r>
    </w:p>
    <w:p>
      <w:pPr>
        <w:adjustRightInd w:val="0"/>
        <w:snapToGrid w:val="0"/>
        <w:spacing w:line="360" w:lineRule="auto"/>
        <w:ind w:left="1619" w:leftChars="771" w:firstLine="2"/>
        <w:rPr>
          <w:rFonts w:ascii="宋体" w:hAnsi="宋体" w:cs="宋体"/>
          <w:color w:val="auto"/>
          <w:kern w:val="0"/>
          <w:szCs w:val="21"/>
        </w:rPr>
      </w:pPr>
      <w:r>
        <w:rPr>
          <w:rFonts w:hint="eastAsia" w:ascii="宋体" w:hAnsi="宋体" w:cs="宋体"/>
          <w:color w:val="auto"/>
          <w:kern w:val="0"/>
          <w:szCs w:val="21"/>
        </w:rPr>
        <w:t>造价工程师应对支付申请进行核实，并在收到支付申请后的7天内报发包人确认后向发包人发出支付证书，同时抄送承包人。</w:t>
      </w:r>
    </w:p>
    <w:p>
      <w:pPr>
        <w:adjustRightInd w:val="0"/>
        <w:snapToGrid w:val="0"/>
        <w:spacing w:line="360" w:lineRule="auto"/>
        <w:ind w:left="1619" w:leftChars="771"/>
        <w:rPr>
          <w:rFonts w:ascii="宋体" w:hAnsi="宋体" w:cs="宋体"/>
          <w:color w:val="auto"/>
          <w:kern w:val="0"/>
          <w:szCs w:val="21"/>
        </w:rPr>
      </w:pPr>
      <w:r>
        <w:rPr>
          <w:rFonts w:hint="eastAsia" w:ascii="宋体" w:hAnsi="宋体" w:cs="宋体"/>
          <w:color w:val="auto"/>
          <w:kern w:val="0"/>
          <w:szCs w:val="21"/>
        </w:rPr>
        <w:t>发包人在造价工程师签发支付证书后的7天内向承包人支付预付款，并通知造价工程师。</w:t>
      </w:r>
    </w:p>
    <w:p>
      <w:pPr>
        <w:tabs>
          <w:tab w:val="left" w:pos="1320"/>
        </w:tabs>
        <w:adjustRightInd w:val="0"/>
        <w:snapToGrid w:val="0"/>
        <w:spacing w:line="360" w:lineRule="auto"/>
        <w:rPr>
          <w:rFonts w:ascii="宋体" w:hAnsi="宋体" w:cs="宋体"/>
          <w:b/>
          <w:color w:val="auto"/>
          <w:kern w:val="0"/>
          <w:szCs w:val="21"/>
        </w:rPr>
      </w:pPr>
      <w:r>
        <w:rPr>
          <w:rFonts w:hint="eastAsia" w:ascii="宋体" w:hAnsi="宋体" w:cs="宋体"/>
          <w:b/>
          <w:color w:val="auto"/>
          <w:kern w:val="0"/>
          <w:szCs w:val="21"/>
        </w:rPr>
        <w:t xml:space="preserve">79.3  </w:t>
      </w:r>
      <w:r>
        <w:rPr>
          <w:rFonts w:hint="eastAsia" w:ascii="宋体" w:hAnsi="宋体" w:cs="宋体"/>
          <w:b/>
          <w:color w:val="auto"/>
          <w:kern w:val="0"/>
          <w:szCs w:val="21"/>
          <w:u w:val="dotted"/>
        </w:rPr>
        <w:t xml:space="preserve">                                                                                                        </w:t>
      </w:r>
    </w:p>
    <w:p>
      <w:pPr>
        <w:adjustRightInd w:val="0"/>
        <w:snapToGrid w:val="0"/>
        <w:spacing w:line="360" w:lineRule="auto"/>
        <w:ind w:left="1619" w:leftChars="771"/>
        <w:rPr>
          <w:rFonts w:ascii="宋体" w:hAnsi="宋体" w:cs="宋体"/>
          <w:color w:val="auto"/>
          <w:szCs w:val="21"/>
        </w:rPr>
      </w:pPr>
      <w:r>
        <w:rPr>
          <w:rFonts w:ascii="宋体" w:hAnsi="宋体" w:cs="宋体"/>
          <w:color w:val="auto"/>
          <w:szCs w:val="21"/>
        </w:rPr>
        <mc:AlternateContent>
          <mc:Choice Requires="wps">
            <w:drawing>
              <wp:anchor distT="0" distB="0" distL="114300" distR="114300" simplePos="0" relativeHeight="251841536" behindDoc="0" locked="0" layoutInCell="1" allowOverlap="1">
                <wp:simplePos x="0" y="0"/>
                <wp:positionH relativeFrom="column">
                  <wp:posOffset>-114300</wp:posOffset>
                </wp:positionH>
                <wp:positionV relativeFrom="paragraph">
                  <wp:posOffset>10795</wp:posOffset>
                </wp:positionV>
                <wp:extent cx="914400" cy="400685"/>
                <wp:effectExtent l="0" t="0" r="0" b="0"/>
                <wp:wrapNone/>
                <wp:docPr id="69" name="文本框 69"/>
                <wp:cNvGraphicFramePr/>
                <a:graphic xmlns:a="http://schemas.openxmlformats.org/drawingml/2006/main">
                  <a:graphicData uri="http://schemas.microsoft.com/office/word/2010/wordprocessingShape">
                    <wps:wsp>
                      <wps:cNvSpPr txBox="1">
                        <a:spLocks noChangeArrowheads="1"/>
                      </wps:cNvSpPr>
                      <wps:spPr bwMode="auto">
                        <a:xfrm>
                          <a:off x="0" y="0"/>
                          <a:ext cx="914400" cy="400685"/>
                        </a:xfrm>
                        <a:prstGeom prst="rect">
                          <a:avLst/>
                        </a:prstGeom>
                        <a:noFill/>
                        <a:ln>
                          <a:noFill/>
                        </a:ln>
                        <a:effectLst/>
                      </wps:spPr>
                      <wps:txbx>
                        <w:txbxContent>
                          <w:p>
                            <w:pPr>
                              <w:pStyle w:val="78"/>
                              <w:spacing w:line="200" w:lineRule="exact"/>
                              <w:rPr>
                                <w:rFonts w:ascii="楷体_GB2312"/>
                                <w:szCs w:val="18"/>
                              </w:rPr>
                            </w:pPr>
                            <w:r>
                              <w:rPr>
                                <w:rFonts w:hint="eastAsia" w:ascii="楷体_GB2312"/>
                                <w:szCs w:val="18"/>
                              </w:rPr>
                              <w:t>预付款支付的限制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85pt;height:31.55pt;width:72pt;z-index:251841536;mso-width-relative:page;mso-height-relative:page;" filled="f" stroked="f" coordsize="21600,21600" o:gfxdata="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Fzf4wzVAAAACAEAAA8AAAAAAAAAAQAgAAAAIgAAAGRycy9kb3ducmV2&#10;LnhtbFBLAQIUABQAAAAIAIdO4kBnclKX/wEAANYDAAAOAAAAAAAAAAEAIAAAACQBAABkcnMvZTJv&#10;RG9jLnhtbFBLBQYAAAAABgAGAFkBAACVBQAAAAA=&#10;">
                <v:fill on="f" focussize="0,0"/>
                <v:stroke on="f"/>
                <v:imagedata o:title=""/>
                <o:lock v:ext="edit" aspectratio="f"/>
                <v:textbox>
                  <w:txbxContent>
                    <w:p>
                      <w:pPr>
                        <w:pStyle w:val="78"/>
                        <w:spacing w:line="200" w:lineRule="exact"/>
                        <w:rPr>
                          <w:rFonts w:ascii="楷体_GB2312"/>
                          <w:szCs w:val="18"/>
                        </w:rPr>
                      </w:pPr>
                      <w:r>
                        <w:rPr>
                          <w:rFonts w:hint="eastAsia" w:ascii="楷体_GB2312"/>
                          <w:szCs w:val="18"/>
                        </w:rPr>
                        <w:t>预付款支付的限制</w:t>
                      </w:r>
                    </w:p>
                  </w:txbxContent>
                </v:textbox>
              </v:shape>
            </w:pict>
          </mc:Fallback>
        </mc:AlternateContent>
      </w:r>
      <w:r>
        <w:rPr>
          <w:rFonts w:hint="eastAsia" w:ascii="宋体" w:hAnsi="宋体" w:cs="宋体"/>
          <w:color w:val="auto"/>
          <w:szCs w:val="21"/>
        </w:rPr>
        <w:t>发包人没有按时支付预付款的，承包人应在付款期满后的10天向发包人发出要求支付的通知；发包人收到通知后仍不按要求支付，承包人可在发出通知14天后暂停施工。发包人应承担由此增加的费用和（或）延误的工期，并向承包人支付合理利润。</w:t>
      </w:r>
    </w:p>
    <w:p>
      <w:pPr>
        <w:tabs>
          <w:tab w:val="left" w:pos="1320"/>
        </w:tabs>
        <w:adjustRightInd w:val="0"/>
        <w:snapToGrid w:val="0"/>
        <w:spacing w:line="360" w:lineRule="auto"/>
        <w:rPr>
          <w:rFonts w:ascii="宋体" w:hAnsi="宋体" w:cs="宋体"/>
          <w:color w:val="auto"/>
          <w:kern w:val="0"/>
          <w:szCs w:val="21"/>
        </w:rPr>
      </w:pPr>
      <w:r>
        <w:rPr>
          <w:rFonts w:hint="eastAsia" w:ascii="宋体" w:hAnsi="宋体" w:cs="宋体"/>
          <w:b/>
          <w:color w:val="auto"/>
          <w:kern w:val="0"/>
          <w:szCs w:val="21"/>
        </w:rPr>
        <w:t xml:space="preserve">79.4 </w:t>
      </w:r>
      <w:r>
        <w:rPr>
          <w:rFonts w:hint="eastAsia" w:ascii="宋体" w:hAnsi="宋体" w:cs="宋体"/>
          <w:color w:val="auto"/>
          <w:kern w:val="0"/>
          <w:szCs w:val="21"/>
        </w:rPr>
        <w:t xml:space="preserve"> </w:t>
      </w:r>
      <w:r>
        <w:rPr>
          <w:rFonts w:hint="eastAsia" w:ascii="宋体" w:hAnsi="宋体" w:cs="宋体"/>
          <w:color w:val="auto"/>
          <w:kern w:val="0"/>
          <w:szCs w:val="21"/>
          <w:u w:val="dotted"/>
        </w:rPr>
        <w:t xml:space="preserve">                                                                                                        </w:t>
      </w:r>
    </w:p>
    <w:p>
      <w:pPr>
        <w:adjustRightInd w:val="0"/>
        <w:snapToGrid w:val="0"/>
        <w:spacing w:line="360" w:lineRule="auto"/>
        <w:ind w:left="1619" w:leftChars="771"/>
        <w:rPr>
          <w:rFonts w:ascii="宋体" w:hAnsi="宋体" w:cs="宋体"/>
          <w:color w:val="auto"/>
          <w:kern w:val="0"/>
          <w:szCs w:val="21"/>
        </w:rPr>
      </w:pPr>
      <w:r>
        <w:rPr>
          <w:rFonts w:ascii="宋体" w:hAnsi="宋体" w:cs="宋体"/>
          <w:color w:val="auto"/>
          <w:kern w:val="0"/>
          <w:szCs w:val="21"/>
        </w:rPr>
        <mc:AlternateContent>
          <mc:Choice Requires="wps">
            <w:drawing>
              <wp:anchor distT="0" distB="0" distL="114300" distR="114300" simplePos="0" relativeHeight="251842560" behindDoc="0" locked="0" layoutInCell="1" allowOverlap="1">
                <wp:simplePos x="0" y="0"/>
                <wp:positionH relativeFrom="column">
                  <wp:posOffset>-114300</wp:posOffset>
                </wp:positionH>
                <wp:positionV relativeFrom="paragraph">
                  <wp:posOffset>46355</wp:posOffset>
                </wp:positionV>
                <wp:extent cx="1028700" cy="304165"/>
                <wp:effectExtent l="0" t="0" r="0" b="0"/>
                <wp:wrapNone/>
                <wp:docPr id="68" name="文本框 68"/>
                <wp:cNvGraphicFramePr/>
                <a:graphic xmlns:a="http://schemas.openxmlformats.org/drawingml/2006/main">
                  <a:graphicData uri="http://schemas.microsoft.com/office/word/2010/wordprocessingShape">
                    <wps:wsp>
                      <wps:cNvSpPr txBox="1">
                        <a:spLocks noChangeArrowheads="1"/>
                      </wps:cNvSpPr>
                      <wps:spPr bwMode="auto">
                        <a:xfrm>
                          <a:off x="0" y="0"/>
                          <a:ext cx="1028700" cy="304165"/>
                        </a:xfrm>
                        <a:prstGeom prst="rect">
                          <a:avLst/>
                        </a:prstGeom>
                        <a:noFill/>
                        <a:ln>
                          <a:noFill/>
                        </a:ln>
                        <a:effectLst/>
                      </wps:spPr>
                      <wps:txbx>
                        <w:txbxContent>
                          <w:p>
                            <w:pPr>
                              <w:pStyle w:val="78"/>
                              <w:spacing w:line="200" w:lineRule="exact"/>
                              <w:rPr>
                                <w:rFonts w:ascii="楷体_GB2312"/>
                                <w:szCs w:val="18"/>
                              </w:rPr>
                            </w:pPr>
                            <w:r>
                              <w:rPr>
                                <w:rFonts w:hint="eastAsia" w:ascii="楷体_GB2312"/>
                                <w:szCs w:val="18"/>
                              </w:rPr>
                              <w:t>预付款的扣回</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65pt;height:23.95pt;width:81pt;z-index:251842560;mso-width-relative:page;mso-height-relative:page;" filled="f" stroked="f" coordsize="21600,21600" o:gfxdata="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HlxF3HWAAAACAEAAA8AAAAAAAAAAQAgAAAAIgAAAGRycy9kb3du&#10;cmV2LnhtbFBLAQIUABQAAAAIAIdO4kBIyelAAQIAANcDAAAOAAAAAAAAAAEAIAAAACUBAABkcnMv&#10;ZTJvRG9jLnhtbFBLBQYAAAAABgAGAFkBAACYBQAAAAA=&#10;">
                <v:fill on="f" focussize="0,0"/>
                <v:stroke on="f"/>
                <v:imagedata o:title=""/>
                <o:lock v:ext="edit" aspectratio="f"/>
                <v:textbox>
                  <w:txbxContent>
                    <w:p>
                      <w:pPr>
                        <w:pStyle w:val="78"/>
                        <w:spacing w:line="200" w:lineRule="exact"/>
                        <w:rPr>
                          <w:rFonts w:ascii="楷体_GB2312"/>
                          <w:szCs w:val="18"/>
                        </w:rPr>
                      </w:pPr>
                      <w:r>
                        <w:rPr>
                          <w:rFonts w:hint="eastAsia" w:ascii="楷体_GB2312"/>
                          <w:szCs w:val="18"/>
                        </w:rPr>
                        <w:t>预付款的扣回</w:t>
                      </w:r>
                    </w:p>
                  </w:txbxContent>
                </v:textbox>
              </v:shape>
            </w:pict>
          </mc:Fallback>
        </mc:AlternateContent>
      </w:r>
      <w:r>
        <w:rPr>
          <w:rFonts w:hint="eastAsia" w:ascii="宋体" w:hAnsi="宋体" w:cs="宋体"/>
          <w:color w:val="auto"/>
          <w:kern w:val="0"/>
          <w:szCs w:val="21"/>
        </w:rPr>
        <w:t>预付款应从每支付期应支付给承包人的进度款中扣回，直到扣回的金额达到专用条款约定的预付款金额为止。造价工程师应依据专用条款约定的抵扣方式，在签发支付证书时从应支付给承包人的款项中扣回。</w:t>
      </w:r>
    </w:p>
    <w:p>
      <w:pPr>
        <w:tabs>
          <w:tab w:val="left" w:pos="1320"/>
        </w:tabs>
        <w:adjustRightInd w:val="0"/>
        <w:snapToGrid w:val="0"/>
        <w:spacing w:line="360" w:lineRule="auto"/>
        <w:rPr>
          <w:rFonts w:ascii="宋体" w:hAnsi="宋体" w:cs="宋体"/>
          <w:b/>
          <w:color w:val="auto"/>
          <w:kern w:val="0"/>
          <w:szCs w:val="21"/>
        </w:rPr>
      </w:pPr>
      <w:r>
        <w:rPr>
          <w:rFonts w:hint="eastAsia" w:ascii="宋体" w:hAnsi="宋体" w:cs="宋体"/>
          <w:b/>
          <w:color w:val="auto"/>
          <w:kern w:val="0"/>
          <w:szCs w:val="21"/>
        </w:rPr>
        <w:t xml:space="preserve">79.5  </w:t>
      </w:r>
      <w:r>
        <w:rPr>
          <w:rFonts w:hint="eastAsia" w:ascii="宋体" w:hAnsi="宋体" w:cs="宋体"/>
          <w:b/>
          <w:color w:val="auto"/>
          <w:kern w:val="0"/>
          <w:szCs w:val="21"/>
          <w:u w:val="dotted"/>
        </w:rPr>
        <w:t xml:space="preserve">                                                                                                        </w:t>
      </w:r>
    </w:p>
    <w:p>
      <w:pPr>
        <w:adjustRightInd w:val="0"/>
        <w:snapToGrid w:val="0"/>
        <w:spacing w:line="360" w:lineRule="auto"/>
        <w:ind w:left="1619" w:leftChars="771"/>
        <w:rPr>
          <w:rFonts w:ascii="宋体" w:hAnsi="宋体" w:cs="宋体"/>
          <w:color w:val="auto"/>
          <w:kern w:val="0"/>
          <w:szCs w:val="21"/>
        </w:rPr>
      </w:pPr>
      <w:r>
        <w:rPr>
          <w:rFonts w:ascii="宋体" w:hAnsi="宋体" w:cs="宋体"/>
          <w:color w:val="auto"/>
          <w:kern w:val="0"/>
          <w:szCs w:val="21"/>
        </w:rPr>
        <mc:AlternateContent>
          <mc:Choice Requires="wps">
            <w:drawing>
              <wp:anchor distT="0" distB="0" distL="114300" distR="114300" simplePos="0" relativeHeight="251843584" behindDoc="0" locked="0" layoutInCell="1" allowOverlap="1">
                <wp:simplePos x="0" y="0"/>
                <wp:positionH relativeFrom="column">
                  <wp:posOffset>-114300</wp:posOffset>
                </wp:positionH>
                <wp:positionV relativeFrom="paragraph">
                  <wp:posOffset>13335</wp:posOffset>
                </wp:positionV>
                <wp:extent cx="914400" cy="408305"/>
                <wp:effectExtent l="0" t="0" r="0" b="0"/>
                <wp:wrapNone/>
                <wp:docPr id="67" name="文本框 67"/>
                <wp:cNvGraphicFramePr/>
                <a:graphic xmlns:a="http://schemas.openxmlformats.org/drawingml/2006/main">
                  <a:graphicData uri="http://schemas.microsoft.com/office/word/2010/wordprocessingShape">
                    <wps:wsp>
                      <wps:cNvSpPr txBox="1">
                        <a:spLocks noChangeArrowheads="1"/>
                      </wps:cNvSpPr>
                      <wps:spPr bwMode="auto">
                        <a:xfrm>
                          <a:off x="0" y="0"/>
                          <a:ext cx="914400" cy="408305"/>
                        </a:xfrm>
                        <a:prstGeom prst="rect">
                          <a:avLst/>
                        </a:prstGeom>
                        <a:noFill/>
                        <a:ln>
                          <a:noFill/>
                        </a:ln>
                        <a:effectLst/>
                      </wps:spPr>
                      <wps:txbx>
                        <w:txbxContent>
                          <w:p>
                            <w:pPr>
                              <w:pStyle w:val="78"/>
                              <w:spacing w:line="200" w:lineRule="exact"/>
                              <w:rPr>
                                <w:rFonts w:ascii="楷体_GB2312"/>
                                <w:szCs w:val="18"/>
                              </w:rPr>
                            </w:pPr>
                            <w:r>
                              <w:rPr>
                                <w:rFonts w:hint="eastAsia" w:ascii="楷体_GB2312"/>
                                <w:szCs w:val="18"/>
                              </w:rPr>
                              <w:t>预付款保函的有效与退还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05pt;height:32.15pt;width:72pt;z-index:251843584;mso-width-relative:page;mso-height-relative:page;" filled="f" stroked="f" coordsize="21600,21600" o:gfxdata="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CtxRbXVAAAACAEAAA8AAAAAAAAAAQAgAAAAIgAAAGRycy9kb3ducmV2&#10;LnhtbFBLAQIUABQAAAAIAIdO4kD9/bus/wEAANYDAAAOAAAAAAAAAAEAIAAAACQBAABkcnMvZTJv&#10;RG9jLnhtbFBLBQYAAAAABgAGAFkBAACVBQAAAAA=&#10;">
                <v:fill on="f" focussize="0,0"/>
                <v:stroke on="f"/>
                <v:imagedata o:title=""/>
                <o:lock v:ext="edit" aspectratio="f"/>
                <v:textbox>
                  <w:txbxContent>
                    <w:p>
                      <w:pPr>
                        <w:pStyle w:val="78"/>
                        <w:spacing w:line="200" w:lineRule="exact"/>
                        <w:rPr>
                          <w:rFonts w:ascii="楷体_GB2312"/>
                          <w:szCs w:val="18"/>
                        </w:rPr>
                      </w:pPr>
                      <w:r>
                        <w:rPr>
                          <w:rFonts w:hint="eastAsia" w:ascii="楷体_GB2312"/>
                          <w:szCs w:val="18"/>
                        </w:rPr>
                        <w:t>预付款保函的有效与退还</w:t>
                      </w:r>
                    </w:p>
                  </w:txbxContent>
                </v:textbox>
              </v:shape>
            </w:pict>
          </mc:Fallback>
        </mc:AlternateContent>
      </w:r>
      <w:r>
        <w:rPr>
          <w:rFonts w:hint="eastAsia" w:ascii="宋体" w:hAnsi="宋体" w:cs="宋体"/>
          <w:color w:val="auto"/>
          <w:kern w:val="0"/>
          <w:szCs w:val="21"/>
        </w:rPr>
        <w:t>承包人应保持预付款保函在预付款全部扣回之前一直有效。发包人应在预付款扣完后的14天内将预付款保函退还承包人，并不得向承包人收取预付款的任何利息。</w:t>
      </w:r>
    </w:p>
    <w:p>
      <w:pPr>
        <w:adjustRightInd w:val="0"/>
        <w:snapToGrid w:val="0"/>
        <w:spacing w:line="240" w:lineRule="exact"/>
        <w:rPr>
          <w:rFonts w:ascii="宋体" w:hAnsi="宋体" w:cs="宋体"/>
          <w:b/>
          <w:color w:val="auto"/>
          <w:kern w:val="0"/>
          <w:szCs w:val="21"/>
          <w:u w:val="single"/>
        </w:rPr>
      </w:pPr>
      <w:r>
        <w:rPr>
          <w:rFonts w:hint="eastAsia" w:ascii="宋体" w:hAnsi="宋体" w:cs="宋体"/>
          <w:b/>
          <w:color w:val="auto"/>
          <w:kern w:val="0"/>
          <w:szCs w:val="21"/>
          <w:u w:val="single"/>
        </w:rPr>
        <w:t xml:space="preserve">                                                                                                             </w:t>
      </w:r>
    </w:p>
    <w:p>
      <w:pPr>
        <w:tabs>
          <w:tab w:val="left" w:pos="540"/>
        </w:tabs>
        <w:adjustRightInd w:val="0"/>
        <w:snapToGrid w:val="0"/>
        <w:spacing w:beforeLines="100" w:line="240" w:lineRule="exact"/>
        <w:ind w:right="-238" w:firstLine="482"/>
        <w:rPr>
          <w:rFonts w:ascii="宋体" w:hAnsi="宋体" w:cs="宋体"/>
          <w:b/>
          <w:color w:val="auto"/>
          <w:kern w:val="0"/>
          <w:szCs w:val="21"/>
        </w:rPr>
      </w:pPr>
    </w:p>
    <w:p>
      <w:pPr>
        <w:tabs>
          <w:tab w:val="left" w:pos="540"/>
        </w:tabs>
        <w:adjustRightInd w:val="0"/>
        <w:snapToGrid w:val="0"/>
        <w:spacing w:beforeLines="100" w:line="360" w:lineRule="auto"/>
        <w:ind w:right="-238"/>
        <w:rPr>
          <w:rFonts w:ascii="宋体" w:hAnsi="宋体" w:cs="宋体"/>
          <w:b/>
          <w:color w:val="auto"/>
          <w:kern w:val="0"/>
          <w:szCs w:val="21"/>
        </w:rPr>
      </w:pPr>
      <w:r>
        <w:rPr>
          <w:rFonts w:hint="eastAsia" w:ascii="宋体" w:hAnsi="宋体" w:cs="宋体"/>
          <w:b/>
          <w:color w:val="auto"/>
          <w:kern w:val="0"/>
          <w:szCs w:val="21"/>
        </w:rPr>
        <w:t>80  安全文明施工费</w:t>
      </w:r>
    </w:p>
    <w:p>
      <w:pPr>
        <w:adjustRightInd w:val="0"/>
        <w:snapToGrid w:val="0"/>
        <w:spacing w:line="360" w:lineRule="auto"/>
        <w:rPr>
          <w:rFonts w:ascii="宋体" w:hAnsi="宋体" w:cs="宋体"/>
          <w:b/>
          <w:color w:val="auto"/>
          <w:kern w:val="0"/>
          <w:szCs w:val="21"/>
        </w:rPr>
      </w:pPr>
      <w:r>
        <w:rPr>
          <w:rFonts w:hint="eastAsia" w:ascii="宋体" w:hAnsi="宋体" w:cs="宋体"/>
          <w:b/>
          <w:color w:val="auto"/>
          <w:kern w:val="0"/>
          <w:szCs w:val="21"/>
        </w:rPr>
        <w:t xml:space="preserve">80.1      </w:t>
      </w:r>
    </w:p>
    <w:p>
      <w:pPr>
        <w:adjustRightInd w:val="0"/>
        <w:snapToGrid w:val="0"/>
        <w:spacing w:line="360" w:lineRule="auto"/>
        <w:ind w:left="1619" w:leftChars="771"/>
        <w:rPr>
          <w:rFonts w:ascii="宋体" w:hAnsi="宋体" w:cs="宋体"/>
          <w:color w:val="auto"/>
          <w:kern w:val="0"/>
          <w:szCs w:val="21"/>
        </w:rPr>
      </w:pPr>
      <w:r>
        <w:rPr>
          <w:rFonts w:ascii="宋体" w:hAnsi="宋体" w:cs="宋体"/>
          <w:color w:val="auto"/>
          <w:kern w:val="0"/>
          <w:szCs w:val="21"/>
        </w:rPr>
        <mc:AlternateContent>
          <mc:Choice Requires="wps">
            <w:drawing>
              <wp:anchor distT="0" distB="0" distL="114300" distR="114300" simplePos="0" relativeHeight="251844608" behindDoc="0" locked="0" layoutInCell="1" allowOverlap="1">
                <wp:simplePos x="0" y="0"/>
                <wp:positionH relativeFrom="column">
                  <wp:posOffset>-114300</wp:posOffset>
                </wp:positionH>
                <wp:positionV relativeFrom="paragraph">
                  <wp:posOffset>17780</wp:posOffset>
                </wp:positionV>
                <wp:extent cx="1028700" cy="440055"/>
                <wp:effectExtent l="0" t="0" r="0" b="0"/>
                <wp:wrapNone/>
                <wp:docPr id="66" name="文本框 66"/>
                <wp:cNvGraphicFramePr/>
                <a:graphic xmlns:a="http://schemas.openxmlformats.org/drawingml/2006/main">
                  <a:graphicData uri="http://schemas.microsoft.com/office/word/2010/wordprocessingShape">
                    <wps:wsp>
                      <wps:cNvSpPr txBox="1">
                        <a:spLocks noChangeArrowheads="1"/>
                      </wps:cNvSpPr>
                      <wps:spPr bwMode="auto">
                        <a:xfrm>
                          <a:off x="0" y="0"/>
                          <a:ext cx="1028700" cy="440055"/>
                        </a:xfrm>
                        <a:prstGeom prst="rect">
                          <a:avLst/>
                        </a:prstGeom>
                        <a:noFill/>
                        <a:ln>
                          <a:noFill/>
                        </a:ln>
                        <a:effectLst/>
                      </wps:spPr>
                      <wps:txbx>
                        <w:txbxContent>
                          <w:p>
                            <w:pPr>
                              <w:pStyle w:val="78"/>
                              <w:spacing w:line="200" w:lineRule="exact"/>
                              <w:rPr>
                                <w:rFonts w:ascii="楷体_GB2312"/>
                                <w:szCs w:val="18"/>
                              </w:rPr>
                            </w:pPr>
                            <w:r>
                              <w:rPr>
                                <w:rFonts w:hint="eastAsia" w:ascii="楷体_GB2312"/>
                                <w:szCs w:val="18"/>
                              </w:rPr>
                              <w:t>内容、范围和</w:t>
                            </w:r>
                          </w:p>
                          <w:p>
                            <w:pPr>
                              <w:pStyle w:val="78"/>
                              <w:spacing w:line="200" w:lineRule="exact"/>
                              <w:rPr>
                                <w:rFonts w:ascii="楷体_GB2312"/>
                                <w:szCs w:val="18"/>
                              </w:rPr>
                            </w:pPr>
                            <w:r>
                              <w:rPr>
                                <w:rFonts w:hint="eastAsia" w:ascii="楷体_GB2312"/>
                                <w:szCs w:val="18"/>
                              </w:rPr>
                              <w:t>金额</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4pt;height:34.65pt;width:81pt;z-index:251844608;mso-width-relative:page;mso-height-relative:page;" filled="f" stroked="f" coordsize="21600,21600" o:gfxdata="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O2yIt1AAAAAgBAAAPAAAAAAAAAAEAIAAAACIAAABkcnMvZG93bnJl&#10;di54bWxQSwECFAAUAAAACACHTuJAcQ3THwECAADXAwAADgAAAAAAAAABACAAAAAjAQAAZHJzL2Uy&#10;b0RvYy54bWxQSwUGAAAAAAYABgBZAQAAlgUAAAAA&#10;">
                <v:fill on="f" focussize="0,0"/>
                <v:stroke on="f"/>
                <v:imagedata o:title=""/>
                <o:lock v:ext="edit" aspectratio="f"/>
                <v:textbox>
                  <w:txbxContent>
                    <w:p>
                      <w:pPr>
                        <w:pStyle w:val="78"/>
                        <w:spacing w:line="200" w:lineRule="exact"/>
                        <w:rPr>
                          <w:rFonts w:ascii="楷体_GB2312"/>
                          <w:szCs w:val="18"/>
                        </w:rPr>
                      </w:pPr>
                      <w:r>
                        <w:rPr>
                          <w:rFonts w:hint="eastAsia" w:ascii="楷体_GB2312"/>
                          <w:szCs w:val="18"/>
                        </w:rPr>
                        <w:t>内容、范围和</w:t>
                      </w:r>
                    </w:p>
                    <w:p>
                      <w:pPr>
                        <w:pStyle w:val="78"/>
                        <w:spacing w:line="200" w:lineRule="exact"/>
                        <w:rPr>
                          <w:rFonts w:ascii="楷体_GB2312"/>
                          <w:szCs w:val="18"/>
                        </w:rPr>
                      </w:pPr>
                      <w:r>
                        <w:rPr>
                          <w:rFonts w:hint="eastAsia" w:ascii="楷体_GB2312"/>
                          <w:szCs w:val="18"/>
                        </w:rPr>
                        <w:t>金额</w:t>
                      </w:r>
                    </w:p>
                  </w:txbxContent>
                </v:textbox>
              </v:shape>
            </w:pict>
          </mc:Fallback>
        </mc:AlternateContent>
      </w:r>
      <w:r>
        <w:rPr>
          <w:rFonts w:hint="eastAsia" w:ascii="宋体" w:hAnsi="宋体" w:cs="宋体"/>
          <w:color w:val="auto"/>
          <w:kern w:val="0"/>
          <w:szCs w:val="21"/>
        </w:rPr>
        <w:t>合同双方当事人应在专用条款中约定安全文明施工费的内容、范围和金额，并按照第45条规定实施安全文明施工。除专用条款另有约定外，安全文明施工费的内容和范围，应以现行广东省统一工程计价依据规定为准。</w:t>
      </w:r>
    </w:p>
    <w:p>
      <w:pPr>
        <w:adjustRightInd w:val="0"/>
        <w:snapToGrid w:val="0"/>
        <w:spacing w:line="360" w:lineRule="auto"/>
        <w:rPr>
          <w:rFonts w:ascii="宋体" w:hAnsi="宋体" w:cs="宋体"/>
          <w:color w:val="auto"/>
          <w:kern w:val="0"/>
          <w:szCs w:val="21"/>
          <w:u w:val="dotted"/>
        </w:rPr>
      </w:pPr>
      <w:r>
        <w:rPr>
          <w:rFonts w:hint="eastAsia" w:ascii="宋体" w:hAnsi="宋体" w:cs="宋体"/>
          <w:b/>
          <w:color w:val="auto"/>
          <w:kern w:val="0"/>
          <w:szCs w:val="21"/>
        </w:rPr>
        <w:t xml:space="preserve">80.2  </w:t>
      </w:r>
      <w:r>
        <w:rPr>
          <w:rFonts w:hint="eastAsia" w:ascii="宋体" w:hAnsi="宋体" w:cs="宋体"/>
          <w:color w:val="auto"/>
          <w:kern w:val="0"/>
          <w:szCs w:val="21"/>
          <w:u w:val="dotted"/>
        </w:rPr>
        <w:t xml:space="preserve">                                                                             </w:t>
      </w:r>
    </w:p>
    <w:p>
      <w:pPr>
        <w:adjustRightInd w:val="0"/>
        <w:snapToGrid w:val="0"/>
        <w:spacing w:line="360" w:lineRule="auto"/>
        <w:ind w:left="1619" w:leftChars="771"/>
        <w:rPr>
          <w:rFonts w:ascii="宋体" w:hAnsi="宋体" w:cs="宋体"/>
          <w:color w:val="auto"/>
          <w:kern w:val="0"/>
          <w:szCs w:val="21"/>
        </w:rPr>
      </w:pPr>
      <w:r>
        <w:rPr>
          <w:rFonts w:ascii="宋体" w:hAnsi="宋体" w:cs="宋体"/>
          <w:color w:val="auto"/>
          <w:kern w:val="0"/>
          <w:szCs w:val="21"/>
        </w:rPr>
        <mc:AlternateContent>
          <mc:Choice Requires="wps">
            <w:drawing>
              <wp:anchor distT="0" distB="0" distL="114300" distR="114300" simplePos="0" relativeHeight="252063744" behindDoc="0" locked="0" layoutInCell="1" allowOverlap="1">
                <wp:simplePos x="0" y="0"/>
                <wp:positionH relativeFrom="column">
                  <wp:posOffset>-114300</wp:posOffset>
                </wp:positionH>
                <wp:positionV relativeFrom="paragraph">
                  <wp:posOffset>34290</wp:posOffset>
                </wp:positionV>
                <wp:extent cx="914400" cy="789305"/>
                <wp:effectExtent l="0" t="0" r="0" b="0"/>
                <wp:wrapNone/>
                <wp:docPr id="65" name="文本框 65"/>
                <wp:cNvGraphicFramePr/>
                <a:graphic xmlns:a="http://schemas.openxmlformats.org/drawingml/2006/main">
                  <a:graphicData uri="http://schemas.microsoft.com/office/word/2010/wordprocessingShape">
                    <wps:wsp>
                      <wps:cNvSpPr txBox="1">
                        <a:spLocks noChangeArrowheads="1"/>
                      </wps:cNvSpPr>
                      <wps:spPr bwMode="auto">
                        <a:xfrm>
                          <a:off x="0" y="0"/>
                          <a:ext cx="914400" cy="789305"/>
                        </a:xfrm>
                        <a:prstGeom prst="rect">
                          <a:avLst/>
                        </a:prstGeom>
                        <a:noFill/>
                        <a:ln>
                          <a:noFill/>
                        </a:ln>
                        <a:effectLst/>
                      </wps:spPr>
                      <wps:txbx>
                        <w:txbxContent>
                          <w:p>
                            <w:pPr>
                              <w:pStyle w:val="78"/>
                              <w:spacing w:line="200" w:lineRule="exact"/>
                              <w:rPr>
                                <w:rFonts w:ascii="楷体_GB2312"/>
                                <w:szCs w:val="18"/>
                              </w:rPr>
                            </w:pPr>
                            <w:r>
                              <w:rPr>
                                <w:rFonts w:hint="eastAsia" w:ascii="楷体_GB2312"/>
                                <w:szCs w:val="18"/>
                              </w:rPr>
                              <w:t>支付申请的提交与核实</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7pt;height:62.15pt;width:72pt;z-index:252063744;mso-width-relative:page;mso-height-relative:page;" filled="f" stroked="f" coordsize="21600,21600" o:gfxdata="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iReLH1gAAAAkBAAAPAAAAAAAAAAEAIAAAACIAAABkcnMvZG93bnJl&#10;di54bWxQSwECFAAUAAAACACHTuJAkTPRAv8BAADWAwAADgAAAAAAAAABACAAAAAlAQAAZHJzL2Uy&#10;b0RvYy54bWxQSwUGAAAAAAYABgBZAQAAlgUAAAAA&#10;">
                <v:fill on="f" focussize="0,0"/>
                <v:stroke on="f"/>
                <v:imagedata o:title=""/>
                <o:lock v:ext="edit" aspectratio="f"/>
                <v:textbox>
                  <w:txbxContent>
                    <w:p>
                      <w:pPr>
                        <w:pStyle w:val="78"/>
                        <w:spacing w:line="200" w:lineRule="exact"/>
                        <w:rPr>
                          <w:rFonts w:ascii="楷体_GB2312"/>
                          <w:szCs w:val="18"/>
                        </w:rPr>
                      </w:pPr>
                      <w:r>
                        <w:rPr>
                          <w:rFonts w:hint="eastAsia" w:ascii="楷体_GB2312"/>
                          <w:szCs w:val="18"/>
                        </w:rPr>
                        <w:t>支付申请的提交与核实</w:t>
                      </w:r>
                    </w:p>
                  </w:txbxContent>
                </v:textbox>
              </v:shape>
            </w:pict>
          </mc:Fallback>
        </mc:AlternateContent>
      </w:r>
      <w:r>
        <w:rPr>
          <w:rFonts w:hint="eastAsia" w:ascii="宋体" w:hAnsi="宋体" w:cs="宋体"/>
          <w:color w:val="auto"/>
          <w:kern w:val="0"/>
          <w:szCs w:val="21"/>
        </w:rPr>
        <w:t>专用条款没有约定的，承包人应在接到监理工程师按照第34.2款规定发出开工令后的7天内向造价工程师提交安全文明施工费支付申请，并抄送发包人。造价工程师应对支付申请进行核实，并在收到支付申请后的7天内报发包人确认后向发包人发出支付证书，同时抄送承包人。</w:t>
      </w:r>
    </w:p>
    <w:p>
      <w:pPr>
        <w:adjustRightInd w:val="0"/>
        <w:snapToGrid w:val="0"/>
        <w:spacing w:line="360" w:lineRule="auto"/>
        <w:rPr>
          <w:rFonts w:ascii="宋体" w:hAnsi="宋体" w:cs="宋体"/>
          <w:b/>
          <w:color w:val="auto"/>
          <w:kern w:val="0"/>
          <w:szCs w:val="21"/>
        </w:rPr>
      </w:pPr>
      <w:r>
        <w:rPr>
          <w:rFonts w:hint="eastAsia" w:ascii="宋体" w:hAnsi="宋体" w:cs="宋体"/>
          <w:b/>
          <w:color w:val="auto"/>
          <w:kern w:val="0"/>
          <w:szCs w:val="21"/>
        </w:rPr>
        <w:t xml:space="preserve">80.3  </w:t>
      </w:r>
      <w:r>
        <w:rPr>
          <w:rFonts w:hint="eastAsia" w:ascii="宋体" w:hAnsi="宋体" w:cs="宋体"/>
          <w:b/>
          <w:color w:val="auto"/>
          <w:kern w:val="0"/>
          <w:szCs w:val="21"/>
          <w:u w:val="dotted"/>
        </w:rPr>
        <w:t xml:space="preserve">                                                                                                        </w:t>
      </w:r>
    </w:p>
    <w:p>
      <w:pPr>
        <w:adjustRightInd w:val="0"/>
        <w:snapToGrid w:val="0"/>
        <w:spacing w:line="360" w:lineRule="auto"/>
        <w:ind w:left="1619" w:leftChars="771"/>
        <w:rPr>
          <w:rFonts w:ascii="宋体" w:hAnsi="宋体" w:cs="宋体"/>
          <w:color w:val="auto"/>
          <w:kern w:val="0"/>
          <w:szCs w:val="21"/>
        </w:rPr>
      </w:pPr>
      <w:r>
        <w:rPr>
          <w:rFonts w:hint="eastAsia" w:ascii="宋体" w:hAnsi="宋体" w:cs="宋体"/>
          <w:color w:val="auto"/>
          <w:kern w:val="0"/>
          <w:szCs w:val="21"/>
        </w:rPr>
        <w:t>合同双方当事人应按照建设行政主管部门的规定，在专用条款中约定安全文明施工费的支付办法和抵扣方式。除专用条款另有约定外，</w:t>
      </w:r>
      <w:r>
        <w:rPr>
          <w:rFonts w:ascii="宋体" w:hAnsi="宋体" w:cs="宋体"/>
          <w:color w:val="auto"/>
          <w:kern w:val="0"/>
          <w:szCs w:val="21"/>
        </w:rPr>
        <mc:AlternateContent>
          <mc:Choice Requires="wps">
            <w:drawing>
              <wp:anchor distT="0" distB="0" distL="114300" distR="114300" simplePos="0" relativeHeight="252064768" behindDoc="0" locked="0" layoutInCell="1" allowOverlap="1">
                <wp:simplePos x="0" y="0"/>
                <wp:positionH relativeFrom="column">
                  <wp:posOffset>-114300</wp:posOffset>
                </wp:positionH>
                <wp:positionV relativeFrom="paragraph">
                  <wp:posOffset>71755</wp:posOffset>
                </wp:positionV>
                <wp:extent cx="1028700" cy="352425"/>
                <wp:effectExtent l="0" t="0" r="0" b="0"/>
                <wp:wrapNone/>
                <wp:docPr id="64" name="文本框 64"/>
                <wp:cNvGraphicFramePr/>
                <a:graphic xmlns:a="http://schemas.openxmlformats.org/drawingml/2006/main">
                  <a:graphicData uri="http://schemas.microsoft.com/office/word/2010/wordprocessingShape">
                    <wps:wsp>
                      <wps:cNvSpPr txBox="1">
                        <a:spLocks noChangeArrowheads="1"/>
                      </wps:cNvSpPr>
                      <wps:spPr bwMode="auto">
                        <a:xfrm>
                          <a:off x="0" y="0"/>
                          <a:ext cx="1028700" cy="352425"/>
                        </a:xfrm>
                        <a:prstGeom prst="rect">
                          <a:avLst/>
                        </a:prstGeom>
                        <a:noFill/>
                        <a:ln>
                          <a:noFill/>
                        </a:ln>
                        <a:effectLst/>
                      </wps:spPr>
                      <wps:txbx>
                        <w:txbxContent>
                          <w:p>
                            <w:pPr>
                              <w:rPr>
                                <w:rFonts w:ascii="楷体_GB2312" w:hAnsi="宋体"/>
                                <w:b/>
                                <w:bCs/>
                                <w:sz w:val="18"/>
                                <w:szCs w:val="18"/>
                              </w:rPr>
                            </w:pPr>
                            <w:r>
                              <w:rPr>
                                <w:rFonts w:hint="eastAsia" w:ascii="楷体_GB2312" w:hAnsi="宋体"/>
                                <w:b/>
                                <w:bCs/>
                                <w:sz w:val="18"/>
                                <w:szCs w:val="18"/>
                              </w:rPr>
                              <w:t>费用支付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5.65pt;height:27.75pt;width:81pt;z-index:252064768;mso-width-relative:page;mso-height-relative:page;" filled="f" stroked="f" coordsize="21600,21600" o:gfxdata="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e+gtd9UAAAAJAQAADwAAAAAAAAABACAAAAAiAAAAZHJzL2Rvd25y&#10;ZXYueG1sUEsBAhQAFAAAAAgAh07iQGvv22kBAgAA1wMAAA4AAAAAAAAAAQAgAAAAJAEAAGRycy9l&#10;Mm9Eb2MueG1sUEsFBgAAAAAGAAYAWQEAAJcFAAAAAA==&#10;">
                <v:fill on="f" focussize="0,0"/>
                <v:stroke on="f"/>
                <v:imagedata o:title=""/>
                <o:lock v:ext="edit" aspectratio="f"/>
                <v:textbox>
                  <w:txbxContent>
                    <w:p>
                      <w:pPr>
                        <w:rPr>
                          <w:rFonts w:ascii="楷体_GB2312" w:hAnsi="宋体"/>
                          <w:b/>
                          <w:bCs/>
                          <w:sz w:val="18"/>
                          <w:szCs w:val="18"/>
                        </w:rPr>
                      </w:pPr>
                      <w:r>
                        <w:rPr>
                          <w:rFonts w:hint="eastAsia" w:ascii="楷体_GB2312" w:hAnsi="宋体"/>
                          <w:b/>
                          <w:bCs/>
                          <w:sz w:val="18"/>
                          <w:szCs w:val="18"/>
                        </w:rPr>
                        <w:t>费用支付</w:t>
                      </w:r>
                    </w:p>
                  </w:txbxContent>
                </v:textbox>
              </v:shape>
            </w:pict>
          </mc:Fallback>
        </mc:AlternateContent>
      </w:r>
      <w:r>
        <w:rPr>
          <w:rFonts w:hint="eastAsia" w:ascii="宋体" w:hAnsi="宋体" w:cs="宋体"/>
          <w:color w:val="auto"/>
          <w:kern w:val="0"/>
          <w:szCs w:val="21"/>
        </w:rPr>
        <w:t>发包人应在造价工程师签发支付证书后的7天内向承包人支付安全文明施工费，并保证在工程开工后的28天内支付安全文明施工费金额的50%，同时通知造价工程师。剩余部分金额，自该支付款从每支付期应支付给承包人的进度款中扣完之日起，按照实际发生费用与进度款同期支付。</w:t>
      </w:r>
    </w:p>
    <w:p>
      <w:pPr>
        <w:tabs>
          <w:tab w:val="left" w:pos="1320"/>
        </w:tabs>
        <w:adjustRightInd w:val="0"/>
        <w:snapToGrid w:val="0"/>
        <w:spacing w:line="360" w:lineRule="auto"/>
        <w:rPr>
          <w:rFonts w:ascii="宋体" w:hAnsi="宋体" w:cs="宋体"/>
          <w:b/>
          <w:color w:val="auto"/>
          <w:kern w:val="0"/>
          <w:szCs w:val="21"/>
        </w:rPr>
      </w:pPr>
      <w:r>
        <w:rPr>
          <w:rFonts w:hint="eastAsia" w:ascii="宋体" w:hAnsi="宋体" w:cs="宋体"/>
          <w:b/>
          <w:color w:val="auto"/>
          <w:kern w:val="0"/>
          <w:szCs w:val="21"/>
        </w:rPr>
        <w:t xml:space="preserve">80.4  </w:t>
      </w:r>
      <w:r>
        <w:rPr>
          <w:rFonts w:hint="eastAsia" w:ascii="宋体" w:hAnsi="宋体" w:cs="宋体"/>
          <w:b/>
          <w:color w:val="auto"/>
          <w:kern w:val="0"/>
          <w:szCs w:val="21"/>
          <w:u w:val="dotted"/>
        </w:rPr>
        <w:t xml:space="preserve">                                                                                                        </w:t>
      </w:r>
    </w:p>
    <w:p>
      <w:pPr>
        <w:adjustRightInd w:val="0"/>
        <w:snapToGrid w:val="0"/>
        <w:spacing w:line="360" w:lineRule="auto"/>
        <w:ind w:left="1619" w:leftChars="771"/>
        <w:rPr>
          <w:rFonts w:ascii="宋体" w:hAnsi="宋体" w:cs="宋体"/>
          <w:color w:val="auto"/>
          <w:szCs w:val="21"/>
        </w:rPr>
      </w:pPr>
      <w:r>
        <w:rPr>
          <w:rFonts w:ascii="宋体" w:hAnsi="宋体" w:cs="宋体"/>
          <w:color w:val="auto"/>
          <w:szCs w:val="21"/>
        </w:rPr>
        <mc:AlternateContent>
          <mc:Choice Requires="wps">
            <w:drawing>
              <wp:anchor distT="0" distB="0" distL="114300" distR="114300" simplePos="0" relativeHeight="252059648" behindDoc="0" locked="0" layoutInCell="1" allowOverlap="1">
                <wp:simplePos x="0" y="0"/>
                <wp:positionH relativeFrom="column">
                  <wp:posOffset>-114300</wp:posOffset>
                </wp:positionH>
                <wp:positionV relativeFrom="paragraph">
                  <wp:posOffset>10795</wp:posOffset>
                </wp:positionV>
                <wp:extent cx="914400" cy="400685"/>
                <wp:effectExtent l="0" t="0" r="0" b="0"/>
                <wp:wrapNone/>
                <wp:docPr id="63" name="文本框 63"/>
                <wp:cNvGraphicFramePr/>
                <a:graphic xmlns:a="http://schemas.openxmlformats.org/drawingml/2006/main">
                  <a:graphicData uri="http://schemas.microsoft.com/office/word/2010/wordprocessingShape">
                    <wps:wsp>
                      <wps:cNvSpPr txBox="1">
                        <a:spLocks noChangeArrowheads="1"/>
                      </wps:cNvSpPr>
                      <wps:spPr bwMode="auto">
                        <a:xfrm>
                          <a:off x="0" y="0"/>
                          <a:ext cx="914400" cy="400685"/>
                        </a:xfrm>
                        <a:prstGeom prst="rect">
                          <a:avLst/>
                        </a:prstGeom>
                        <a:noFill/>
                        <a:ln>
                          <a:noFill/>
                        </a:ln>
                        <a:effectLst/>
                      </wps:spPr>
                      <wps:txbx>
                        <w:txbxContent>
                          <w:p>
                            <w:pPr>
                              <w:rPr>
                                <w:rFonts w:ascii="楷体_GB2312" w:hAnsi="宋体"/>
                                <w:b/>
                                <w:bCs/>
                                <w:sz w:val="18"/>
                                <w:szCs w:val="18"/>
                              </w:rPr>
                            </w:pPr>
                            <w:r>
                              <w:rPr>
                                <w:rFonts w:hint="eastAsia" w:ascii="楷体_GB2312" w:hAnsi="宋体"/>
                                <w:b/>
                                <w:bCs/>
                                <w:sz w:val="18"/>
                                <w:szCs w:val="18"/>
                              </w:rPr>
                              <w:t>支付限制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85pt;height:31.55pt;width:72pt;z-index:252059648;mso-width-relative:page;mso-height-relative:page;" filled="f" stroked="f" coordsize="21600,21600" o:gfxdata="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XN/jDNUAAAAIAQAADwAAAAAAAAABACAAAAAiAAAAZHJzL2Rvd25yZXYu&#10;eG1sUEsBAhQAFAAAAAgAh07iQBslnSj+AQAA1gMAAA4AAAAAAAAAAQAgAAAAJAEAAGRycy9lMm9E&#10;b2MueG1sUEsFBgAAAAAGAAYAWQEAAJQFAAAAAA==&#10;">
                <v:fill on="f" focussize="0,0"/>
                <v:stroke on="f"/>
                <v:imagedata o:title=""/>
                <o:lock v:ext="edit" aspectratio="f"/>
                <v:textbox>
                  <w:txbxContent>
                    <w:p>
                      <w:pPr>
                        <w:rPr>
                          <w:rFonts w:ascii="楷体_GB2312" w:hAnsi="宋体"/>
                          <w:b/>
                          <w:bCs/>
                          <w:sz w:val="18"/>
                          <w:szCs w:val="18"/>
                        </w:rPr>
                      </w:pPr>
                      <w:r>
                        <w:rPr>
                          <w:rFonts w:hint="eastAsia" w:ascii="楷体_GB2312" w:hAnsi="宋体"/>
                          <w:b/>
                          <w:bCs/>
                          <w:sz w:val="18"/>
                          <w:szCs w:val="18"/>
                        </w:rPr>
                        <w:t>支付限制</w:t>
                      </w:r>
                    </w:p>
                  </w:txbxContent>
                </v:textbox>
              </v:shape>
            </w:pict>
          </mc:Fallback>
        </mc:AlternateContent>
      </w:r>
      <w:r>
        <w:rPr>
          <w:rFonts w:hint="eastAsia" w:ascii="宋体" w:hAnsi="宋体" w:cs="宋体"/>
          <w:color w:val="auto"/>
          <w:szCs w:val="21"/>
        </w:rPr>
        <w:t>发包人没有按时支付安全文明施工费的，承包人应在付款期满后的10天向发包人发出要求支付的通知；发包人收到通知后仍不按要求支付，承包人可在发出通知14天后暂停施工。发包人应承担由此增加的费用和（或）延误的工期，并向承包人支付合理利润。</w:t>
      </w:r>
    </w:p>
    <w:p>
      <w:pPr>
        <w:adjustRightInd w:val="0"/>
        <w:snapToGrid w:val="0"/>
        <w:spacing w:line="360" w:lineRule="auto"/>
        <w:rPr>
          <w:rFonts w:ascii="宋体" w:hAnsi="宋体" w:cs="宋体"/>
          <w:b/>
          <w:color w:val="auto"/>
          <w:kern w:val="0"/>
          <w:szCs w:val="21"/>
        </w:rPr>
      </w:pPr>
      <w:r>
        <w:rPr>
          <w:rFonts w:hint="eastAsia" w:ascii="宋体" w:hAnsi="宋体" w:cs="宋体"/>
          <w:b/>
          <w:color w:val="auto"/>
          <w:kern w:val="0"/>
          <w:szCs w:val="21"/>
        </w:rPr>
        <w:t xml:space="preserve">80.5  </w:t>
      </w:r>
      <w:r>
        <w:rPr>
          <w:rFonts w:hint="eastAsia" w:ascii="宋体" w:hAnsi="宋体" w:cs="宋体"/>
          <w:b/>
          <w:color w:val="auto"/>
          <w:kern w:val="0"/>
          <w:szCs w:val="21"/>
          <w:u w:val="dotted"/>
        </w:rPr>
        <w:t xml:space="preserve">                                                                                                        </w:t>
      </w:r>
    </w:p>
    <w:p>
      <w:pPr>
        <w:adjustRightInd w:val="0"/>
        <w:snapToGrid w:val="0"/>
        <w:spacing w:line="360" w:lineRule="auto"/>
        <w:ind w:left="1619" w:leftChars="771"/>
        <w:rPr>
          <w:rFonts w:ascii="宋体" w:hAnsi="宋体" w:cs="宋体"/>
          <w:color w:val="auto"/>
          <w:kern w:val="0"/>
          <w:szCs w:val="21"/>
        </w:rPr>
      </w:pPr>
      <w:r>
        <w:rPr>
          <w:rFonts w:ascii="宋体" w:hAnsi="宋体" w:cs="宋体"/>
          <w:color w:val="auto"/>
          <w:kern w:val="0"/>
          <w:szCs w:val="21"/>
        </w:rPr>
        <mc:AlternateContent>
          <mc:Choice Requires="wps">
            <w:drawing>
              <wp:anchor distT="0" distB="0" distL="114300" distR="114300" simplePos="0" relativeHeight="251845632" behindDoc="0" locked="0" layoutInCell="1" allowOverlap="1">
                <wp:simplePos x="0" y="0"/>
                <wp:positionH relativeFrom="column">
                  <wp:posOffset>-114300</wp:posOffset>
                </wp:positionH>
                <wp:positionV relativeFrom="paragraph">
                  <wp:posOffset>1905</wp:posOffset>
                </wp:positionV>
                <wp:extent cx="914400" cy="471170"/>
                <wp:effectExtent l="0" t="0" r="0" b="0"/>
                <wp:wrapNone/>
                <wp:docPr id="62" name="文本框 62"/>
                <wp:cNvGraphicFramePr/>
                <a:graphic xmlns:a="http://schemas.openxmlformats.org/drawingml/2006/main">
                  <a:graphicData uri="http://schemas.microsoft.com/office/word/2010/wordprocessingShape">
                    <wps:wsp>
                      <wps:cNvSpPr txBox="1">
                        <a:spLocks noChangeArrowheads="1"/>
                      </wps:cNvSpPr>
                      <wps:spPr bwMode="auto">
                        <a:xfrm>
                          <a:off x="0" y="0"/>
                          <a:ext cx="914400" cy="471170"/>
                        </a:xfrm>
                        <a:prstGeom prst="rect">
                          <a:avLst/>
                        </a:prstGeom>
                        <a:noFill/>
                        <a:ln>
                          <a:noFill/>
                        </a:ln>
                        <a:effectLst/>
                      </wps:spPr>
                      <wps:txbx>
                        <w:txbxContent>
                          <w:p>
                            <w:pPr>
                              <w:spacing w:line="240" w:lineRule="exact"/>
                              <w:rPr>
                                <w:rFonts w:ascii="宋体" w:hAnsi="宋体"/>
                              </w:rPr>
                            </w:pPr>
                            <w:r>
                              <w:rPr>
                                <w:rFonts w:hint="eastAsia" w:ascii="楷体_GB2312" w:hAnsi="宋体"/>
                                <w:b/>
                                <w:bCs/>
                                <w:sz w:val="18"/>
                                <w:szCs w:val="18"/>
                              </w:rPr>
                              <w:t>管理要求</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15pt;height:37.1pt;width:72pt;z-index:251845632;mso-width-relative:page;mso-height-relative:page;" filled="f" stroked="f" coordsize="21600,21600" o:gfxdata="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D9w1MfVAAAABwEAAA8AAAAAAAAAAQAgAAAAIgAAAGRycy9kb3ducmV2&#10;LnhtbFBLAQIUABQAAAAIAIdO4kCsXeAx/wEAANYDAAAOAAAAAAAAAAEAIAAAACQBAABkcnMvZTJv&#10;RG9jLnhtbFBLBQYAAAAABgAGAFkBAACVBQAAAAA=&#10;">
                <v:fill on="f" focussize="0,0"/>
                <v:stroke on="f"/>
                <v:imagedata o:title=""/>
                <o:lock v:ext="edit" aspectratio="f"/>
                <v:textbox>
                  <w:txbxContent>
                    <w:p>
                      <w:pPr>
                        <w:spacing w:line="240" w:lineRule="exact"/>
                        <w:rPr>
                          <w:rFonts w:ascii="宋体" w:hAnsi="宋体"/>
                        </w:rPr>
                      </w:pPr>
                      <w:r>
                        <w:rPr>
                          <w:rFonts w:hint="eastAsia" w:ascii="楷体_GB2312" w:hAnsi="宋体"/>
                          <w:b/>
                          <w:bCs/>
                          <w:sz w:val="18"/>
                          <w:szCs w:val="18"/>
                        </w:rPr>
                        <w:t>管理要求</w:t>
                      </w:r>
                    </w:p>
                  </w:txbxContent>
                </v:textbox>
              </v:shape>
            </w:pict>
          </mc:Fallback>
        </mc:AlternateContent>
      </w:r>
      <w:r>
        <w:rPr>
          <w:rFonts w:hint="eastAsia" w:ascii="宋体" w:hAnsi="宋体" w:cs="宋体"/>
          <w:color w:val="auto"/>
          <w:kern w:val="0"/>
          <w:szCs w:val="21"/>
        </w:rPr>
        <w:t>安全文明施工费专款专用，承包人应在财务账目中单独列项备查，不得挪作他用，否则造价工程师有权责令其限期改正；逾期未改正的，可以责令其暂停施工，由此造成的损失和延误的工期由承包人承担。</w:t>
      </w:r>
    </w:p>
    <w:p>
      <w:pPr>
        <w:tabs>
          <w:tab w:val="left" w:pos="1620"/>
        </w:tabs>
        <w:adjustRightInd w:val="0"/>
        <w:snapToGrid w:val="0"/>
        <w:spacing w:line="360" w:lineRule="auto"/>
        <w:rPr>
          <w:rFonts w:ascii="宋体" w:hAnsi="宋体" w:cs="宋体"/>
          <w:b/>
          <w:color w:val="auto"/>
          <w:kern w:val="0"/>
          <w:szCs w:val="21"/>
          <w:u w:val="single"/>
        </w:rPr>
      </w:pPr>
      <w:r>
        <w:rPr>
          <w:rFonts w:hint="eastAsia" w:ascii="宋体" w:hAnsi="宋体" w:cs="宋体"/>
          <w:b/>
          <w:color w:val="auto"/>
          <w:kern w:val="0"/>
          <w:szCs w:val="21"/>
          <w:u w:val="single"/>
        </w:rPr>
        <w:t xml:space="preserve">                                                                                                              </w:t>
      </w:r>
    </w:p>
    <w:p>
      <w:pPr>
        <w:tabs>
          <w:tab w:val="left" w:pos="1620"/>
        </w:tabs>
        <w:spacing w:line="360" w:lineRule="auto"/>
        <w:rPr>
          <w:rFonts w:ascii="宋体" w:hAnsi="宋体" w:cs="宋体"/>
          <w:b/>
          <w:color w:val="auto"/>
          <w:szCs w:val="21"/>
        </w:rPr>
      </w:pPr>
    </w:p>
    <w:p>
      <w:pPr>
        <w:tabs>
          <w:tab w:val="left" w:pos="540"/>
        </w:tabs>
        <w:adjustRightInd w:val="0"/>
        <w:snapToGrid w:val="0"/>
        <w:spacing w:beforeLines="100" w:line="360" w:lineRule="auto"/>
        <w:ind w:right="-238"/>
        <w:rPr>
          <w:rFonts w:ascii="宋体" w:hAnsi="宋体" w:cs="宋体"/>
          <w:b/>
          <w:color w:val="auto"/>
          <w:kern w:val="0"/>
          <w:szCs w:val="21"/>
        </w:rPr>
      </w:pPr>
      <w:r>
        <w:rPr>
          <w:rFonts w:hint="eastAsia" w:ascii="宋体" w:hAnsi="宋体" w:cs="宋体"/>
          <w:b/>
          <w:color w:val="auto"/>
          <w:kern w:val="0"/>
          <w:szCs w:val="21"/>
        </w:rPr>
        <w:t>81  进度款</w:t>
      </w:r>
    </w:p>
    <w:p>
      <w:pPr>
        <w:adjustRightInd w:val="0"/>
        <w:snapToGrid w:val="0"/>
        <w:spacing w:line="360" w:lineRule="auto"/>
        <w:rPr>
          <w:rFonts w:ascii="宋体" w:hAnsi="宋体" w:cs="宋体"/>
          <w:b/>
          <w:color w:val="auto"/>
          <w:kern w:val="0"/>
          <w:szCs w:val="21"/>
        </w:rPr>
      </w:pPr>
      <w:r>
        <w:rPr>
          <w:rFonts w:hint="eastAsia" w:ascii="宋体" w:hAnsi="宋体" w:cs="宋体"/>
          <w:b/>
          <w:color w:val="auto"/>
          <w:kern w:val="0"/>
          <w:szCs w:val="21"/>
        </w:rPr>
        <w:t>81.1</w:t>
      </w:r>
    </w:p>
    <w:p>
      <w:pPr>
        <w:adjustRightInd w:val="0"/>
        <w:snapToGrid w:val="0"/>
        <w:spacing w:line="360" w:lineRule="auto"/>
        <w:ind w:left="1619" w:leftChars="771"/>
        <w:rPr>
          <w:rFonts w:ascii="宋体" w:hAnsi="宋体" w:cs="宋体"/>
          <w:color w:val="auto"/>
          <w:kern w:val="0"/>
          <w:szCs w:val="21"/>
        </w:rPr>
      </w:pPr>
      <w:r>
        <w:rPr>
          <w:rFonts w:ascii="宋体" w:hAnsi="宋体" w:cs="宋体"/>
          <w:color w:val="auto"/>
          <w:kern w:val="0"/>
          <w:szCs w:val="21"/>
        </w:rPr>
        <mc:AlternateContent>
          <mc:Choice Requires="wps">
            <w:drawing>
              <wp:anchor distT="0" distB="0" distL="114300" distR="114300" simplePos="0" relativeHeight="251846656" behindDoc="0" locked="0" layoutInCell="1" allowOverlap="1">
                <wp:simplePos x="0" y="0"/>
                <wp:positionH relativeFrom="column">
                  <wp:posOffset>-114300</wp:posOffset>
                </wp:positionH>
                <wp:positionV relativeFrom="paragraph">
                  <wp:posOffset>8255</wp:posOffset>
                </wp:positionV>
                <wp:extent cx="914400" cy="686435"/>
                <wp:effectExtent l="0" t="0" r="0" b="0"/>
                <wp:wrapNone/>
                <wp:docPr id="61" name="文本框 61"/>
                <wp:cNvGraphicFramePr/>
                <a:graphic xmlns:a="http://schemas.openxmlformats.org/drawingml/2006/main">
                  <a:graphicData uri="http://schemas.microsoft.com/office/word/2010/wordprocessingShape">
                    <wps:wsp>
                      <wps:cNvSpPr txBox="1">
                        <a:spLocks noChangeArrowheads="1"/>
                      </wps:cNvSpPr>
                      <wps:spPr bwMode="auto">
                        <a:xfrm>
                          <a:off x="0" y="0"/>
                          <a:ext cx="914400" cy="686435"/>
                        </a:xfrm>
                        <a:prstGeom prst="rect">
                          <a:avLst/>
                        </a:prstGeom>
                        <a:noFill/>
                        <a:ln>
                          <a:noFill/>
                        </a:ln>
                        <a:effectLst/>
                      </wps:spPr>
                      <wps:txbx>
                        <w:txbxContent>
                          <w:p>
                            <w:pPr>
                              <w:rPr>
                                <w:rFonts w:ascii="楷体_GB2312" w:hAnsi="宋体"/>
                                <w:b/>
                                <w:bCs/>
                                <w:sz w:val="18"/>
                                <w:szCs w:val="18"/>
                              </w:rPr>
                            </w:pPr>
                            <w:r>
                              <w:rPr>
                                <w:rFonts w:hint="eastAsia" w:ascii="楷体_GB2312" w:hAnsi="宋体"/>
                                <w:b/>
                                <w:bCs/>
                                <w:sz w:val="18"/>
                                <w:szCs w:val="18"/>
                              </w:rPr>
                              <w:t>约定支付期限和提交支付申请</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65pt;height:54.05pt;width:72pt;z-index:251846656;mso-width-relative:page;mso-height-relative:page;" filled="f" stroked="f" coordsize="21600,21600" o:gfxdata="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GJW8u/VAAAACQEAAA8AAAAAAAAAAQAgAAAAIgAAAGRycy9kb3ducmV2&#10;LnhtbFBLAQIUABQAAAAIAIdO4kBLnH2F/wEAANYDAAAOAAAAAAAAAAEAIAAAACQBAABkcnMvZTJv&#10;RG9jLnhtbFBLBQYAAAAABgAGAFkBAACVBQAAAAA=&#10;">
                <v:fill on="f" focussize="0,0"/>
                <v:stroke on="f"/>
                <v:imagedata o:title=""/>
                <o:lock v:ext="edit" aspectratio="f"/>
                <v:textbox>
                  <w:txbxContent>
                    <w:p>
                      <w:pPr>
                        <w:rPr>
                          <w:rFonts w:ascii="楷体_GB2312" w:hAnsi="宋体"/>
                          <w:b/>
                          <w:bCs/>
                          <w:sz w:val="18"/>
                          <w:szCs w:val="18"/>
                        </w:rPr>
                      </w:pPr>
                      <w:r>
                        <w:rPr>
                          <w:rFonts w:hint="eastAsia" w:ascii="楷体_GB2312" w:hAnsi="宋体"/>
                          <w:b/>
                          <w:bCs/>
                          <w:sz w:val="18"/>
                          <w:szCs w:val="18"/>
                        </w:rPr>
                        <w:t>约定支付期限和提交支付申请</w:t>
                      </w:r>
                    </w:p>
                  </w:txbxContent>
                </v:textbox>
              </v:shape>
            </w:pict>
          </mc:Fallback>
        </mc:AlternateContent>
      </w:r>
      <w:r>
        <w:rPr>
          <w:rFonts w:hint="eastAsia" w:ascii="宋体" w:hAnsi="宋体" w:cs="宋体"/>
          <w:color w:val="auto"/>
          <w:kern w:val="0"/>
          <w:szCs w:val="21"/>
        </w:rPr>
        <w:t>合同双方当事人应在专用条款中明确进度款支付期的时限。专用条款没有约定的，支付期以月为单位。涉及政府投资资金的工程，支付期、支付方法等需调整的，应在专用条款中约定。</w:t>
      </w:r>
    </w:p>
    <w:p>
      <w:pPr>
        <w:adjustRightInd w:val="0"/>
        <w:snapToGrid w:val="0"/>
        <w:spacing w:line="360" w:lineRule="auto"/>
        <w:ind w:left="1619" w:leftChars="771"/>
        <w:rPr>
          <w:rFonts w:ascii="宋体" w:hAnsi="宋体" w:cs="宋体"/>
          <w:color w:val="auto"/>
          <w:kern w:val="0"/>
          <w:szCs w:val="21"/>
        </w:rPr>
      </w:pPr>
      <w:r>
        <w:rPr>
          <w:rFonts w:ascii="宋体" w:hAnsi="宋体" w:cs="宋体"/>
          <w:color w:val="auto"/>
          <w:kern w:val="0"/>
          <w:szCs w:val="21"/>
        </w:rPr>
        <mc:AlternateContent>
          <mc:Choice Requires="wps">
            <w:drawing>
              <wp:anchor distT="0" distB="0" distL="114300" distR="114300" simplePos="0" relativeHeight="252062720" behindDoc="0" locked="0" layoutInCell="1" allowOverlap="1">
                <wp:simplePos x="0" y="0"/>
                <wp:positionH relativeFrom="column">
                  <wp:posOffset>-228600</wp:posOffset>
                </wp:positionH>
                <wp:positionV relativeFrom="paragraph">
                  <wp:posOffset>9359900</wp:posOffset>
                </wp:positionV>
                <wp:extent cx="1409700" cy="597535"/>
                <wp:effectExtent l="0" t="0" r="0" b="0"/>
                <wp:wrapNone/>
                <wp:docPr id="60" name="文本框 60"/>
                <wp:cNvGraphicFramePr/>
                <a:graphic xmlns:a="http://schemas.openxmlformats.org/drawingml/2006/main">
                  <a:graphicData uri="http://schemas.microsoft.com/office/word/2010/wordprocessingShape">
                    <wps:wsp>
                      <wps:cNvSpPr txBox="1">
                        <a:spLocks noChangeArrowheads="1"/>
                      </wps:cNvSpPr>
                      <wps:spPr bwMode="auto">
                        <a:xfrm>
                          <a:off x="0" y="0"/>
                          <a:ext cx="1409700" cy="597535"/>
                        </a:xfrm>
                        <a:prstGeom prst="rect">
                          <a:avLst/>
                        </a:prstGeom>
                        <a:noFill/>
                        <a:ln>
                          <a:noFill/>
                        </a:ln>
                        <a:effectLst/>
                      </wps:spPr>
                      <wps:txbx>
                        <w:txbxContent>
                          <w:p>
                            <w:pPr>
                              <w:spacing w:line="240" w:lineRule="exact"/>
                              <w:rPr>
                                <w:b/>
                                <w:bCs/>
                                <w:sz w:val="18"/>
                                <w:szCs w:val="18"/>
                              </w:rPr>
                            </w:pPr>
                            <w:r>
                              <w:rPr>
                                <w:rFonts w:hint="eastAsia"/>
                                <w:b/>
                                <w:bCs/>
                                <w:sz w:val="18"/>
                                <w:szCs w:val="18"/>
                              </w:rPr>
                              <w:t>安全文明施工费</w:t>
                            </w:r>
                          </w:p>
                          <w:p>
                            <w:pPr>
                              <w:spacing w:line="240" w:lineRule="exact"/>
                              <w:rPr>
                                <w:b/>
                                <w:bCs/>
                                <w:sz w:val="18"/>
                                <w:szCs w:val="18"/>
                              </w:rPr>
                            </w:pPr>
                            <w:r>
                              <w:rPr>
                                <w:rFonts w:hint="eastAsia"/>
                                <w:b/>
                                <w:bCs/>
                                <w:sz w:val="18"/>
                                <w:szCs w:val="18"/>
                              </w:rPr>
                              <w:t>支付申请的提交、</w:t>
                            </w:r>
                          </w:p>
                          <w:p>
                            <w:pPr>
                              <w:spacing w:line="240" w:lineRule="exact"/>
                              <w:rPr>
                                <w:b/>
                                <w:bCs/>
                                <w:sz w:val="18"/>
                                <w:szCs w:val="18"/>
                              </w:rPr>
                            </w:pPr>
                            <w:r>
                              <w:rPr>
                                <w:rFonts w:hint="eastAsia"/>
                                <w:b/>
                                <w:bCs/>
                                <w:sz w:val="18"/>
                                <w:szCs w:val="18"/>
                              </w:rPr>
                              <w:t>核实与支付</w:t>
                            </w:r>
                          </w:p>
                          <w:p>
                            <w:pPr>
                              <w:rPr>
                                <w:b/>
                                <w:bCs/>
                                <w:sz w:val="18"/>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8pt;margin-top:737pt;height:47.05pt;width:111pt;z-index:252062720;mso-width-relative:page;mso-height-relative:page;" filled="f" stroked="f" coordsize="21600,21600" o:gfxdata="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CYDi11wAAAA0BAAAPAAAAAAAAAAEAIAAAACIAAABkcnMvZG93&#10;bnJldi54bWxQSwECFAAUAAAACACHTuJAf2CUjQECAADXAwAADgAAAAAAAAABACAAAAAmAQAAZHJz&#10;L2Uyb0RvYy54bWxQSwUGAAAAAAYABgBZAQAAmQUAAAAA&#10;">
                <v:fill on="f" focussize="0,0"/>
                <v:stroke on="f"/>
                <v:imagedata o:title=""/>
                <o:lock v:ext="edit" aspectratio="f"/>
                <v:textbox>
                  <w:txbxContent>
                    <w:p>
                      <w:pPr>
                        <w:spacing w:line="240" w:lineRule="exact"/>
                        <w:rPr>
                          <w:b/>
                          <w:bCs/>
                          <w:sz w:val="18"/>
                          <w:szCs w:val="18"/>
                        </w:rPr>
                      </w:pPr>
                      <w:r>
                        <w:rPr>
                          <w:rFonts w:hint="eastAsia"/>
                          <w:b/>
                          <w:bCs/>
                          <w:sz w:val="18"/>
                          <w:szCs w:val="18"/>
                        </w:rPr>
                        <w:t>安全文明施工费</w:t>
                      </w:r>
                    </w:p>
                    <w:p>
                      <w:pPr>
                        <w:spacing w:line="240" w:lineRule="exact"/>
                        <w:rPr>
                          <w:b/>
                          <w:bCs/>
                          <w:sz w:val="18"/>
                          <w:szCs w:val="18"/>
                        </w:rPr>
                      </w:pPr>
                      <w:r>
                        <w:rPr>
                          <w:rFonts w:hint="eastAsia"/>
                          <w:b/>
                          <w:bCs/>
                          <w:sz w:val="18"/>
                          <w:szCs w:val="18"/>
                        </w:rPr>
                        <w:t>支付申请的提交、</w:t>
                      </w:r>
                    </w:p>
                    <w:p>
                      <w:pPr>
                        <w:spacing w:line="240" w:lineRule="exact"/>
                        <w:rPr>
                          <w:b/>
                          <w:bCs/>
                          <w:sz w:val="18"/>
                          <w:szCs w:val="18"/>
                        </w:rPr>
                      </w:pPr>
                      <w:r>
                        <w:rPr>
                          <w:rFonts w:hint="eastAsia"/>
                          <w:b/>
                          <w:bCs/>
                          <w:sz w:val="18"/>
                          <w:szCs w:val="18"/>
                        </w:rPr>
                        <w:t>核实与支付</w:t>
                      </w:r>
                    </w:p>
                    <w:p>
                      <w:pPr>
                        <w:rPr>
                          <w:b/>
                          <w:bCs/>
                          <w:sz w:val="18"/>
                          <w:szCs w:val="18"/>
                        </w:rPr>
                      </w:pPr>
                    </w:p>
                  </w:txbxContent>
                </v:textbox>
              </v:shape>
            </w:pict>
          </mc:Fallback>
        </mc:AlternateContent>
      </w:r>
      <w:r>
        <w:rPr>
          <w:rFonts w:hint="eastAsia" w:ascii="宋体" w:hAnsi="宋体" w:cs="宋体"/>
          <w:color w:val="auto"/>
          <w:kern w:val="0"/>
          <w:szCs w:val="21"/>
        </w:rPr>
        <w:t>承包人应在每个支付期结束后的7天内向造价工程师提交由承包人代表签署的支付申请和已完工程款额报告一式四份，详细说明此支付期间自己认为有权得到的款项，包括分包人已完工程款，同时抄送发包人。该支付申请的内容包括：</w:t>
      </w:r>
    </w:p>
    <w:p>
      <w:pPr>
        <w:numPr>
          <w:ilvl w:val="0"/>
          <w:numId w:val="30"/>
        </w:numPr>
        <w:adjustRightInd w:val="0"/>
        <w:snapToGrid w:val="0"/>
        <w:spacing w:line="360" w:lineRule="auto"/>
        <w:ind w:left="1620"/>
        <w:rPr>
          <w:rFonts w:ascii="宋体" w:hAnsi="宋体" w:cs="宋体"/>
          <w:color w:val="auto"/>
          <w:kern w:val="0"/>
          <w:szCs w:val="21"/>
        </w:rPr>
      </w:pPr>
      <w:r>
        <w:rPr>
          <w:rFonts w:hint="eastAsia" w:ascii="宋体" w:hAnsi="宋体" w:cs="宋体"/>
          <w:color w:val="auto"/>
          <w:kern w:val="0"/>
          <w:szCs w:val="21"/>
        </w:rPr>
        <w:t>已完工程款；</w:t>
      </w:r>
    </w:p>
    <w:p>
      <w:pPr>
        <w:numPr>
          <w:ilvl w:val="0"/>
          <w:numId w:val="30"/>
        </w:numPr>
        <w:adjustRightInd w:val="0"/>
        <w:snapToGrid w:val="0"/>
        <w:spacing w:line="360" w:lineRule="auto"/>
        <w:ind w:left="1620"/>
        <w:rPr>
          <w:rFonts w:ascii="宋体" w:hAnsi="宋体" w:cs="宋体"/>
          <w:color w:val="auto"/>
          <w:kern w:val="0"/>
          <w:szCs w:val="21"/>
        </w:rPr>
      </w:pPr>
      <w:r>
        <w:rPr>
          <w:rFonts w:hint="eastAsia" w:ascii="宋体" w:hAnsi="宋体" w:cs="宋体"/>
          <w:color w:val="auto"/>
          <w:kern w:val="0"/>
          <w:szCs w:val="21"/>
        </w:rPr>
        <w:t>已实际支付的工程款；</w:t>
      </w:r>
    </w:p>
    <w:p>
      <w:pPr>
        <w:numPr>
          <w:ilvl w:val="0"/>
          <w:numId w:val="30"/>
        </w:numPr>
        <w:adjustRightInd w:val="0"/>
        <w:snapToGrid w:val="0"/>
        <w:spacing w:line="360" w:lineRule="auto"/>
        <w:ind w:left="1620"/>
        <w:rPr>
          <w:rFonts w:ascii="宋体" w:hAnsi="宋体" w:cs="宋体"/>
          <w:color w:val="auto"/>
          <w:kern w:val="0"/>
          <w:szCs w:val="21"/>
        </w:rPr>
      </w:pPr>
      <w:r>
        <w:rPr>
          <w:rFonts w:hint="eastAsia" w:ascii="宋体" w:hAnsi="宋体" w:cs="宋体"/>
          <w:color w:val="auto"/>
          <w:kern w:val="0"/>
          <w:szCs w:val="21"/>
        </w:rPr>
        <w:t>本期间完成的工程款；</w:t>
      </w:r>
    </w:p>
    <w:p>
      <w:pPr>
        <w:numPr>
          <w:ilvl w:val="0"/>
          <w:numId w:val="30"/>
        </w:numPr>
        <w:adjustRightInd w:val="0"/>
        <w:snapToGrid w:val="0"/>
        <w:spacing w:line="360" w:lineRule="auto"/>
        <w:ind w:left="1620"/>
        <w:rPr>
          <w:rFonts w:ascii="宋体" w:hAnsi="宋体" w:cs="宋体"/>
          <w:color w:val="auto"/>
          <w:kern w:val="0"/>
          <w:szCs w:val="21"/>
        </w:rPr>
      </w:pPr>
      <w:r>
        <w:rPr>
          <w:rFonts w:hint="eastAsia" w:ascii="宋体" w:hAnsi="宋体" w:cs="宋体"/>
          <w:color w:val="auto"/>
          <w:kern w:val="0"/>
          <w:szCs w:val="21"/>
        </w:rPr>
        <w:t>本期间完成的计日工费用；</w:t>
      </w:r>
    </w:p>
    <w:p>
      <w:pPr>
        <w:numPr>
          <w:ilvl w:val="0"/>
          <w:numId w:val="30"/>
        </w:numPr>
        <w:adjustRightInd w:val="0"/>
        <w:snapToGrid w:val="0"/>
        <w:spacing w:line="360" w:lineRule="auto"/>
        <w:ind w:left="1620"/>
        <w:rPr>
          <w:rFonts w:ascii="宋体" w:hAnsi="宋体" w:cs="宋体"/>
          <w:color w:val="auto"/>
          <w:kern w:val="0"/>
          <w:szCs w:val="21"/>
        </w:rPr>
      </w:pPr>
      <w:r>
        <w:rPr>
          <w:rFonts w:hint="eastAsia" w:ascii="宋体" w:hAnsi="宋体" w:cs="宋体"/>
          <w:color w:val="auto"/>
          <w:kern w:val="0"/>
          <w:szCs w:val="21"/>
        </w:rPr>
        <w:t>本期间应支付的暂列金额价款；</w:t>
      </w:r>
    </w:p>
    <w:p>
      <w:pPr>
        <w:numPr>
          <w:ilvl w:val="0"/>
          <w:numId w:val="30"/>
        </w:numPr>
        <w:adjustRightInd w:val="0"/>
        <w:snapToGrid w:val="0"/>
        <w:spacing w:line="360" w:lineRule="auto"/>
        <w:ind w:left="1620"/>
        <w:rPr>
          <w:rFonts w:ascii="宋体" w:hAnsi="宋体" w:cs="宋体"/>
          <w:color w:val="auto"/>
          <w:kern w:val="0"/>
          <w:szCs w:val="21"/>
        </w:rPr>
      </w:pPr>
      <w:r>
        <w:rPr>
          <w:rFonts w:hint="eastAsia" w:ascii="宋体" w:hAnsi="宋体" w:cs="宋体"/>
          <w:color w:val="auto"/>
          <w:kern w:val="0"/>
          <w:szCs w:val="21"/>
        </w:rPr>
        <w:t>根据第66条规定本期间应扣除的误期赔偿费；</w:t>
      </w:r>
    </w:p>
    <w:p>
      <w:pPr>
        <w:numPr>
          <w:ilvl w:val="0"/>
          <w:numId w:val="30"/>
        </w:numPr>
        <w:adjustRightInd w:val="0"/>
        <w:snapToGrid w:val="0"/>
        <w:spacing w:line="360" w:lineRule="auto"/>
        <w:ind w:left="1620"/>
        <w:rPr>
          <w:rFonts w:ascii="宋体" w:hAnsi="宋体" w:cs="宋体"/>
          <w:color w:val="auto"/>
          <w:kern w:val="0"/>
          <w:szCs w:val="21"/>
        </w:rPr>
      </w:pPr>
      <w:r>
        <w:rPr>
          <w:rFonts w:hint="eastAsia" w:ascii="宋体" w:hAnsi="宋体" w:cs="宋体"/>
          <w:color w:val="auto"/>
          <w:kern w:val="0"/>
          <w:szCs w:val="21"/>
        </w:rPr>
        <w:t>根据第68条至第76条规定本期间应支付的调整工程款；</w:t>
      </w:r>
    </w:p>
    <w:p>
      <w:pPr>
        <w:numPr>
          <w:ilvl w:val="0"/>
          <w:numId w:val="30"/>
        </w:numPr>
        <w:adjustRightInd w:val="0"/>
        <w:snapToGrid w:val="0"/>
        <w:spacing w:line="360" w:lineRule="auto"/>
        <w:ind w:left="1620"/>
        <w:rPr>
          <w:rFonts w:ascii="宋体" w:hAnsi="宋体" w:cs="宋体"/>
          <w:color w:val="auto"/>
          <w:kern w:val="0"/>
          <w:szCs w:val="21"/>
        </w:rPr>
      </w:pPr>
      <w:r>
        <w:rPr>
          <w:rFonts w:hint="eastAsia" w:ascii="宋体" w:hAnsi="宋体" w:cs="宋体"/>
          <w:color w:val="auto"/>
          <w:kern w:val="0"/>
          <w:szCs w:val="21"/>
        </w:rPr>
        <w:t>根据第79条本期间应扣回的预付款；</w:t>
      </w:r>
    </w:p>
    <w:p>
      <w:pPr>
        <w:numPr>
          <w:ilvl w:val="0"/>
          <w:numId w:val="30"/>
        </w:numPr>
        <w:tabs>
          <w:tab w:val="left" w:pos="2160"/>
        </w:tabs>
        <w:adjustRightInd w:val="0"/>
        <w:snapToGrid w:val="0"/>
        <w:spacing w:line="360" w:lineRule="auto"/>
        <w:ind w:left="1620"/>
        <w:rPr>
          <w:rFonts w:ascii="宋体" w:hAnsi="宋体" w:cs="宋体"/>
          <w:color w:val="auto"/>
          <w:kern w:val="0"/>
          <w:szCs w:val="21"/>
        </w:rPr>
      </w:pPr>
      <w:r>
        <w:rPr>
          <w:rFonts w:hint="eastAsia" w:ascii="宋体" w:hAnsi="宋体" w:cs="宋体"/>
          <w:color w:val="auto"/>
          <w:kern w:val="0"/>
          <w:szCs w:val="21"/>
        </w:rPr>
        <w:t>根据第80条规定本期间应支付或扣回的安全文明施工费；</w:t>
      </w:r>
    </w:p>
    <w:p>
      <w:pPr>
        <w:numPr>
          <w:ilvl w:val="0"/>
          <w:numId w:val="30"/>
        </w:numPr>
        <w:tabs>
          <w:tab w:val="left" w:pos="2160"/>
        </w:tabs>
        <w:adjustRightInd w:val="0"/>
        <w:snapToGrid w:val="0"/>
        <w:spacing w:line="360" w:lineRule="auto"/>
        <w:ind w:left="1620"/>
        <w:rPr>
          <w:rFonts w:ascii="宋体" w:hAnsi="宋体" w:cs="宋体"/>
          <w:color w:val="auto"/>
          <w:kern w:val="0"/>
          <w:szCs w:val="21"/>
        </w:rPr>
      </w:pPr>
      <w:r>
        <w:rPr>
          <w:rFonts w:hint="eastAsia" w:ascii="宋体" w:hAnsi="宋体" w:cs="宋体"/>
          <w:color w:val="auto"/>
          <w:kern w:val="0"/>
          <w:szCs w:val="21"/>
        </w:rPr>
        <w:t>根据第84条本期间应扣留的质量保证金；</w:t>
      </w:r>
    </w:p>
    <w:p>
      <w:pPr>
        <w:numPr>
          <w:ilvl w:val="0"/>
          <w:numId w:val="30"/>
        </w:numPr>
        <w:tabs>
          <w:tab w:val="left" w:pos="2160"/>
        </w:tabs>
        <w:adjustRightInd w:val="0"/>
        <w:snapToGrid w:val="0"/>
        <w:spacing w:line="360" w:lineRule="auto"/>
        <w:ind w:left="1620"/>
        <w:rPr>
          <w:rFonts w:ascii="宋体" w:hAnsi="宋体" w:cs="宋体"/>
          <w:color w:val="auto"/>
          <w:kern w:val="0"/>
          <w:szCs w:val="21"/>
        </w:rPr>
      </w:pPr>
      <w:r>
        <w:rPr>
          <w:rFonts w:hint="eastAsia" w:ascii="宋体" w:hAnsi="宋体" w:cs="宋体"/>
          <w:color w:val="auto"/>
          <w:kern w:val="0"/>
          <w:szCs w:val="21"/>
        </w:rPr>
        <w:t>根据合同约定，本期间应支付或扣留（回）的其他款项；</w:t>
      </w:r>
    </w:p>
    <w:p>
      <w:pPr>
        <w:numPr>
          <w:ilvl w:val="0"/>
          <w:numId w:val="30"/>
        </w:numPr>
        <w:tabs>
          <w:tab w:val="left" w:pos="2160"/>
        </w:tabs>
        <w:adjustRightInd w:val="0"/>
        <w:snapToGrid w:val="0"/>
        <w:spacing w:line="360" w:lineRule="auto"/>
        <w:ind w:left="1620"/>
        <w:rPr>
          <w:rFonts w:ascii="宋体" w:hAnsi="宋体" w:cs="宋体"/>
          <w:color w:val="auto"/>
          <w:kern w:val="0"/>
          <w:szCs w:val="21"/>
        </w:rPr>
      </w:pPr>
      <w:r>
        <w:rPr>
          <w:rFonts w:hint="eastAsia" w:ascii="宋体" w:hAnsi="宋体" w:cs="宋体"/>
          <w:color w:val="auto"/>
          <w:kern w:val="0"/>
          <w:szCs w:val="21"/>
        </w:rPr>
        <w:t>本期间应支付的工程款。</w:t>
      </w:r>
    </w:p>
    <w:p>
      <w:pPr>
        <w:tabs>
          <w:tab w:val="left" w:pos="1320"/>
        </w:tabs>
        <w:adjustRightInd w:val="0"/>
        <w:snapToGrid w:val="0"/>
        <w:spacing w:line="360" w:lineRule="auto"/>
        <w:rPr>
          <w:rFonts w:ascii="宋体" w:hAnsi="宋体" w:cs="宋体"/>
          <w:b/>
          <w:color w:val="auto"/>
          <w:kern w:val="0"/>
          <w:szCs w:val="21"/>
        </w:rPr>
      </w:pPr>
      <w:r>
        <w:rPr>
          <w:rFonts w:hint="eastAsia" w:ascii="宋体" w:hAnsi="宋体" w:cs="宋体"/>
          <w:b/>
          <w:color w:val="auto"/>
          <w:kern w:val="0"/>
          <w:szCs w:val="21"/>
        </w:rPr>
        <w:t xml:space="preserve">81.2 </w:t>
      </w:r>
      <w:r>
        <w:rPr>
          <w:rFonts w:hint="eastAsia" w:ascii="宋体" w:hAnsi="宋体" w:cs="宋体"/>
          <w:b/>
          <w:color w:val="auto"/>
          <w:kern w:val="0"/>
          <w:szCs w:val="21"/>
          <w:u w:val="dotted"/>
        </w:rPr>
        <w:t xml:space="preserve">                                                                                                         </w:t>
      </w:r>
    </w:p>
    <w:p>
      <w:pPr>
        <w:adjustRightInd w:val="0"/>
        <w:snapToGrid w:val="0"/>
        <w:spacing w:line="360" w:lineRule="auto"/>
        <w:ind w:left="1619" w:leftChars="771"/>
        <w:rPr>
          <w:rFonts w:ascii="宋体" w:hAnsi="宋体" w:cs="宋体"/>
          <w:color w:val="auto"/>
          <w:kern w:val="0"/>
          <w:szCs w:val="21"/>
        </w:rPr>
      </w:pPr>
      <w:r>
        <w:rPr>
          <w:rFonts w:ascii="宋体" w:hAnsi="宋体" w:cs="宋体"/>
          <w:color w:val="auto"/>
          <w:kern w:val="0"/>
          <w:szCs w:val="21"/>
        </w:rPr>
        <mc:AlternateContent>
          <mc:Choice Requires="wps">
            <w:drawing>
              <wp:anchor distT="0" distB="0" distL="114300" distR="114300" simplePos="0" relativeHeight="251847680" behindDoc="0" locked="0" layoutInCell="1" allowOverlap="1">
                <wp:simplePos x="0" y="0"/>
                <wp:positionH relativeFrom="column">
                  <wp:posOffset>-114300</wp:posOffset>
                </wp:positionH>
                <wp:positionV relativeFrom="paragraph">
                  <wp:posOffset>0</wp:posOffset>
                </wp:positionV>
                <wp:extent cx="914400" cy="670560"/>
                <wp:effectExtent l="0" t="0" r="0" b="0"/>
                <wp:wrapNone/>
                <wp:docPr id="59" name="文本框 59"/>
                <wp:cNvGraphicFramePr/>
                <a:graphic xmlns:a="http://schemas.openxmlformats.org/drawingml/2006/main">
                  <a:graphicData uri="http://schemas.microsoft.com/office/word/2010/wordprocessingShape">
                    <wps:wsp>
                      <wps:cNvSpPr txBox="1">
                        <a:spLocks noChangeArrowheads="1"/>
                      </wps:cNvSpPr>
                      <wps:spPr bwMode="auto">
                        <a:xfrm>
                          <a:off x="0" y="0"/>
                          <a:ext cx="914400" cy="670560"/>
                        </a:xfrm>
                        <a:prstGeom prst="rect">
                          <a:avLst/>
                        </a:prstGeom>
                        <a:noFill/>
                        <a:ln>
                          <a:noFill/>
                        </a:ln>
                        <a:effectLst/>
                      </wps:spPr>
                      <wps:txbx>
                        <w:txbxContent>
                          <w:p>
                            <w:pPr>
                              <w:rPr>
                                <w:rFonts w:ascii="楷体_GB2312" w:hAnsi="宋体"/>
                                <w:b/>
                                <w:bCs/>
                                <w:sz w:val="18"/>
                                <w:szCs w:val="18"/>
                              </w:rPr>
                            </w:pPr>
                            <w:r>
                              <w:rPr>
                                <w:rFonts w:hint="eastAsia" w:ascii="楷体_GB2312" w:hAnsi="宋体"/>
                                <w:b/>
                                <w:bCs/>
                                <w:sz w:val="18"/>
                                <w:szCs w:val="18"/>
                              </w:rPr>
                              <w:t>签发期中支付证书</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52.8pt;width:72pt;z-index:251847680;mso-width-relative:page;mso-height-relative:page;" filled="f" stroked="f" coordsize="21600,21600" o:gfxdata="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IdhSwnUAAAACAEAAA8AAAAAAAAAAQAgAAAAIgAAAGRycy9kb3ducmV2&#10;LnhtbFBLAQIUABQAAAAIAIdO4kCupVwQAAIAANYDAAAOAAAAAAAAAAEAIAAAACMBAABkcnMvZTJv&#10;RG9jLnhtbFBLBQYAAAAABgAGAFkBAACVBQAAAAA=&#10;">
                <v:fill on="f" focussize="0,0"/>
                <v:stroke on="f"/>
                <v:imagedata o:title=""/>
                <o:lock v:ext="edit" aspectratio="f"/>
                <v:textbox>
                  <w:txbxContent>
                    <w:p>
                      <w:pPr>
                        <w:rPr>
                          <w:rFonts w:ascii="楷体_GB2312" w:hAnsi="宋体"/>
                          <w:b/>
                          <w:bCs/>
                          <w:sz w:val="18"/>
                          <w:szCs w:val="18"/>
                        </w:rPr>
                      </w:pPr>
                      <w:r>
                        <w:rPr>
                          <w:rFonts w:hint="eastAsia" w:ascii="楷体_GB2312" w:hAnsi="宋体"/>
                          <w:b/>
                          <w:bCs/>
                          <w:sz w:val="18"/>
                          <w:szCs w:val="18"/>
                        </w:rPr>
                        <w:t>签发期中支付证书</w:t>
                      </w:r>
                    </w:p>
                  </w:txbxContent>
                </v:textbox>
              </v:shape>
            </w:pict>
          </mc:Fallback>
        </mc:AlternateContent>
      </w:r>
      <w:r>
        <w:rPr>
          <w:rFonts w:hint="eastAsia" w:ascii="宋体" w:hAnsi="宋体" w:cs="宋体"/>
          <w:color w:val="auto"/>
          <w:kern w:val="0"/>
          <w:szCs w:val="21"/>
        </w:rPr>
        <w:t>造价工程师在收到上述资料后，应按照第62条的规定进行计量，并根据计量结果和合同约定对资料内容予以核实。在收到上述资料后的28天内报发包人确认后向发包人签发期中支付证书，同时抄送承包人。</w:t>
      </w:r>
      <w:r>
        <w:rPr>
          <w:rFonts w:hint="eastAsia" w:ascii="宋体" w:hAnsi="宋体" w:cs="宋体"/>
          <w:color w:val="auto"/>
          <w:kern w:val="0"/>
          <w:szCs w:val="21"/>
        </w:rPr>
        <w:br w:type="textWrapping"/>
      </w:r>
      <w:r>
        <w:rPr>
          <w:rFonts w:hint="eastAsia" w:ascii="宋体" w:hAnsi="宋体" w:cs="宋体"/>
          <w:color w:val="auto"/>
          <w:kern w:val="0"/>
          <w:szCs w:val="21"/>
        </w:rPr>
        <w:t>如果该支付期间应支付金额少于专用条款约定的期中支付证书的最低限额时，造价工程师不必按照本款开具任何支付证书，但应通知发包人和承包人。上述款额转期结算，直到应支付的款额累计达到专用条款约定的期中支付证书的最低限额为止。</w:t>
      </w:r>
    </w:p>
    <w:p>
      <w:pPr>
        <w:adjustRightInd w:val="0"/>
        <w:snapToGrid w:val="0"/>
        <w:spacing w:line="360" w:lineRule="auto"/>
        <w:ind w:left="1619" w:leftChars="771"/>
        <w:rPr>
          <w:rFonts w:ascii="宋体" w:hAnsi="宋体" w:cs="宋体"/>
          <w:color w:val="auto"/>
          <w:kern w:val="0"/>
          <w:szCs w:val="21"/>
        </w:rPr>
      </w:pPr>
      <w:r>
        <w:rPr>
          <w:rFonts w:hint="eastAsia" w:ascii="宋体" w:hAnsi="宋体" w:cs="宋体"/>
          <w:color w:val="auto"/>
          <w:kern w:val="0"/>
          <w:szCs w:val="21"/>
        </w:rPr>
        <w:t>造价工程师签发期中支付证书，不应视为发包人已同意、批准或接受了承包人完成该部分工作。</w:t>
      </w:r>
    </w:p>
    <w:p>
      <w:pPr>
        <w:tabs>
          <w:tab w:val="left" w:pos="1320"/>
        </w:tabs>
        <w:adjustRightInd w:val="0"/>
        <w:snapToGrid w:val="0"/>
        <w:spacing w:line="360" w:lineRule="auto"/>
        <w:rPr>
          <w:rFonts w:ascii="宋体" w:hAnsi="宋体" w:cs="宋体"/>
          <w:b/>
          <w:color w:val="auto"/>
          <w:kern w:val="0"/>
          <w:szCs w:val="21"/>
        </w:rPr>
      </w:pPr>
      <w:r>
        <w:rPr>
          <w:rFonts w:hint="eastAsia" w:ascii="宋体" w:hAnsi="宋体" w:cs="宋体"/>
          <w:b/>
          <w:color w:val="auto"/>
          <w:kern w:val="0"/>
          <w:szCs w:val="21"/>
        </w:rPr>
        <w:t xml:space="preserve">81.3  </w:t>
      </w:r>
      <w:r>
        <w:rPr>
          <w:rFonts w:hint="eastAsia" w:ascii="宋体" w:hAnsi="宋体" w:cs="宋体"/>
          <w:b/>
          <w:color w:val="auto"/>
          <w:kern w:val="0"/>
          <w:szCs w:val="21"/>
          <w:u w:val="dotted"/>
        </w:rPr>
        <w:t xml:space="preserve">                                                                                                        </w:t>
      </w:r>
    </w:p>
    <w:p>
      <w:pPr>
        <w:adjustRightInd w:val="0"/>
        <w:snapToGrid w:val="0"/>
        <w:spacing w:line="360" w:lineRule="auto"/>
        <w:ind w:left="1619" w:leftChars="771"/>
        <w:rPr>
          <w:rFonts w:ascii="宋体" w:hAnsi="宋体" w:cs="宋体"/>
          <w:b/>
          <w:color w:val="auto"/>
          <w:kern w:val="0"/>
          <w:szCs w:val="21"/>
        </w:rPr>
      </w:pPr>
      <w:r>
        <w:rPr>
          <w:rFonts w:ascii="宋体" w:hAnsi="宋体" w:cs="宋体"/>
          <w:color w:val="auto"/>
          <w:kern w:val="0"/>
          <w:szCs w:val="21"/>
        </w:rPr>
        <mc:AlternateContent>
          <mc:Choice Requires="wps">
            <w:drawing>
              <wp:anchor distT="0" distB="0" distL="114300" distR="114300" simplePos="0" relativeHeight="251848704" behindDoc="0" locked="0" layoutInCell="1" allowOverlap="1">
                <wp:simplePos x="0" y="0"/>
                <wp:positionH relativeFrom="column">
                  <wp:posOffset>-114300</wp:posOffset>
                </wp:positionH>
                <wp:positionV relativeFrom="paragraph">
                  <wp:posOffset>6350</wp:posOffset>
                </wp:positionV>
                <wp:extent cx="1028700" cy="267970"/>
                <wp:effectExtent l="0" t="0" r="0" b="0"/>
                <wp:wrapNone/>
                <wp:docPr id="58" name="文本框 58"/>
                <wp:cNvGraphicFramePr/>
                <a:graphic xmlns:a="http://schemas.openxmlformats.org/drawingml/2006/main">
                  <a:graphicData uri="http://schemas.microsoft.com/office/word/2010/wordprocessingShape">
                    <wps:wsp>
                      <wps:cNvSpPr txBox="1">
                        <a:spLocks noChangeArrowheads="1"/>
                      </wps:cNvSpPr>
                      <wps:spPr bwMode="auto">
                        <a:xfrm>
                          <a:off x="0" y="0"/>
                          <a:ext cx="1028700" cy="267970"/>
                        </a:xfrm>
                        <a:prstGeom prst="rect">
                          <a:avLst/>
                        </a:prstGeom>
                        <a:noFill/>
                        <a:ln>
                          <a:noFill/>
                        </a:ln>
                        <a:effectLst/>
                      </wps:spPr>
                      <wps:txbx>
                        <w:txbxContent>
                          <w:p>
                            <w:pPr>
                              <w:rPr>
                                <w:rFonts w:ascii="楷体_GB2312" w:hAnsi="宋体"/>
                                <w:b/>
                                <w:bCs/>
                                <w:sz w:val="18"/>
                                <w:szCs w:val="18"/>
                              </w:rPr>
                            </w:pPr>
                            <w:r>
                              <w:rPr>
                                <w:rFonts w:hint="eastAsia" w:ascii="楷体_GB2312" w:hAnsi="宋体"/>
                                <w:b/>
                                <w:bCs/>
                                <w:sz w:val="18"/>
                                <w:szCs w:val="18"/>
                              </w:rPr>
                              <w:t>进度款支付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5pt;height:21.1pt;width:81pt;z-index:251848704;mso-width-relative:page;mso-height-relative:page;" filled="f" stroked="f" coordsize="21600,21600" o:gfxdata="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DGrMutQAAAAIAQAADwAAAAAAAAABACAAAAAiAAAAZHJzL2Rvd25y&#10;ZXYueG1sUEsBAhQAFAAAAAgAh07iQCOz19ACAgAA1wMAAA4AAAAAAAAAAQAgAAAAIwEAAGRycy9l&#10;Mm9Eb2MueG1sUEsFBgAAAAAGAAYAWQEAAJcFAAAAAA==&#10;">
                <v:fill on="f" focussize="0,0"/>
                <v:stroke on="f"/>
                <v:imagedata o:title=""/>
                <o:lock v:ext="edit" aspectratio="f"/>
                <v:textbox>
                  <w:txbxContent>
                    <w:p>
                      <w:pPr>
                        <w:rPr>
                          <w:rFonts w:ascii="楷体_GB2312" w:hAnsi="宋体"/>
                          <w:b/>
                          <w:bCs/>
                          <w:sz w:val="18"/>
                          <w:szCs w:val="18"/>
                        </w:rPr>
                      </w:pPr>
                      <w:r>
                        <w:rPr>
                          <w:rFonts w:hint="eastAsia" w:ascii="楷体_GB2312" w:hAnsi="宋体"/>
                          <w:b/>
                          <w:bCs/>
                          <w:sz w:val="18"/>
                          <w:szCs w:val="18"/>
                        </w:rPr>
                        <w:t>进度款支付</w:t>
                      </w:r>
                    </w:p>
                  </w:txbxContent>
                </v:textbox>
              </v:shape>
            </w:pict>
          </mc:Fallback>
        </mc:AlternateContent>
      </w:r>
      <w:r>
        <w:rPr>
          <w:rFonts w:hint="eastAsia" w:ascii="宋体" w:hAnsi="宋体" w:cs="宋体"/>
          <w:color w:val="auto"/>
          <w:kern w:val="0"/>
          <w:szCs w:val="21"/>
        </w:rPr>
        <w:t>发包人应在造价工程师签发期中支付证书后的14天内，按照期中支付证书列明的金额向承包人支付进度款，并通知造价工程师。</w:t>
      </w:r>
    </w:p>
    <w:p>
      <w:pPr>
        <w:tabs>
          <w:tab w:val="left" w:pos="1320"/>
        </w:tabs>
        <w:adjustRightInd w:val="0"/>
        <w:snapToGrid w:val="0"/>
        <w:spacing w:line="360" w:lineRule="auto"/>
        <w:rPr>
          <w:rFonts w:ascii="宋体" w:hAnsi="宋体" w:cs="宋体"/>
          <w:color w:val="auto"/>
          <w:kern w:val="0"/>
          <w:szCs w:val="21"/>
        </w:rPr>
      </w:pPr>
      <w:r>
        <w:rPr>
          <w:rFonts w:hint="eastAsia" w:ascii="宋体" w:hAnsi="宋体" w:cs="宋体"/>
          <w:b/>
          <w:color w:val="auto"/>
          <w:kern w:val="0"/>
          <w:szCs w:val="21"/>
        </w:rPr>
        <w:t>81.4</w:t>
      </w:r>
      <w:r>
        <w:rPr>
          <w:rFonts w:hint="eastAsia" w:ascii="宋体" w:hAnsi="宋体" w:cs="宋体"/>
          <w:color w:val="auto"/>
          <w:kern w:val="0"/>
          <w:szCs w:val="21"/>
        </w:rPr>
        <w:t xml:space="preserve">  </w:t>
      </w:r>
      <w:r>
        <w:rPr>
          <w:rFonts w:hint="eastAsia" w:ascii="宋体" w:hAnsi="宋体" w:cs="宋体"/>
          <w:color w:val="auto"/>
          <w:kern w:val="0"/>
          <w:szCs w:val="21"/>
          <w:u w:val="dotted"/>
        </w:rPr>
        <w:t xml:space="preserve">                                                                                                        </w:t>
      </w:r>
    </w:p>
    <w:p>
      <w:pPr>
        <w:adjustRightInd w:val="0"/>
        <w:snapToGrid w:val="0"/>
        <w:spacing w:line="360" w:lineRule="auto"/>
        <w:ind w:left="1619" w:leftChars="771"/>
        <w:rPr>
          <w:rFonts w:ascii="宋体" w:hAnsi="宋体" w:cs="宋体"/>
          <w:color w:val="auto"/>
          <w:kern w:val="0"/>
          <w:szCs w:val="21"/>
        </w:rPr>
      </w:pPr>
      <w:r>
        <w:rPr>
          <w:rFonts w:ascii="宋体" w:hAnsi="宋体" w:cs="宋体"/>
          <w:color w:val="auto"/>
          <w:kern w:val="0"/>
          <w:szCs w:val="21"/>
        </w:rPr>
        <mc:AlternateContent>
          <mc:Choice Requires="wps">
            <w:drawing>
              <wp:anchor distT="0" distB="0" distL="114300" distR="114300" simplePos="0" relativeHeight="251849728" behindDoc="0" locked="0" layoutInCell="1" allowOverlap="1">
                <wp:simplePos x="0" y="0"/>
                <wp:positionH relativeFrom="column">
                  <wp:posOffset>-114300</wp:posOffset>
                </wp:positionH>
                <wp:positionV relativeFrom="paragraph">
                  <wp:posOffset>8255</wp:posOffset>
                </wp:positionV>
                <wp:extent cx="914400" cy="647700"/>
                <wp:effectExtent l="0" t="0" r="0" b="0"/>
                <wp:wrapNone/>
                <wp:docPr id="57" name="文本框 57"/>
                <wp:cNvGraphicFramePr/>
                <a:graphic xmlns:a="http://schemas.openxmlformats.org/drawingml/2006/main">
                  <a:graphicData uri="http://schemas.microsoft.com/office/word/2010/wordprocessingShape">
                    <wps:wsp>
                      <wps:cNvSpPr txBox="1">
                        <a:spLocks noChangeArrowheads="1"/>
                      </wps:cNvSpPr>
                      <wps:spPr bwMode="auto">
                        <a:xfrm>
                          <a:off x="0" y="0"/>
                          <a:ext cx="914400" cy="647700"/>
                        </a:xfrm>
                        <a:prstGeom prst="rect">
                          <a:avLst/>
                        </a:prstGeom>
                        <a:noFill/>
                        <a:ln>
                          <a:noFill/>
                        </a:ln>
                        <a:effectLst/>
                      </wps:spPr>
                      <wps:txbx>
                        <w:txbxContent>
                          <w:p>
                            <w:pPr>
                              <w:jc w:val="left"/>
                              <w:rPr>
                                <w:rFonts w:ascii="楷体_GB2312" w:hAnsi="宋体"/>
                                <w:b/>
                                <w:bCs/>
                                <w:sz w:val="18"/>
                                <w:szCs w:val="18"/>
                              </w:rPr>
                            </w:pPr>
                            <w:r>
                              <w:rPr>
                                <w:rFonts w:hint="eastAsia" w:ascii="楷体_GB2312" w:hAnsi="宋体"/>
                                <w:b/>
                                <w:bCs/>
                                <w:sz w:val="18"/>
                                <w:szCs w:val="18"/>
                              </w:rPr>
                              <w:t>签发期中支付证书的限制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65pt;height:51pt;width:72pt;z-index:251849728;mso-width-relative:page;mso-height-relative:page;" filled="f" stroked="f" coordsize="21600,21600" o:gfxdata="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Xfdny1QAAAAkBAAAPAAAAAAAAAAEAIAAAACIAAABkcnMvZG93bnJldi54&#10;bWxQSwECFAAUAAAACACHTuJAmf33H/0BAADWAwAADgAAAAAAAAABACAAAAAkAQAAZHJzL2Uyb0Rv&#10;Yy54bWxQSwUGAAAAAAYABgBZAQAAkwUAAAAA&#10;">
                <v:fill on="f" focussize="0,0"/>
                <v:stroke on="f"/>
                <v:imagedata o:title=""/>
                <o:lock v:ext="edit" aspectratio="f"/>
                <v:textbox>
                  <w:txbxContent>
                    <w:p>
                      <w:pPr>
                        <w:jc w:val="left"/>
                        <w:rPr>
                          <w:rFonts w:ascii="楷体_GB2312" w:hAnsi="宋体"/>
                          <w:b/>
                          <w:bCs/>
                          <w:sz w:val="18"/>
                          <w:szCs w:val="18"/>
                        </w:rPr>
                      </w:pPr>
                      <w:r>
                        <w:rPr>
                          <w:rFonts w:hint="eastAsia" w:ascii="楷体_GB2312" w:hAnsi="宋体"/>
                          <w:b/>
                          <w:bCs/>
                          <w:sz w:val="18"/>
                          <w:szCs w:val="18"/>
                        </w:rPr>
                        <w:t>签发期中支付证书的限制</w:t>
                      </w:r>
                    </w:p>
                  </w:txbxContent>
                </v:textbox>
              </v:shape>
            </w:pict>
          </mc:Fallback>
        </mc:AlternateContent>
      </w:r>
      <w:r>
        <w:rPr>
          <w:rFonts w:hint="eastAsia" w:ascii="宋体" w:hAnsi="宋体" w:cs="宋体"/>
          <w:color w:val="auto"/>
          <w:kern w:val="0"/>
          <w:szCs w:val="21"/>
        </w:rPr>
        <w:t>如果造价工程师未在第81.2款规定的期限内签发期中支付证书的，则视为承包人提交的支付申请已被认可，承包人应及时向发包人发出要求支付的通知。发包人应在收到通知后的14天内，按照承包人支付申请列明的金额向承包人支付进度款。</w:t>
      </w:r>
    </w:p>
    <w:p>
      <w:pPr>
        <w:tabs>
          <w:tab w:val="left" w:pos="1320"/>
        </w:tabs>
        <w:adjustRightInd w:val="0"/>
        <w:snapToGrid w:val="0"/>
        <w:spacing w:line="360" w:lineRule="auto"/>
        <w:rPr>
          <w:rFonts w:ascii="宋体" w:hAnsi="宋体" w:cs="宋体"/>
          <w:b/>
          <w:color w:val="auto"/>
          <w:kern w:val="0"/>
          <w:szCs w:val="21"/>
        </w:rPr>
      </w:pPr>
      <w:r>
        <w:rPr>
          <w:rFonts w:hint="eastAsia" w:ascii="宋体" w:hAnsi="宋体" w:cs="宋体"/>
          <w:b/>
          <w:color w:val="auto"/>
          <w:kern w:val="0"/>
          <w:szCs w:val="21"/>
        </w:rPr>
        <w:t xml:space="preserve">81.5  </w:t>
      </w:r>
      <w:r>
        <w:rPr>
          <w:rFonts w:hint="eastAsia" w:ascii="宋体" w:hAnsi="宋体" w:cs="宋体"/>
          <w:b/>
          <w:color w:val="auto"/>
          <w:kern w:val="0"/>
          <w:szCs w:val="21"/>
          <w:u w:val="dotted"/>
        </w:rPr>
        <w:t xml:space="preserve">                                                                                                        </w:t>
      </w:r>
    </w:p>
    <w:p>
      <w:pPr>
        <w:adjustRightInd w:val="0"/>
        <w:snapToGrid w:val="0"/>
        <w:spacing w:line="360" w:lineRule="auto"/>
        <w:ind w:left="1619" w:leftChars="771"/>
        <w:rPr>
          <w:rFonts w:ascii="宋体" w:hAnsi="宋体" w:cs="宋体"/>
          <w:color w:val="auto"/>
          <w:szCs w:val="21"/>
        </w:rPr>
      </w:pPr>
      <w:r>
        <w:rPr>
          <w:rFonts w:ascii="宋体" w:hAnsi="宋体" w:cs="宋体"/>
          <w:color w:val="auto"/>
          <w:szCs w:val="21"/>
        </w:rPr>
        <mc:AlternateContent>
          <mc:Choice Requires="wps">
            <w:drawing>
              <wp:anchor distT="0" distB="0" distL="114300" distR="114300" simplePos="0" relativeHeight="251850752" behindDoc="0" locked="0" layoutInCell="1" allowOverlap="1">
                <wp:simplePos x="0" y="0"/>
                <wp:positionH relativeFrom="column">
                  <wp:posOffset>-114300</wp:posOffset>
                </wp:positionH>
                <wp:positionV relativeFrom="paragraph">
                  <wp:posOffset>12065</wp:posOffset>
                </wp:positionV>
                <wp:extent cx="914400" cy="647065"/>
                <wp:effectExtent l="0" t="0" r="0" b="0"/>
                <wp:wrapNone/>
                <wp:docPr id="56" name="文本框 56"/>
                <wp:cNvGraphicFramePr/>
                <a:graphic xmlns:a="http://schemas.openxmlformats.org/drawingml/2006/main">
                  <a:graphicData uri="http://schemas.microsoft.com/office/word/2010/wordprocessingShape">
                    <wps:wsp>
                      <wps:cNvSpPr txBox="1">
                        <a:spLocks noChangeArrowheads="1"/>
                      </wps:cNvSpPr>
                      <wps:spPr bwMode="auto">
                        <a:xfrm>
                          <a:off x="0" y="0"/>
                          <a:ext cx="914400" cy="647065"/>
                        </a:xfrm>
                        <a:prstGeom prst="rect">
                          <a:avLst/>
                        </a:prstGeom>
                        <a:noFill/>
                        <a:ln>
                          <a:noFill/>
                        </a:ln>
                        <a:effectLst/>
                      </wps:spPr>
                      <wps:txbx>
                        <w:txbxContent>
                          <w:p>
                            <w:pPr>
                              <w:jc w:val="left"/>
                              <w:rPr>
                                <w:rFonts w:ascii="楷体_GB2312" w:hAnsi="宋体"/>
                                <w:b/>
                                <w:bCs/>
                                <w:sz w:val="18"/>
                                <w:szCs w:val="18"/>
                              </w:rPr>
                            </w:pPr>
                            <w:r>
                              <w:rPr>
                                <w:rFonts w:hint="eastAsia" w:ascii="楷体_GB2312" w:hAnsi="宋体"/>
                                <w:b/>
                                <w:bCs/>
                                <w:sz w:val="18"/>
                                <w:szCs w:val="18"/>
                              </w:rPr>
                              <w:t>进度款支付的限制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95pt;height:50.95pt;width:72pt;z-index:251850752;mso-width-relative:page;mso-height-relative:page;" filled="f" stroked="f" coordsize="21600,21600" o:gfxdata="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DpjGV7VAAAACQEAAA8AAAAAAAAAAQAgAAAAIgAAAGRycy9kb3ducmV2&#10;LnhtbFBLAQIUABQAAAAIAIdO4kDu6p4s/wEAANYDAAAOAAAAAAAAAAEAIAAAACQBAABkcnMvZTJv&#10;RG9jLnhtbFBLBQYAAAAABgAGAFkBAACVBQAAAAA=&#10;">
                <v:fill on="f" focussize="0,0"/>
                <v:stroke on="f"/>
                <v:imagedata o:title=""/>
                <o:lock v:ext="edit" aspectratio="f"/>
                <v:textbox>
                  <w:txbxContent>
                    <w:p>
                      <w:pPr>
                        <w:jc w:val="left"/>
                        <w:rPr>
                          <w:rFonts w:ascii="楷体_GB2312" w:hAnsi="宋体"/>
                          <w:b/>
                          <w:bCs/>
                          <w:sz w:val="18"/>
                          <w:szCs w:val="18"/>
                        </w:rPr>
                      </w:pPr>
                      <w:r>
                        <w:rPr>
                          <w:rFonts w:hint="eastAsia" w:ascii="楷体_GB2312" w:hAnsi="宋体"/>
                          <w:b/>
                          <w:bCs/>
                          <w:sz w:val="18"/>
                          <w:szCs w:val="18"/>
                        </w:rPr>
                        <w:t>进度款支付的限制</w:t>
                      </w:r>
                    </w:p>
                  </w:txbxContent>
                </v:textbox>
              </v:shape>
            </w:pict>
          </mc:Fallback>
        </mc:AlternateContent>
      </w:r>
      <w:r>
        <w:rPr>
          <w:rFonts w:hint="eastAsia" w:ascii="宋体" w:hAnsi="宋体" w:cs="宋体"/>
          <w:color w:val="auto"/>
          <w:szCs w:val="21"/>
        </w:rPr>
        <w:t>发包人未按照第81.3款和第81.4款规定支付进度款的，承包人应及时向发包人发出要求支付的通知；发包人收到通知后仍不按要求支付的，可与承包人协商签订延期支付协议，经承包人同意后可延期支付，承包人有权按照第78.2款规定获得延期支付的利息。</w:t>
      </w:r>
    </w:p>
    <w:p>
      <w:pPr>
        <w:adjustRightInd w:val="0"/>
        <w:snapToGrid w:val="0"/>
        <w:spacing w:line="360" w:lineRule="auto"/>
        <w:ind w:left="1640" w:leftChars="781"/>
        <w:rPr>
          <w:rFonts w:ascii="宋体" w:hAnsi="宋体" w:cs="宋体"/>
          <w:color w:val="auto"/>
          <w:szCs w:val="21"/>
        </w:rPr>
      </w:pPr>
      <w:r>
        <w:rPr>
          <w:rFonts w:hint="eastAsia" w:ascii="宋体" w:hAnsi="宋体" w:cs="宋体"/>
          <w:color w:val="auto"/>
          <w:szCs w:val="21"/>
        </w:rPr>
        <w:t>发包人未按照按照合同约定支付进度款，合同双方当事人又未达成延期支付协议，导致无法施工的，承包人可停止施工。发包人应承担由此增加的费用和（或）延误的工期，并向承包人支付合理利润。</w:t>
      </w:r>
    </w:p>
    <w:p>
      <w:pPr>
        <w:tabs>
          <w:tab w:val="left" w:pos="1320"/>
        </w:tabs>
        <w:adjustRightInd w:val="0"/>
        <w:snapToGrid w:val="0"/>
        <w:spacing w:line="360" w:lineRule="auto"/>
        <w:rPr>
          <w:rFonts w:ascii="宋体" w:hAnsi="宋体" w:cs="宋体"/>
          <w:color w:val="auto"/>
          <w:kern w:val="0"/>
          <w:szCs w:val="21"/>
        </w:rPr>
      </w:pPr>
      <w:r>
        <w:rPr>
          <w:rFonts w:hint="eastAsia" w:ascii="宋体" w:hAnsi="宋体" w:cs="宋体"/>
          <w:b/>
          <w:color w:val="auto"/>
          <w:kern w:val="0"/>
          <w:szCs w:val="21"/>
        </w:rPr>
        <w:t>81.6</w:t>
      </w:r>
      <w:r>
        <w:rPr>
          <w:rFonts w:hint="eastAsia" w:ascii="宋体" w:hAnsi="宋体" w:cs="宋体"/>
          <w:color w:val="auto"/>
          <w:kern w:val="0"/>
          <w:szCs w:val="21"/>
        </w:rPr>
        <w:t xml:space="preserve">  </w:t>
      </w:r>
      <w:r>
        <w:rPr>
          <w:rFonts w:hint="eastAsia" w:ascii="宋体" w:hAnsi="宋体" w:cs="宋体"/>
          <w:color w:val="auto"/>
          <w:kern w:val="0"/>
          <w:szCs w:val="21"/>
          <w:u w:val="dotted"/>
        </w:rPr>
        <w:t xml:space="preserve">                                                                                                        </w:t>
      </w:r>
    </w:p>
    <w:p>
      <w:pPr>
        <w:adjustRightInd w:val="0"/>
        <w:snapToGrid w:val="0"/>
        <w:spacing w:line="360" w:lineRule="auto"/>
        <w:ind w:left="1619" w:leftChars="771"/>
        <w:rPr>
          <w:rFonts w:ascii="宋体" w:hAnsi="宋体" w:cs="宋体"/>
          <w:color w:val="auto"/>
          <w:kern w:val="0"/>
          <w:szCs w:val="21"/>
        </w:rPr>
      </w:pPr>
      <w:r>
        <w:rPr>
          <w:rFonts w:ascii="宋体" w:hAnsi="宋体" w:cs="宋体"/>
          <w:color w:val="auto"/>
          <w:kern w:val="0"/>
          <w:szCs w:val="21"/>
        </w:rPr>
        <mc:AlternateContent>
          <mc:Choice Requires="wps">
            <w:drawing>
              <wp:anchor distT="0" distB="0" distL="114300" distR="114300" simplePos="0" relativeHeight="251982848" behindDoc="0" locked="0" layoutInCell="1" allowOverlap="1">
                <wp:simplePos x="0" y="0"/>
                <wp:positionH relativeFrom="column">
                  <wp:posOffset>-114300</wp:posOffset>
                </wp:positionH>
                <wp:positionV relativeFrom="paragraph">
                  <wp:posOffset>15875</wp:posOffset>
                </wp:positionV>
                <wp:extent cx="1028700" cy="266065"/>
                <wp:effectExtent l="0" t="0" r="0" b="0"/>
                <wp:wrapNone/>
                <wp:docPr id="55" name="文本框 55"/>
                <wp:cNvGraphicFramePr/>
                <a:graphic xmlns:a="http://schemas.openxmlformats.org/drawingml/2006/main">
                  <a:graphicData uri="http://schemas.microsoft.com/office/word/2010/wordprocessingShape">
                    <wps:wsp>
                      <wps:cNvSpPr txBox="1">
                        <a:spLocks noChangeArrowheads="1"/>
                      </wps:cNvSpPr>
                      <wps:spPr bwMode="auto">
                        <a:xfrm>
                          <a:off x="0" y="0"/>
                          <a:ext cx="1028700" cy="266065"/>
                        </a:xfrm>
                        <a:prstGeom prst="rect">
                          <a:avLst/>
                        </a:prstGeom>
                        <a:noFill/>
                        <a:ln>
                          <a:noFill/>
                        </a:ln>
                        <a:effectLst/>
                      </wps:spPr>
                      <wps:txbx>
                        <w:txbxContent>
                          <w:p>
                            <w:pPr>
                              <w:rPr>
                                <w:rFonts w:ascii="楷体_GB2312" w:hAnsi="宋体"/>
                                <w:b/>
                                <w:bCs/>
                                <w:sz w:val="18"/>
                                <w:szCs w:val="18"/>
                              </w:rPr>
                            </w:pPr>
                            <w:r>
                              <w:rPr>
                                <w:rFonts w:hint="eastAsia" w:ascii="楷体_GB2312" w:hAnsi="宋体"/>
                                <w:b/>
                                <w:bCs/>
                                <w:sz w:val="18"/>
                                <w:szCs w:val="18"/>
                              </w:rPr>
                              <w:t>修正支付证书</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5pt;height:20.95pt;width:81pt;z-index:251982848;mso-width-relative:page;mso-height-relative:page;" filled="f" stroked="f" coordsize="21600,21600" o:gfxdata="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7nQVMdUAAAAIAQAADwAAAAAAAAABACAAAAAiAAAAZHJzL2Rvd25y&#10;ZXYueG1sUEsBAhQAFAAAAAgAh07iQHNwMbIBAgAA1wMAAA4AAAAAAAAAAQAgAAAAJAEAAGRycy9l&#10;Mm9Eb2MueG1sUEsFBgAAAAAGAAYAWQEAAJcFAAAAAA==&#10;">
                <v:fill on="f" focussize="0,0"/>
                <v:stroke on="f"/>
                <v:imagedata o:title=""/>
                <o:lock v:ext="edit" aspectratio="f"/>
                <v:textbox>
                  <w:txbxContent>
                    <w:p>
                      <w:pPr>
                        <w:rPr>
                          <w:rFonts w:ascii="楷体_GB2312" w:hAnsi="宋体"/>
                          <w:b/>
                          <w:bCs/>
                          <w:sz w:val="18"/>
                          <w:szCs w:val="18"/>
                        </w:rPr>
                      </w:pPr>
                      <w:r>
                        <w:rPr>
                          <w:rFonts w:hint="eastAsia" w:ascii="楷体_GB2312" w:hAnsi="宋体"/>
                          <w:b/>
                          <w:bCs/>
                          <w:sz w:val="18"/>
                          <w:szCs w:val="18"/>
                        </w:rPr>
                        <w:t>修正支付证书</w:t>
                      </w:r>
                    </w:p>
                  </w:txbxContent>
                </v:textbox>
              </v:shape>
            </w:pict>
          </mc:Fallback>
        </mc:AlternateContent>
      </w:r>
      <w:r>
        <w:rPr>
          <w:rFonts w:hint="eastAsia" w:ascii="宋体" w:hAnsi="宋体" w:cs="宋体"/>
          <w:color w:val="auto"/>
          <w:kern w:val="0"/>
          <w:szCs w:val="21"/>
        </w:rPr>
        <w:t>发现以前签发的任何支付证书有错、漏或重复的，造价工程师有权在期中支付证书中修正以前签发的任何支付证书，承包人也有权提出修正申请。经合同双方当事人复核同意修正的，应在该支付期的进度款中支付或扣除。如果合同工程或其任何部分没有达到质量要求，造价工程师有权按照合同约定处理，并在任何期中支付证书中扣除相应价款。</w:t>
      </w:r>
    </w:p>
    <w:p>
      <w:pPr>
        <w:adjustRightInd w:val="0"/>
        <w:snapToGrid w:val="0"/>
        <w:spacing w:line="240" w:lineRule="exact"/>
        <w:ind w:right="-238"/>
        <w:rPr>
          <w:rFonts w:ascii="宋体" w:hAnsi="宋体" w:cs="宋体"/>
          <w:b/>
          <w:color w:val="auto"/>
          <w:kern w:val="0"/>
          <w:szCs w:val="21"/>
          <w:u w:val="single"/>
        </w:rPr>
      </w:pPr>
      <w:r>
        <w:rPr>
          <w:rFonts w:hint="eastAsia" w:ascii="宋体" w:hAnsi="宋体" w:cs="宋体"/>
          <w:b/>
          <w:color w:val="auto"/>
          <w:kern w:val="0"/>
          <w:szCs w:val="21"/>
          <w:u w:val="single"/>
        </w:rPr>
        <w:t xml:space="preserve">                                                                                 </w:t>
      </w:r>
    </w:p>
    <w:p>
      <w:pPr>
        <w:tabs>
          <w:tab w:val="left" w:pos="1620"/>
        </w:tabs>
        <w:spacing w:line="240" w:lineRule="exact"/>
        <w:rPr>
          <w:rFonts w:ascii="宋体" w:hAnsi="宋体" w:cs="宋体"/>
          <w:b/>
          <w:color w:val="auto"/>
          <w:szCs w:val="21"/>
        </w:rPr>
      </w:pPr>
    </w:p>
    <w:p>
      <w:pPr>
        <w:tabs>
          <w:tab w:val="left" w:pos="540"/>
        </w:tabs>
        <w:adjustRightInd w:val="0"/>
        <w:snapToGrid w:val="0"/>
        <w:spacing w:beforeLines="100" w:line="360" w:lineRule="auto"/>
        <w:ind w:right="-238"/>
        <w:rPr>
          <w:rFonts w:ascii="宋体" w:hAnsi="宋体" w:cs="宋体"/>
          <w:b/>
          <w:color w:val="auto"/>
          <w:kern w:val="0"/>
          <w:szCs w:val="21"/>
        </w:rPr>
      </w:pPr>
      <w:r>
        <w:rPr>
          <w:rFonts w:hint="eastAsia" w:ascii="宋体" w:hAnsi="宋体" w:cs="宋体"/>
          <w:b/>
          <w:color w:val="auto"/>
          <w:kern w:val="0"/>
          <w:szCs w:val="21"/>
        </w:rPr>
        <w:t>82  竣工结算</w:t>
      </w:r>
    </w:p>
    <w:p>
      <w:pPr>
        <w:adjustRightInd w:val="0"/>
        <w:snapToGrid w:val="0"/>
        <w:spacing w:line="360" w:lineRule="auto"/>
        <w:rPr>
          <w:rFonts w:ascii="宋体" w:hAnsi="宋体" w:cs="宋体"/>
          <w:b/>
          <w:color w:val="auto"/>
          <w:kern w:val="0"/>
          <w:szCs w:val="21"/>
        </w:rPr>
      </w:pPr>
      <w:r>
        <w:rPr>
          <w:rFonts w:hint="eastAsia" w:ascii="宋体" w:hAnsi="宋体" w:cs="宋体"/>
          <w:b/>
          <w:color w:val="auto"/>
          <w:kern w:val="0"/>
          <w:szCs w:val="21"/>
        </w:rPr>
        <w:t xml:space="preserve">82.1      </w:t>
      </w:r>
    </w:p>
    <w:p>
      <w:pPr>
        <w:adjustRightInd w:val="0"/>
        <w:snapToGrid w:val="0"/>
        <w:spacing w:line="360" w:lineRule="auto"/>
        <w:ind w:left="1619" w:leftChars="771"/>
        <w:rPr>
          <w:rFonts w:ascii="宋体" w:hAnsi="宋体" w:cs="宋体"/>
          <w:color w:val="auto"/>
          <w:kern w:val="0"/>
          <w:szCs w:val="21"/>
        </w:rPr>
      </w:pPr>
      <w:r>
        <w:rPr>
          <w:rFonts w:ascii="宋体" w:hAnsi="宋体" w:cs="宋体"/>
          <w:color w:val="auto"/>
          <w:kern w:val="0"/>
          <w:szCs w:val="21"/>
        </w:rPr>
        <mc:AlternateContent>
          <mc:Choice Requires="wps">
            <w:drawing>
              <wp:anchor distT="0" distB="0" distL="114300" distR="114300" simplePos="0" relativeHeight="251851776" behindDoc="0" locked="0" layoutInCell="1" allowOverlap="1">
                <wp:simplePos x="0" y="0"/>
                <wp:positionH relativeFrom="column">
                  <wp:posOffset>-114300</wp:posOffset>
                </wp:positionH>
                <wp:positionV relativeFrom="paragraph">
                  <wp:posOffset>38735</wp:posOffset>
                </wp:positionV>
                <wp:extent cx="914400" cy="396240"/>
                <wp:effectExtent l="0" t="0" r="0" b="0"/>
                <wp:wrapNone/>
                <wp:docPr id="54" name="文本框 54"/>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约定结算程序和期限</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05pt;height:31.2pt;width:72pt;z-index:251851776;mso-width-relative:page;mso-height-relative:page;" filled="f" stroked="f" coordsize="21600,21600" o:gfxdata="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q+wMFdQAAAAIAQAADwAAAAAAAAABACAAAAAiAAAAZHJzL2Rvd25yZXYu&#10;eG1sUEsBAhQAFAAAAAgAh07iQEHgNJb/AQAA1gMAAA4AAAAAAAAAAQAgAAAAIwEAAGRycy9lMm9E&#10;b2MueG1sUEsFBgAAAAAGAAYAWQEAAJQFA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约定结算程序和期限</w:t>
                      </w:r>
                    </w:p>
                  </w:txbxContent>
                </v:textbox>
              </v:shape>
            </w:pict>
          </mc:Fallback>
        </mc:AlternateContent>
      </w:r>
      <w:r>
        <w:rPr>
          <w:rFonts w:hint="eastAsia" w:ascii="宋体" w:hAnsi="宋体" w:cs="宋体"/>
          <w:color w:val="auto"/>
          <w:kern w:val="0"/>
          <w:szCs w:val="21"/>
        </w:rPr>
        <w:t>合同双方当事人应按照国家标准《建设工程工程量清单计价规范》（GB50500-2008）规定在专用条款中明确办理竣工结算的程序和时限。专用条款没有约定的，竣工结算按照第82.2款至第82.5款规定办理。</w:t>
      </w:r>
    </w:p>
    <w:p>
      <w:pPr>
        <w:adjustRightInd w:val="0"/>
        <w:snapToGrid w:val="0"/>
        <w:spacing w:line="360" w:lineRule="auto"/>
        <w:ind w:left="1619" w:leftChars="771"/>
        <w:rPr>
          <w:rFonts w:ascii="宋体" w:hAnsi="宋体" w:cs="宋体"/>
          <w:color w:val="auto"/>
          <w:kern w:val="0"/>
          <w:szCs w:val="21"/>
        </w:rPr>
      </w:pPr>
      <w:r>
        <w:rPr>
          <w:rFonts w:hint="eastAsia" w:ascii="宋体" w:hAnsi="宋体" w:cs="宋体"/>
          <w:color w:val="auto"/>
          <w:kern w:val="0"/>
          <w:szCs w:val="21"/>
        </w:rPr>
        <w:t>在办理竣工结算期间，发包人按照第78条规定应向承包人支付的工程款及其他款项不停止。</w:t>
      </w:r>
    </w:p>
    <w:p>
      <w:pPr>
        <w:adjustRightInd w:val="0"/>
        <w:snapToGrid w:val="0"/>
        <w:spacing w:line="360" w:lineRule="auto"/>
        <w:rPr>
          <w:rFonts w:ascii="宋体" w:hAnsi="宋体" w:cs="宋体"/>
          <w:b/>
          <w:color w:val="auto"/>
          <w:kern w:val="0"/>
          <w:szCs w:val="21"/>
        </w:rPr>
      </w:pPr>
      <w:r>
        <w:rPr>
          <w:rFonts w:hint="eastAsia" w:ascii="宋体" w:hAnsi="宋体" w:cs="宋体"/>
          <w:b/>
          <w:color w:val="auto"/>
          <w:kern w:val="0"/>
          <w:szCs w:val="21"/>
        </w:rPr>
        <w:t xml:space="preserve">82.2  </w:t>
      </w:r>
      <w:r>
        <w:rPr>
          <w:rFonts w:hint="eastAsia" w:ascii="宋体" w:hAnsi="宋体" w:cs="宋体"/>
          <w:b/>
          <w:color w:val="auto"/>
          <w:kern w:val="0"/>
          <w:szCs w:val="21"/>
          <w:u w:val="dotted"/>
        </w:rPr>
        <w:t xml:space="preserve">                                                                                                       </w:t>
      </w:r>
    </w:p>
    <w:p>
      <w:pPr>
        <w:tabs>
          <w:tab w:val="left" w:pos="2641"/>
        </w:tabs>
        <w:adjustRightInd w:val="0"/>
        <w:snapToGrid w:val="0"/>
        <w:spacing w:line="360" w:lineRule="auto"/>
        <w:ind w:left="1619" w:leftChars="771"/>
        <w:rPr>
          <w:rFonts w:ascii="宋体" w:hAnsi="宋体" w:cs="宋体"/>
          <w:color w:val="auto"/>
          <w:kern w:val="0"/>
          <w:szCs w:val="21"/>
        </w:rPr>
      </w:pPr>
      <w:r>
        <w:rPr>
          <w:rFonts w:ascii="宋体" w:hAnsi="宋体" w:cs="宋体"/>
          <w:color w:val="auto"/>
          <w:kern w:val="0"/>
          <w:szCs w:val="21"/>
        </w:rPr>
        <mc:AlternateContent>
          <mc:Choice Requires="wps">
            <w:drawing>
              <wp:anchor distT="0" distB="0" distL="114300" distR="114300" simplePos="0" relativeHeight="251852800" behindDoc="0" locked="0" layoutInCell="1" allowOverlap="1">
                <wp:simplePos x="0" y="0"/>
                <wp:positionH relativeFrom="column">
                  <wp:posOffset>-114300</wp:posOffset>
                </wp:positionH>
                <wp:positionV relativeFrom="paragraph">
                  <wp:posOffset>23495</wp:posOffset>
                </wp:positionV>
                <wp:extent cx="914400" cy="459105"/>
                <wp:effectExtent l="0" t="0" r="0" b="0"/>
                <wp:wrapNone/>
                <wp:docPr id="53" name="文本框 53"/>
                <wp:cNvGraphicFramePr/>
                <a:graphic xmlns:a="http://schemas.openxmlformats.org/drawingml/2006/main">
                  <a:graphicData uri="http://schemas.microsoft.com/office/word/2010/wordprocessingShape">
                    <wps:wsp>
                      <wps:cNvSpPr txBox="1">
                        <a:spLocks noChangeArrowheads="1"/>
                      </wps:cNvSpPr>
                      <wps:spPr bwMode="auto">
                        <a:xfrm>
                          <a:off x="0" y="0"/>
                          <a:ext cx="914400" cy="459105"/>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递交结算文件及其限制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85pt;height:36.15pt;width:72pt;z-index:251852800;mso-width-relative:page;mso-height-relative:page;" filled="f" stroked="f" coordsize="21600,21600" o:gfxdata="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Qfx4rVAAAACAEAAA8AAAAAAAAAAQAgAAAAIgAAAGRycy9kb3ducmV2&#10;LnhtbFBLAQIUABQAAAAIAIdO4kAOnAmJ/wEAANYDAAAOAAAAAAAAAAEAIAAAACQBAABkcnMvZTJv&#10;RG9jLnhtbFBLBQYAAAAABgAGAFkBAACVBQ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递交结算文件及其限制</w:t>
                      </w:r>
                    </w:p>
                  </w:txbxContent>
                </v:textbox>
              </v:shape>
            </w:pict>
          </mc:Fallback>
        </mc:AlternateContent>
      </w:r>
      <w:r>
        <w:rPr>
          <w:rFonts w:hint="eastAsia" w:ascii="宋体" w:hAnsi="宋体" w:cs="宋体"/>
          <w:color w:val="auto"/>
          <w:kern w:val="0"/>
          <w:szCs w:val="21"/>
        </w:rPr>
        <w:t>承包人应在提交竣工验收申请报告前编制完成竣工结算文件，并在提交竣工验收申请报告的同时向造价工程师递交竣工结算文件。</w:t>
      </w:r>
    </w:p>
    <w:p>
      <w:pPr>
        <w:adjustRightInd w:val="0"/>
        <w:snapToGrid w:val="0"/>
        <w:spacing w:line="360" w:lineRule="auto"/>
        <w:ind w:left="1619" w:leftChars="771"/>
        <w:rPr>
          <w:rFonts w:ascii="宋体" w:hAnsi="宋体" w:cs="宋体"/>
          <w:color w:val="auto"/>
          <w:kern w:val="0"/>
          <w:szCs w:val="21"/>
        </w:rPr>
      </w:pPr>
      <w:r>
        <w:rPr>
          <w:rFonts w:hint="eastAsia" w:ascii="宋体" w:hAnsi="宋体" w:cs="宋体"/>
          <w:color w:val="auto"/>
          <w:kern w:val="0"/>
          <w:szCs w:val="21"/>
        </w:rPr>
        <w:t>承包人未在本款规定的时间内递交竣工结算文件，经发包人催促后仍未递交或没有明确答复的，造价工程师可根据自己掌握的资料编制竣工结算文件，在报经发包人批准后，作为办理竣工结算和支付结算款的依据，承包人应予以认可。</w:t>
      </w:r>
    </w:p>
    <w:p>
      <w:pPr>
        <w:adjustRightInd w:val="0"/>
        <w:snapToGrid w:val="0"/>
        <w:spacing w:line="360" w:lineRule="auto"/>
        <w:rPr>
          <w:rFonts w:ascii="宋体" w:hAnsi="宋体" w:cs="宋体"/>
          <w:b/>
          <w:color w:val="auto"/>
          <w:kern w:val="0"/>
          <w:szCs w:val="21"/>
          <w:u w:val="single"/>
        </w:rPr>
      </w:pPr>
      <w:r>
        <w:rPr>
          <w:rFonts w:hint="eastAsia" w:ascii="宋体" w:hAnsi="宋体" w:cs="宋体"/>
          <w:b/>
          <w:color w:val="auto"/>
          <w:kern w:val="0"/>
          <w:szCs w:val="21"/>
        </w:rPr>
        <w:t xml:space="preserve">82.3  </w:t>
      </w:r>
      <w:r>
        <w:rPr>
          <w:rFonts w:hint="eastAsia" w:ascii="宋体" w:hAnsi="宋体" w:cs="宋体"/>
          <w:b/>
          <w:color w:val="auto"/>
          <w:kern w:val="0"/>
          <w:szCs w:val="21"/>
          <w:u w:val="dotted"/>
        </w:rPr>
        <w:t xml:space="preserve">                                                                                                        </w:t>
      </w:r>
    </w:p>
    <w:p>
      <w:pPr>
        <w:adjustRightInd w:val="0"/>
        <w:snapToGrid w:val="0"/>
        <w:spacing w:line="360" w:lineRule="auto"/>
        <w:ind w:left="1619" w:leftChars="771"/>
        <w:rPr>
          <w:rFonts w:ascii="宋体" w:hAnsi="宋体" w:cs="宋体"/>
          <w:color w:val="auto"/>
          <w:kern w:val="0"/>
          <w:szCs w:val="21"/>
        </w:rPr>
      </w:pPr>
      <w:r>
        <w:rPr>
          <w:rFonts w:ascii="宋体" w:hAnsi="宋体" w:cs="宋体"/>
          <w:color w:val="auto"/>
          <w:kern w:val="0"/>
          <w:szCs w:val="21"/>
        </w:rPr>
        <mc:AlternateContent>
          <mc:Choice Requires="wps">
            <w:drawing>
              <wp:anchor distT="0" distB="0" distL="114300" distR="114300" simplePos="0" relativeHeight="251853824" behindDoc="0" locked="0" layoutInCell="1" allowOverlap="1">
                <wp:simplePos x="0" y="0"/>
                <wp:positionH relativeFrom="column">
                  <wp:posOffset>-114300</wp:posOffset>
                </wp:positionH>
                <wp:positionV relativeFrom="paragraph">
                  <wp:posOffset>38735</wp:posOffset>
                </wp:positionV>
                <wp:extent cx="914400" cy="418465"/>
                <wp:effectExtent l="0" t="0" r="0" b="0"/>
                <wp:wrapNone/>
                <wp:docPr id="52" name="文本框 52"/>
                <wp:cNvGraphicFramePr/>
                <a:graphic xmlns:a="http://schemas.openxmlformats.org/drawingml/2006/main">
                  <a:graphicData uri="http://schemas.microsoft.com/office/word/2010/wordprocessingShape">
                    <wps:wsp>
                      <wps:cNvSpPr txBox="1">
                        <a:spLocks noChangeArrowheads="1"/>
                      </wps:cNvSpPr>
                      <wps:spPr bwMode="auto">
                        <a:xfrm>
                          <a:off x="0" y="0"/>
                          <a:ext cx="914400" cy="418465"/>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核实结算文件及其限制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05pt;height:32.95pt;width:72pt;z-index:251853824;mso-width-relative:page;mso-height-relative:page;" filled="f" stroked="f" coordsize="21600,21600" o:gfxdata="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FCSePVAAAACAEAAA8AAAAAAAAAAQAgAAAAIgAAAGRycy9kb3ducmV2&#10;LnhtbFBLAQIUABQAAAAIAIdO4kCn9YGt/wEAANYDAAAOAAAAAAAAAAEAIAAAACQBAABkcnMvZTJv&#10;RG9jLnhtbFBLBQYAAAAABgAGAFkBAACVBQ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核实结算文件及其限制</w:t>
                      </w:r>
                    </w:p>
                  </w:txbxContent>
                </v:textbox>
              </v:shape>
            </w:pict>
          </mc:Fallback>
        </mc:AlternateContent>
      </w:r>
      <w:r>
        <w:rPr>
          <w:rFonts w:hint="eastAsia" w:ascii="宋体" w:hAnsi="宋体" w:cs="宋体"/>
          <w:color w:val="auto"/>
          <w:kern w:val="0"/>
          <w:szCs w:val="21"/>
        </w:rPr>
        <w:t>造价工程师应在收到承包人按照第82.2款规定递交的竣工结算文件后的28天内予以核实，并向承包人提出完整的核实意见（包括进一步补充资料和修改结算文件），同时抄报发包人。承包人在收到核实意见后的28天内按照造价工程师提出的合理要求补充资料，修改竣工结算文件，并再次递交给造价工程师。</w:t>
      </w:r>
      <w:r>
        <w:rPr>
          <w:rFonts w:hint="eastAsia" w:ascii="宋体" w:hAnsi="宋体" w:cs="宋体"/>
          <w:color w:val="auto"/>
          <w:kern w:val="0"/>
          <w:szCs w:val="21"/>
        </w:rPr>
        <w:br w:type="textWrapping"/>
      </w:r>
      <w:r>
        <w:rPr>
          <w:rFonts w:hint="eastAsia" w:ascii="宋体" w:hAnsi="宋体" w:cs="宋体"/>
          <w:color w:val="auto"/>
          <w:kern w:val="0"/>
          <w:szCs w:val="21"/>
        </w:rPr>
        <w:t>造价工程师在收到竣工结算文件后的28天内，不核实竣工结算或未提出核实意见的，视为承包人递交的竣工结算已被认可。</w:t>
      </w:r>
    </w:p>
    <w:p>
      <w:pPr>
        <w:adjustRightInd w:val="0"/>
        <w:snapToGrid w:val="0"/>
        <w:spacing w:line="360" w:lineRule="auto"/>
        <w:ind w:left="1619" w:leftChars="771"/>
        <w:rPr>
          <w:rFonts w:ascii="宋体" w:hAnsi="宋体" w:cs="宋体"/>
          <w:color w:val="auto"/>
          <w:kern w:val="0"/>
          <w:szCs w:val="21"/>
          <w:u w:val="single"/>
        </w:rPr>
      </w:pPr>
      <w:r>
        <w:rPr>
          <w:rFonts w:hint="eastAsia" w:ascii="宋体" w:hAnsi="宋体" w:cs="宋体"/>
          <w:color w:val="auto"/>
          <w:kern w:val="0"/>
          <w:szCs w:val="21"/>
        </w:rPr>
        <w:t>承包人在收到造价工程师提出的核实意见后的28天内，不确认也未提出异议的，视为造价工程师提出的核实意见已被认可，竣工结算办理完毕。</w:t>
      </w:r>
    </w:p>
    <w:p>
      <w:pPr>
        <w:adjustRightInd w:val="0"/>
        <w:snapToGrid w:val="0"/>
        <w:spacing w:line="360" w:lineRule="auto"/>
        <w:rPr>
          <w:rFonts w:ascii="宋体" w:hAnsi="宋体" w:cs="宋体"/>
          <w:b/>
          <w:color w:val="auto"/>
          <w:kern w:val="0"/>
          <w:szCs w:val="21"/>
          <w:u w:val="single"/>
        </w:rPr>
      </w:pPr>
      <w:r>
        <w:rPr>
          <w:rFonts w:hint="eastAsia" w:ascii="宋体" w:hAnsi="宋体" w:cs="宋体"/>
          <w:b/>
          <w:color w:val="auto"/>
          <w:kern w:val="0"/>
          <w:szCs w:val="21"/>
        </w:rPr>
        <w:t xml:space="preserve">82.4  </w:t>
      </w:r>
      <w:r>
        <w:rPr>
          <w:rFonts w:hint="eastAsia" w:ascii="宋体" w:hAnsi="宋体" w:cs="宋体"/>
          <w:b/>
          <w:color w:val="auto"/>
          <w:kern w:val="0"/>
          <w:szCs w:val="21"/>
          <w:u w:val="dotted"/>
        </w:rPr>
        <w:t xml:space="preserve">                                                                                                        </w:t>
      </w:r>
    </w:p>
    <w:p>
      <w:pPr>
        <w:adjustRightInd w:val="0"/>
        <w:snapToGrid w:val="0"/>
        <w:spacing w:line="360" w:lineRule="auto"/>
        <w:ind w:left="1619" w:leftChars="771"/>
        <w:rPr>
          <w:rFonts w:ascii="宋体" w:hAnsi="宋体" w:cs="宋体"/>
          <w:color w:val="auto"/>
          <w:kern w:val="0"/>
          <w:szCs w:val="21"/>
          <w:u w:val="single"/>
        </w:rPr>
      </w:pPr>
      <w:r>
        <w:rPr>
          <w:rFonts w:ascii="宋体" w:hAnsi="宋体" w:cs="宋体"/>
          <w:color w:val="auto"/>
          <w:kern w:val="0"/>
          <w:szCs w:val="21"/>
        </w:rPr>
        <mc:AlternateContent>
          <mc:Choice Requires="wps">
            <w:drawing>
              <wp:anchor distT="0" distB="0" distL="114300" distR="114300" simplePos="0" relativeHeight="251854848" behindDoc="0" locked="0" layoutInCell="1" allowOverlap="1">
                <wp:simplePos x="0" y="0"/>
                <wp:positionH relativeFrom="column">
                  <wp:posOffset>-114300</wp:posOffset>
                </wp:positionH>
                <wp:positionV relativeFrom="paragraph">
                  <wp:posOffset>15875</wp:posOffset>
                </wp:positionV>
                <wp:extent cx="914400" cy="718185"/>
                <wp:effectExtent l="0" t="0" r="0" b="0"/>
                <wp:wrapNone/>
                <wp:docPr id="51" name="文本框 51"/>
                <wp:cNvGraphicFramePr/>
                <a:graphic xmlns:a="http://schemas.openxmlformats.org/drawingml/2006/main">
                  <a:graphicData uri="http://schemas.microsoft.com/office/word/2010/wordprocessingShape">
                    <wps:wsp>
                      <wps:cNvSpPr txBox="1">
                        <a:spLocks noChangeArrowheads="1"/>
                      </wps:cNvSpPr>
                      <wps:spPr bwMode="auto">
                        <a:xfrm>
                          <a:off x="0" y="0"/>
                          <a:ext cx="914400" cy="718185"/>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复核再次递交结算文件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5pt;height:56.55pt;width:72pt;z-index:251854848;mso-width-relative:page;mso-height-relative:page;" filled="f" stroked="f" coordsize="21600,21600" o:gfxdata="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EGQgC7WAAAACQEAAA8AAAAAAAAAAQAgAAAAIgAAAGRycy9kb3ducmV2&#10;LnhtbFBLAQIUABQAAAAIAIdO4kCxlbcN/gEAANYDAAAOAAAAAAAAAAEAIAAAACUBAABkcnMvZTJv&#10;RG9jLnhtbFBLBQYAAAAABgAGAFkBAACVBQ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复核再次递交结算文件</w:t>
                      </w:r>
                    </w:p>
                  </w:txbxContent>
                </v:textbox>
              </v:shape>
            </w:pict>
          </mc:Fallback>
        </mc:AlternateContent>
      </w:r>
      <w:r>
        <w:rPr>
          <w:rFonts w:hint="eastAsia" w:ascii="宋体" w:hAnsi="宋体" w:cs="宋体"/>
          <w:color w:val="auto"/>
          <w:kern w:val="0"/>
          <w:szCs w:val="21"/>
        </w:rPr>
        <w:t>造价工程师应在收到承包人按照第82.3款规定再次递交的竣工结算文件后的28天内予以复核，并将复核结果通知承包人、抄报发包人。</w:t>
      </w:r>
    </w:p>
    <w:p>
      <w:pPr>
        <w:adjustRightInd w:val="0"/>
        <w:snapToGrid w:val="0"/>
        <w:spacing w:line="360" w:lineRule="auto"/>
        <w:ind w:left="1615"/>
        <w:rPr>
          <w:rFonts w:ascii="宋体" w:hAnsi="宋体" w:cs="宋体"/>
          <w:color w:val="auto"/>
          <w:kern w:val="0"/>
          <w:szCs w:val="21"/>
        </w:rPr>
      </w:pPr>
      <w:r>
        <w:rPr>
          <w:rFonts w:hint="eastAsia" w:ascii="宋体" w:hAnsi="宋体" w:cs="宋体"/>
          <w:color w:val="auto"/>
          <w:kern w:val="0"/>
          <w:szCs w:val="21"/>
        </w:rPr>
        <w:t>（1）经复核无误的，除属于第86条规定的争议外，发包人应在7天内在竣工结算文件上签字确认，竣工结算办理完毕。</w:t>
      </w:r>
    </w:p>
    <w:p>
      <w:pPr>
        <w:adjustRightInd w:val="0"/>
        <w:snapToGrid w:val="0"/>
        <w:spacing w:line="360" w:lineRule="auto"/>
        <w:ind w:left="1615"/>
        <w:rPr>
          <w:rFonts w:ascii="宋体" w:hAnsi="宋体" w:cs="宋体"/>
          <w:color w:val="auto"/>
          <w:kern w:val="0"/>
          <w:szCs w:val="21"/>
          <w:u w:val="single"/>
        </w:rPr>
      </w:pPr>
      <w:r>
        <w:rPr>
          <w:rFonts w:hint="eastAsia" w:ascii="宋体" w:hAnsi="宋体" w:cs="宋体"/>
          <w:color w:val="auto"/>
          <w:kern w:val="0"/>
          <w:szCs w:val="21"/>
        </w:rPr>
        <w:t>（2）经复核认为有误的：无误部分按照本款第(1)点规定办理不完全竣工结算；有误部分由造价工程师与合同双方当事人协商解决，或按照第86条规定处理。</w:t>
      </w:r>
    </w:p>
    <w:p>
      <w:pPr>
        <w:adjustRightInd w:val="0"/>
        <w:snapToGrid w:val="0"/>
        <w:spacing w:line="360" w:lineRule="auto"/>
        <w:rPr>
          <w:rFonts w:ascii="宋体" w:hAnsi="宋体" w:cs="宋体"/>
          <w:color w:val="auto"/>
          <w:kern w:val="0"/>
          <w:szCs w:val="21"/>
        </w:rPr>
      </w:pPr>
      <w:r>
        <w:rPr>
          <w:rFonts w:hint="eastAsia" w:ascii="宋体" w:hAnsi="宋体" w:cs="宋体"/>
          <w:b/>
          <w:color w:val="auto"/>
          <w:kern w:val="0"/>
          <w:szCs w:val="21"/>
        </w:rPr>
        <w:t>82.5</w:t>
      </w:r>
      <w:r>
        <w:rPr>
          <w:rFonts w:hint="eastAsia" w:ascii="宋体" w:hAnsi="宋体" w:cs="宋体"/>
          <w:color w:val="auto"/>
          <w:kern w:val="0"/>
          <w:szCs w:val="21"/>
        </w:rPr>
        <w:t xml:space="preserve">  </w:t>
      </w:r>
      <w:r>
        <w:rPr>
          <w:rFonts w:hint="eastAsia" w:ascii="宋体" w:hAnsi="宋体" w:cs="宋体"/>
          <w:color w:val="auto"/>
          <w:kern w:val="0"/>
          <w:szCs w:val="21"/>
          <w:u w:val="dotted"/>
        </w:rPr>
        <w:t xml:space="preserve">                                                                                                       </w:t>
      </w:r>
    </w:p>
    <w:p>
      <w:pPr>
        <w:adjustRightInd w:val="0"/>
        <w:snapToGrid w:val="0"/>
        <w:spacing w:line="360" w:lineRule="auto"/>
        <w:ind w:left="1619" w:leftChars="771"/>
        <w:rPr>
          <w:rFonts w:ascii="宋体" w:hAnsi="宋体" w:cs="宋体"/>
          <w:color w:val="auto"/>
          <w:kern w:val="0"/>
          <w:szCs w:val="21"/>
        </w:rPr>
      </w:pPr>
      <w:r>
        <w:rPr>
          <w:rFonts w:ascii="宋体" w:hAnsi="宋体" w:cs="宋体"/>
          <w:color w:val="auto"/>
          <w:kern w:val="0"/>
          <w:szCs w:val="21"/>
        </w:rPr>
        <mc:AlternateContent>
          <mc:Choice Requires="wps">
            <w:drawing>
              <wp:anchor distT="0" distB="0" distL="114300" distR="114300" simplePos="0" relativeHeight="251855872" behindDoc="0" locked="0" layoutInCell="1" allowOverlap="1">
                <wp:simplePos x="0" y="0"/>
                <wp:positionH relativeFrom="column">
                  <wp:posOffset>-114300</wp:posOffset>
                </wp:positionH>
                <wp:positionV relativeFrom="paragraph">
                  <wp:posOffset>5715</wp:posOffset>
                </wp:positionV>
                <wp:extent cx="914400" cy="396240"/>
                <wp:effectExtent l="0" t="0" r="0" b="0"/>
                <wp:wrapNone/>
                <wp:docPr id="50" name="文本框 50"/>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交付工程</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45pt;height:31.2pt;width:72pt;z-index:251855872;mso-width-relative:page;mso-height-relative:page;" filled="f" stroked="f" coordsize="21600,21600" o:gfxdata="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GRApqXVAAAABwEAAA8AAAAAAAAAAQAgAAAAIgAAAGRycy9kb3ducmV2&#10;LnhtbFBLAQIUABQAAAAIAIdO4kDMwle3/wEAANYDAAAOAAAAAAAAAAEAIAAAACQBAABkcnMvZTJv&#10;RG9jLnhtbFBLBQYAAAAABgAGAFkBAACVBQ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交付工程</w:t>
                      </w:r>
                    </w:p>
                  </w:txbxContent>
                </v:textbox>
              </v:shape>
            </w:pict>
          </mc:Fallback>
        </mc:AlternateContent>
      </w:r>
      <w:r>
        <w:rPr>
          <w:rFonts w:hint="eastAsia" w:ascii="宋体" w:hAnsi="宋体" w:cs="宋体"/>
          <w:color w:val="auto"/>
          <w:kern w:val="0"/>
          <w:szCs w:val="21"/>
        </w:rPr>
        <w:t>发包人应在已核实无误的竣工结算文件上签名确认，拒不签认的，承包人可不交付竣工工程。</w:t>
      </w:r>
    </w:p>
    <w:p>
      <w:pPr>
        <w:adjustRightInd w:val="0"/>
        <w:snapToGrid w:val="0"/>
        <w:spacing w:line="360" w:lineRule="auto"/>
        <w:ind w:left="1619" w:leftChars="771"/>
        <w:rPr>
          <w:rFonts w:ascii="宋体" w:hAnsi="宋体" w:cs="宋体"/>
          <w:color w:val="auto"/>
          <w:kern w:val="0"/>
          <w:szCs w:val="21"/>
        </w:rPr>
      </w:pPr>
      <w:r>
        <w:rPr>
          <w:rFonts w:hint="eastAsia" w:ascii="宋体" w:hAnsi="宋体" w:cs="宋体"/>
          <w:color w:val="auto"/>
          <w:kern w:val="0"/>
          <w:szCs w:val="21"/>
        </w:rPr>
        <w:t>承包人未及时递交竣工结算文件的，发包人要求交付竣工工程，承包人应当交付；发包人不要求交付竣工工程，承包人承担照管永久工程责任。</w:t>
      </w:r>
    </w:p>
    <w:p>
      <w:pPr>
        <w:adjustRightInd w:val="0"/>
        <w:snapToGrid w:val="0"/>
        <w:spacing w:line="240" w:lineRule="exact"/>
        <w:rPr>
          <w:rFonts w:ascii="宋体" w:hAnsi="宋体" w:cs="宋体"/>
          <w:b/>
          <w:bCs/>
          <w:color w:val="auto"/>
          <w:kern w:val="0"/>
          <w:szCs w:val="21"/>
          <w:u w:val="single"/>
        </w:rPr>
      </w:pPr>
      <w:r>
        <w:rPr>
          <w:rFonts w:hint="eastAsia" w:ascii="宋体" w:hAnsi="宋体" w:cs="宋体"/>
          <w:b/>
          <w:color w:val="auto"/>
          <w:kern w:val="0"/>
          <w:szCs w:val="21"/>
          <w:u w:val="single"/>
        </w:rPr>
        <w:t xml:space="preserve">  </w:t>
      </w:r>
      <w:r>
        <w:rPr>
          <w:rFonts w:hint="eastAsia" w:ascii="宋体" w:hAnsi="宋体" w:cs="宋体"/>
          <w:b/>
          <w:bCs/>
          <w:color w:val="auto"/>
          <w:kern w:val="0"/>
          <w:szCs w:val="21"/>
          <w:u w:val="single"/>
        </w:rPr>
        <w:t xml:space="preserve">                </w:t>
      </w:r>
      <w:r>
        <w:rPr>
          <w:rFonts w:hint="eastAsia" w:ascii="宋体" w:hAnsi="宋体" w:cs="宋体"/>
          <w:b/>
          <w:color w:val="auto"/>
          <w:kern w:val="0"/>
          <w:szCs w:val="21"/>
          <w:u w:val="single"/>
        </w:rPr>
        <w:t xml:space="preserve">                                                                                            </w:t>
      </w:r>
    </w:p>
    <w:p>
      <w:pPr>
        <w:tabs>
          <w:tab w:val="left" w:pos="540"/>
        </w:tabs>
        <w:adjustRightInd w:val="0"/>
        <w:snapToGrid w:val="0"/>
        <w:spacing w:beforeLines="100" w:line="240" w:lineRule="exact"/>
        <w:ind w:right="-238" w:firstLine="482"/>
        <w:rPr>
          <w:rFonts w:ascii="宋体" w:hAnsi="宋体" w:cs="宋体"/>
          <w:b/>
          <w:color w:val="auto"/>
          <w:kern w:val="0"/>
          <w:szCs w:val="21"/>
        </w:rPr>
      </w:pPr>
    </w:p>
    <w:p>
      <w:pPr>
        <w:tabs>
          <w:tab w:val="left" w:pos="540"/>
        </w:tabs>
        <w:adjustRightInd w:val="0"/>
        <w:snapToGrid w:val="0"/>
        <w:spacing w:beforeLines="100" w:line="360" w:lineRule="auto"/>
        <w:ind w:right="-238"/>
        <w:rPr>
          <w:rFonts w:ascii="宋体" w:hAnsi="宋体" w:cs="宋体"/>
          <w:b/>
          <w:color w:val="auto"/>
          <w:kern w:val="0"/>
          <w:szCs w:val="21"/>
        </w:rPr>
      </w:pPr>
      <w:r>
        <w:rPr>
          <w:rFonts w:hint="eastAsia" w:ascii="宋体" w:hAnsi="宋体" w:cs="宋体"/>
          <w:b/>
          <w:color w:val="auto"/>
          <w:kern w:val="0"/>
          <w:szCs w:val="21"/>
        </w:rPr>
        <w:t>83  结算款</w:t>
      </w:r>
    </w:p>
    <w:p>
      <w:pPr>
        <w:adjustRightInd w:val="0"/>
        <w:snapToGrid w:val="0"/>
        <w:spacing w:line="360" w:lineRule="auto"/>
        <w:rPr>
          <w:rFonts w:ascii="宋体" w:hAnsi="宋体" w:cs="宋体"/>
          <w:color w:val="auto"/>
          <w:kern w:val="0"/>
          <w:szCs w:val="21"/>
        </w:rPr>
      </w:pPr>
      <w:r>
        <w:rPr>
          <w:rFonts w:hint="eastAsia" w:ascii="宋体" w:hAnsi="宋体" w:cs="宋体"/>
          <w:b/>
          <w:color w:val="auto"/>
          <w:kern w:val="0"/>
          <w:szCs w:val="21"/>
        </w:rPr>
        <w:t xml:space="preserve">83.1 </w:t>
      </w:r>
      <w:r>
        <w:rPr>
          <w:rFonts w:hint="eastAsia" w:ascii="宋体" w:hAnsi="宋体" w:cs="宋体"/>
          <w:color w:val="auto"/>
          <w:kern w:val="0"/>
          <w:szCs w:val="21"/>
        </w:rPr>
        <w:t xml:space="preserve"> </w:t>
      </w:r>
    </w:p>
    <w:p>
      <w:pPr>
        <w:adjustRightInd w:val="0"/>
        <w:snapToGrid w:val="0"/>
        <w:spacing w:line="360" w:lineRule="auto"/>
        <w:ind w:left="1619" w:leftChars="771"/>
        <w:rPr>
          <w:rFonts w:ascii="宋体" w:hAnsi="宋体" w:cs="宋体"/>
          <w:color w:val="auto"/>
          <w:kern w:val="0"/>
          <w:szCs w:val="21"/>
        </w:rPr>
      </w:pPr>
      <w:r>
        <w:rPr>
          <w:rFonts w:ascii="宋体" w:hAnsi="宋体" w:cs="宋体"/>
          <w:color w:val="auto"/>
          <w:kern w:val="0"/>
          <w:szCs w:val="21"/>
        </w:rPr>
        <mc:AlternateContent>
          <mc:Choice Requires="wps">
            <w:drawing>
              <wp:anchor distT="0" distB="0" distL="114300" distR="114300" simplePos="0" relativeHeight="252036096" behindDoc="0" locked="0" layoutInCell="1" allowOverlap="1">
                <wp:simplePos x="0" y="0"/>
                <wp:positionH relativeFrom="column">
                  <wp:posOffset>-114300</wp:posOffset>
                </wp:positionH>
                <wp:positionV relativeFrom="paragraph">
                  <wp:posOffset>36195</wp:posOffset>
                </wp:positionV>
                <wp:extent cx="914400" cy="459105"/>
                <wp:effectExtent l="0" t="0" r="0" b="0"/>
                <wp:wrapNone/>
                <wp:docPr id="49" name="文本框 49"/>
                <wp:cNvGraphicFramePr/>
                <a:graphic xmlns:a="http://schemas.openxmlformats.org/drawingml/2006/main">
                  <a:graphicData uri="http://schemas.microsoft.com/office/word/2010/wordprocessingShape">
                    <wps:wsp>
                      <wps:cNvSpPr txBox="1">
                        <a:spLocks noChangeArrowheads="1"/>
                      </wps:cNvSpPr>
                      <wps:spPr bwMode="auto">
                        <a:xfrm>
                          <a:off x="0" y="0"/>
                          <a:ext cx="914400" cy="459105"/>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提交竣工支付申请</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85pt;height:36.15pt;width:72pt;z-index:252036096;mso-width-relative:page;mso-height-relative:page;" filled="f" stroked="f" coordsize="21600,21600" o:gfxdata="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Eyr9J9UAAAAIAQAADwAAAAAAAAABACAAAAAiAAAAZHJzL2Rvd25yZXYu&#10;eG1sUEsBAhQAFAAAAAgAh07iQO0uaIn+AQAA1gMAAA4AAAAAAAAAAQAgAAAAJAEAAGRycy9lMm9E&#10;b2MueG1sUEsFBgAAAAAGAAYAWQEAAJQFA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提交竣工支付申请</w:t>
                      </w:r>
                    </w:p>
                  </w:txbxContent>
                </v:textbox>
              </v:shape>
            </w:pict>
          </mc:Fallback>
        </mc:AlternateContent>
      </w:r>
      <w:r>
        <w:rPr>
          <w:rFonts w:hint="eastAsia" w:ascii="宋体" w:hAnsi="宋体" w:cs="宋体"/>
          <w:color w:val="auto"/>
          <w:kern w:val="0"/>
          <w:szCs w:val="21"/>
        </w:rPr>
        <w:t>合同双方当事人应在专用条款中明确结算款的支付时限。专用条款没有约定的，结算款支付按照第83.2款至第83.5款规定办理。涉及政府投资资金的工程,支付期、支付方法等需调整的，应在专用条款中约定。</w:t>
      </w:r>
    </w:p>
    <w:p>
      <w:pPr>
        <w:adjustRightInd w:val="0"/>
        <w:snapToGrid w:val="0"/>
        <w:spacing w:line="360" w:lineRule="auto"/>
        <w:ind w:left="1619" w:leftChars="771"/>
        <w:rPr>
          <w:rFonts w:ascii="宋体" w:hAnsi="宋体" w:cs="宋体"/>
          <w:color w:val="auto"/>
          <w:kern w:val="0"/>
          <w:szCs w:val="21"/>
        </w:rPr>
      </w:pPr>
      <w:r>
        <w:rPr>
          <w:rFonts w:hint="eastAsia" w:ascii="宋体" w:hAnsi="宋体" w:cs="宋体"/>
          <w:color w:val="auto"/>
          <w:kern w:val="0"/>
          <w:szCs w:val="21"/>
        </w:rPr>
        <w:t>承包人应按照第82.2款规定在向造价工程师递交竣工结算文件时，根据国家、省规定的格式向造价工程师递交由承包人代表签认的竣工结算支付申请和竣工结算款额报告一式四份，并附上完整的结算资料，详细列出下列内容，同时抄送发包人、监理工程师各一份。</w:t>
      </w:r>
    </w:p>
    <w:p>
      <w:pPr>
        <w:tabs>
          <w:tab w:val="left" w:pos="2641"/>
        </w:tabs>
        <w:adjustRightInd w:val="0"/>
        <w:snapToGrid w:val="0"/>
        <w:spacing w:line="360" w:lineRule="auto"/>
        <w:ind w:left="1619" w:leftChars="771"/>
        <w:rPr>
          <w:rFonts w:ascii="宋体" w:hAnsi="宋体" w:cs="宋体"/>
          <w:color w:val="auto"/>
          <w:kern w:val="0"/>
          <w:szCs w:val="21"/>
        </w:rPr>
      </w:pPr>
      <w:r>
        <w:rPr>
          <w:rFonts w:hint="eastAsia" w:ascii="宋体" w:hAnsi="宋体" w:cs="宋体"/>
          <w:color w:val="auto"/>
          <w:kern w:val="0"/>
          <w:szCs w:val="21"/>
        </w:rPr>
        <w:t>（1）根据合同完成全部或所有工程的总造价；</w:t>
      </w:r>
    </w:p>
    <w:p>
      <w:pPr>
        <w:tabs>
          <w:tab w:val="left" w:pos="2641"/>
        </w:tabs>
        <w:adjustRightInd w:val="0"/>
        <w:snapToGrid w:val="0"/>
        <w:spacing w:line="360" w:lineRule="auto"/>
        <w:ind w:left="1619" w:leftChars="771"/>
        <w:rPr>
          <w:rFonts w:ascii="宋体" w:hAnsi="宋体" w:cs="宋体"/>
          <w:color w:val="auto"/>
          <w:kern w:val="0"/>
          <w:szCs w:val="21"/>
        </w:rPr>
      </w:pPr>
      <w:r>
        <w:rPr>
          <w:rFonts w:hint="eastAsia" w:ascii="宋体" w:hAnsi="宋体" w:cs="宋体"/>
          <w:color w:val="auto"/>
          <w:kern w:val="0"/>
          <w:szCs w:val="21"/>
        </w:rPr>
        <w:t>（2）根据合同约定发包人应付的所有款项。</w:t>
      </w:r>
    </w:p>
    <w:p>
      <w:pPr>
        <w:tabs>
          <w:tab w:val="left" w:pos="2641"/>
        </w:tabs>
        <w:adjustRightInd w:val="0"/>
        <w:snapToGrid w:val="0"/>
        <w:spacing w:line="360" w:lineRule="auto"/>
        <w:rPr>
          <w:rFonts w:ascii="宋体" w:hAnsi="宋体" w:cs="宋体"/>
          <w:b/>
          <w:color w:val="auto"/>
          <w:kern w:val="0"/>
          <w:szCs w:val="21"/>
          <w:u w:val="single"/>
        </w:rPr>
      </w:pPr>
      <w:r>
        <w:rPr>
          <w:rFonts w:hint="eastAsia" w:ascii="宋体" w:hAnsi="宋体" w:cs="宋体"/>
          <w:b/>
          <w:color w:val="auto"/>
          <w:kern w:val="0"/>
          <w:szCs w:val="21"/>
        </w:rPr>
        <w:t xml:space="preserve">83.2  </w:t>
      </w:r>
      <w:r>
        <w:rPr>
          <w:rFonts w:hint="eastAsia" w:ascii="宋体" w:hAnsi="宋体" w:cs="宋体"/>
          <w:b/>
          <w:color w:val="auto"/>
          <w:kern w:val="0"/>
          <w:szCs w:val="21"/>
          <w:u w:val="dotted"/>
        </w:rPr>
        <w:t xml:space="preserve">                                                                                                        </w:t>
      </w:r>
    </w:p>
    <w:p>
      <w:pPr>
        <w:adjustRightInd w:val="0"/>
        <w:snapToGrid w:val="0"/>
        <w:spacing w:line="360" w:lineRule="auto"/>
        <w:ind w:left="1619" w:leftChars="771"/>
        <w:rPr>
          <w:rFonts w:ascii="宋体" w:hAnsi="宋体" w:cs="宋体"/>
          <w:color w:val="auto"/>
          <w:kern w:val="0"/>
          <w:szCs w:val="21"/>
          <w:u w:val="single"/>
        </w:rPr>
      </w:pPr>
      <w:r>
        <w:rPr>
          <w:rFonts w:ascii="宋体" w:hAnsi="宋体" w:cs="宋体"/>
          <w:color w:val="auto"/>
          <w:kern w:val="0"/>
          <w:szCs w:val="21"/>
        </w:rPr>
        <mc:AlternateContent>
          <mc:Choice Requires="wps">
            <w:drawing>
              <wp:anchor distT="0" distB="0" distL="114300" distR="114300" simplePos="0" relativeHeight="252037120" behindDoc="0" locked="0" layoutInCell="1" allowOverlap="1">
                <wp:simplePos x="0" y="0"/>
                <wp:positionH relativeFrom="column">
                  <wp:posOffset>-114300</wp:posOffset>
                </wp:positionH>
                <wp:positionV relativeFrom="paragraph">
                  <wp:posOffset>15875</wp:posOffset>
                </wp:positionV>
                <wp:extent cx="914400" cy="718185"/>
                <wp:effectExtent l="0" t="0" r="0" b="0"/>
                <wp:wrapNone/>
                <wp:docPr id="48" name="文本框 48"/>
                <wp:cNvGraphicFramePr/>
                <a:graphic xmlns:a="http://schemas.openxmlformats.org/drawingml/2006/main">
                  <a:graphicData uri="http://schemas.microsoft.com/office/word/2010/wordprocessingShape">
                    <wps:wsp>
                      <wps:cNvSpPr txBox="1">
                        <a:spLocks noChangeArrowheads="1"/>
                      </wps:cNvSpPr>
                      <wps:spPr bwMode="auto">
                        <a:xfrm>
                          <a:off x="0" y="0"/>
                          <a:ext cx="914400" cy="718185"/>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签发竣工结算支付证书</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5pt;height:56.55pt;width:72pt;z-index:252037120;mso-width-relative:page;mso-height-relative:page;" filled="f" stroked="f" coordsize="21600,21600" o:gfxdata="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EGQgC7WAAAACQEAAA8AAAAAAAAAAQAgAAAAIgAAAGRycy9kb3ducmV2&#10;LnhtbFBLAQIUABQAAAAIAIdO4kAHvFuO/gEAANYDAAAOAAAAAAAAAAEAIAAAACUBAABkcnMvZTJv&#10;RG9jLnhtbFBLBQYAAAAABgAGAFkBAACVBQ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签发竣工结算支付证书</w:t>
                      </w:r>
                    </w:p>
                  </w:txbxContent>
                </v:textbox>
              </v:shape>
            </w:pict>
          </mc:Fallback>
        </mc:AlternateContent>
      </w:r>
      <w:r>
        <w:rPr>
          <w:rFonts w:hint="eastAsia" w:ascii="宋体" w:hAnsi="宋体" w:cs="宋体"/>
          <w:color w:val="auto"/>
          <w:kern w:val="0"/>
          <w:szCs w:val="21"/>
        </w:rPr>
        <w:t>造价工程师在收到上述资料后，应按照第82.3款、第82.4款规定核实竣工结算文件，并在发包人签字确认竣工结算文件后的7天内，向发包人签发竣工结算支付证书，同时抄送承包人。</w:t>
      </w:r>
    </w:p>
    <w:p>
      <w:pPr>
        <w:adjustRightInd w:val="0"/>
        <w:snapToGrid w:val="0"/>
        <w:spacing w:line="360" w:lineRule="auto"/>
        <w:rPr>
          <w:rFonts w:ascii="宋体" w:hAnsi="宋体" w:cs="宋体"/>
          <w:color w:val="auto"/>
          <w:kern w:val="0"/>
          <w:szCs w:val="21"/>
        </w:rPr>
      </w:pPr>
      <w:r>
        <w:rPr>
          <w:rFonts w:hint="eastAsia" w:ascii="宋体" w:hAnsi="宋体" w:cs="宋体"/>
          <w:b/>
          <w:color w:val="auto"/>
          <w:kern w:val="0"/>
          <w:szCs w:val="21"/>
        </w:rPr>
        <w:t>83.3</w:t>
      </w:r>
      <w:r>
        <w:rPr>
          <w:rFonts w:hint="eastAsia" w:ascii="宋体" w:hAnsi="宋体" w:cs="宋体"/>
          <w:color w:val="auto"/>
          <w:kern w:val="0"/>
          <w:szCs w:val="21"/>
        </w:rPr>
        <w:t xml:space="preserve">  </w:t>
      </w:r>
      <w:r>
        <w:rPr>
          <w:rFonts w:hint="eastAsia" w:ascii="宋体" w:hAnsi="宋体" w:cs="宋体"/>
          <w:color w:val="auto"/>
          <w:kern w:val="0"/>
          <w:szCs w:val="21"/>
          <w:u w:val="dotted"/>
        </w:rPr>
        <w:t xml:space="preserve">                                                                                                       </w:t>
      </w:r>
    </w:p>
    <w:p>
      <w:pPr>
        <w:adjustRightInd w:val="0"/>
        <w:snapToGrid w:val="0"/>
        <w:spacing w:line="360" w:lineRule="auto"/>
        <w:ind w:left="1619" w:leftChars="771"/>
        <w:rPr>
          <w:rFonts w:ascii="宋体" w:hAnsi="宋体" w:cs="宋体"/>
          <w:color w:val="auto"/>
          <w:kern w:val="0"/>
          <w:szCs w:val="21"/>
        </w:rPr>
      </w:pPr>
      <w:r>
        <w:rPr>
          <w:rFonts w:ascii="宋体" w:hAnsi="宋体" w:cs="宋体"/>
          <w:color w:val="auto"/>
          <w:kern w:val="0"/>
          <w:szCs w:val="21"/>
        </w:rPr>
        <mc:AlternateContent>
          <mc:Choice Requires="wps">
            <w:drawing>
              <wp:anchor distT="0" distB="0" distL="114300" distR="114300" simplePos="0" relativeHeight="252038144" behindDoc="0" locked="0" layoutInCell="1" allowOverlap="1">
                <wp:simplePos x="0" y="0"/>
                <wp:positionH relativeFrom="column">
                  <wp:posOffset>-114300</wp:posOffset>
                </wp:positionH>
                <wp:positionV relativeFrom="paragraph">
                  <wp:posOffset>5715</wp:posOffset>
                </wp:positionV>
                <wp:extent cx="914400" cy="396240"/>
                <wp:effectExtent l="0" t="0" r="0" b="0"/>
                <wp:wrapNone/>
                <wp:docPr id="47" name="文本框 47"/>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竣工结算款支付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45pt;height:31.2pt;width:72pt;z-index:252038144;mso-width-relative:page;mso-height-relative:page;" filled="f" stroked="f" coordsize="21600,21600" o:gfxdata="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GRApqXVAAAABwEAAA8AAAAAAAAAAQAgAAAAIgAAAGRycy9kb3ducmV2&#10;LnhtbFBLAQIUABQAAAAIAIdO4kCLnheq/wEAANYDAAAOAAAAAAAAAAEAIAAAACQBAABkcnMvZTJv&#10;RG9jLnhtbFBLBQYAAAAABgAGAFkBAACVBQ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竣工结算款支付</w:t>
                      </w:r>
                    </w:p>
                  </w:txbxContent>
                </v:textbox>
              </v:shape>
            </w:pict>
          </mc:Fallback>
        </mc:AlternateContent>
      </w:r>
      <w:r>
        <w:rPr>
          <w:rFonts w:hint="eastAsia" w:ascii="宋体" w:hAnsi="宋体" w:cs="宋体"/>
          <w:color w:val="auto"/>
          <w:kern w:val="0"/>
          <w:szCs w:val="21"/>
        </w:rPr>
        <w:t>发包人应在造价工程师签发竣工结算支付证书后的28天内，按照竣工结算支付证书列明的金额向承包人支付结算款，并通知造价工程师。</w:t>
      </w:r>
    </w:p>
    <w:p>
      <w:pPr>
        <w:tabs>
          <w:tab w:val="left" w:pos="1320"/>
        </w:tabs>
        <w:adjustRightInd w:val="0"/>
        <w:snapToGrid w:val="0"/>
        <w:spacing w:line="360" w:lineRule="auto"/>
        <w:rPr>
          <w:rFonts w:ascii="宋体" w:hAnsi="宋体" w:cs="宋体"/>
          <w:b/>
          <w:color w:val="auto"/>
          <w:kern w:val="0"/>
          <w:szCs w:val="21"/>
        </w:rPr>
      </w:pPr>
      <w:r>
        <w:rPr>
          <w:rFonts w:hint="eastAsia" w:ascii="宋体" w:hAnsi="宋体" w:cs="宋体"/>
          <w:b/>
          <w:color w:val="auto"/>
          <w:kern w:val="0"/>
          <w:szCs w:val="21"/>
        </w:rPr>
        <w:t xml:space="preserve">83.4  </w:t>
      </w:r>
      <w:r>
        <w:rPr>
          <w:rFonts w:hint="eastAsia" w:ascii="宋体" w:hAnsi="宋体" w:cs="宋体"/>
          <w:b/>
          <w:color w:val="auto"/>
          <w:kern w:val="0"/>
          <w:szCs w:val="21"/>
          <w:u w:val="dotted"/>
        </w:rPr>
        <w:t xml:space="preserve">                                                                                                        </w:t>
      </w:r>
    </w:p>
    <w:p>
      <w:pPr>
        <w:adjustRightInd w:val="0"/>
        <w:snapToGrid w:val="0"/>
        <w:spacing w:line="360" w:lineRule="auto"/>
        <w:ind w:left="1678" w:leftChars="799" w:firstLine="2"/>
        <w:rPr>
          <w:rFonts w:ascii="宋体" w:hAnsi="宋体" w:cs="宋体"/>
          <w:color w:val="auto"/>
          <w:kern w:val="0"/>
          <w:szCs w:val="21"/>
        </w:rPr>
      </w:pPr>
      <w:r>
        <w:rPr>
          <w:rFonts w:ascii="宋体" w:hAnsi="宋体" w:cs="宋体"/>
          <w:color w:val="auto"/>
          <w:kern w:val="0"/>
          <w:szCs w:val="21"/>
        </w:rPr>
        <mc:AlternateContent>
          <mc:Choice Requires="wps">
            <w:drawing>
              <wp:anchor distT="0" distB="0" distL="114300" distR="114300" simplePos="0" relativeHeight="252040192" behindDoc="0" locked="0" layoutInCell="1" allowOverlap="1">
                <wp:simplePos x="0" y="0"/>
                <wp:positionH relativeFrom="column">
                  <wp:posOffset>-66675</wp:posOffset>
                </wp:positionH>
                <wp:positionV relativeFrom="paragraph">
                  <wp:posOffset>12065</wp:posOffset>
                </wp:positionV>
                <wp:extent cx="1047750" cy="829310"/>
                <wp:effectExtent l="0" t="0" r="0" b="0"/>
                <wp:wrapNone/>
                <wp:docPr id="46" name="文本框 46"/>
                <wp:cNvGraphicFramePr/>
                <a:graphic xmlns:a="http://schemas.openxmlformats.org/drawingml/2006/main">
                  <a:graphicData uri="http://schemas.microsoft.com/office/word/2010/wordprocessingShape">
                    <wps:wsp>
                      <wps:cNvSpPr txBox="1">
                        <a:spLocks noChangeArrowheads="1"/>
                      </wps:cNvSpPr>
                      <wps:spPr bwMode="auto">
                        <a:xfrm>
                          <a:off x="0" y="0"/>
                          <a:ext cx="1047750" cy="829310"/>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签发竣工结算</w:t>
                            </w:r>
                          </w:p>
                          <w:p>
                            <w:pPr>
                              <w:spacing w:line="240" w:lineRule="exact"/>
                              <w:rPr>
                                <w:rFonts w:ascii="楷体_GB2312" w:hAnsi="宋体"/>
                                <w:b/>
                                <w:bCs/>
                                <w:sz w:val="18"/>
                                <w:szCs w:val="18"/>
                              </w:rPr>
                            </w:pPr>
                            <w:r>
                              <w:rPr>
                                <w:rFonts w:hint="eastAsia" w:ascii="楷体_GB2312" w:hAnsi="宋体"/>
                                <w:b/>
                                <w:bCs/>
                                <w:sz w:val="18"/>
                                <w:szCs w:val="18"/>
                              </w:rPr>
                              <w:t>支付证书的限</w:t>
                            </w:r>
                          </w:p>
                          <w:p>
                            <w:pPr>
                              <w:spacing w:line="240" w:lineRule="exact"/>
                              <w:rPr>
                                <w:rFonts w:ascii="楷体_GB2312" w:hAnsi="宋体"/>
                                <w:b/>
                                <w:bCs/>
                                <w:sz w:val="18"/>
                                <w:szCs w:val="18"/>
                              </w:rPr>
                            </w:pPr>
                            <w:r>
                              <w:rPr>
                                <w:rFonts w:hint="eastAsia" w:ascii="楷体_GB2312" w:hAnsi="宋体"/>
                                <w:b/>
                                <w:bCs/>
                                <w:sz w:val="18"/>
                                <w:szCs w:val="18"/>
                              </w:rPr>
                              <w:t>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25pt;margin-top:0.95pt;height:65.3pt;width:82.5pt;z-index:252040192;mso-width-relative:page;mso-height-relative:page;" filled="f" stroked="f" coordsize="21600,21600" o:gfxdata="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9NBqndUAAAAJAQAADwAAAAAAAAABACAAAAAiAAAAZHJzL2Rvd25y&#10;ZXYueG1sUEsBAhQAFAAAAAgAh07iQLeNGx8BAgAA1wMAAA4AAAAAAAAAAQAgAAAAJAEAAGRycy9l&#10;Mm9Eb2MueG1sUEsFBgAAAAAGAAYAWQEAAJcFA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签发竣工结算</w:t>
                      </w:r>
                    </w:p>
                    <w:p>
                      <w:pPr>
                        <w:spacing w:line="240" w:lineRule="exact"/>
                        <w:rPr>
                          <w:rFonts w:ascii="楷体_GB2312" w:hAnsi="宋体"/>
                          <w:b/>
                          <w:bCs/>
                          <w:sz w:val="18"/>
                          <w:szCs w:val="18"/>
                        </w:rPr>
                      </w:pPr>
                      <w:r>
                        <w:rPr>
                          <w:rFonts w:hint="eastAsia" w:ascii="楷体_GB2312" w:hAnsi="宋体"/>
                          <w:b/>
                          <w:bCs/>
                          <w:sz w:val="18"/>
                          <w:szCs w:val="18"/>
                        </w:rPr>
                        <w:t>支付证书的限</w:t>
                      </w:r>
                    </w:p>
                    <w:p>
                      <w:pPr>
                        <w:spacing w:line="240" w:lineRule="exact"/>
                        <w:rPr>
                          <w:rFonts w:ascii="楷体_GB2312" w:hAnsi="宋体"/>
                          <w:b/>
                          <w:bCs/>
                          <w:sz w:val="18"/>
                          <w:szCs w:val="18"/>
                        </w:rPr>
                      </w:pPr>
                      <w:r>
                        <w:rPr>
                          <w:rFonts w:hint="eastAsia" w:ascii="楷体_GB2312" w:hAnsi="宋体"/>
                          <w:b/>
                          <w:bCs/>
                          <w:sz w:val="18"/>
                          <w:szCs w:val="18"/>
                        </w:rPr>
                        <w:t>制</w:t>
                      </w:r>
                    </w:p>
                  </w:txbxContent>
                </v:textbox>
              </v:shape>
            </w:pict>
          </mc:Fallback>
        </mc:AlternateContent>
      </w:r>
      <w:r>
        <w:rPr>
          <w:rFonts w:hint="eastAsia" w:ascii="宋体" w:hAnsi="宋体" w:cs="宋体"/>
          <w:color w:val="auto"/>
          <w:kern w:val="0"/>
          <w:szCs w:val="21"/>
        </w:rPr>
        <w:t>如果造价工程师未在第83.2款规定的期限内签发竣工结算支付证书的，则视为承包人提交的竣工支付申请已被认可，承包人应及时向发包人发出要求支付竣工结算款的通知。发包人应在收到通知后的28天内，按照承包人支付申请列明的金额向承包人支付竣工结算款。</w:t>
      </w:r>
    </w:p>
    <w:p>
      <w:pPr>
        <w:adjustRightInd w:val="0"/>
        <w:snapToGrid w:val="0"/>
        <w:spacing w:line="480" w:lineRule="auto"/>
        <w:rPr>
          <w:rFonts w:ascii="宋体" w:hAnsi="宋体" w:cs="宋体"/>
          <w:b/>
          <w:color w:val="auto"/>
          <w:kern w:val="0"/>
          <w:szCs w:val="21"/>
        </w:rPr>
      </w:pPr>
      <w:r>
        <w:rPr>
          <w:rFonts w:hint="eastAsia" w:ascii="宋体" w:hAnsi="宋体" w:cs="宋体"/>
          <w:b/>
          <w:color w:val="auto"/>
          <w:kern w:val="0"/>
          <w:szCs w:val="21"/>
        </w:rPr>
        <w:t xml:space="preserve">83.5  </w:t>
      </w:r>
      <w:r>
        <w:rPr>
          <w:rFonts w:hint="eastAsia" w:ascii="宋体" w:hAnsi="宋体" w:cs="宋体"/>
          <w:b/>
          <w:color w:val="auto"/>
          <w:kern w:val="0"/>
          <w:szCs w:val="21"/>
          <w:u w:val="dotted"/>
        </w:rPr>
        <w:t xml:space="preserve">                                                                                                        </w:t>
      </w:r>
    </w:p>
    <w:p>
      <w:pPr>
        <w:adjustRightInd w:val="0"/>
        <w:snapToGrid w:val="0"/>
        <w:spacing w:line="360" w:lineRule="auto"/>
        <w:ind w:left="1680" w:leftChars="800"/>
        <w:rPr>
          <w:rFonts w:ascii="宋体" w:hAnsi="宋体" w:cs="宋体"/>
          <w:color w:val="auto"/>
          <w:kern w:val="0"/>
          <w:szCs w:val="21"/>
        </w:rPr>
      </w:pPr>
      <w:r>
        <w:rPr>
          <w:rFonts w:ascii="宋体" w:hAnsi="宋体" w:cs="宋体"/>
          <w:color w:val="auto"/>
          <w:kern w:val="0"/>
          <w:szCs w:val="21"/>
        </w:rPr>
        <mc:AlternateContent>
          <mc:Choice Requires="wps">
            <w:drawing>
              <wp:anchor distT="0" distB="0" distL="114300" distR="114300" simplePos="0" relativeHeight="252039168" behindDoc="0" locked="0" layoutInCell="1" allowOverlap="1">
                <wp:simplePos x="0" y="0"/>
                <wp:positionH relativeFrom="column">
                  <wp:posOffset>-114300</wp:posOffset>
                </wp:positionH>
                <wp:positionV relativeFrom="paragraph">
                  <wp:posOffset>58420</wp:posOffset>
                </wp:positionV>
                <wp:extent cx="914400" cy="407670"/>
                <wp:effectExtent l="0" t="0" r="0" b="0"/>
                <wp:wrapNone/>
                <wp:docPr id="45" name="文本框 45"/>
                <wp:cNvGraphicFramePr/>
                <a:graphic xmlns:a="http://schemas.openxmlformats.org/drawingml/2006/main">
                  <a:graphicData uri="http://schemas.microsoft.com/office/word/2010/wordprocessingShape">
                    <wps:wsp>
                      <wps:cNvSpPr txBox="1">
                        <a:spLocks noChangeArrowheads="1"/>
                      </wps:cNvSpPr>
                      <wps:spPr bwMode="auto">
                        <a:xfrm>
                          <a:off x="0" y="0"/>
                          <a:ext cx="914400" cy="407670"/>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竣工结算款支付的限制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4.6pt;height:32.1pt;width:72pt;z-index:252039168;mso-width-relative:page;mso-height-relative:page;" filled="f" stroked="f" coordsize="21600,21600" o:gfxdata="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KyzLj1gAAAAgBAAAPAAAAAAAAAAEAIAAAACIAAABkcnMvZG93bnJl&#10;di54bWxQSwECFAAUAAAACACHTuJAV+Qp/P8BAADWAwAADgAAAAAAAAABACAAAAAlAQAAZHJzL2Uy&#10;b0RvYy54bWxQSwUGAAAAAAYABgBZAQAAlgU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竣工结算款支付的限制</w:t>
                      </w:r>
                    </w:p>
                  </w:txbxContent>
                </v:textbox>
              </v:shape>
            </w:pict>
          </mc:Fallback>
        </mc:AlternateContent>
      </w:r>
      <w:r>
        <w:rPr>
          <w:rFonts w:hint="eastAsia" w:ascii="宋体" w:hAnsi="宋体" w:cs="宋体"/>
          <w:color w:val="auto"/>
          <w:kern w:val="0"/>
          <w:szCs w:val="21"/>
        </w:rPr>
        <w:t>发包人未按照第83.3款和第83.4款规定支付竣工结算款的，承包人可催告发包人支付竣工结算款，如双方达成延期支付协议，承包人有权按照第78.2款规定获得延期支付的利息。</w:t>
      </w:r>
    </w:p>
    <w:p>
      <w:pPr>
        <w:adjustRightInd w:val="0"/>
        <w:snapToGrid w:val="0"/>
        <w:spacing w:line="360" w:lineRule="auto"/>
        <w:ind w:left="1680" w:leftChars="800"/>
        <w:rPr>
          <w:rFonts w:ascii="宋体" w:hAnsi="宋体" w:cs="宋体"/>
          <w:color w:val="auto"/>
          <w:kern w:val="0"/>
          <w:szCs w:val="21"/>
        </w:rPr>
      </w:pPr>
      <w:r>
        <w:rPr>
          <w:rFonts w:hint="eastAsia" w:ascii="宋体" w:hAnsi="宋体" w:cs="宋体"/>
          <w:color w:val="auto"/>
          <w:kern w:val="0"/>
          <w:szCs w:val="21"/>
        </w:rPr>
        <w:t>发包人在收到竣工结算支付证书后的56天内仍未支付竣工结算款，合同双方当事人又未达成延期支付协议的，除法律另有规定外，承包人可与发包人协商将该永久工程折价，也可直接向人民法院申请将该永久工程依法拍卖。承包人就该永久工程折价或拍卖的价款优先受偿。</w:t>
      </w:r>
    </w:p>
    <w:p>
      <w:pPr>
        <w:adjustRightInd w:val="0"/>
        <w:snapToGrid w:val="0"/>
        <w:spacing w:line="360" w:lineRule="auto"/>
        <w:rPr>
          <w:rFonts w:ascii="宋体" w:hAnsi="宋体" w:cs="宋体"/>
          <w:b/>
          <w:bCs/>
          <w:color w:val="auto"/>
          <w:kern w:val="0"/>
          <w:szCs w:val="21"/>
          <w:u w:val="single"/>
        </w:rPr>
      </w:pPr>
      <w:r>
        <w:rPr>
          <w:rFonts w:hint="eastAsia" w:ascii="宋体" w:hAnsi="宋体" w:cs="宋体"/>
          <w:b/>
          <w:color w:val="auto"/>
          <w:kern w:val="0"/>
          <w:szCs w:val="21"/>
          <w:u w:val="single"/>
        </w:rPr>
        <w:t xml:space="preserve">  </w:t>
      </w:r>
      <w:r>
        <w:rPr>
          <w:rFonts w:hint="eastAsia" w:ascii="宋体" w:hAnsi="宋体" w:cs="宋体"/>
          <w:b/>
          <w:bCs/>
          <w:color w:val="auto"/>
          <w:kern w:val="0"/>
          <w:szCs w:val="21"/>
          <w:u w:val="single"/>
        </w:rPr>
        <w:t xml:space="preserve">                </w:t>
      </w:r>
      <w:r>
        <w:rPr>
          <w:rFonts w:hint="eastAsia" w:ascii="宋体" w:hAnsi="宋体" w:cs="宋体"/>
          <w:b/>
          <w:color w:val="auto"/>
          <w:kern w:val="0"/>
          <w:szCs w:val="21"/>
          <w:u w:val="single"/>
        </w:rPr>
        <w:t xml:space="preserve">                                                                                            </w:t>
      </w:r>
    </w:p>
    <w:p>
      <w:pPr>
        <w:tabs>
          <w:tab w:val="left" w:pos="1620"/>
        </w:tabs>
        <w:spacing w:before="100" w:line="360" w:lineRule="auto"/>
        <w:rPr>
          <w:rFonts w:ascii="宋体" w:hAnsi="宋体" w:cs="宋体"/>
          <w:b/>
          <w:color w:val="auto"/>
          <w:szCs w:val="21"/>
        </w:rPr>
      </w:pPr>
    </w:p>
    <w:p>
      <w:pPr>
        <w:tabs>
          <w:tab w:val="left" w:pos="540"/>
        </w:tabs>
        <w:adjustRightInd w:val="0"/>
        <w:snapToGrid w:val="0"/>
        <w:spacing w:beforeLines="100" w:line="360" w:lineRule="auto"/>
        <w:ind w:right="-238"/>
        <w:rPr>
          <w:rFonts w:ascii="宋体" w:hAnsi="宋体" w:cs="宋体"/>
          <w:b/>
          <w:color w:val="auto"/>
          <w:kern w:val="0"/>
          <w:szCs w:val="21"/>
        </w:rPr>
      </w:pPr>
      <w:r>
        <w:rPr>
          <w:rFonts w:hint="eastAsia" w:ascii="宋体" w:hAnsi="宋体" w:cs="宋体"/>
          <w:b/>
          <w:color w:val="auto"/>
          <w:kern w:val="0"/>
          <w:szCs w:val="21"/>
        </w:rPr>
        <w:t>84  质量保证金</w:t>
      </w:r>
    </w:p>
    <w:p>
      <w:pPr>
        <w:adjustRightInd w:val="0"/>
        <w:snapToGrid w:val="0"/>
        <w:spacing w:line="360" w:lineRule="auto"/>
        <w:rPr>
          <w:rFonts w:ascii="宋体" w:hAnsi="宋体" w:cs="宋体"/>
          <w:b/>
          <w:color w:val="auto"/>
          <w:kern w:val="0"/>
          <w:szCs w:val="21"/>
        </w:rPr>
      </w:pPr>
      <w:r>
        <w:rPr>
          <w:rFonts w:hint="eastAsia" w:ascii="宋体" w:hAnsi="宋体" w:cs="宋体"/>
          <w:b/>
          <w:color w:val="auto"/>
          <w:kern w:val="0"/>
          <w:szCs w:val="21"/>
        </w:rPr>
        <w:t xml:space="preserve">84.1     </w:t>
      </w:r>
    </w:p>
    <w:p>
      <w:pPr>
        <w:adjustRightInd w:val="0"/>
        <w:snapToGrid w:val="0"/>
        <w:spacing w:line="360" w:lineRule="auto"/>
        <w:ind w:left="1619" w:leftChars="771"/>
        <w:rPr>
          <w:rFonts w:ascii="宋体" w:hAnsi="宋体" w:cs="宋体"/>
          <w:color w:val="auto"/>
          <w:kern w:val="0"/>
          <w:szCs w:val="21"/>
        </w:rPr>
      </w:pPr>
      <w:r>
        <w:rPr>
          <w:rFonts w:ascii="宋体" w:hAnsi="宋体" w:cs="宋体"/>
          <w:color w:val="auto"/>
          <w:kern w:val="0"/>
          <w:szCs w:val="21"/>
        </w:rPr>
        <mc:AlternateContent>
          <mc:Choice Requires="wps">
            <w:drawing>
              <wp:anchor distT="0" distB="0" distL="114300" distR="114300" simplePos="0" relativeHeight="251856896" behindDoc="0" locked="0" layoutInCell="1" allowOverlap="1">
                <wp:simplePos x="0" y="0"/>
                <wp:positionH relativeFrom="column">
                  <wp:posOffset>-114300</wp:posOffset>
                </wp:positionH>
                <wp:positionV relativeFrom="paragraph">
                  <wp:posOffset>8255</wp:posOffset>
                </wp:positionV>
                <wp:extent cx="914400" cy="396240"/>
                <wp:effectExtent l="0" t="0" r="0" b="0"/>
                <wp:wrapNone/>
                <wp:docPr id="44" name="文本框 44"/>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质量保证金的用途和限制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65pt;height:31.2pt;width:72pt;z-index:251856896;mso-width-relative:page;mso-height-relative:page;" filled="f" stroked="f" coordsize="21600,21600" o:gfxdata="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Ja3aJbVAAAACAEAAA8AAAAAAAAAAQAgAAAAIgAAAGRycy9kb3ducmV2&#10;LnhtbFBLAQIUABQAAAAIAIdO4kDeBZop/wEAANYDAAAOAAAAAAAAAAEAIAAAACQBAABkcnMvZTJv&#10;RG9jLnhtbFBLBQYAAAAABgAGAFkBAACVBQ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质量保证金的用途和限制</w:t>
                      </w:r>
                    </w:p>
                  </w:txbxContent>
                </v:textbox>
              </v:shape>
            </w:pict>
          </mc:Fallback>
        </mc:AlternateContent>
      </w:r>
      <w:r>
        <w:rPr>
          <w:rFonts w:hint="eastAsia" w:ascii="宋体" w:hAnsi="宋体" w:cs="宋体"/>
          <w:color w:val="auto"/>
          <w:kern w:val="0"/>
          <w:szCs w:val="21"/>
        </w:rPr>
        <w:t>质量保证金用于承包人对合同工程质量的担保。承包人未按照法律有关规定和合同约定履行质量保修义务的，发包人有权从质量保证金中扣留用于质量保修的各项支出。</w:t>
      </w:r>
    </w:p>
    <w:p>
      <w:pPr>
        <w:tabs>
          <w:tab w:val="left" w:pos="900"/>
        </w:tabs>
        <w:adjustRightInd w:val="0"/>
        <w:snapToGrid w:val="0"/>
        <w:spacing w:line="360" w:lineRule="auto"/>
        <w:rPr>
          <w:rFonts w:ascii="宋体" w:hAnsi="宋体" w:cs="宋体"/>
          <w:b/>
          <w:color w:val="auto"/>
          <w:kern w:val="0"/>
          <w:szCs w:val="21"/>
        </w:rPr>
      </w:pPr>
      <w:r>
        <w:rPr>
          <w:rFonts w:hint="eastAsia" w:ascii="宋体" w:hAnsi="宋体" w:cs="宋体"/>
          <w:b/>
          <w:color w:val="auto"/>
          <w:kern w:val="0"/>
          <w:szCs w:val="21"/>
        </w:rPr>
        <w:t xml:space="preserve">84.2  </w:t>
      </w:r>
      <w:r>
        <w:rPr>
          <w:rFonts w:hint="eastAsia" w:ascii="宋体" w:hAnsi="宋体" w:cs="宋体"/>
          <w:b/>
          <w:color w:val="auto"/>
          <w:kern w:val="0"/>
          <w:szCs w:val="21"/>
          <w:u w:val="dotted"/>
        </w:rPr>
        <w:t xml:space="preserve">                                                                                                       </w:t>
      </w:r>
    </w:p>
    <w:p>
      <w:pPr>
        <w:adjustRightInd w:val="0"/>
        <w:snapToGrid w:val="0"/>
        <w:spacing w:line="360" w:lineRule="auto"/>
        <w:ind w:left="1619" w:leftChars="771"/>
        <w:rPr>
          <w:rFonts w:ascii="宋体" w:hAnsi="宋体" w:cs="宋体"/>
          <w:color w:val="auto"/>
          <w:kern w:val="0"/>
          <w:szCs w:val="21"/>
        </w:rPr>
      </w:pPr>
      <w:r>
        <w:rPr>
          <w:rFonts w:hint="eastAsia" w:ascii="宋体" w:hAnsi="宋体" w:cs="宋体"/>
          <w:color w:val="auto"/>
          <w:kern w:val="0"/>
          <w:szCs w:val="21"/>
        </w:rPr>
        <w:t>合同双方当事人应在专用条款中约定质量保证金金额</w:t>
      </w:r>
      <w:r>
        <w:rPr>
          <w:rFonts w:ascii="宋体" w:hAnsi="宋体" w:cs="宋体"/>
          <w:color w:val="auto"/>
          <w:kern w:val="0"/>
          <w:szCs w:val="21"/>
        </w:rPr>
        <mc:AlternateContent>
          <mc:Choice Requires="wps">
            <w:drawing>
              <wp:anchor distT="0" distB="0" distL="114300" distR="114300" simplePos="0" relativeHeight="251857920" behindDoc="0" locked="0" layoutInCell="1" allowOverlap="1">
                <wp:simplePos x="0" y="0"/>
                <wp:positionH relativeFrom="column">
                  <wp:posOffset>-114300</wp:posOffset>
                </wp:positionH>
                <wp:positionV relativeFrom="paragraph">
                  <wp:posOffset>20320</wp:posOffset>
                </wp:positionV>
                <wp:extent cx="914400" cy="519430"/>
                <wp:effectExtent l="0" t="0" r="0" b="0"/>
                <wp:wrapNone/>
                <wp:docPr id="43" name="文本框 43"/>
                <wp:cNvGraphicFramePr/>
                <a:graphic xmlns:a="http://schemas.openxmlformats.org/drawingml/2006/main">
                  <a:graphicData uri="http://schemas.microsoft.com/office/word/2010/wordprocessingShape">
                    <wps:wsp>
                      <wps:cNvSpPr txBox="1">
                        <a:spLocks noChangeArrowheads="1"/>
                      </wps:cNvSpPr>
                      <wps:spPr bwMode="auto">
                        <a:xfrm>
                          <a:off x="0" y="0"/>
                          <a:ext cx="914400" cy="519430"/>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质量保证金的约定与扣留</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6pt;height:40.9pt;width:72pt;z-index:251857920;mso-width-relative:page;mso-height-relative:page;" filled="f" stroked="f" coordsize="21600,21600" o:gfxdata="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FJRW8TVAAAACAEAAA8AAAAAAAAAAQAgAAAAIgAAAGRycy9kb3ducmV2&#10;LnhtbFBLAQIUABQAAAAIAIdO4kBmvH15/wEAANYDAAAOAAAAAAAAAAEAIAAAACQBAABkcnMvZTJv&#10;RG9jLnhtbFBLBQYAAAAABgAGAFkBAACVBQ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质量保证金的约定与扣留</w:t>
                      </w:r>
                    </w:p>
                  </w:txbxContent>
                </v:textbox>
              </v:shape>
            </w:pict>
          </mc:Fallback>
        </mc:AlternateContent>
      </w:r>
      <w:r>
        <w:rPr>
          <w:rFonts w:hint="eastAsia" w:ascii="宋体" w:hAnsi="宋体" w:cs="宋体"/>
          <w:color w:val="auto"/>
          <w:kern w:val="0"/>
          <w:szCs w:val="21"/>
        </w:rPr>
        <w:t>。除专用条款另有约定外，质量保证金为合同价款的3％。发包人应按照该比例从每支付期应支付给承包人的进度款或结算款中扣留，直到扣留的质量保证金总额达到专用条款约定的的金额为止。</w:t>
      </w:r>
    </w:p>
    <w:p>
      <w:pPr>
        <w:adjustRightInd w:val="0"/>
        <w:snapToGrid w:val="0"/>
        <w:spacing w:line="360" w:lineRule="auto"/>
        <w:rPr>
          <w:rFonts w:ascii="宋体" w:hAnsi="宋体" w:cs="宋体"/>
          <w:b/>
          <w:color w:val="auto"/>
          <w:kern w:val="0"/>
          <w:szCs w:val="21"/>
        </w:rPr>
      </w:pPr>
      <w:r>
        <w:rPr>
          <w:rFonts w:hint="eastAsia" w:ascii="宋体" w:hAnsi="宋体" w:cs="宋体"/>
          <w:b/>
          <w:color w:val="auto"/>
          <w:kern w:val="0"/>
          <w:szCs w:val="21"/>
        </w:rPr>
        <w:t xml:space="preserve">84.3  </w:t>
      </w:r>
      <w:r>
        <w:rPr>
          <w:rFonts w:hint="eastAsia" w:ascii="宋体" w:hAnsi="宋体" w:cs="宋体"/>
          <w:b/>
          <w:color w:val="auto"/>
          <w:kern w:val="0"/>
          <w:szCs w:val="21"/>
          <w:u w:val="dotted"/>
        </w:rPr>
        <w:t xml:space="preserve">                                                                                                       </w:t>
      </w:r>
    </w:p>
    <w:p>
      <w:pPr>
        <w:adjustRightInd w:val="0"/>
        <w:snapToGrid w:val="0"/>
        <w:spacing w:line="360" w:lineRule="auto"/>
        <w:ind w:left="1619" w:leftChars="771"/>
        <w:rPr>
          <w:rFonts w:ascii="宋体" w:hAnsi="宋体" w:cs="宋体"/>
          <w:color w:val="auto"/>
          <w:kern w:val="0"/>
          <w:szCs w:val="21"/>
        </w:rPr>
      </w:pPr>
      <w:r>
        <w:rPr>
          <w:rFonts w:ascii="宋体" w:hAnsi="宋体" w:cs="宋体"/>
          <w:color w:val="auto"/>
          <w:kern w:val="0"/>
          <w:szCs w:val="21"/>
        </w:rPr>
        <mc:AlternateContent>
          <mc:Choice Requires="wps">
            <w:drawing>
              <wp:anchor distT="0" distB="0" distL="114300" distR="114300" simplePos="0" relativeHeight="251858944" behindDoc="0" locked="0" layoutInCell="1" allowOverlap="1">
                <wp:simplePos x="0" y="0"/>
                <wp:positionH relativeFrom="column">
                  <wp:posOffset>-114300</wp:posOffset>
                </wp:positionH>
                <wp:positionV relativeFrom="paragraph">
                  <wp:posOffset>45720</wp:posOffset>
                </wp:positionV>
                <wp:extent cx="914400" cy="462915"/>
                <wp:effectExtent l="0" t="0" r="0" b="0"/>
                <wp:wrapNone/>
                <wp:docPr id="42" name="文本框 42"/>
                <wp:cNvGraphicFramePr/>
                <a:graphic xmlns:a="http://schemas.openxmlformats.org/drawingml/2006/main">
                  <a:graphicData uri="http://schemas.microsoft.com/office/word/2010/wordprocessingShape">
                    <wps:wsp>
                      <wps:cNvSpPr txBox="1">
                        <a:spLocks noChangeArrowheads="1"/>
                      </wps:cNvSpPr>
                      <wps:spPr bwMode="auto">
                        <a:xfrm>
                          <a:off x="0" y="0"/>
                          <a:ext cx="914400" cy="462915"/>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质量保证金返还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6pt;height:36.45pt;width:72pt;z-index:251858944;mso-width-relative:page;mso-height-relative:page;" filled="f" stroked="f" coordsize="21600,21600" o:gfxdata="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KpXYFbVAAAACAEAAA8AAAAAAAAAAQAgAAAAIgAAAGRycy9kb3ducmV2&#10;LnhtbFBLAQIUABQAAAAIAIdO4kDslqx+/wEAANYDAAAOAAAAAAAAAAEAIAAAACQBAABkcnMvZTJv&#10;RG9jLnhtbFBLBQYAAAAABgAGAFkBAACVBQ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质量保证金返还</w:t>
                      </w:r>
                    </w:p>
                  </w:txbxContent>
                </v:textbox>
              </v:shape>
            </w:pict>
          </mc:Fallback>
        </mc:AlternateContent>
      </w:r>
      <w:r>
        <w:rPr>
          <w:rFonts w:hint="eastAsia" w:ascii="宋体" w:hAnsi="宋体" w:cs="宋体"/>
          <w:color w:val="auto"/>
          <w:kern w:val="0"/>
          <w:szCs w:val="21"/>
        </w:rPr>
        <w:t>缺陷责任期（包括第59.2款延长的期限）满时，承包人应向发包人申请到期应返还的剩余质量保证金金额。发包人如无异议，应在缺陷责任期满后的14天内将剩余的质量保证金返还给承包人。剩余质量保证金的返还，并不能免除承包人按照合同约定应承担的质量保修责任和应履行的质量保修义务。</w:t>
      </w:r>
    </w:p>
    <w:p>
      <w:pPr>
        <w:adjustRightInd w:val="0"/>
        <w:snapToGrid w:val="0"/>
        <w:spacing w:line="360" w:lineRule="auto"/>
        <w:rPr>
          <w:rFonts w:ascii="宋体" w:hAnsi="宋体" w:cs="宋体"/>
          <w:b/>
          <w:color w:val="auto"/>
          <w:kern w:val="0"/>
          <w:szCs w:val="21"/>
        </w:rPr>
      </w:pPr>
      <w:r>
        <w:rPr>
          <w:rFonts w:hint="eastAsia" w:ascii="宋体" w:hAnsi="宋体" w:cs="宋体"/>
          <w:b/>
          <w:color w:val="auto"/>
          <w:kern w:val="0"/>
          <w:szCs w:val="21"/>
        </w:rPr>
        <w:t xml:space="preserve">84.4  </w:t>
      </w:r>
      <w:r>
        <w:rPr>
          <w:rFonts w:hint="eastAsia" w:ascii="宋体" w:hAnsi="宋体" w:cs="宋体"/>
          <w:b/>
          <w:color w:val="auto"/>
          <w:kern w:val="0"/>
          <w:szCs w:val="21"/>
          <w:u w:val="dotted"/>
        </w:rPr>
        <w:t xml:space="preserve">                                                                                                       </w:t>
      </w:r>
    </w:p>
    <w:p>
      <w:pPr>
        <w:adjustRightInd w:val="0"/>
        <w:snapToGrid w:val="0"/>
        <w:spacing w:line="360" w:lineRule="auto"/>
        <w:ind w:left="1619" w:leftChars="771"/>
        <w:rPr>
          <w:rFonts w:ascii="宋体" w:hAnsi="宋体" w:cs="宋体"/>
          <w:color w:val="auto"/>
          <w:kern w:val="0"/>
          <w:szCs w:val="21"/>
        </w:rPr>
      </w:pPr>
      <w:r>
        <w:rPr>
          <w:rFonts w:ascii="宋体" w:hAnsi="宋体" w:cs="宋体"/>
          <w:color w:val="auto"/>
          <w:kern w:val="0"/>
          <w:szCs w:val="21"/>
        </w:rPr>
        <mc:AlternateContent>
          <mc:Choice Requires="wps">
            <w:drawing>
              <wp:anchor distT="0" distB="0" distL="114300" distR="114300" simplePos="0" relativeHeight="252065792" behindDoc="0" locked="0" layoutInCell="1" allowOverlap="1">
                <wp:simplePos x="0" y="0"/>
                <wp:positionH relativeFrom="column">
                  <wp:posOffset>-114300</wp:posOffset>
                </wp:positionH>
                <wp:positionV relativeFrom="paragraph">
                  <wp:posOffset>45720</wp:posOffset>
                </wp:positionV>
                <wp:extent cx="914400" cy="462915"/>
                <wp:effectExtent l="0" t="0" r="0" b="0"/>
                <wp:wrapNone/>
                <wp:docPr id="41" name="文本框 41"/>
                <wp:cNvGraphicFramePr/>
                <a:graphic xmlns:a="http://schemas.openxmlformats.org/drawingml/2006/main">
                  <a:graphicData uri="http://schemas.microsoft.com/office/word/2010/wordprocessingShape">
                    <wps:wsp>
                      <wps:cNvSpPr txBox="1">
                        <a:spLocks noChangeArrowheads="1"/>
                      </wps:cNvSpPr>
                      <wps:spPr bwMode="auto">
                        <a:xfrm>
                          <a:off x="0" y="0"/>
                          <a:ext cx="914400" cy="462915"/>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质量保证金扣留</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6pt;height:36.45pt;width:72pt;z-index:252065792;mso-width-relative:page;mso-height-relative:page;" filled="f" stroked="f" coordsize="21600,21600" o:gfxdata="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qldgVtUAAAAIAQAADwAAAAAAAAABACAAAAAiAAAAZHJzL2Rvd25yZXYu&#10;eG1sUEsBAhQAFAAAAAgAh07iQLkNIf3+AQAA1gMAAA4AAAAAAAAAAQAgAAAAJAEAAGRycy9lMm9E&#10;b2MueG1sUEsFBgAAAAAGAAYAWQEAAJQFA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质量保证金扣留</w:t>
                      </w:r>
                    </w:p>
                  </w:txbxContent>
                </v:textbox>
              </v:shape>
            </w:pict>
          </mc:Fallback>
        </mc:AlternateContent>
      </w:r>
      <w:r>
        <w:rPr>
          <w:rFonts w:hint="eastAsia" w:ascii="宋体" w:hAnsi="宋体" w:cs="宋体"/>
          <w:color w:val="auto"/>
          <w:kern w:val="0"/>
          <w:szCs w:val="21"/>
        </w:rPr>
        <w:t>缺陷责任期（包括第59.2款延长的期限）满时，承包人没有完成缺陷责任的，发包人有权扣留承包人未完成缺陷责任剩余工作所需的部分质量保证金余额，并有权根据第59.2款约定要求延长缺陷责任期，直到完成剩余工作为止。</w:t>
      </w:r>
    </w:p>
    <w:p>
      <w:pPr>
        <w:adjustRightInd w:val="0"/>
        <w:snapToGrid w:val="0"/>
        <w:spacing w:line="240" w:lineRule="exact"/>
        <w:ind w:right="-238"/>
        <w:rPr>
          <w:rFonts w:ascii="宋体" w:hAnsi="宋体" w:cs="宋体"/>
          <w:b/>
          <w:color w:val="auto"/>
          <w:kern w:val="0"/>
          <w:szCs w:val="21"/>
          <w:u w:val="single"/>
        </w:rPr>
      </w:pPr>
      <w:r>
        <w:rPr>
          <w:rFonts w:hint="eastAsia" w:ascii="宋体" w:hAnsi="宋体" w:cs="宋体"/>
          <w:b/>
          <w:color w:val="auto"/>
          <w:kern w:val="0"/>
          <w:szCs w:val="21"/>
          <w:u w:val="single"/>
        </w:rPr>
        <w:t xml:space="preserve">                                                                                </w:t>
      </w:r>
    </w:p>
    <w:p>
      <w:pPr>
        <w:adjustRightInd w:val="0"/>
        <w:snapToGrid w:val="0"/>
        <w:spacing w:before="100" w:line="240" w:lineRule="exact"/>
        <w:ind w:left="1619"/>
        <w:rPr>
          <w:rFonts w:ascii="宋体" w:hAnsi="宋体" w:cs="宋体"/>
          <w:b/>
          <w:color w:val="auto"/>
          <w:kern w:val="0"/>
          <w:szCs w:val="21"/>
        </w:rPr>
      </w:pPr>
    </w:p>
    <w:p>
      <w:pPr>
        <w:tabs>
          <w:tab w:val="left" w:pos="540"/>
        </w:tabs>
        <w:adjustRightInd w:val="0"/>
        <w:snapToGrid w:val="0"/>
        <w:spacing w:beforeLines="100" w:line="360" w:lineRule="auto"/>
        <w:ind w:right="-238"/>
        <w:rPr>
          <w:rFonts w:ascii="宋体" w:hAnsi="宋体" w:cs="宋体"/>
          <w:b/>
          <w:color w:val="auto"/>
          <w:kern w:val="0"/>
          <w:szCs w:val="21"/>
        </w:rPr>
      </w:pPr>
      <w:r>
        <w:rPr>
          <w:rFonts w:hint="eastAsia" w:ascii="宋体" w:hAnsi="宋体" w:cs="宋体"/>
          <w:b/>
          <w:color w:val="auto"/>
          <w:kern w:val="0"/>
          <w:szCs w:val="21"/>
        </w:rPr>
        <w:t>85  最终清算款</w:t>
      </w:r>
    </w:p>
    <w:p>
      <w:pPr>
        <w:adjustRightInd w:val="0"/>
        <w:snapToGrid w:val="0"/>
        <w:spacing w:line="360" w:lineRule="auto"/>
        <w:rPr>
          <w:rFonts w:ascii="宋体" w:hAnsi="宋体" w:cs="宋体"/>
          <w:b/>
          <w:color w:val="auto"/>
          <w:kern w:val="0"/>
          <w:szCs w:val="21"/>
        </w:rPr>
      </w:pPr>
      <w:r>
        <w:rPr>
          <w:rFonts w:hint="eastAsia" w:ascii="宋体" w:hAnsi="宋体" w:cs="宋体"/>
          <w:b/>
          <w:color w:val="auto"/>
          <w:kern w:val="0"/>
          <w:szCs w:val="21"/>
        </w:rPr>
        <w:t xml:space="preserve">85.1     </w:t>
      </w:r>
    </w:p>
    <w:p>
      <w:pPr>
        <w:spacing w:line="360" w:lineRule="auto"/>
        <w:ind w:left="1619" w:leftChars="771"/>
        <w:rPr>
          <w:rFonts w:ascii="宋体" w:hAnsi="宋体" w:cs="宋体"/>
          <w:color w:val="auto"/>
          <w:szCs w:val="21"/>
        </w:rPr>
      </w:pPr>
      <w:r>
        <w:rPr>
          <w:rFonts w:ascii="宋体" w:hAnsi="宋体" w:cs="宋体"/>
          <w:color w:val="auto"/>
          <w:szCs w:val="21"/>
        </w:rPr>
        <mc:AlternateContent>
          <mc:Choice Requires="wps">
            <w:drawing>
              <wp:anchor distT="0" distB="0" distL="114300" distR="114300" simplePos="0" relativeHeight="251977728" behindDoc="0" locked="0" layoutInCell="1" allowOverlap="1">
                <wp:simplePos x="0" y="0"/>
                <wp:positionH relativeFrom="column">
                  <wp:posOffset>-114300</wp:posOffset>
                </wp:positionH>
                <wp:positionV relativeFrom="paragraph">
                  <wp:posOffset>74295</wp:posOffset>
                </wp:positionV>
                <wp:extent cx="914400" cy="396240"/>
                <wp:effectExtent l="0" t="0" r="0" b="0"/>
                <wp:wrapNone/>
                <wp:docPr id="40" name="文本框 40"/>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提交最终清算支付申请</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5.85pt;height:31.2pt;width:72pt;z-index:251977728;mso-width-relative:page;mso-height-relative:page;" filled="f" stroked="f" coordsize="21600,21600" o:gfxdata="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IDyIFbWAAAACQEAAA8AAAAAAAAAAQAgAAAAIgAAAGRycy9kb3ducmV2&#10;LnhtbFBLAQIUABQAAAAIAIdO4kBTJ/kI/gEAANYDAAAOAAAAAAAAAAEAIAAAACUBAABkcnMvZTJv&#10;RG9jLnhtbFBLBQYAAAAABgAGAFkBAACVBQ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提交最终清算支付申请</w:t>
                      </w:r>
                    </w:p>
                  </w:txbxContent>
                </v:textbox>
              </v:shape>
            </w:pict>
          </mc:Fallback>
        </mc:AlternateContent>
      </w:r>
      <w:r>
        <w:rPr>
          <w:rFonts w:hint="eastAsia" w:ascii="宋体" w:hAnsi="宋体" w:cs="宋体"/>
          <w:color w:val="auto"/>
          <w:szCs w:val="21"/>
        </w:rPr>
        <w:t>合同双方当事人应在专用条款中明确最终清算款的支付时限。专用条款没有约定的,最终清算款按照第85.2款至第85.5款规定办理。涉及政府投资资金的工程，支付期、支付方法等需调整的，应在专用条款中约定。</w:t>
      </w:r>
    </w:p>
    <w:p>
      <w:pPr>
        <w:spacing w:line="360" w:lineRule="auto"/>
        <w:ind w:left="1619" w:leftChars="771"/>
        <w:rPr>
          <w:rFonts w:ascii="宋体" w:hAnsi="宋体" w:cs="宋体"/>
          <w:color w:val="auto"/>
          <w:szCs w:val="21"/>
        </w:rPr>
      </w:pPr>
      <w:r>
        <w:rPr>
          <w:rFonts w:hint="eastAsia" w:ascii="宋体" w:hAnsi="宋体" w:cs="宋体"/>
          <w:color w:val="auto"/>
          <w:szCs w:val="21"/>
        </w:rPr>
        <w:t>缺陷责任期终止证书签发后，承包人应按照专用条款约定的份数和期限向造价工程师提交最终清算支付申请，并提供相关证明材料。发包人对最终清算支付申请有异议的，有权要求承包人进一步修正和提供补充资料。承包人修正后，应再次向造价工程师提交修正后的最终清算支付申请。</w:t>
      </w:r>
    </w:p>
    <w:p>
      <w:pPr>
        <w:tabs>
          <w:tab w:val="left" w:pos="900"/>
        </w:tabs>
        <w:adjustRightInd w:val="0"/>
        <w:snapToGrid w:val="0"/>
        <w:spacing w:line="360" w:lineRule="auto"/>
        <w:rPr>
          <w:rFonts w:ascii="宋体" w:hAnsi="宋体" w:cs="宋体"/>
          <w:color w:val="auto"/>
          <w:kern w:val="0"/>
          <w:szCs w:val="21"/>
        </w:rPr>
      </w:pPr>
      <w:r>
        <w:rPr>
          <w:rFonts w:hint="eastAsia" w:ascii="宋体" w:hAnsi="宋体" w:cs="宋体"/>
          <w:b/>
          <w:color w:val="auto"/>
          <w:kern w:val="0"/>
          <w:szCs w:val="21"/>
        </w:rPr>
        <w:t>85.2</w:t>
      </w:r>
      <w:r>
        <w:rPr>
          <w:rFonts w:hint="eastAsia" w:ascii="宋体" w:hAnsi="宋体" w:cs="宋体"/>
          <w:color w:val="auto"/>
          <w:kern w:val="0"/>
          <w:szCs w:val="21"/>
        </w:rPr>
        <w:t xml:space="preserve">  </w:t>
      </w:r>
      <w:r>
        <w:rPr>
          <w:rFonts w:hint="eastAsia" w:ascii="宋体" w:hAnsi="宋体" w:cs="宋体"/>
          <w:color w:val="auto"/>
          <w:kern w:val="0"/>
          <w:szCs w:val="21"/>
          <w:u w:val="dotted"/>
        </w:rPr>
        <w:t xml:space="preserve">                                                                                                       </w:t>
      </w:r>
    </w:p>
    <w:p>
      <w:pPr>
        <w:adjustRightInd w:val="0"/>
        <w:snapToGrid w:val="0"/>
        <w:spacing w:line="360" w:lineRule="auto"/>
        <w:ind w:left="1619" w:leftChars="771"/>
        <w:rPr>
          <w:rFonts w:ascii="宋体" w:hAnsi="宋体" w:cs="宋体"/>
          <w:color w:val="auto"/>
          <w:kern w:val="0"/>
          <w:szCs w:val="21"/>
          <w:u w:val="single"/>
        </w:rPr>
      </w:pPr>
      <w:r>
        <w:rPr>
          <w:rFonts w:ascii="宋体" w:hAnsi="宋体" w:cs="宋体"/>
          <w:color w:val="auto"/>
          <w:kern w:val="0"/>
          <w:szCs w:val="21"/>
        </w:rPr>
        <mc:AlternateContent>
          <mc:Choice Requires="wps">
            <w:drawing>
              <wp:anchor distT="0" distB="0" distL="114300" distR="114300" simplePos="0" relativeHeight="251983872" behindDoc="0" locked="0" layoutInCell="1" allowOverlap="1">
                <wp:simplePos x="0" y="0"/>
                <wp:positionH relativeFrom="column">
                  <wp:posOffset>-114300</wp:posOffset>
                </wp:positionH>
                <wp:positionV relativeFrom="paragraph">
                  <wp:posOffset>8890</wp:posOffset>
                </wp:positionV>
                <wp:extent cx="1028700" cy="462915"/>
                <wp:effectExtent l="0" t="0" r="0" b="0"/>
                <wp:wrapNone/>
                <wp:docPr id="39" name="文本框 39"/>
                <wp:cNvGraphicFramePr/>
                <a:graphic xmlns:a="http://schemas.openxmlformats.org/drawingml/2006/main">
                  <a:graphicData uri="http://schemas.microsoft.com/office/word/2010/wordprocessingShape">
                    <wps:wsp>
                      <wps:cNvSpPr txBox="1">
                        <a:spLocks noChangeArrowheads="1"/>
                      </wps:cNvSpPr>
                      <wps:spPr bwMode="auto">
                        <a:xfrm>
                          <a:off x="0" y="0"/>
                          <a:ext cx="1028700" cy="462915"/>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签发最终清算</w:t>
                            </w:r>
                          </w:p>
                          <w:p>
                            <w:pPr>
                              <w:spacing w:line="240" w:lineRule="exact"/>
                              <w:rPr>
                                <w:rFonts w:ascii="宋体" w:hAnsi="宋体"/>
                                <w:b/>
                                <w:bCs/>
                                <w:sz w:val="18"/>
                                <w:szCs w:val="18"/>
                              </w:rPr>
                            </w:pPr>
                            <w:r>
                              <w:rPr>
                                <w:rFonts w:hint="eastAsia" w:ascii="楷体_GB2312" w:hAnsi="宋体"/>
                                <w:b/>
                                <w:bCs/>
                                <w:sz w:val="18"/>
                                <w:szCs w:val="18"/>
                              </w:rPr>
                              <w:t>支付证书</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7pt;height:36.45pt;width:81pt;z-index:251983872;mso-width-relative:page;mso-height-relative:page;" filled="f" stroked="f" coordsize="21600,21600" o:gfxdata="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LOWJM/VAAAACAEAAA8AAAAAAAAAAQAgAAAAIgAAAGRycy9kb3du&#10;cmV2LnhtbFBLAQIUABQAAAAIAIdO4kBqWkSBAgIAANcDAAAOAAAAAAAAAAEAIAAAACQBAABkcnMv&#10;ZTJvRG9jLnhtbFBLBQYAAAAABgAGAFkBAACYBQ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签发最终清算</w:t>
                      </w:r>
                    </w:p>
                    <w:p>
                      <w:pPr>
                        <w:spacing w:line="240" w:lineRule="exact"/>
                        <w:rPr>
                          <w:rFonts w:ascii="宋体" w:hAnsi="宋体"/>
                          <w:b/>
                          <w:bCs/>
                          <w:sz w:val="18"/>
                          <w:szCs w:val="18"/>
                        </w:rPr>
                      </w:pPr>
                      <w:r>
                        <w:rPr>
                          <w:rFonts w:hint="eastAsia" w:ascii="楷体_GB2312" w:hAnsi="宋体"/>
                          <w:b/>
                          <w:bCs/>
                          <w:sz w:val="18"/>
                          <w:szCs w:val="18"/>
                        </w:rPr>
                        <w:t>支付证书</w:t>
                      </w:r>
                    </w:p>
                  </w:txbxContent>
                </v:textbox>
              </v:shape>
            </w:pict>
          </mc:Fallback>
        </mc:AlternateContent>
      </w:r>
      <w:r>
        <w:rPr>
          <w:rFonts w:hint="eastAsia" w:ascii="宋体" w:hAnsi="宋体" w:cs="宋体"/>
          <w:color w:val="auto"/>
          <w:kern w:val="0"/>
          <w:szCs w:val="21"/>
        </w:rPr>
        <w:t>造价工程师应在收到最终清算支付申请后的14天内予以计量、核实，并将核实结果通知承包人、抄报发包人。发包人应在收到核实结果后的7天内在最终清算文件上签字确认。造价工程师应在发包人签字确认最终清算文件后的7天内，向发包人签发最终清算支付证书，同时抄送承包人。</w:t>
      </w:r>
    </w:p>
    <w:p>
      <w:pPr>
        <w:adjustRightInd w:val="0"/>
        <w:snapToGrid w:val="0"/>
        <w:spacing w:line="360" w:lineRule="auto"/>
        <w:rPr>
          <w:rFonts w:ascii="宋体" w:hAnsi="宋体" w:cs="宋体"/>
          <w:color w:val="auto"/>
          <w:kern w:val="0"/>
          <w:szCs w:val="21"/>
        </w:rPr>
      </w:pPr>
      <w:r>
        <w:rPr>
          <w:rFonts w:ascii="宋体" w:hAnsi="宋体" w:cs="宋体"/>
          <w:color w:val="auto"/>
          <w:kern w:val="0"/>
          <w:szCs w:val="21"/>
        </w:rPr>
        <mc:AlternateContent>
          <mc:Choice Requires="wps">
            <w:drawing>
              <wp:anchor distT="0" distB="0" distL="114300" distR="114300" simplePos="0" relativeHeight="251978752" behindDoc="0" locked="0" layoutInCell="1" allowOverlap="1">
                <wp:simplePos x="0" y="0"/>
                <wp:positionH relativeFrom="column">
                  <wp:posOffset>-114300</wp:posOffset>
                </wp:positionH>
                <wp:positionV relativeFrom="paragraph">
                  <wp:posOffset>230505</wp:posOffset>
                </wp:positionV>
                <wp:extent cx="914400" cy="462915"/>
                <wp:effectExtent l="0" t="0" r="0" b="0"/>
                <wp:wrapNone/>
                <wp:docPr id="38" name="文本框 38"/>
                <wp:cNvGraphicFramePr/>
                <a:graphic xmlns:a="http://schemas.openxmlformats.org/drawingml/2006/main">
                  <a:graphicData uri="http://schemas.microsoft.com/office/word/2010/wordprocessingShape">
                    <wps:wsp>
                      <wps:cNvSpPr txBox="1">
                        <a:spLocks noChangeArrowheads="1"/>
                      </wps:cNvSpPr>
                      <wps:spPr bwMode="auto">
                        <a:xfrm>
                          <a:off x="0" y="0"/>
                          <a:ext cx="914400" cy="462915"/>
                        </a:xfrm>
                        <a:prstGeom prst="rect">
                          <a:avLst/>
                        </a:prstGeom>
                        <a:noFill/>
                        <a:ln>
                          <a:noFill/>
                        </a:ln>
                        <a:effectLst/>
                      </wps:spPr>
                      <wps:txbx>
                        <w:txbxContent>
                          <w:p>
                            <w:pPr>
                              <w:spacing w:line="240" w:lineRule="exact"/>
                              <w:rPr>
                                <w:rFonts w:ascii="宋体" w:hAnsi="宋体"/>
                                <w:b/>
                                <w:bCs/>
                                <w:sz w:val="18"/>
                                <w:szCs w:val="18"/>
                              </w:rPr>
                            </w:pPr>
                            <w:r>
                              <w:rPr>
                                <w:rFonts w:hint="eastAsia" w:ascii="楷体_GB2312" w:hAnsi="宋体"/>
                                <w:b/>
                                <w:bCs/>
                                <w:sz w:val="18"/>
                                <w:szCs w:val="18"/>
                              </w:rPr>
                              <w:t xml:space="preserve">最终清算款支付 </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8.15pt;height:36.45pt;width:72pt;z-index:251978752;mso-width-relative:page;mso-height-relative:page;" filled="f" stroked="f" coordsize="21600,21600" o:gfxdata="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Oljz5nYAAAACgEAAA8AAAAAAAAAAQAgAAAAIgAAAGRycy9kb3du&#10;cmV2LnhtbFBLAQIUABQAAAAIAIdO4kDPdclJ/wEAANYDAAAOAAAAAAAAAAEAIAAAACcBAABkcnMv&#10;ZTJvRG9jLnhtbFBLBQYAAAAABgAGAFkBAACYBQAAAAA=&#10;">
                <v:fill on="f" focussize="0,0"/>
                <v:stroke on="f"/>
                <v:imagedata o:title=""/>
                <o:lock v:ext="edit" aspectratio="f"/>
                <v:textbox>
                  <w:txbxContent>
                    <w:p>
                      <w:pPr>
                        <w:spacing w:line="240" w:lineRule="exact"/>
                        <w:rPr>
                          <w:rFonts w:ascii="宋体" w:hAnsi="宋体"/>
                          <w:b/>
                          <w:bCs/>
                          <w:sz w:val="18"/>
                          <w:szCs w:val="18"/>
                        </w:rPr>
                      </w:pPr>
                      <w:r>
                        <w:rPr>
                          <w:rFonts w:hint="eastAsia" w:ascii="楷体_GB2312" w:hAnsi="宋体"/>
                          <w:b/>
                          <w:bCs/>
                          <w:sz w:val="18"/>
                          <w:szCs w:val="18"/>
                        </w:rPr>
                        <w:t xml:space="preserve">最终清算款支付 </w:t>
                      </w:r>
                    </w:p>
                  </w:txbxContent>
                </v:textbox>
              </v:shape>
            </w:pict>
          </mc:Fallback>
        </mc:AlternateContent>
      </w:r>
      <w:r>
        <w:rPr>
          <w:rFonts w:hint="eastAsia" w:ascii="宋体" w:hAnsi="宋体" w:cs="宋体"/>
          <w:b/>
          <w:color w:val="auto"/>
          <w:kern w:val="0"/>
          <w:szCs w:val="21"/>
        </w:rPr>
        <w:t>85.3</w:t>
      </w:r>
      <w:r>
        <w:rPr>
          <w:rFonts w:hint="eastAsia" w:ascii="宋体" w:hAnsi="宋体" w:cs="宋体"/>
          <w:color w:val="auto"/>
          <w:kern w:val="0"/>
          <w:szCs w:val="21"/>
        </w:rPr>
        <w:t xml:space="preserve">  </w:t>
      </w:r>
      <w:r>
        <w:rPr>
          <w:rFonts w:hint="eastAsia" w:ascii="宋体" w:hAnsi="宋体" w:cs="宋体"/>
          <w:color w:val="auto"/>
          <w:kern w:val="0"/>
          <w:szCs w:val="21"/>
          <w:u w:val="dotted"/>
        </w:rPr>
        <w:t xml:space="preserve">                                                                                                       </w:t>
      </w:r>
    </w:p>
    <w:p>
      <w:pPr>
        <w:adjustRightInd w:val="0"/>
        <w:snapToGrid w:val="0"/>
        <w:spacing w:line="360" w:lineRule="auto"/>
        <w:ind w:left="1619" w:leftChars="771" w:firstLine="1"/>
        <w:rPr>
          <w:rFonts w:ascii="宋体" w:hAnsi="宋体" w:cs="宋体"/>
          <w:color w:val="auto"/>
          <w:kern w:val="0"/>
          <w:szCs w:val="21"/>
        </w:rPr>
      </w:pPr>
      <w:r>
        <w:rPr>
          <w:rFonts w:hint="eastAsia" w:ascii="宋体" w:hAnsi="宋体" w:cs="宋体"/>
          <w:color w:val="auto"/>
          <w:kern w:val="0"/>
          <w:szCs w:val="21"/>
        </w:rPr>
        <w:t>发包人应在造价工程师签发最终清算支付证书后的14 天内，按照最终清算支付证书列明的金额向承包人支付最终清算款，并通知造价工程师。</w:t>
      </w:r>
    </w:p>
    <w:p>
      <w:pPr>
        <w:adjustRightInd w:val="0"/>
        <w:snapToGrid w:val="0"/>
        <w:spacing w:line="480" w:lineRule="auto"/>
        <w:rPr>
          <w:rFonts w:ascii="宋体" w:hAnsi="宋体" w:cs="宋体"/>
          <w:color w:val="auto"/>
          <w:kern w:val="0"/>
          <w:szCs w:val="21"/>
        </w:rPr>
      </w:pPr>
      <w:r>
        <w:rPr>
          <w:rFonts w:ascii="宋体" w:hAnsi="宋体" w:cs="宋体"/>
          <w:color w:val="auto"/>
          <w:kern w:val="0"/>
          <w:szCs w:val="21"/>
        </w:rPr>
        <mc:AlternateContent>
          <mc:Choice Requires="wps">
            <w:drawing>
              <wp:anchor distT="0" distB="0" distL="114300" distR="114300" simplePos="0" relativeHeight="251979776" behindDoc="0" locked="0" layoutInCell="1" allowOverlap="1">
                <wp:simplePos x="0" y="0"/>
                <wp:positionH relativeFrom="column">
                  <wp:posOffset>-114300</wp:posOffset>
                </wp:positionH>
                <wp:positionV relativeFrom="paragraph">
                  <wp:posOffset>234315</wp:posOffset>
                </wp:positionV>
                <wp:extent cx="914400" cy="462915"/>
                <wp:effectExtent l="0" t="0" r="0" b="0"/>
                <wp:wrapNone/>
                <wp:docPr id="37" name="文本框 37"/>
                <wp:cNvGraphicFramePr/>
                <a:graphic xmlns:a="http://schemas.openxmlformats.org/drawingml/2006/main">
                  <a:graphicData uri="http://schemas.microsoft.com/office/word/2010/wordprocessingShape">
                    <wps:wsp>
                      <wps:cNvSpPr txBox="1">
                        <a:spLocks noChangeArrowheads="1"/>
                      </wps:cNvSpPr>
                      <wps:spPr bwMode="auto">
                        <a:xfrm>
                          <a:off x="0" y="0"/>
                          <a:ext cx="914400" cy="462915"/>
                        </a:xfrm>
                        <a:prstGeom prst="rect">
                          <a:avLst/>
                        </a:prstGeom>
                        <a:noFill/>
                        <a:ln>
                          <a:noFill/>
                        </a:ln>
                        <a:effectLst/>
                      </wps:spPr>
                      <wps:txbx>
                        <w:txbxContent>
                          <w:p>
                            <w:pPr>
                              <w:spacing w:line="240" w:lineRule="exact"/>
                              <w:rPr>
                                <w:rFonts w:ascii="宋体" w:hAnsi="宋体"/>
                                <w:b/>
                                <w:bCs/>
                                <w:sz w:val="18"/>
                                <w:szCs w:val="18"/>
                              </w:rPr>
                            </w:pPr>
                            <w:r>
                              <w:rPr>
                                <w:rFonts w:hint="eastAsia" w:ascii="楷体_GB2312" w:hAnsi="宋体"/>
                                <w:b/>
                                <w:bCs/>
                                <w:sz w:val="18"/>
                                <w:szCs w:val="18"/>
                              </w:rPr>
                              <w:t>签发最终清算支付证书限制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8.45pt;height:36.45pt;width:72pt;z-index:251979776;mso-width-relative:page;mso-height-relative:page;" filled="f" stroked="f" coordsize="21600,21600" o:gfxdata="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Jz97eLYAAAACgEAAA8AAAAAAAAAAQAgAAAAIgAAAGRycy9kb3du&#10;cmV2LnhtbFBLAQIUABQAAAAIAIdO4kANieGp/wEAANYDAAAOAAAAAAAAAAEAIAAAACcBAABkcnMv&#10;ZTJvRG9jLnhtbFBLBQYAAAAABgAGAFkBAACYBQAAAAA=&#10;">
                <v:fill on="f" focussize="0,0"/>
                <v:stroke on="f"/>
                <v:imagedata o:title=""/>
                <o:lock v:ext="edit" aspectratio="f"/>
                <v:textbox>
                  <w:txbxContent>
                    <w:p>
                      <w:pPr>
                        <w:spacing w:line="240" w:lineRule="exact"/>
                        <w:rPr>
                          <w:rFonts w:ascii="宋体" w:hAnsi="宋体"/>
                          <w:b/>
                          <w:bCs/>
                          <w:sz w:val="18"/>
                          <w:szCs w:val="18"/>
                        </w:rPr>
                      </w:pPr>
                      <w:r>
                        <w:rPr>
                          <w:rFonts w:hint="eastAsia" w:ascii="楷体_GB2312" w:hAnsi="宋体"/>
                          <w:b/>
                          <w:bCs/>
                          <w:sz w:val="18"/>
                          <w:szCs w:val="18"/>
                        </w:rPr>
                        <w:t>签发最终清算支付证书限制</w:t>
                      </w:r>
                    </w:p>
                  </w:txbxContent>
                </v:textbox>
              </v:shape>
            </w:pict>
          </mc:Fallback>
        </mc:AlternateContent>
      </w:r>
      <w:r>
        <w:rPr>
          <w:rFonts w:hint="eastAsia" w:ascii="宋体" w:hAnsi="宋体" w:cs="宋体"/>
          <w:b/>
          <w:color w:val="auto"/>
          <w:kern w:val="0"/>
          <w:szCs w:val="21"/>
        </w:rPr>
        <w:t xml:space="preserve">85.4 </w:t>
      </w:r>
      <w:r>
        <w:rPr>
          <w:rFonts w:hint="eastAsia" w:ascii="宋体" w:hAnsi="宋体" w:cs="宋体"/>
          <w:color w:val="auto"/>
          <w:kern w:val="0"/>
          <w:szCs w:val="21"/>
        </w:rPr>
        <w:t xml:space="preserve"> </w:t>
      </w:r>
      <w:r>
        <w:rPr>
          <w:rFonts w:hint="eastAsia" w:ascii="宋体" w:hAnsi="宋体" w:cs="宋体"/>
          <w:color w:val="auto"/>
          <w:kern w:val="0"/>
          <w:szCs w:val="21"/>
          <w:u w:val="dotted"/>
        </w:rPr>
        <w:t xml:space="preserve">                                                                                                       </w:t>
      </w:r>
    </w:p>
    <w:p>
      <w:pPr>
        <w:adjustRightInd w:val="0"/>
        <w:snapToGrid w:val="0"/>
        <w:spacing w:line="360" w:lineRule="auto"/>
        <w:ind w:left="1576" w:leftChars="750" w:hanging="1"/>
        <w:rPr>
          <w:rFonts w:ascii="宋体" w:hAnsi="宋体" w:cs="宋体"/>
          <w:color w:val="auto"/>
          <w:kern w:val="0"/>
          <w:szCs w:val="21"/>
        </w:rPr>
      </w:pPr>
      <w:r>
        <w:rPr>
          <w:rFonts w:hint="eastAsia" w:ascii="宋体" w:hAnsi="宋体" w:cs="宋体"/>
          <w:color w:val="auto"/>
          <w:kern w:val="0"/>
          <w:szCs w:val="21"/>
        </w:rPr>
        <w:t>如果造价工程师未在第85.2款规定的期限内签发最终清算支付证书的，则视为承包人提交的最终清算支付申请已被认可，承包人应及时向发包人发出要求支付最终清算款的通知。发包人应在收到通知后的14天内，按照承包人提交最终清算支付申请列明的金额向承包人支付最终清算款。</w:t>
      </w:r>
    </w:p>
    <w:p>
      <w:pPr>
        <w:adjustRightInd w:val="0"/>
        <w:snapToGrid w:val="0"/>
        <w:spacing w:line="360" w:lineRule="auto"/>
        <w:rPr>
          <w:rFonts w:ascii="宋体" w:hAnsi="宋体" w:cs="宋体"/>
          <w:color w:val="auto"/>
          <w:kern w:val="0"/>
          <w:szCs w:val="21"/>
        </w:rPr>
      </w:pPr>
      <w:r>
        <w:rPr>
          <w:rFonts w:hint="eastAsia" w:ascii="宋体" w:hAnsi="宋体" w:cs="宋体"/>
          <w:b/>
          <w:color w:val="auto"/>
          <w:kern w:val="0"/>
          <w:szCs w:val="21"/>
        </w:rPr>
        <w:t xml:space="preserve">85.5 </w:t>
      </w:r>
      <w:r>
        <w:rPr>
          <w:rFonts w:hint="eastAsia" w:ascii="宋体" w:hAnsi="宋体" w:cs="宋体"/>
          <w:color w:val="auto"/>
          <w:kern w:val="0"/>
          <w:szCs w:val="21"/>
        </w:rPr>
        <w:t xml:space="preserve"> </w:t>
      </w:r>
      <w:r>
        <w:rPr>
          <w:rFonts w:hint="eastAsia" w:ascii="宋体" w:hAnsi="宋体" w:cs="宋体"/>
          <w:color w:val="auto"/>
          <w:kern w:val="0"/>
          <w:szCs w:val="21"/>
          <w:u w:val="dotted"/>
        </w:rPr>
        <w:t xml:space="preserve">                                                                                                        </w:t>
      </w:r>
    </w:p>
    <w:p>
      <w:pPr>
        <w:spacing w:line="360" w:lineRule="auto"/>
        <w:ind w:left="1576" w:leftChars="750" w:hanging="1"/>
        <w:rPr>
          <w:rFonts w:ascii="宋体" w:hAnsi="宋体" w:cs="宋体"/>
          <w:color w:val="auto"/>
          <w:szCs w:val="21"/>
        </w:rPr>
      </w:pPr>
      <w:r>
        <w:rPr>
          <w:rFonts w:ascii="宋体" w:hAnsi="宋体" w:cs="宋体"/>
          <w:color w:val="auto"/>
          <w:szCs w:val="21"/>
        </w:rPr>
        <mc:AlternateContent>
          <mc:Choice Requires="wps">
            <w:drawing>
              <wp:anchor distT="0" distB="0" distL="114300" distR="114300" simplePos="0" relativeHeight="252066816" behindDoc="0" locked="0" layoutInCell="1" allowOverlap="1">
                <wp:simplePos x="0" y="0"/>
                <wp:positionH relativeFrom="column">
                  <wp:posOffset>-114300</wp:posOffset>
                </wp:positionH>
                <wp:positionV relativeFrom="paragraph">
                  <wp:posOffset>8255</wp:posOffset>
                </wp:positionV>
                <wp:extent cx="1028700" cy="407670"/>
                <wp:effectExtent l="0" t="0" r="0" b="0"/>
                <wp:wrapNone/>
                <wp:docPr id="36" name="文本框 36"/>
                <wp:cNvGraphicFramePr/>
                <a:graphic xmlns:a="http://schemas.openxmlformats.org/drawingml/2006/main">
                  <a:graphicData uri="http://schemas.microsoft.com/office/word/2010/wordprocessingShape">
                    <wps:wsp>
                      <wps:cNvSpPr txBox="1">
                        <a:spLocks noChangeArrowheads="1"/>
                      </wps:cNvSpPr>
                      <wps:spPr bwMode="auto">
                        <a:xfrm>
                          <a:off x="0" y="0"/>
                          <a:ext cx="1028700" cy="407670"/>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最终清算款支</w:t>
                            </w:r>
                          </w:p>
                          <w:p>
                            <w:pPr>
                              <w:spacing w:line="240" w:lineRule="exact"/>
                              <w:rPr>
                                <w:rFonts w:ascii="楷体_GB2312" w:hAnsi="宋体"/>
                                <w:b/>
                                <w:bCs/>
                                <w:sz w:val="18"/>
                                <w:szCs w:val="18"/>
                              </w:rPr>
                            </w:pPr>
                            <w:r>
                              <w:rPr>
                                <w:rFonts w:hint="eastAsia" w:ascii="楷体_GB2312" w:hAnsi="宋体"/>
                                <w:b/>
                                <w:bCs/>
                                <w:sz w:val="18"/>
                                <w:szCs w:val="18"/>
                              </w:rPr>
                              <w:t>付的限制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65pt;height:32.1pt;width:81pt;z-index:252066816;mso-width-relative:page;mso-height-relative:page;" filled="f" stroked="f" coordsize="21600,21600" o:gfxdata="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EQb19NUAAAAIAQAADwAAAAAAAAABACAAAAAiAAAAZHJzL2Rvd25y&#10;ZXYueG1sUEsBAhQAFAAAAAgAh07iQGkapdQBAgAA1wMAAA4AAAAAAAAAAQAgAAAAJAEAAGRycy9l&#10;Mm9Eb2MueG1sUEsFBgAAAAAGAAYAWQEAAJcFA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最终清算款支</w:t>
                      </w:r>
                    </w:p>
                    <w:p>
                      <w:pPr>
                        <w:spacing w:line="240" w:lineRule="exact"/>
                        <w:rPr>
                          <w:rFonts w:ascii="楷体_GB2312" w:hAnsi="宋体"/>
                          <w:b/>
                          <w:bCs/>
                          <w:sz w:val="18"/>
                          <w:szCs w:val="18"/>
                        </w:rPr>
                      </w:pPr>
                      <w:r>
                        <w:rPr>
                          <w:rFonts w:hint="eastAsia" w:ascii="楷体_GB2312" w:hAnsi="宋体"/>
                          <w:b/>
                          <w:bCs/>
                          <w:sz w:val="18"/>
                          <w:szCs w:val="18"/>
                        </w:rPr>
                        <w:t>付的限制</w:t>
                      </w:r>
                    </w:p>
                  </w:txbxContent>
                </v:textbox>
              </v:shape>
            </w:pict>
          </mc:Fallback>
        </mc:AlternateContent>
      </w:r>
      <w:r>
        <w:rPr>
          <w:rFonts w:hint="eastAsia" w:ascii="宋体" w:hAnsi="宋体" w:cs="宋体"/>
          <w:color w:val="auto"/>
          <w:szCs w:val="21"/>
        </w:rPr>
        <w:t>发包人未按照第85.3款和第85.4款规定支付最终清算款的，承包人可催告发包人支付最终清算款，如双方达成延期支付协议，承包人有权按照第78.2款规定获得延期支付的利息。若该永久工程按照第83.5款规定进行折价或依法拍卖的，承包人就该工程折价或拍卖的价款优先受偿。</w:t>
      </w:r>
    </w:p>
    <w:p>
      <w:pPr>
        <w:adjustRightInd w:val="0"/>
        <w:snapToGrid w:val="0"/>
        <w:spacing w:line="360" w:lineRule="auto"/>
        <w:rPr>
          <w:rFonts w:ascii="宋体" w:hAnsi="宋体" w:cs="宋体"/>
          <w:color w:val="auto"/>
          <w:kern w:val="0"/>
          <w:szCs w:val="21"/>
        </w:rPr>
      </w:pPr>
      <w:r>
        <w:rPr>
          <w:rFonts w:hint="eastAsia" w:ascii="宋体" w:hAnsi="宋体" w:cs="宋体"/>
          <w:b/>
          <w:color w:val="auto"/>
          <w:kern w:val="0"/>
          <w:szCs w:val="21"/>
        </w:rPr>
        <w:t xml:space="preserve">85.6 </w:t>
      </w:r>
      <w:r>
        <w:rPr>
          <w:rFonts w:hint="eastAsia" w:ascii="宋体" w:hAnsi="宋体" w:cs="宋体"/>
          <w:color w:val="auto"/>
          <w:kern w:val="0"/>
          <w:szCs w:val="21"/>
        </w:rPr>
        <w:t xml:space="preserve"> </w:t>
      </w:r>
      <w:r>
        <w:rPr>
          <w:rFonts w:hint="eastAsia" w:ascii="宋体" w:hAnsi="宋体" w:cs="宋体"/>
          <w:color w:val="auto"/>
          <w:kern w:val="0"/>
          <w:szCs w:val="21"/>
          <w:u w:val="dotted"/>
        </w:rPr>
        <w:t xml:space="preserve">                                                                                                       </w:t>
      </w:r>
    </w:p>
    <w:p>
      <w:pPr>
        <w:spacing w:line="360" w:lineRule="auto"/>
        <w:ind w:left="1619" w:leftChars="771"/>
        <w:rPr>
          <w:rFonts w:ascii="宋体" w:hAnsi="宋体" w:cs="宋体"/>
          <w:color w:val="auto"/>
          <w:szCs w:val="21"/>
        </w:rPr>
      </w:pPr>
      <w:r>
        <w:rPr>
          <w:rFonts w:ascii="宋体" w:hAnsi="宋体" w:cs="宋体"/>
          <w:color w:val="auto"/>
          <w:szCs w:val="21"/>
        </w:rPr>
        <mc:AlternateContent>
          <mc:Choice Requires="wps">
            <w:drawing>
              <wp:anchor distT="0" distB="0" distL="114300" distR="114300" simplePos="0" relativeHeight="251980800" behindDoc="0" locked="0" layoutInCell="1" allowOverlap="1">
                <wp:simplePos x="0" y="0"/>
                <wp:positionH relativeFrom="column">
                  <wp:posOffset>-114300</wp:posOffset>
                </wp:positionH>
                <wp:positionV relativeFrom="paragraph">
                  <wp:posOffset>45720</wp:posOffset>
                </wp:positionV>
                <wp:extent cx="914400" cy="462915"/>
                <wp:effectExtent l="0" t="0" r="0" b="0"/>
                <wp:wrapNone/>
                <wp:docPr id="35" name="文本框 35"/>
                <wp:cNvGraphicFramePr/>
                <a:graphic xmlns:a="http://schemas.openxmlformats.org/drawingml/2006/main">
                  <a:graphicData uri="http://schemas.microsoft.com/office/word/2010/wordprocessingShape">
                    <wps:wsp>
                      <wps:cNvSpPr txBox="1">
                        <a:spLocks noChangeArrowheads="1"/>
                      </wps:cNvSpPr>
                      <wps:spPr bwMode="auto">
                        <a:xfrm>
                          <a:off x="0" y="0"/>
                          <a:ext cx="914400" cy="462915"/>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最终清算款争议的处理</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6pt;height:36.45pt;width:72pt;z-index:251980800;mso-width-relative:page;mso-height-relative:page;" filled="f" stroked="f" coordsize="21600,21600" o:gfxdata="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KpXYFbVAAAACAEAAA8AAAAAAAAAAQAgAAAAIgAAAGRycy9kb3ducmV2&#10;LnhtbFBLAQIUABQAAAAIAIdO4kBrm+hU/wEAANYDAAAOAAAAAAAAAAEAIAAAACQBAABkcnMvZTJv&#10;RG9jLnhtbFBLBQYAAAAABgAGAFkBAACVBQ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最终清算款争议的处理</w:t>
                      </w:r>
                    </w:p>
                  </w:txbxContent>
                </v:textbox>
              </v:shape>
            </w:pict>
          </mc:Fallback>
        </mc:AlternateContent>
      </w:r>
      <w:r>
        <w:rPr>
          <w:rFonts w:hint="eastAsia" w:ascii="宋体" w:hAnsi="宋体" w:cs="宋体"/>
          <w:color w:val="auto"/>
          <w:szCs w:val="21"/>
        </w:rPr>
        <w:t>承包人对发包人支付的最终清算款有异议的，按照第86条约定的争议处理。</w:t>
      </w:r>
    </w:p>
    <w:p>
      <w:pPr>
        <w:adjustRightInd w:val="0"/>
        <w:snapToGrid w:val="0"/>
        <w:spacing w:line="360" w:lineRule="auto"/>
        <w:rPr>
          <w:rFonts w:ascii="宋体" w:hAnsi="宋体" w:cs="宋体"/>
          <w:b/>
          <w:color w:val="auto"/>
          <w:kern w:val="0"/>
          <w:sz w:val="24"/>
          <w:szCs w:val="32"/>
        </w:rPr>
      </w:pPr>
      <w:r>
        <w:rPr>
          <w:rFonts w:hint="eastAsia" w:ascii="宋体" w:hAnsi="宋体" w:cs="宋体"/>
          <w:b/>
          <w:color w:val="auto"/>
          <w:kern w:val="0"/>
          <w:szCs w:val="21"/>
          <w:u w:val="single"/>
        </w:rPr>
        <w:t xml:space="preserve">                                                                                    </w:t>
      </w:r>
      <w:r>
        <w:rPr>
          <w:rFonts w:hint="eastAsia" w:ascii="宋体" w:hAnsi="宋体" w:cs="宋体"/>
          <w:b/>
          <w:color w:val="auto"/>
          <w:kern w:val="0"/>
          <w:sz w:val="24"/>
          <w:szCs w:val="18"/>
          <w:u w:val="single"/>
        </w:rPr>
        <w:t xml:space="preserve">                          </w:t>
      </w:r>
    </w:p>
    <w:p>
      <w:pPr>
        <w:adjustRightInd w:val="0"/>
        <w:snapToGrid w:val="0"/>
        <w:spacing w:line="360" w:lineRule="auto"/>
        <w:outlineLvl w:val="1"/>
        <w:rPr>
          <w:rFonts w:ascii="宋体" w:hAnsi="宋体" w:cs="宋体"/>
          <w:b/>
          <w:color w:val="auto"/>
          <w:kern w:val="0"/>
          <w:sz w:val="24"/>
          <w:szCs w:val="32"/>
        </w:rPr>
      </w:pPr>
      <w:r>
        <w:rPr>
          <w:rFonts w:hint="eastAsia" w:ascii="宋体" w:hAnsi="宋体" w:cs="宋体"/>
          <w:b/>
          <w:color w:val="auto"/>
          <w:kern w:val="0"/>
          <w:sz w:val="24"/>
          <w:szCs w:val="32"/>
        </w:rPr>
        <w:t xml:space="preserve">                        </w:t>
      </w:r>
    </w:p>
    <w:p>
      <w:pPr>
        <w:adjustRightInd w:val="0"/>
        <w:snapToGrid w:val="0"/>
        <w:spacing w:line="360" w:lineRule="auto"/>
        <w:outlineLvl w:val="1"/>
        <w:rPr>
          <w:rFonts w:ascii="宋体" w:hAnsi="宋体" w:cs="宋体"/>
          <w:b/>
          <w:color w:val="auto"/>
          <w:kern w:val="0"/>
          <w:sz w:val="24"/>
          <w:szCs w:val="32"/>
        </w:rPr>
      </w:pPr>
    </w:p>
    <w:p>
      <w:pPr>
        <w:adjustRightInd w:val="0"/>
        <w:snapToGrid w:val="0"/>
        <w:spacing w:line="360" w:lineRule="auto"/>
        <w:ind w:firstLine="3036" w:firstLineChars="945"/>
        <w:outlineLvl w:val="1"/>
        <w:rPr>
          <w:rFonts w:ascii="宋体" w:hAnsi="宋体" w:cs="宋体"/>
          <w:b/>
          <w:color w:val="auto"/>
          <w:kern w:val="0"/>
          <w:sz w:val="32"/>
          <w:szCs w:val="32"/>
        </w:rPr>
      </w:pPr>
      <w:r>
        <w:rPr>
          <w:rFonts w:hint="eastAsia" w:ascii="宋体" w:hAnsi="宋体" w:cs="宋体"/>
          <w:b/>
          <w:color w:val="auto"/>
          <w:kern w:val="0"/>
          <w:sz w:val="32"/>
          <w:szCs w:val="32"/>
        </w:rPr>
        <w:t>七、合同争议、解除与终止</w:t>
      </w:r>
    </w:p>
    <w:p>
      <w:pPr>
        <w:adjustRightInd w:val="0"/>
        <w:snapToGrid w:val="0"/>
        <w:spacing w:line="360" w:lineRule="auto"/>
        <w:outlineLvl w:val="1"/>
        <w:rPr>
          <w:rFonts w:ascii="宋体" w:hAnsi="宋体" w:cs="宋体"/>
          <w:b/>
          <w:color w:val="auto"/>
          <w:kern w:val="0"/>
          <w:sz w:val="32"/>
          <w:szCs w:val="32"/>
        </w:rPr>
      </w:pPr>
    </w:p>
    <w:p>
      <w:pPr>
        <w:tabs>
          <w:tab w:val="left" w:pos="540"/>
        </w:tabs>
        <w:adjustRightInd w:val="0"/>
        <w:snapToGrid w:val="0"/>
        <w:spacing w:beforeLines="100" w:line="360" w:lineRule="auto"/>
        <w:ind w:right="-238"/>
        <w:rPr>
          <w:rFonts w:ascii="宋体" w:hAnsi="宋体" w:cs="宋体"/>
          <w:b/>
          <w:color w:val="auto"/>
          <w:kern w:val="0"/>
          <w:szCs w:val="21"/>
        </w:rPr>
      </w:pPr>
      <w:r>
        <w:rPr>
          <w:rFonts w:hint="eastAsia" w:ascii="宋体" w:hAnsi="宋体" w:cs="宋体"/>
          <w:b/>
          <w:color w:val="auto"/>
          <w:kern w:val="0"/>
          <w:szCs w:val="21"/>
        </w:rPr>
        <w:t>86  合同争议</w:t>
      </w:r>
    </w:p>
    <w:p>
      <w:pPr>
        <w:adjustRightInd w:val="0"/>
        <w:snapToGrid w:val="0"/>
        <w:rPr>
          <w:rFonts w:ascii="宋体" w:hAnsi="宋体" w:cs="宋体"/>
          <w:b/>
          <w:color w:val="auto"/>
          <w:kern w:val="0"/>
          <w:szCs w:val="21"/>
        </w:rPr>
      </w:pPr>
      <w:r>
        <w:rPr>
          <w:rFonts w:ascii="宋体" w:hAnsi="宋体" w:cs="宋体"/>
          <w:color w:val="auto"/>
          <w:kern w:val="0"/>
          <w:szCs w:val="21"/>
        </w:rPr>
        <mc:AlternateContent>
          <mc:Choice Requires="wps">
            <w:drawing>
              <wp:anchor distT="0" distB="0" distL="114300" distR="114300" simplePos="0" relativeHeight="251859968" behindDoc="0" locked="0" layoutInCell="1" allowOverlap="1">
                <wp:simplePos x="0" y="0"/>
                <wp:positionH relativeFrom="column">
                  <wp:posOffset>-114300</wp:posOffset>
                </wp:positionH>
                <wp:positionV relativeFrom="paragraph">
                  <wp:posOffset>284480</wp:posOffset>
                </wp:positionV>
                <wp:extent cx="914400" cy="469900"/>
                <wp:effectExtent l="0" t="0" r="0" b="0"/>
                <wp:wrapNone/>
                <wp:docPr id="34" name="文本框 34"/>
                <wp:cNvGraphicFramePr/>
                <a:graphic xmlns:a="http://schemas.openxmlformats.org/drawingml/2006/main">
                  <a:graphicData uri="http://schemas.microsoft.com/office/word/2010/wordprocessingShape">
                    <wps:wsp>
                      <wps:cNvSpPr txBox="1">
                        <a:spLocks noChangeArrowheads="1"/>
                      </wps:cNvSpPr>
                      <wps:spPr bwMode="auto">
                        <a:xfrm>
                          <a:off x="0" y="0"/>
                          <a:ext cx="914400" cy="469900"/>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认可暂定结果或产生争议</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2.4pt;height:37pt;width:72pt;z-index:251859968;mso-width-relative:page;mso-height-relative:page;" filled="f" stroked="f" coordsize="21600,21600" o:gfxdata="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MCbDmrXAAAACgEAAA8AAAAAAAAAAQAgAAAAIgAAAGRycy9kb3ducmV2&#10;LnhtbFBLAQIUABQAAAAIAIdO4kCZORse/QEAANYDAAAOAAAAAAAAAAEAIAAAACYBAABkcnMvZTJv&#10;RG9jLnhtbFBLBQYAAAAABgAGAFkBAACVBQ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认可暂定结果或产生争议</w:t>
                      </w:r>
                    </w:p>
                  </w:txbxContent>
                </v:textbox>
              </v:shape>
            </w:pict>
          </mc:Fallback>
        </mc:AlternateContent>
      </w:r>
      <w:r>
        <w:rPr>
          <w:rFonts w:hint="eastAsia" w:ascii="宋体" w:hAnsi="宋体" w:cs="宋体"/>
          <w:b/>
          <w:color w:val="auto"/>
          <w:kern w:val="0"/>
          <w:szCs w:val="21"/>
        </w:rPr>
        <w:t xml:space="preserve">86.1    </w:t>
      </w:r>
    </w:p>
    <w:p>
      <w:pPr>
        <w:adjustRightInd w:val="0"/>
        <w:snapToGrid w:val="0"/>
        <w:spacing w:line="360" w:lineRule="auto"/>
        <w:ind w:left="1619" w:leftChars="771"/>
        <w:rPr>
          <w:rFonts w:ascii="宋体" w:hAnsi="宋体" w:cs="宋体"/>
          <w:color w:val="auto"/>
          <w:kern w:val="0"/>
          <w:szCs w:val="21"/>
        </w:rPr>
      </w:pPr>
      <w:r>
        <w:rPr>
          <w:rFonts w:hint="eastAsia" w:ascii="宋体" w:hAnsi="宋体" w:cs="宋体"/>
          <w:color w:val="auto"/>
          <w:kern w:val="0"/>
          <w:szCs w:val="21"/>
        </w:rPr>
        <w:t>本合同履行期间，合同双方当事人应在收到监理工程师或造价工程师依据合同约定作出暂定结果之后的14天内，对暂定结果予以确认或提出意见。合同双方对暂定结果认可的，应以书面形式予以确认，暂定结果成为最终决定，对合同双方当事人都有约束力；合同双方或一方当事人不同意暂定结果的，应以书面形式向监理工程师或造价工程师提出，说明自己认为正确的结果，同时抄送另一方当事人，此时该暂定结果成为争议。除非本合同已解除，在暂定结果不实质影响合同双方当事人履约的前提下，合同双方当事人应实施该结果，直到其被改变为止。</w:t>
      </w:r>
    </w:p>
    <w:p>
      <w:pPr>
        <w:adjustRightInd w:val="0"/>
        <w:snapToGrid w:val="0"/>
        <w:spacing w:line="360" w:lineRule="auto"/>
        <w:ind w:left="1619" w:leftChars="771"/>
        <w:rPr>
          <w:rFonts w:ascii="宋体" w:hAnsi="宋体" w:cs="宋体"/>
          <w:color w:val="auto"/>
          <w:kern w:val="0"/>
          <w:szCs w:val="21"/>
        </w:rPr>
      </w:pPr>
      <w:r>
        <w:rPr>
          <w:rFonts w:hint="eastAsia" w:ascii="宋体" w:hAnsi="宋体" w:cs="宋体"/>
          <w:color w:val="auto"/>
          <w:kern w:val="0"/>
          <w:szCs w:val="21"/>
        </w:rPr>
        <w:t>合同双方当事人在收到监理工程师或造价工程师的暂定结果之日起，超过14天，未对暂定结果予以确认也未提出意见的，视为合同双方当事人已认可暂定结果。</w:t>
      </w:r>
    </w:p>
    <w:p>
      <w:pPr>
        <w:tabs>
          <w:tab w:val="left" w:pos="1320"/>
        </w:tabs>
        <w:adjustRightInd w:val="0"/>
        <w:snapToGrid w:val="0"/>
        <w:spacing w:line="360" w:lineRule="auto"/>
        <w:rPr>
          <w:rFonts w:ascii="宋体" w:hAnsi="宋体" w:cs="宋体"/>
          <w:b/>
          <w:color w:val="auto"/>
          <w:kern w:val="0"/>
          <w:szCs w:val="21"/>
        </w:rPr>
      </w:pPr>
      <w:r>
        <w:rPr>
          <w:rFonts w:hint="eastAsia" w:ascii="宋体" w:hAnsi="宋体" w:cs="宋体"/>
          <w:b/>
          <w:color w:val="auto"/>
          <w:kern w:val="0"/>
          <w:szCs w:val="21"/>
        </w:rPr>
        <w:t xml:space="preserve">86.2  </w:t>
      </w:r>
      <w:r>
        <w:rPr>
          <w:rFonts w:hint="eastAsia" w:ascii="宋体" w:hAnsi="宋体" w:cs="宋体"/>
          <w:b/>
          <w:color w:val="auto"/>
          <w:kern w:val="0"/>
          <w:szCs w:val="21"/>
          <w:u w:val="dotted"/>
        </w:rPr>
        <w:t xml:space="preserve">                                                                                                        </w:t>
      </w:r>
    </w:p>
    <w:p>
      <w:pPr>
        <w:tabs>
          <w:tab w:val="left" w:pos="1320"/>
        </w:tabs>
        <w:adjustRightInd w:val="0"/>
        <w:snapToGrid w:val="0"/>
        <w:spacing w:line="360" w:lineRule="auto"/>
        <w:ind w:left="1680" w:leftChars="800"/>
        <w:rPr>
          <w:rFonts w:ascii="宋体" w:hAnsi="宋体" w:cs="宋体"/>
          <w:b/>
          <w:color w:val="auto"/>
          <w:kern w:val="0"/>
          <w:szCs w:val="21"/>
        </w:rPr>
      </w:pPr>
      <w:r>
        <w:rPr>
          <w:rFonts w:ascii="宋体" w:hAnsi="宋体" w:cs="宋体"/>
          <w:color w:val="auto"/>
          <w:kern w:val="0"/>
          <w:szCs w:val="21"/>
        </w:rPr>
        <mc:AlternateContent>
          <mc:Choice Requires="wps">
            <w:drawing>
              <wp:anchor distT="0" distB="0" distL="114300" distR="114300" simplePos="0" relativeHeight="251860992" behindDoc="0" locked="0" layoutInCell="1" allowOverlap="1">
                <wp:simplePos x="0" y="0"/>
                <wp:positionH relativeFrom="column">
                  <wp:posOffset>-114300</wp:posOffset>
                </wp:positionH>
                <wp:positionV relativeFrom="paragraph">
                  <wp:posOffset>26670</wp:posOffset>
                </wp:positionV>
                <wp:extent cx="800100" cy="373380"/>
                <wp:effectExtent l="0" t="0" r="0" b="0"/>
                <wp:wrapNone/>
                <wp:docPr id="33" name="文本框 33"/>
                <wp:cNvGraphicFramePr/>
                <a:graphic xmlns:a="http://schemas.openxmlformats.org/drawingml/2006/main">
                  <a:graphicData uri="http://schemas.microsoft.com/office/word/2010/wordprocessingShape">
                    <wps:wsp>
                      <wps:cNvSpPr txBox="1">
                        <a:spLocks noChangeArrowheads="1"/>
                      </wps:cNvSpPr>
                      <wps:spPr bwMode="auto">
                        <a:xfrm>
                          <a:off x="0" y="0"/>
                          <a:ext cx="800100" cy="373380"/>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双方协商</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1pt;height:29.4pt;width:63pt;z-index:251860992;mso-width-relative:page;mso-height-relative:page;" filled="f" stroked="f" coordsize="21600,21600" o:gfxdata="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Ab9mWnUAAAACAEAAA8AAAAAAAAAAQAgAAAAIgAAAGRycy9kb3ducmV2&#10;LnhtbFBLAQIUABQAAAAIAIdO4kA13YyLAAIAANYDAAAOAAAAAAAAAAEAIAAAACMBAABkcnMvZTJv&#10;RG9jLnhtbFBLBQYAAAAABgAGAFkBAACVBQ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双方协商</w:t>
                      </w:r>
                    </w:p>
                  </w:txbxContent>
                </v:textbox>
              </v:shape>
            </w:pict>
          </mc:Fallback>
        </mc:AlternateContent>
      </w:r>
      <w:r>
        <w:rPr>
          <w:rFonts w:hint="eastAsia" w:ascii="宋体" w:hAnsi="宋体" w:cs="宋体"/>
          <w:color w:val="auto"/>
          <w:kern w:val="0"/>
          <w:szCs w:val="21"/>
        </w:rPr>
        <w:t>争议发生后的14天内，合同双方当事人可进一步进行协商。协商达成一致的，合同双方当事人应签订书面协议，并将结果抄送监理工程师或造价工程师；协商仍不能达成一致的，按照第86.3款至第86.6款规定进行调解或认定、仲裁或诉讼。</w:t>
      </w:r>
    </w:p>
    <w:p>
      <w:pPr>
        <w:tabs>
          <w:tab w:val="left" w:pos="1320"/>
        </w:tabs>
        <w:adjustRightInd w:val="0"/>
        <w:snapToGrid w:val="0"/>
        <w:spacing w:line="360" w:lineRule="auto"/>
        <w:rPr>
          <w:rFonts w:ascii="宋体" w:hAnsi="宋体" w:cs="宋体"/>
          <w:b/>
          <w:color w:val="auto"/>
          <w:kern w:val="0"/>
          <w:szCs w:val="21"/>
        </w:rPr>
      </w:pPr>
      <w:r>
        <w:rPr>
          <w:rFonts w:hint="eastAsia" w:ascii="宋体" w:hAnsi="宋体" w:cs="宋体"/>
          <w:b/>
          <w:color w:val="auto"/>
          <w:kern w:val="0"/>
          <w:szCs w:val="21"/>
        </w:rPr>
        <w:t xml:space="preserve">86.3  </w:t>
      </w:r>
      <w:r>
        <w:rPr>
          <w:rFonts w:hint="eastAsia" w:ascii="宋体" w:hAnsi="宋体" w:cs="宋体"/>
          <w:b/>
          <w:color w:val="auto"/>
          <w:kern w:val="0"/>
          <w:szCs w:val="21"/>
          <w:u w:val="dotted"/>
        </w:rPr>
        <w:t xml:space="preserve">                                                                                                        </w:t>
      </w:r>
    </w:p>
    <w:p>
      <w:pPr>
        <w:adjustRightInd w:val="0"/>
        <w:snapToGrid w:val="0"/>
        <w:spacing w:line="360" w:lineRule="auto"/>
        <w:ind w:left="1619" w:leftChars="771"/>
        <w:rPr>
          <w:rFonts w:ascii="宋体" w:hAnsi="宋体" w:cs="宋体"/>
          <w:color w:val="auto"/>
          <w:kern w:val="0"/>
          <w:szCs w:val="21"/>
        </w:rPr>
      </w:pPr>
      <w:r>
        <w:rPr>
          <w:rFonts w:ascii="宋体" w:hAnsi="宋体" w:cs="宋体"/>
          <w:color w:val="auto"/>
          <w:kern w:val="0"/>
          <w:szCs w:val="21"/>
        </w:rPr>
        <mc:AlternateContent>
          <mc:Choice Requires="wps">
            <w:drawing>
              <wp:anchor distT="0" distB="0" distL="114300" distR="114300" simplePos="0" relativeHeight="251862016" behindDoc="0" locked="0" layoutInCell="1" allowOverlap="1">
                <wp:simplePos x="0" y="0"/>
                <wp:positionH relativeFrom="column">
                  <wp:posOffset>-114300</wp:posOffset>
                </wp:positionH>
                <wp:positionV relativeFrom="paragraph">
                  <wp:posOffset>11430</wp:posOffset>
                </wp:positionV>
                <wp:extent cx="1028700" cy="325120"/>
                <wp:effectExtent l="0" t="0" r="0" b="0"/>
                <wp:wrapNone/>
                <wp:docPr id="32" name="文本框 32"/>
                <wp:cNvGraphicFramePr/>
                <a:graphic xmlns:a="http://schemas.openxmlformats.org/drawingml/2006/main">
                  <a:graphicData uri="http://schemas.microsoft.com/office/word/2010/wordprocessingShape">
                    <wps:wsp>
                      <wps:cNvSpPr txBox="1">
                        <a:spLocks noChangeArrowheads="1"/>
                      </wps:cNvSpPr>
                      <wps:spPr bwMode="auto">
                        <a:xfrm>
                          <a:off x="0" y="0"/>
                          <a:ext cx="1028700" cy="325120"/>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解决争议方式</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9pt;height:25.6pt;width:81pt;z-index:251862016;mso-width-relative:page;mso-height-relative:page;" filled="f" stroked="f" coordsize="21600,21600" o:gfxdata="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NXgIh1AAAAAgBAAAPAAAAAAAAAAEAIAAAACIAAABkcnMvZG93bnJl&#10;di54bWxQSwECFAAUAAAACACHTuJAXbc9hQECAADXAwAADgAAAAAAAAABACAAAAAjAQAAZHJzL2Uy&#10;b0RvYy54bWxQSwUGAAAAAAYABgBZAQAAlgU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解决争议方式</w:t>
                      </w:r>
                    </w:p>
                  </w:txbxContent>
                </v:textbox>
              </v:shape>
            </w:pict>
          </mc:Fallback>
        </mc:AlternateContent>
      </w:r>
      <w:r>
        <w:rPr>
          <w:rFonts w:hint="eastAsia" w:ascii="宋体" w:hAnsi="宋体" w:cs="宋体"/>
          <w:color w:val="auto"/>
          <w:kern w:val="0"/>
          <w:szCs w:val="21"/>
        </w:rPr>
        <w:t>合同双方当事人没有按照第86.2款规定进一步协商的，或虽然协商但未在规定期限内达成一致的，合同双方或一方当事人可在争议发生后的28天内，将争议提交争议调解或认定机构处理，或直接按照专用条款第86.6款规定提请仲裁或诉讼。</w:t>
      </w:r>
    </w:p>
    <w:p>
      <w:pPr>
        <w:tabs>
          <w:tab w:val="left" w:pos="1320"/>
        </w:tabs>
        <w:adjustRightInd w:val="0"/>
        <w:snapToGrid w:val="0"/>
        <w:spacing w:line="360" w:lineRule="auto"/>
        <w:rPr>
          <w:rFonts w:ascii="宋体" w:hAnsi="宋体" w:cs="宋体"/>
          <w:color w:val="auto"/>
          <w:kern w:val="0"/>
          <w:szCs w:val="21"/>
        </w:rPr>
      </w:pPr>
      <w:r>
        <w:rPr>
          <w:rFonts w:hint="eastAsia" w:ascii="宋体" w:hAnsi="宋体" w:cs="宋体"/>
          <w:b/>
          <w:color w:val="auto"/>
          <w:kern w:val="0"/>
          <w:szCs w:val="21"/>
        </w:rPr>
        <w:t xml:space="preserve">86.4 </w:t>
      </w:r>
      <w:r>
        <w:rPr>
          <w:rFonts w:hint="eastAsia" w:ascii="宋体" w:hAnsi="宋体" w:cs="宋体"/>
          <w:color w:val="auto"/>
          <w:kern w:val="0"/>
          <w:szCs w:val="21"/>
        </w:rPr>
        <w:t xml:space="preserve"> </w:t>
      </w:r>
      <w:r>
        <w:rPr>
          <w:rFonts w:hint="eastAsia" w:ascii="宋体" w:hAnsi="宋体" w:cs="宋体"/>
          <w:color w:val="auto"/>
          <w:kern w:val="0"/>
          <w:szCs w:val="21"/>
          <w:u w:val="dotted"/>
        </w:rPr>
        <w:t xml:space="preserve">                                                                                                        </w:t>
      </w:r>
    </w:p>
    <w:p>
      <w:pPr>
        <w:adjustRightInd w:val="0"/>
        <w:snapToGrid w:val="0"/>
        <w:spacing w:line="360" w:lineRule="auto"/>
        <w:ind w:left="1619" w:leftChars="771"/>
        <w:rPr>
          <w:rFonts w:ascii="宋体" w:hAnsi="宋体" w:cs="宋体"/>
          <w:color w:val="auto"/>
          <w:kern w:val="0"/>
          <w:szCs w:val="21"/>
        </w:rPr>
      </w:pPr>
      <w:r>
        <w:rPr>
          <w:rFonts w:ascii="宋体" w:hAnsi="宋体" w:cs="宋体"/>
          <w:color w:val="auto"/>
          <w:kern w:val="0"/>
          <w:szCs w:val="21"/>
        </w:rPr>
        <mc:AlternateContent>
          <mc:Choice Requires="wps">
            <w:drawing>
              <wp:anchor distT="0" distB="0" distL="114300" distR="114300" simplePos="0" relativeHeight="251863040" behindDoc="0" locked="0" layoutInCell="1" allowOverlap="1">
                <wp:simplePos x="0" y="0"/>
                <wp:positionH relativeFrom="column">
                  <wp:posOffset>-114300</wp:posOffset>
                </wp:positionH>
                <wp:positionV relativeFrom="paragraph">
                  <wp:posOffset>59690</wp:posOffset>
                </wp:positionV>
                <wp:extent cx="1028700" cy="378460"/>
                <wp:effectExtent l="0" t="0" r="0" b="0"/>
                <wp:wrapNone/>
                <wp:docPr id="31" name="文本框 31"/>
                <wp:cNvGraphicFramePr/>
                <a:graphic xmlns:a="http://schemas.openxmlformats.org/drawingml/2006/main">
                  <a:graphicData uri="http://schemas.microsoft.com/office/word/2010/wordprocessingShape">
                    <wps:wsp>
                      <wps:cNvSpPr txBox="1">
                        <a:spLocks noChangeArrowheads="1"/>
                      </wps:cNvSpPr>
                      <wps:spPr bwMode="auto">
                        <a:xfrm>
                          <a:off x="0" y="0"/>
                          <a:ext cx="1028700" cy="378460"/>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调解或认定</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4.7pt;height:29.8pt;width:81pt;z-index:251863040;mso-width-relative:page;mso-height-relative:page;" filled="f" stroked="f" coordsize="21600,21600" o:gfxdata="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VzhfmdUAAAAIAQAADwAAAAAAAAABACAAAAAiAAAAZHJzL2Rvd25y&#10;ZXYueG1sUEsBAhQAFAAAAAgAh07iQE0993wBAgAA1wMAAA4AAAAAAAAAAQAgAAAAJAEAAGRycy9l&#10;Mm9Eb2MueG1sUEsFBgAAAAAGAAYAWQEAAJcFA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调解或认定</w:t>
                      </w:r>
                    </w:p>
                  </w:txbxContent>
                </v:textbox>
              </v:shape>
            </w:pict>
          </mc:Fallback>
        </mc:AlternateContent>
      </w:r>
      <w:r>
        <w:rPr>
          <w:rFonts w:hint="eastAsia" w:ascii="宋体" w:hAnsi="宋体" w:cs="宋体"/>
          <w:color w:val="auto"/>
          <w:kern w:val="0"/>
          <w:szCs w:val="21"/>
        </w:rPr>
        <w:t>争议调解或认定机构在收到争议调解或认定请求后，可组织调查、勘察、计量等工作，合同双方当事人应为其开展工作提供便利和协助。争议调解或认定机构应就争议做出书面调解或认定结果，并通知合同双方当事人。除合同双方当事人认可并在专用条款约定外，下列机构为争议调解或认定机构：</w:t>
      </w:r>
    </w:p>
    <w:p>
      <w:pPr>
        <w:adjustRightInd w:val="0"/>
        <w:snapToGrid w:val="0"/>
        <w:spacing w:line="360" w:lineRule="auto"/>
        <w:ind w:left="1620"/>
        <w:rPr>
          <w:rFonts w:ascii="宋体" w:hAnsi="宋体" w:cs="宋体"/>
          <w:color w:val="auto"/>
          <w:kern w:val="0"/>
          <w:szCs w:val="21"/>
        </w:rPr>
      </w:pPr>
      <w:r>
        <w:rPr>
          <w:rFonts w:hint="eastAsia" w:ascii="宋体" w:hAnsi="宋体" w:cs="宋体"/>
          <w:color w:val="auto"/>
          <w:kern w:val="0"/>
          <w:szCs w:val="21"/>
        </w:rPr>
        <w:t>(1) 建设工程安全监督机构，负责有关工程安全方面争议的调解或认定；</w:t>
      </w:r>
    </w:p>
    <w:p>
      <w:pPr>
        <w:adjustRightInd w:val="0"/>
        <w:snapToGrid w:val="0"/>
        <w:spacing w:line="360" w:lineRule="auto"/>
        <w:ind w:left="1620"/>
        <w:rPr>
          <w:rFonts w:ascii="宋体" w:hAnsi="宋体" w:cs="宋体"/>
          <w:color w:val="auto"/>
          <w:kern w:val="0"/>
          <w:szCs w:val="21"/>
        </w:rPr>
      </w:pPr>
      <w:r>
        <w:rPr>
          <w:rFonts w:hint="eastAsia" w:ascii="宋体" w:hAnsi="宋体" w:cs="宋体"/>
          <w:color w:val="auto"/>
          <w:kern w:val="0"/>
          <w:szCs w:val="21"/>
        </w:rPr>
        <w:t>(2) 建设工程质量监督机构，负责有关工程质量方面争议的调解或认定；</w:t>
      </w:r>
    </w:p>
    <w:p>
      <w:pPr>
        <w:adjustRightInd w:val="0"/>
        <w:snapToGrid w:val="0"/>
        <w:spacing w:line="360" w:lineRule="auto"/>
        <w:ind w:left="1620"/>
        <w:rPr>
          <w:rFonts w:ascii="宋体" w:hAnsi="宋体" w:cs="宋体"/>
          <w:b/>
          <w:color w:val="auto"/>
          <w:kern w:val="0"/>
          <w:szCs w:val="21"/>
        </w:rPr>
      </w:pPr>
      <w:r>
        <w:rPr>
          <w:rFonts w:hint="eastAsia" w:ascii="宋体" w:hAnsi="宋体" w:cs="宋体"/>
          <w:color w:val="auto"/>
          <w:kern w:val="0"/>
          <w:szCs w:val="21"/>
        </w:rPr>
        <w:t>(3) 建设工程造价管理机构，负责有关工程造价方面争议的调解或认定。</w:t>
      </w:r>
    </w:p>
    <w:p>
      <w:pPr>
        <w:tabs>
          <w:tab w:val="left" w:pos="1320"/>
        </w:tabs>
        <w:adjustRightInd w:val="0"/>
        <w:snapToGrid w:val="0"/>
        <w:spacing w:line="360" w:lineRule="auto"/>
        <w:rPr>
          <w:rFonts w:ascii="宋体" w:hAnsi="宋体" w:cs="宋体"/>
          <w:b/>
          <w:color w:val="auto"/>
          <w:kern w:val="0"/>
          <w:szCs w:val="21"/>
        </w:rPr>
      </w:pPr>
      <w:r>
        <w:rPr>
          <w:rFonts w:hint="eastAsia" w:ascii="宋体" w:hAnsi="宋体" w:cs="宋体"/>
          <w:b/>
          <w:color w:val="auto"/>
          <w:kern w:val="0"/>
          <w:szCs w:val="21"/>
        </w:rPr>
        <w:t xml:space="preserve">86.5  </w:t>
      </w:r>
      <w:r>
        <w:rPr>
          <w:rFonts w:hint="eastAsia" w:ascii="宋体" w:hAnsi="宋体" w:cs="宋体"/>
          <w:b/>
          <w:color w:val="auto"/>
          <w:kern w:val="0"/>
          <w:szCs w:val="21"/>
          <w:u w:val="dotted"/>
        </w:rPr>
        <w:t xml:space="preserve">                                                                                                        </w:t>
      </w:r>
    </w:p>
    <w:p>
      <w:pPr>
        <w:adjustRightInd w:val="0"/>
        <w:snapToGrid w:val="0"/>
        <w:spacing w:line="360" w:lineRule="auto"/>
        <w:ind w:left="1619" w:leftChars="771"/>
        <w:rPr>
          <w:rFonts w:ascii="宋体" w:hAnsi="宋体" w:cs="宋体"/>
          <w:color w:val="auto"/>
          <w:kern w:val="0"/>
          <w:szCs w:val="21"/>
        </w:rPr>
      </w:pPr>
      <w:r>
        <w:rPr>
          <w:rFonts w:ascii="宋体" w:hAnsi="宋体" w:cs="宋体"/>
          <w:color w:val="auto"/>
          <w:kern w:val="0"/>
          <w:szCs w:val="21"/>
        </w:rPr>
        <mc:AlternateContent>
          <mc:Choice Requires="wps">
            <w:drawing>
              <wp:anchor distT="0" distB="0" distL="114300" distR="114300" simplePos="0" relativeHeight="251864064" behindDoc="0" locked="0" layoutInCell="1" allowOverlap="1">
                <wp:simplePos x="0" y="0"/>
                <wp:positionH relativeFrom="column">
                  <wp:posOffset>-114300</wp:posOffset>
                </wp:positionH>
                <wp:positionV relativeFrom="paragraph">
                  <wp:posOffset>32385</wp:posOffset>
                </wp:positionV>
                <wp:extent cx="914400" cy="464820"/>
                <wp:effectExtent l="0" t="0" r="0" b="0"/>
                <wp:wrapNone/>
                <wp:docPr id="30" name="文本框 30"/>
                <wp:cNvGraphicFramePr/>
                <a:graphic xmlns:a="http://schemas.openxmlformats.org/drawingml/2006/main">
                  <a:graphicData uri="http://schemas.microsoft.com/office/word/2010/wordprocessingShape">
                    <wps:wsp>
                      <wps:cNvSpPr txBox="1">
                        <a:spLocks noChangeArrowheads="1"/>
                      </wps:cNvSpPr>
                      <wps:spPr bwMode="auto">
                        <a:xfrm>
                          <a:off x="0" y="0"/>
                          <a:ext cx="914400" cy="464820"/>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调解或认定结果的确认</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55pt;height:36.6pt;width:72pt;z-index:251864064;mso-width-relative:page;mso-height-relative:page;" filled="f" stroked="f" coordsize="21600,21600" o:gfxdata="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RltrTdUAAAAIAQAADwAAAAAAAAABACAAAAAiAAAAZHJzL2Rvd25yZXYu&#10;eG1sUEsBAhQAFAAAAAgAh07iQI/DYCX+AQAA1gMAAA4AAAAAAAAAAQAgAAAAJAEAAGRycy9lMm9E&#10;b2MueG1sUEsFBgAAAAAGAAYAWQEAAJQFA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调解或认定结果的确认</w:t>
                      </w:r>
                    </w:p>
                  </w:txbxContent>
                </v:textbox>
              </v:shape>
            </w:pict>
          </mc:Fallback>
        </mc:AlternateContent>
      </w:r>
      <w:r>
        <w:rPr>
          <w:rFonts w:hint="eastAsia" w:ascii="宋体" w:hAnsi="宋体" w:cs="宋体"/>
          <w:color w:val="auto"/>
          <w:kern w:val="0"/>
          <w:szCs w:val="21"/>
        </w:rPr>
        <w:t>合同双方当事人应在收到争议调解或认定机构书面结果后的28天内，对调解或认定结果以书面形式予以确认。</w:t>
      </w:r>
    </w:p>
    <w:p>
      <w:pPr>
        <w:tabs>
          <w:tab w:val="left" w:pos="1320"/>
        </w:tabs>
        <w:adjustRightInd w:val="0"/>
        <w:snapToGrid w:val="0"/>
        <w:spacing w:line="360" w:lineRule="auto"/>
        <w:rPr>
          <w:rFonts w:ascii="宋体" w:hAnsi="宋体" w:cs="宋体"/>
          <w:b/>
          <w:color w:val="auto"/>
          <w:kern w:val="0"/>
          <w:szCs w:val="21"/>
        </w:rPr>
      </w:pPr>
      <w:r>
        <w:rPr>
          <w:rFonts w:hint="eastAsia" w:ascii="宋体" w:hAnsi="宋体" w:cs="宋体"/>
          <w:b/>
          <w:color w:val="auto"/>
          <w:kern w:val="0"/>
          <w:szCs w:val="21"/>
        </w:rPr>
        <w:t xml:space="preserve">86.6  </w:t>
      </w:r>
      <w:r>
        <w:rPr>
          <w:rFonts w:hint="eastAsia" w:ascii="宋体" w:hAnsi="宋体" w:cs="宋体"/>
          <w:b/>
          <w:color w:val="auto"/>
          <w:kern w:val="0"/>
          <w:szCs w:val="21"/>
          <w:u w:val="dotted"/>
        </w:rPr>
        <w:t xml:space="preserve">                                                                                                        </w:t>
      </w:r>
    </w:p>
    <w:p>
      <w:pPr>
        <w:adjustRightInd w:val="0"/>
        <w:snapToGrid w:val="0"/>
        <w:spacing w:line="360" w:lineRule="auto"/>
        <w:ind w:left="1619" w:leftChars="771"/>
        <w:rPr>
          <w:rFonts w:ascii="宋体" w:hAnsi="宋体" w:cs="宋体"/>
          <w:color w:val="auto"/>
          <w:kern w:val="0"/>
          <w:szCs w:val="21"/>
        </w:rPr>
      </w:pPr>
      <w:r>
        <w:rPr>
          <w:rFonts w:ascii="宋体" w:hAnsi="宋体" w:cs="宋体"/>
          <w:color w:val="auto"/>
          <w:kern w:val="0"/>
          <w:szCs w:val="21"/>
        </w:rPr>
        <mc:AlternateContent>
          <mc:Choice Requires="wps">
            <w:drawing>
              <wp:anchor distT="0" distB="0" distL="114300" distR="114300" simplePos="0" relativeHeight="251865088" behindDoc="0" locked="0" layoutInCell="1" allowOverlap="1">
                <wp:simplePos x="0" y="0"/>
                <wp:positionH relativeFrom="column">
                  <wp:posOffset>-114300</wp:posOffset>
                </wp:positionH>
                <wp:positionV relativeFrom="paragraph">
                  <wp:posOffset>12065</wp:posOffset>
                </wp:positionV>
                <wp:extent cx="1028700" cy="334645"/>
                <wp:effectExtent l="0" t="0" r="0" b="0"/>
                <wp:wrapNone/>
                <wp:docPr id="29" name="文本框 29"/>
                <wp:cNvGraphicFramePr/>
                <a:graphic xmlns:a="http://schemas.openxmlformats.org/drawingml/2006/main">
                  <a:graphicData uri="http://schemas.microsoft.com/office/word/2010/wordprocessingShape">
                    <wps:wsp>
                      <wps:cNvSpPr txBox="1">
                        <a:spLocks noChangeArrowheads="1"/>
                      </wps:cNvSpPr>
                      <wps:spPr bwMode="auto">
                        <a:xfrm>
                          <a:off x="0" y="0"/>
                          <a:ext cx="1028700" cy="334645"/>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仲裁或诉讼</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95pt;height:26.35pt;width:81pt;z-index:251865088;mso-width-relative:page;mso-height-relative:page;" filled="f" stroked="f" coordsize="21600,21600" o:gfxdata="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WCfqyNUAAAAIAQAADwAAAAAAAAABACAAAAAiAAAAZHJzL2Rvd25y&#10;ZXYueG1sUEsBAhQAFAAAAAgAh07iQF7dzSUBAgAA1wMAAA4AAAAAAAAAAQAgAAAAJAEAAGRycy9l&#10;Mm9Eb2MueG1sUEsFBgAAAAAGAAYAWQEAAJcFA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仲裁或诉讼</w:t>
                      </w:r>
                    </w:p>
                  </w:txbxContent>
                </v:textbox>
              </v:shape>
            </w:pict>
          </mc:Fallback>
        </mc:AlternateContent>
      </w:r>
      <w:r>
        <w:rPr>
          <w:rFonts w:hint="eastAsia" w:ascii="宋体" w:hAnsi="宋体" w:cs="宋体"/>
          <w:color w:val="auto"/>
          <w:kern w:val="0"/>
          <w:szCs w:val="21"/>
        </w:rPr>
        <w:t>若合同双方或一方当事人在收到争议调解或认定机构的书面结果后明确表示不同意，或在28天内没有书面确认，任何一方均可按照专用条款约定的下列任一种方式解决争议：</w:t>
      </w:r>
    </w:p>
    <w:p>
      <w:pPr>
        <w:adjustRightInd w:val="0"/>
        <w:snapToGrid w:val="0"/>
        <w:spacing w:line="360" w:lineRule="auto"/>
        <w:ind w:left="1620"/>
        <w:rPr>
          <w:rFonts w:ascii="宋体" w:hAnsi="宋体" w:cs="宋体"/>
          <w:color w:val="auto"/>
          <w:kern w:val="0"/>
          <w:szCs w:val="21"/>
        </w:rPr>
      </w:pPr>
      <w:r>
        <w:rPr>
          <w:rFonts w:hint="eastAsia" w:ascii="宋体" w:hAnsi="宋体" w:cs="宋体"/>
          <w:color w:val="auto"/>
          <w:kern w:val="0"/>
          <w:szCs w:val="21"/>
        </w:rPr>
        <w:t>(1) 向约定的仲裁委员会申请仲裁；</w:t>
      </w:r>
    </w:p>
    <w:p>
      <w:pPr>
        <w:adjustRightInd w:val="0"/>
        <w:snapToGrid w:val="0"/>
        <w:spacing w:line="360" w:lineRule="auto"/>
        <w:ind w:left="1620"/>
        <w:rPr>
          <w:rFonts w:ascii="宋体" w:hAnsi="宋体" w:cs="宋体"/>
          <w:color w:val="auto"/>
          <w:kern w:val="0"/>
          <w:szCs w:val="21"/>
        </w:rPr>
      </w:pPr>
      <w:r>
        <w:rPr>
          <w:rFonts w:hint="eastAsia" w:ascii="宋体" w:hAnsi="宋体" w:cs="宋体"/>
          <w:color w:val="auto"/>
          <w:kern w:val="0"/>
          <w:szCs w:val="21"/>
        </w:rPr>
        <w:t>(2) 向有管辖权的人民法院提起诉讼。</w:t>
      </w:r>
    </w:p>
    <w:p>
      <w:pPr>
        <w:tabs>
          <w:tab w:val="left" w:pos="1320"/>
        </w:tabs>
        <w:adjustRightInd w:val="0"/>
        <w:snapToGrid w:val="0"/>
        <w:spacing w:line="360" w:lineRule="auto"/>
        <w:rPr>
          <w:rFonts w:ascii="宋体" w:hAnsi="宋体" w:cs="宋体"/>
          <w:b/>
          <w:color w:val="auto"/>
          <w:kern w:val="0"/>
          <w:szCs w:val="21"/>
        </w:rPr>
      </w:pPr>
      <w:r>
        <w:rPr>
          <w:rFonts w:hint="eastAsia" w:ascii="宋体" w:hAnsi="宋体" w:cs="宋体"/>
          <w:b/>
          <w:color w:val="auto"/>
          <w:kern w:val="0"/>
          <w:szCs w:val="21"/>
        </w:rPr>
        <w:t xml:space="preserve">86.7  </w:t>
      </w:r>
      <w:r>
        <w:rPr>
          <w:rFonts w:hint="eastAsia" w:ascii="宋体" w:hAnsi="宋体" w:cs="宋体"/>
          <w:b/>
          <w:color w:val="auto"/>
          <w:kern w:val="0"/>
          <w:szCs w:val="21"/>
          <w:u w:val="dotted"/>
        </w:rPr>
        <w:t xml:space="preserve">                                                                                                        </w:t>
      </w:r>
    </w:p>
    <w:p>
      <w:pPr>
        <w:adjustRightInd w:val="0"/>
        <w:snapToGrid w:val="0"/>
        <w:spacing w:line="360" w:lineRule="auto"/>
        <w:ind w:left="1619" w:leftChars="771"/>
        <w:rPr>
          <w:rFonts w:ascii="宋体" w:hAnsi="宋体" w:cs="宋体"/>
          <w:color w:val="auto"/>
          <w:kern w:val="0"/>
          <w:szCs w:val="21"/>
        </w:rPr>
      </w:pPr>
      <w:r>
        <w:rPr>
          <w:rFonts w:ascii="宋体" w:hAnsi="宋体" w:cs="宋体"/>
          <w:color w:val="auto"/>
          <w:kern w:val="0"/>
          <w:szCs w:val="21"/>
        </w:rPr>
        <mc:AlternateContent>
          <mc:Choice Requires="wps">
            <w:drawing>
              <wp:anchor distT="0" distB="0" distL="114300" distR="114300" simplePos="0" relativeHeight="251866112" behindDoc="0" locked="0" layoutInCell="1" allowOverlap="1">
                <wp:simplePos x="0" y="0"/>
                <wp:positionH relativeFrom="column">
                  <wp:posOffset>-114300</wp:posOffset>
                </wp:positionH>
                <wp:positionV relativeFrom="paragraph">
                  <wp:posOffset>15875</wp:posOffset>
                </wp:positionV>
                <wp:extent cx="914400" cy="460375"/>
                <wp:effectExtent l="0" t="0" r="0" b="0"/>
                <wp:wrapNone/>
                <wp:docPr id="28" name="文本框 28"/>
                <wp:cNvGraphicFramePr/>
                <a:graphic xmlns:a="http://schemas.openxmlformats.org/drawingml/2006/main">
                  <a:graphicData uri="http://schemas.microsoft.com/office/word/2010/wordprocessingShape">
                    <wps:wsp>
                      <wps:cNvSpPr txBox="1">
                        <a:spLocks noChangeArrowheads="1"/>
                      </wps:cNvSpPr>
                      <wps:spPr bwMode="auto">
                        <a:xfrm>
                          <a:off x="0" y="0"/>
                          <a:ext cx="914400" cy="460375"/>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争议期间继续施工</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5pt;height:36.25pt;width:72pt;z-index:251866112;mso-width-relative:page;mso-height-relative:page;" filled="f" stroked="f" coordsize="21600,21600" o:gfxdata="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ArqDlTVAAAACAEAAA8AAAAAAAAAAQAgAAAAIgAAAGRycy9kb3ducmV2&#10;LnhtbFBLAQIUABQAAAAIAIdO4kDVMmJP/wEAANYDAAAOAAAAAAAAAAEAIAAAACQBAABkcnMvZTJv&#10;RG9jLnhtbFBLBQYAAAAABgAGAFkBAACVBQ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争议期间继续施工</w:t>
                      </w:r>
                    </w:p>
                  </w:txbxContent>
                </v:textbox>
              </v:shape>
            </w:pict>
          </mc:Fallback>
        </mc:AlternateContent>
      </w:r>
      <w:r>
        <w:rPr>
          <w:rFonts w:hint="eastAsia" w:ascii="宋体" w:hAnsi="宋体" w:cs="宋体"/>
          <w:color w:val="auto"/>
          <w:kern w:val="0"/>
          <w:szCs w:val="21"/>
        </w:rPr>
        <w:t>争议期间，除下列情况停止施工外，合同双方当事人都应继续履行合同，保持工程连续施工，保护好已完工程：</w:t>
      </w:r>
    </w:p>
    <w:p>
      <w:pPr>
        <w:adjustRightInd w:val="0"/>
        <w:snapToGrid w:val="0"/>
        <w:spacing w:line="360" w:lineRule="auto"/>
        <w:ind w:left="1620"/>
        <w:rPr>
          <w:rFonts w:ascii="宋体" w:hAnsi="宋体" w:cs="宋体"/>
          <w:color w:val="auto"/>
          <w:kern w:val="0"/>
          <w:szCs w:val="21"/>
        </w:rPr>
      </w:pPr>
      <w:r>
        <w:rPr>
          <w:rFonts w:hint="eastAsia" w:ascii="宋体" w:hAnsi="宋体" w:cs="宋体"/>
          <w:color w:val="auto"/>
          <w:kern w:val="0"/>
          <w:szCs w:val="21"/>
        </w:rPr>
        <w:t>(1) 合同双方当事人协商同意；</w:t>
      </w:r>
    </w:p>
    <w:p>
      <w:pPr>
        <w:adjustRightInd w:val="0"/>
        <w:snapToGrid w:val="0"/>
        <w:spacing w:line="360" w:lineRule="auto"/>
        <w:ind w:left="1620"/>
        <w:rPr>
          <w:rFonts w:ascii="宋体" w:hAnsi="宋体" w:cs="宋体"/>
          <w:color w:val="auto"/>
          <w:kern w:val="0"/>
          <w:szCs w:val="21"/>
        </w:rPr>
      </w:pPr>
      <w:r>
        <w:rPr>
          <w:rFonts w:hint="eastAsia" w:ascii="宋体" w:hAnsi="宋体" w:cs="宋体"/>
          <w:color w:val="auto"/>
          <w:kern w:val="0"/>
          <w:szCs w:val="21"/>
        </w:rPr>
        <w:t>(2) 合同一方当事人违约导致合同无法履行；</w:t>
      </w:r>
    </w:p>
    <w:p>
      <w:pPr>
        <w:adjustRightInd w:val="0"/>
        <w:snapToGrid w:val="0"/>
        <w:spacing w:line="360" w:lineRule="auto"/>
        <w:ind w:left="1620"/>
        <w:rPr>
          <w:rFonts w:ascii="宋体" w:hAnsi="宋体" w:cs="宋体"/>
          <w:color w:val="auto"/>
          <w:kern w:val="0"/>
          <w:szCs w:val="21"/>
        </w:rPr>
      </w:pPr>
      <w:r>
        <w:rPr>
          <w:rFonts w:hint="eastAsia" w:ascii="宋体" w:hAnsi="宋体" w:cs="宋体"/>
          <w:color w:val="auto"/>
          <w:kern w:val="0"/>
          <w:szCs w:val="21"/>
        </w:rPr>
        <w:t>(3) 工程造价管理机构调解需要，且合同双方当事人同意；</w:t>
      </w:r>
    </w:p>
    <w:p>
      <w:pPr>
        <w:adjustRightInd w:val="0"/>
        <w:snapToGrid w:val="0"/>
        <w:spacing w:line="360" w:lineRule="auto"/>
        <w:ind w:left="1620"/>
        <w:rPr>
          <w:rFonts w:ascii="宋体" w:hAnsi="宋体" w:cs="宋体"/>
          <w:color w:val="auto"/>
          <w:kern w:val="0"/>
          <w:szCs w:val="21"/>
        </w:rPr>
      </w:pPr>
      <w:r>
        <w:rPr>
          <w:rFonts w:hint="eastAsia" w:ascii="宋体" w:hAnsi="宋体" w:cs="宋体"/>
          <w:color w:val="auto"/>
          <w:kern w:val="0"/>
          <w:szCs w:val="21"/>
        </w:rPr>
        <w:t>(4) 仲裁委员会仲裁需要，且合同双方当事人同意：</w:t>
      </w:r>
    </w:p>
    <w:p>
      <w:pPr>
        <w:adjustRightInd w:val="0"/>
        <w:snapToGrid w:val="0"/>
        <w:spacing w:line="360" w:lineRule="auto"/>
        <w:ind w:firstLine="1365" w:firstLineChars="650"/>
        <w:rPr>
          <w:rFonts w:ascii="宋体" w:hAnsi="宋体" w:cs="宋体"/>
          <w:color w:val="auto"/>
          <w:kern w:val="0"/>
          <w:szCs w:val="21"/>
        </w:rPr>
      </w:pPr>
      <w:r>
        <w:rPr>
          <w:rFonts w:hint="eastAsia" w:ascii="宋体" w:hAnsi="宋体" w:cs="宋体"/>
          <w:color w:val="auto"/>
          <w:kern w:val="0"/>
          <w:szCs w:val="21"/>
        </w:rPr>
        <w:t>(5) 人民法院诉讼需要。</w:t>
      </w:r>
    </w:p>
    <w:p>
      <w:pPr>
        <w:tabs>
          <w:tab w:val="left" w:pos="1620"/>
        </w:tabs>
        <w:adjustRightInd w:val="0"/>
        <w:snapToGrid w:val="0"/>
        <w:spacing w:line="240" w:lineRule="exact"/>
        <w:ind w:right="-240"/>
        <w:rPr>
          <w:rFonts w:ascii="宋体" w:hAnsi="宋体" w:cs="宋体"/>
          <w:b/>
          <w:color w:val="auto"/>
          <w:kern w:val="0"/>
          <w:szCs w:val="21"/>
          <w:u w:val="single"/>
        </w:rPr>
      </w:pPr>
      <w:r>
        <w:rPr>
          <w:rFonts w:hint="eastAsia" w:ascii="宋体" w:hAnsi="宋体" w:cs="宋体"/>
          <w:b/>
          <w:color w:val="auto"/>
          <w:kern w:val="0"/>
          <w:szCs w:val="21"/>
          <w:u w:val="single"/>
        </w:rPr>
        <w:t xml:space="preserve">                                                                                                              </w:t>
      </w:r>
    </w:p>
    <w:p>
      <w:pPr>
        <w:tabs>
          <w:tab w:val="left" w:pos="540"/>
        </w:tabs>
        <w:adjustRightInd w:val="0"/>
        <w:snapToGrid w:val="0"/>
        <w:spacing w:beforeLines="100" w:line="240" w:lineRule="exact"/>
        <w:ind w:right="-238" w:firstLine="480"/>
        <w:rPr>
          <w:rFonts w:ascii="宋体" w:hAnsi="宋体" w:cs="宋体"/>
          <w:color w:val="auto"/>
          <w:kern w:val="0"/>
          <w:szCs w:val="21"/>
        </w:rPr>
      </w:pPr>
    </w:p>
    <w:p>
      <w:pPr>
        <w:tabs>
          <w:tab w:val="left" w:pos="540"/>
        </w:tabs>
        <w:adjustRightInd w:val="0"/>
        <w:snapToGrid w:val="0"/>
        <w:spacing w:beforeLines="100" w:line="360" w:lineRule="auto"/>
        <w:ind w:right="-238"/>
        <w:rPr>
          <w:rFonts w:ascii="宋体" w:hAnsi="宋体" w:cs="宋体"/>
          <w:b/>
          <w:color w:val="auto"/>
          <w:kern w:val="0"/>
          <w:szCs w:val="21"/>
        </w:rPr>
      </w:pPr>
      <w:r>
        <w:rPr>
          <w:rFonts w:hint="eastAsia" w:ascii="宋体" w:hAnsi="宋体" w:cs="宋体"/>
          <w:b/>
          <w:color w:val="auto"/>
          <w:kern w:val="0"/>
          <w:szCs w:val="21"/>
        </w:rPr>
        <w:t>87  合同解除</w:t>
      </w:r>
    </w:p>
    <w:p>
      <w:pPr>
        <w:adjustRightInd w:val="0"/>
        <w:snapToGrid w:val="0"/>
        <w:spacing w:line="360" w:lineRule="auto"/>
        <w:rPr>
          <w:rFonts w:ascii="宋体" w:hAnsi="宋体" w:cs="宋体"/>
          <w:b/>
          <w:color w:val="auto"/>
          <w:kern w:val="0"/>
          <w:szCs w:val="21"/>
        </w:rPr>
      </w:pPr>
      <w:r>
        <w:rPr>
          <w:rFonts w:hint="eastAsia" w:ascii="宋体" w:hAnsi="宋体" w:cs="宋体"/>
          <w:b/>
          <w:color w:val="auto"/>
          <w:kern w:val="0"/>
          <w:szCs w:val="21"/>
        </w:rPr>
        <w:t xml:space="preserve">87.1   </w:t>
      </w:r>
    </w:p>
    <w:p>
      <w:pPr>
        <w:adjustRightInd w:val="0"/>
        <w:snapToGrid w:val="0"/>
        <w:spacing w:line="360" w:lineRule="auto"/>
        <w:ind w:left="1619" w:leftChars="771"/>
        <w:rPr>
          <w:rFonts w:ascii="宋体" w:hAnsi="宋体" w:cs="宋体"/>
          <w:color w:val="auto"/>
          <w:kern w:val="0"/>
          <w:szCs w:val="21"/>
        </w:rPr>
      </w:pPr>
      <w:r>
        <w:rPr>
          <w:rFonts w:ascii="宋体" w:hAnsi="宋体" w:cs="宋体"/>
          <w:color w:val="auto"/>
          <w:kern w:val="0"/>
          <w:szCs w:val="21"/>
        </w:rPr>
        <mc:AlternateContent>
          <mc:Choice Requires="wps">
            <w:drawing>
              <wp:anchor distT="0" distB="0" distL="114300" distR="114300" simplePos="0" relativeHeight="251867136" behindDoc="0" locked="0" layoutInCell="1" allowOverlap="1">
                <wp:simplePos x="0" y="0"/>
                <wp:positionH relativeFrom="column">
                  <wp:posOffset>-114300</wp:posOffset>
                </wp:positionH>
                <wp:positionV relativeFrom="paragraph">
                  <wp:posOffset>-3810</wp:posOffset>
                </wp:positionV>
                <wp:extent cx="1028700" cy="263525"/>
                <wp:effectExtent l="0" t="0" r="0" b="0"/>
                <wp:wrapNone/>
                <wp:docPr id="27" name="文本框 27"/>
                <wp:cNvGraphicFramePr/>
                <a:graphic xmlns:a="http://schemas.openxmlformats.org/drawingml/2006/main">
                  <a:graphicData uri="http://schemas.microsoft.com/office/word/2010/wordprocessingShape">
                    <wps:wsp>
                      <wps:cNvSpPr txBox="1">
                        <a:spLocks noChangeArrowheads="1"/>
                      </wps:cNvSpPr>
                      <wps:spPr bwMode="auto">
                        <a:xfrm>
                          <a:off x="0" y="0"/>
                          <a:ext cx="1028700" cy="263525"/>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协商一致解除</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3pt;height:20.75pt;width:81pt;z-index:251867136;mso-width-relative:page;mso-height-relative:page;" filled="f" stroked="f" coordsize="21600,21600" o:gfxdata="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q7Jum1AAAAAgBAAAPAAAAAAAAAAEAIAAAACIAAABkcnMvZG93bnJl&#10;di54bWxQSwECFAAUAAAACACHTuJAAQt92QECAADXAwAADgAAAAAAAAABACAAAAAjAQAAZHJzL2Uy&#10;b0RvYy54bWxQSwUGAAAAAAYABgBZAQAAlgU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协商一致解除</w:t>
                      </w:r>
                    </w:p>
                  </w:txbxContent>
                </v:textbox>
              </v:shape>
            </w:pict>
          </mc:Fallback>
        </mc:AlternateContent>
      </w:r>
      <w:r>
        <w:rPr>
          <w:rFonts w:hint="eastAsia" w:ascii="宋体" w:hAnsi="宋体" w:cs="宋体"/>
          <w:color w:val="auto"/>
          <w:kern w:val="0"/>
          <w:szCs w:val="21"/>
        </w:rPr>
        <w:t>合同双方当事人协商一致，可以解除合同。</w:t>
      </w:r>
    </w:p>
    <w:p>
      <w:pPr>
        <w:tabs>
          <w:tab w:val="left" w:pos="1320"/>
        </w:tabs>
        <w:adjustRightInd w:val="0"/>
        <w:snapToGrid w:val="0"/>
        <w:spacing w:line="360" w:lineRule="auto"/>
        <w:rPr>
          <w:rFonts w:ascii="宋体" w:hAnsi="宋体" w:cs="宋体"/>
          <w:color w:val="auto"/>
          <w:kern w:val="0"/>
          <w:szCs w:val="21"/>
        </w:rPr>
      </w:pPr>
      <w:r>
        <w:rPr>
          <w:rFonts w:ascii="宋体" w:hAnsi="宋体" w:cs="宋体"/>
          <w:color w:val="auto"/>
          <w:kern w:val="0"/>
          <w:szCs w:val="21"/>
        </w:rPr>
        <mc:AlternateContent>
          <mc:Choice Requires="wps">
            <w:drawing>
              <wp:anchor distT="0" distB="0" distL="114300" distR="114300" simplePos="0" relativeHeight="251868160" behindDoc="0" locked="0" layoutInCell="1" allowOverlap="1">
                <wp:simplePos x="0" y="0"/>
                <wp:positionH relativeFrom="column">
                  <wp:posOffset>-114300</wp:posOffset>
                </wp:positionH>
                <wp:positionV relativeFrom="paragraph">
                  <wp:posOffset>160020</wp:posOffset>
                </wp:positionV>
                <wp:extent cx="914400" cy="471170"/>
                <wp:effectExtent l="0" t="0" r="0" b="0"/>
                <wp:wrapNone/>
                <wp:docPr id="26" name="文本框 26"/>
                <wp:cNvGraphicFramePr/>
                <a:graphic xmlns:a="http://schemas.openxmlformats.org/drawingml/2006/main">
                  <a:graphicData uri="http://schemas.microsoft.com/office/word/2010/wordprocessingShape">
                    <wps:wsp>
                      <wps:cNvSpPr txBox="1">
                        <a:spLocks noChangeArrowheads="1"/>
                      </wps:cNvSpPr>
                      <wps:spPr bwMode="auto">
                        <a:xfrm>
                          <a:off x="0" y="0"/>
                          <a:ext cx="914400" cy="471170"/>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不可抗力导致解除</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6pt;height:37.1pt;width:72pt;z-index:251868160;mso-width-relative:page;mso-height-relative:page;" filled="f" stroked="f" coordsize="21600,21600" o:gfxdata="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a+vg9cAAAAJAQAADwAAAAAAAAABACAAAAAiAAAAZHJzL2Rvd25y&#10;ZXYueG1sUEsBAhQAFAAAAAgAh07iQJ7jq4P/AQAA1gMAAA4AAAAAAAAAAQAgAAAAJgEAAGRycy9l&#10;Mm9Eb2MueG1sUEsFBgAAAAAGAAYAWQEAAJcFA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不可抗力导致解除</w:t>
                      </w:r>
                    </w:p>
                  </w:txbxContent>
                </v:textbox>
              </v:shape>
            </w:pict>
          </mc:Fallback>
        </mc:AlternateContent>
      </w:r>
      <w:r>
        <w:rPr>
          <w:rFonts w:hint="eastAsia" w:ascii="宋体" w:hAnsi="宋体" w:cs="宋体"/>
          <w:b/>
          <w:color w:val="auto"/>
          <w:kern w:val="0"/>
          <w:szCs w:val="21"/>
        </w:rPr>
        <w:t xml:space="preserve">87.2  </w:t>
      </w:r>
      <w:r>
        <w:rPr>
          <w:rFonts w:hint="eastAsia" w:ascii="宋体" w:hAnsi="宋体" w:cs="宋体"/>
          <w:b/>
          <w:color w:val="auto"/>
          <w:kern w:val="0"/>
          <w:szCs w:val="21"/>
          <w:u w:val="dotted"/>
        </w:rPr>
        <w:t xml:space="preserve">  </w:t>
      </w:r>
      <w:r>
        <w:rPr>
          <w:rFonts w:hint="eastAsia" w:ascii="宋体" w:hAnsi="宋体" w:cs="宋体"/>
          <w:color w:val="auto"/>
          <w:kern w:val="0"/>
          <w:szCs w:val="21"/>
          <w:u w:val="dotted"/>
        </w:rPr>
        <w:t xml:space="preserve">                                                                                                      </w:t>
      </w:r>
    </w:p>
    <w:p>
      <w:pPr>
        <w:adjustRightInd w:val="0"/>
        <w:snapToGrid w:val="0"/>
        <w:spacing w:line="360" w:lineRule="auto"/>
        <w:ind w:left="1619" w:leftChars="771"/>
        <w:rPr>
          <w:rFonts w:ascii="宋体" w:hAnsi="宋体" w:cs="宋体"/>
          <w:color w:val="auto"/>
          <w:kern w:val="0"/>
          <w:szCs w:val="21"/>
        </w:rPr>
      </w:pPr>
      <w:r>
        <w:rPr>
          <w:rFonts w:hint="eastAsia" w:ascii="宋体" w:hAnsi="宋体" w:cs="宋体"/>
          <w:color w:val="auto"/>
          <w:kern w:val="0"/>
          <w:szCs w:val="21"/>
        </w:rPr>
        <w:t>因不可抗力事件致使合同无法继续履行的，合同双方当事人可以解除合同。</w:t>
      </w:r>
    </w:p>
    <w:p>
      <w:pPr>
        <w:tabs>
          <w:tab w:val="left" w:pos="1320"/>
        </w:tabs>
        <w:adjustRightInd w:val="0"/>
        <w:snapToGrid w:val="0"/>
        <w:spacing w:line="360" w:lineRule="auto"/>
        <w:rPr>
          <w:rFonts w:ascii="宋体" w:hAnsi="宋体" w:cs="宋体"/>
          <w:color w:val="auto"/>
          <w:kern w:val="0"/>
          <w:szCs w:val="21"/>
        </w:rPr>
      </w:pPr>
      <w:r>
        <w:rPr>
          <w:rFonts w:hint="eastAsia" w:ascii="宋体" w:hAnsi="宋体" w:cs="宋体"/>
          <w:b/>
          <w:color w:val="auto"/>
          <w:kern w:val="0"/>
          <w:szCs w:val="21"/>
        </w:rPr>
        <w:t xml:space="preserve">87.3 </w:t>
      </w:r>
      <w:r>
        <w:rPr>
          <w:rFonts w:hint="eastAsia" w:ascii="宋体" w:hAnsi="宋体" w:cs="宋体"/>
          <w:color w:val="auto"/>
          <w:kern w:val="0"/>
          <w:szCs w:val="21"/>
        </w:rPr>
        <w:t xml:space="preserve"> </w:t>
      </w:r>
      <w:r>
        <w:rPr>
          <w:rFonts w:hint="eastAsia" w:ascii="宋体" w:hAnsi="宋体" w:cs="宋体"/>
          <w:color w:val="auto"/>
          <w:kern w:val="0"/>
          <w:szCs w:val="21"/>
          <w:u w:val="dotted"/>
        </w:rPr>
        <w:t xml:space="preserve">                                                                                                       </w:t>
      </w:r>
    </w:p>
    <w:p>
      <w:pPr>
        <w:adjustRightInd w:val="0"/>
        <w:snapToGrid w:val="0"/>
        <w:spacing w:line="360" w:lineRule="auto"/>
        <w:ind w:left="1619" w:leftChars="771"/>
        <w:rPr>
          <w:rFonts w:ascii="宋体" w:hAnsi="宋体" w:cs="宋体"/>
          <w:color w:val="auto"/>
          <w:kern w:val="0"/>
          <w:szCs w:val="21"/>
        </w:rPr>
      </w:pPr>
      <w:r>
        <w:rPr>
          <w:rFonts w:ascii="宋体" w:hAnsi="宋体" w:cs="宋体"/>
          <w:color w:val="auto"/>
          <w:kern w:val="0"/>
          <w:szCs w:val="21"/>
        </w:rPr>
        <mc:AlternateContent>
          <mc:Choice Requires="wps">
            <w:drawing>
              <wp:anchor distT="0" distB="0" distL="114300" distR="114300" simplePos="0" relativeHeight="251869184" behindDoc="0" locked="0" layoutInCell="1" allowOverlap="1">
                <wp:simplePos x="0" y="0"/>
                <wp:positionH relativeFrom="column">
                  <wp:posOffset>-114300</wp:posOffset>
                </wp:positionH>
                <wp:positionV relativeFrom="paragraph">
                  <wp:posOffset>37465</wp:posOffset>
                </wp:positionV>
                <wp:extent cx="914400" cy="404495"/>
                <wp:effectExtent l="0" t="0" r="0" b="0"/>
                <wp:wrapNone/>
                <wp:docPr id="25" name="文本框 25"/>
                <wp:cNvGraphicFramePr/>
                <a:graphic xmlns:a="http://schemas.openxmlformats.org/drawingml/2006/main">
                  <a:graphicData uri="http://schemas.microsoft.com/office/word/2010/wordprocessingShape">
                    <wps:wsp>
                      <wps:cNvSpPr txBox="1">
                        <a:spLocks noChangeArrowheads="1"/>
                      </wps:cNvSpPr>
                      <wps:spPr bwMode="auto">
                        <a:xfrm>
                          <a:off x="0" y="0"/>
                          <a:ext cx="914400" cy="404495"/>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因承包人的原因解除</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95pt;height:31.85pt;width:72pt;z-index:251869184;mso-width-relative:page;mso-height-relative:page;" filled="f" stroked="f" coordsize="21600,21600" o:gfxdata="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Ct/8+dUAAAAIAQAADwAAAAAAAAABACAAAAAiAAAAZHJzL2Rvd25yZXYu&#10;eG1sUEsBAhQAFAAAAAgAh07iQOv294b+AQAA1gMAAA4AAAAAAAAAAQAgAAAAJAEAAGRycy9lMm9E&#10;b2MueG1sUEsFBgAAAAAGAAYAWQEAAJQFA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因承包人的原因解除</w:t>
                      </w:r>
                    </w:p>
                  </w:txbxContent>
                </v:textbox>
              </v:shape>
            </w:pict>
          </mc:Fallback>
        </mc:AlternateContent>
      </w:r>
      <w:r>
        <w:rPr>
          <w:rFonts w:hint="eastAsia" w:ascii="宋体" w:hAnsi="宋体" w:cs="宋体"/>
          <w:color w:val="auto"/>
          <w:kern w:val="0"/>
          <w:szCs w:val="21"/>
        </w:rPr>
        <w:t>承包人有下列情形之一者，发包人可以解除合同：</w:t>
      </w:r>
    </w:p>
    <w:p>
      <w:pPr>
        <w:numPr>
          <w:ilvl w:val="0"/>
          <w:numId w:val="31"/>
        </w:numPr>
        <w:adjustRightInd w:val="0"/>
        <w:snapToGrid w:val="0"/>
        <w:spacing w:line="360" w:lineRule="auto"/>
        <w:ind w:left="1618" w:leftChars="770" w:hanging="1"/>
        <w:rPr>
          <w:rFonts w:ascii="宋体" w:hAnsi="宋体" w:cs="宋体"/>
          <w:color w:val="auto"/>
          <w:kern w:val="0"/>
          <w:szCs w:val="21"/>
        </w:rPr>
      </w:pPr>
      <w:r>
        <w:rPr>
          <w:rFonts w:hint="eastAsia" w:ascii="宋体" w:hAnsi="宋体" w:cs="宋体"/>
          <w:color w:val="auto"/>
          <w:kern w:val="0"/>
          <w:szCs w:val="21"/>
        </w:rPr>
        <w:t>承包人未能按照第34.2款规定的开工期限内开工，经监理工程师催告后的28天内仍未开工的；</w:t>
      </w:r>
    </w:p>
    <w:p>
      <w:pPr>
        <w:numPr>
          <w:ilvl w:val="0"/>
          <w:numId w:val="31"/>
        </w:numPr>
        <w:adjustRightInd w:val="0"/>
        <w:snapToGrid w:val="0"/>
        <w:spacing w:line="360" w:lineRule="auto"/>
        <w:ind w:left="1621" w:leftChars="771" w:hanging="2"/>
        <w:rPr>
          <w:rFonts w:ascii="宋体" w:hAnsi="宋体" w:cs="宋体"/>
          <w:color w:val="auto"/>
          <w:kern w:val="0"/>
          <w:szCs w:val="21"/>
        </w:rPr>
      </w:pPr>
      <w:r>
        <w:rPr>
          <w:rFonts w:hint="eastAsia" w:ascii="宋体" w:hAnsi="宋体" w:cs="宋体"/>
          <w:color w:val="auto"/>
          <w:kern w:val="0"/>
          <w:szCs w:val="21"/>
        </w:rPr>
        <w:t>按照第33条规定的进度计划未表明有停工且监理工程师也未按照第35.1款规定发出暂停施工令，但承包人停止施工时间持续达56天或累计停止施工时间达70天的；</w:t>
      </w:r>
    </w:p>
    <w:p>
      <w:pPr>
        <w:numPr>
          <w:ilvl w:val="0"/>
          <w:numId w:val="31"/>
        </w:numPr>
        <w:tabs>
          <w:tab w:val="left" w:pos="1680"/>
        </w:tabs>
        <w:adjustRightInd w:val="0"/>
        <w:snapToGrid w:val="0"/>
        <w:spacing w:line="360" w:lineRule="auto"/>
        <w:ind w:left="1659" w:leftChars="770" w:hanging="42"/>
        <w:rPr>
          <w:rFonts w:ascii="宋体" w:hAnsi="宋体" w:cs="宋体"/>
          <w:color w:val="auto"/>
          <w:kern w:val="0"/>
          <w:szCs w:val="21"/>
        </w:rPr>
      </w:pPr>
      <w:r>
        <w:rPr>
          <w:rFonts w:hint="eastAsia" w:ascii="宋体" w:hAnsi="宋体" w:cs="宋体"/>
          <w:color w:val="auto"/>
          <w:kern w:val="0"/>
          <w:szCs w:val="21"/>
        </w:rPr>
        <w:t>承包人违反第18.1款或第51.4款规定未经监理工程师批准，私自将已按照合同约定进入施工现场的施工设备、临时设施或材料运出施工现场  的；</w:t>
      </w:r>
    </w:p>
    <w:p>
      <w:pPr>
        <w:numPr>
          <w:ilvl w:val="0"/>
          <w:numId w:val="31"/>
        </w:numPr>
        <w:adjustRightInd w:val="0"/>
        <w:snapToGrid w:val="0"/>
        <w:spacing w:line="360" w:lineRule="auto"/>
        <w:ind w:left="1678" w:leftChars="799" w:firstLine="2"/>
        <w:rPr>
          <w:rFonts w:ascii="宋体" w:hAnsi="宋体" w:cs="宋体"/>
          <w:color w:val="auto"/>
          <w:kern w:val="0"/>
          <w:szCs w:val="21"/>
        </w:rPr>
      </w:pPr>
      <w:r>
        <w:rPr>
          <w:rFonts w:hint="eastAsia" w:ascii="宋体" w:hAnsi="宋体" w:cs="宋体"/>
          <w:color w:val="auto"/>
          <w:kern w:val="0"/>
          <w:szCs w:val="21"/>
        </w:rPr>
        <w:t xml:space="preserve">承包人拖延完工且能偿付的误期赔偿费已达到专用条款约定最高限额的； </w:t>
      </w:r>
    </w:p>
    <w:p>
      <w:pPr>
        <w:numPr>
          <w:ilvl w:val="0"/>
          <w:numId w:val="31"/>
        </w:numPr>
        <w:adjustRightInd w:val="0"/>
        <w:snapToGrid w:val="0"/>
        <w:spacing w:line="360" w:lineRule="auto"/>
        <w:ind w:left="2036" w:leftChars="771" w:hanging="417" w:hangingChars="199"/>
        <w:rPr>
          <w:rFonts w:ascii="宋体" w:hAnsi="宋体" w:cs="宋体"/>
          <w:color w:val="auto"/>
          <w:kern w:val="0"/>
          <w:szCs w:val="21"/>
        </w:rPr>
      </w:pPr>
      <w:r>
        <w:rPr>
          <w:rFonts w:hint="eastAsia" w:ascii="宋体" w:hAnsi="宋体" w:cs="宋体"/>
          <w:color w:val="auto"/>
          <w:kern w:val="0"/>
          <w:szCs w:val="21"/>
        </w:rPr>
        <w:t>承包人转包工程、违法分包或未经许可擅自分包工程的；</w:t>
      </w:r>
    </w:p>
    <w:p>
      <w:pPr>
        <w:numPr>
          <w:ilvl w:val="0"/>
          <w:numId w:val="31"/>
        </w:numPr>
        <w:adjustRightInd w:val="0"/>
        <w:snapToGrid w:val="0"/>
        <w:spacing w:line="360" w:lineRule="auto"/>
        <w:ind w:left="1617" w:leftChars="770" w:firstLine="2"/>
        <w:rPr>
          <w:rFonts w:ascii="宋体" w:hAnsi="宋体" w:cs="宋体"/>
          <w:color w:val="auto"/>
          <w:kern w:val="0"/>
          <w:szCs w:val="21"/>
        </w:rPr>
      </w:pPr>
      <w:r>
        <w:rPr>
          <w:rFonts w:hint="eastAsia" w:ascii="宋体" w:hAnsi="宋体" w:cs="宋体"/>
          <w:color w:val="auto"/>
          <w:kern w:val="0"/>
          <w:szCs w:val="21"/>
        </w:rPr>
        <w:t>承包人未按照合同约定或监理工程师的指令，经监理工程师书面指出后仍未按要求改正的；</w:t>
      </w:r>
    </w:p>
    <w:p>
      <w:pPr>
        <w:numPr>
          <w:ilvl w:val="0"/>
          <w:numId w:val="31"/>
        </w:numPr>
        <w:adjustRightInd w:val="0"/>
        <w:snapToGrid w:val="0"/>
        <w:spacing w:line="360" w:lineRule="auto"/>
        <w:ind w:left="2036" w:leftChars="771" w:hanging="417" w:hangingChars="199"/>
        <w:rPr>
          <w:rFonts w:ascii="宋体" w:hAnsi="宋体" w:cs="宋体"/>
          <w:color w:val="auto"/>
          <w:kern w:val="0"/>
          <w:szCs w:val="21"/>
        </w:rPr>
      </w:pPr>
      <w:r>
        <w:rPr>
          <w:rFonts w:hint="eastAsia" w:ascii="宋体" w:hAnsi="宋体" w:cs="宋体"/>
          <w:color w:val="auto"/>
          <w:kern w:val="0"/>
          <w:szCs w:val="21"/>
        </w:rPr>
        <w:t>承包人履行合同期间有欺诈行为的；</w:t>
      </w:r>
    </w:p>
    <w:p>
      <w:pPr>
        <w:numPr>
          <w:ilvl w:val="0"/>
          <w:numId w:val="31"/>
        </w:numPr>
        <w:adjustRightInd w:val="0"/>
        <w:snapToGrid w:val="0"/>
        <w:spacing w:line="360" w:lineRule="auto"/>
        <w:ind w:left="1618" w:leftChars="770" w:hanging="1"/>
        <w:rPr>
          <w:rFonts w:ascii="宋体" w:hAnsi="宋体" w:cs="宋体"/>
          <w:color w:val="auto"/>
          <w:kern w:val="0"/>
          <w:szCs w:val="21"/>
        </w:rPr>
      </w:pPr>
      <w:r>
        <w:rPr>
          <w:rFonts w:hint="eastAsia" w:ascii="宋体" w:hAnsi="宋体" w:cs="宋体"/>
          <w:color w:val="auto"/>
          <w:kern w:val="0"/>
          <w:szCs w:val="21"/>
        </w:rPr>
        <w:t>承包人向任何人付给或企图付给任何贿赂、礼品、赏金、回扣或其他贵重物品，以引诱或报偿他人，但付给承包人相关人员的奖励则属例外；</w:t>
      </w:r>
    </w:p>
    <w:p>
      <w:pPr>
        <w:adjustRightInd w:val="0"/>
        <w:snapToGrid w:val="0"/>
        <w:spacing w:line="360" w:lineRule="auto"/>
        <w:ind w:left="1617"/>
        <w:rPr>
          <w:rFonts w:ascii="宋体" w:hAnsi="宋体" w:cs="宋体"/>
          <w:color w:val="auto"/>
          <w:kern w:val="0"/>
          <w:szCs w:val="21"/>
        </w:rPr>
      </w:pPr>
      <w:r>
        <w:rPr>
          <w:rFonts w:hint="eastAsia" w:ascii="宋体" w:hAnsi="宋体" w:cs="宋体"/>
          <w:color w:val="auto"/>
          <w:kern w:val="0"/>
          <w:szCs w:val="21"/>
        </w:rPr>
        <w:t>(9)承包人在缺陷责任期内未能对发生的缺陷进行修复，且又拒绝按照监理工程师指令再进行修补的；</w:t>
      </w:r>
    </w:p>
    <w:p>
      <w:pPr>
        <w:adjustRightInd w:val="0"/>
        <w:snapToGrid w:val="0"/>
        <w:spacing w:line="360" w:lineRule="auto"/>
        <w:ind w:left="1680" w:leftChars="800"/>
        <w:rPr>
          <w:rFonts w:ascii="宋体" w:hAnsi="宋体" w:cs="宋体"/>
          <w:color w:val="auto"/>
          <w:kern w:val="0"/>
          <w:szCs w:val="21"/>
        </w:rPr>
      </w:pPr>
      <w:r>
        <w:rPr>
          <w:rFonts w:hint="eastAsia" w:ascii="宋体" w:hAnsi="宋体" w:cs="宋体"/>
          <w:color w:val="auto"/>
          <w:kern w:val="0"/>
          <w:szCs w:val="21"/>
        </w:rPr>
        <w:t>(10)承包人无法继续履行、明确表示或以行为表明不履行合同约定主要义 务的；</w:t>
      </w:r>
    </w:p>
    <w:p>
      <w:pPr>
        <w:adjustRightInd w:val="0"/>
        <w:snapToGrid w:val="0"/>
        <w:spacing w:line="360" w:lineRule="auto"/>
        <w:ind w:left="1680"/>
        <w:rPr>
          <w:rFonts w:ascii="宋体" w:hAnsi="宋体" w:cs="宋体"/>
          <w:color w:val="auto"/>
          <w:kern w:val="0"/>
          <w:szCs w:val="21"/>
        </w:rPr>
      </w:pPr>
      <w:r>
        <w:rPr>
          <w:rFonts w:hint="eastAsia" w:ascii="宋体" w:hAnsi="宋体" w:cs="宋体"/>
          <w:color w:val="auto"/>
          <w:kern w:val="0"/>
          <w:szCs w:val="21"/>
        </w:rPr>
        <w:t>(11)承包人延迟履行合同约定主要义务，经催告后在合理期限内仍未履行 的；</w:t>
      </w:r>
    </w:p>
    <w:p>
      <w:pPr>
        <w:adjustRightInd w:val="0"/>
        <w:snapToGrid w:val="0"/>
        <w:spacing w:line="360" w:lineRule="auto"/>
        <w:ind w:left="1619"/>
        <w:rPr>
          <w:rFonts w:ascii="宋体" w:hAnsi="宋体" w:cs="宋体"/>
          <w:color w:val="auto"/>
          <w:kern w:val="0"/>
          <w:szCs w:val="21"/>
        </w:rPr>
      </w:pPr>
      <w:r>
        <w:rPr>
          <w:rFonts w:hint="eastAsia" w:ascii="宋体" w:hAnsi="宋体" w:cs="宋体"/>
          <w:color w:val="auto"/>
          <w:kern w:val="0"/>
          <w:szCs w:val="21"/>
        </w:rPr>
        <w:t>(12)承包人破产或清偿的，但以机构重组或联合为目的的除外；</w:t>
      </w:r>
    </w:p>
    <w:p>
      <w:pPr>
        <w:adjustRightInd w:val="0"/>
        <w:snapToGrid w:val="0"/>
        <w:spacing w:line="360" w:lineRule="auto"/>
        <w:ind w:left="1619"/>
        <w:rPr>
          <w:rFonts w:ascii="宋体" w:hAnsi="宋体" w:cs="宋体"/>
          <w:color w:val="auto"/>
          <w:kern w:val="0"/>
          <w:szCs w:val="21"/>
        </w:rPr>
      </w:pPr>
      <w:r>
        <w:rPr>
          <w:rFonts w:hint="eastAsia" w:ascii="宋体" w:hAnsi="宋体" w:cs="宋体"/>
          <w:color w:val="auto"/>
          <w:kern w:val="0"/>
          <w:szCs w:val="21"/>
        </w:rPr>
        <w:t>(13)承包人被认为是严重违反合同的其他违约行为。</w:t>
      </w:r>
    </w:p>
    <w:p>
      <w:pPr>
        <w:adjustRightInd w:val="0"/>
        <w:snapToGrid w:val="0"/>
        <w:spacing w:line="360" w:lineRule="auto"/>
        <w:ind w:left="1619" w:leftChars="771"/>
        <w:rPr>
          <w:rFonts w:ascii="宋体" w:hAnsi="宋体" w:cs="宋体"/>
          <w:b/>
          <w:color w:val="auto"/>
          <w:kern w:val="0"/>
          <w:szCs w:val="21"/>
        </w:rPr>
      </w:pPr>
      <w:r>
        <w:rPr>
          <w:rFonts w:hint="eastAsia" w:ascii="宋体" w:hAnsi="宋体" w:cs="宋体"/>
          <w:color w:val="auto"/>
          <w:kern w:val="0"/>
          <w:szCs w:val="21"/>
        </w:rPr>
        <w:t>在这种情况下，发包人可自行或委托第三方实施、完成合同工程或其任何部分，并可使用根据第18.2款留下的承包人施工设备、周转性材料和临时工程，直至永久工程完工为止。</w:t>
      </w:r>
    </w:p>
    <w:p>
      <w:pPr>
        <w:tabs>
          <w:tab w:val="left" w:pos="1320"/>
        </w:tabs>
        <w:adjustRightInd w:val="0"/>
        <w:snapToGrid w:val="0"/>
        <w:spacing w:line="360" w:lineRule="auto"/>
        <w:rPr>
          <w:rFonts w:ascii="宋体" w:hAnsi="宋体" w:cs="宋体"/>
          <w:b/>
          <w:color w:val="auto"/>
          <w:kern w:val="0"/>
          <w:szCs w:val="21"/>
        </w:rPr>
      </w:pPr>
      <w:r>
        <w:rPr>
          <w:rFonts w:hint="eastAsia" w:ascii="宋体" w:hAnsi="宋体" w:cs="宋体"/>
          <w:b/>
          <w:color w:val="auto"/>
          <w:kern w:val="0"/>
          <w:szCs w:val="21"/>
        </w:rPr>
        <w:t xml:space="preserve">87.4  </w:t>
      </w:r>
      <w:r>
        <w:rPr>
          <w:rFonts w:hint="eastAsia" w:ascii="宋体" w:hAnsi="宋体" w:cs="宋体"/>
          <w:b/>
          <w:color w:val="auto"/>
          <w:kern w:val="0"/>
          <w:szCs w:val="21"/>
          <w:u w:val="dotted"/>
        </w:rPr>
        <w:t xml:space="preserve">                                                                                                        </w:t>
      </w:r>
    </w:p>
    <w:p>
      <w:pPr>
        <w:adjustRightInd w:val="0"/>
        <w:snapToGrid w:val="0"/>
        <w:spacing w:line="360" w:lineRule="auto"/>
        <w:ind w:left="1619" w:leftChars="771"/>
        <w:rPr>
          <w:rFonts w:ascii="宋体" w:hAnsi="宋体" w:cs="宋体"/>
          <w:color w:val="auto"/>
          <w:kern w:val="0"/>
          <w:szCs w:val="21"/>
        </w:rPr>
      </w:pPr>
      <w:r>
        <w:rPr>
          <w:rFonts w:ascii="宋体" w:hAnsi="宋体" w:cs="宋体"/>
          <w:color w:val="auto"/>
          <w:kern w:val="0"/>
          <w:szCs w:val="21"/>
        </w:rPr>
        <mc:AlternateContent>
          <mc:Choice Requires="wps">
            <w:drawing>
              <wp:anchor distT="0" distB="0" distL="114300" distR="114300" simplePos="0" relativeHeight="251870208" behindDoc="0" locked="0" layoutInCell="1" allowOverlap="1">
                <wp:simplePos x="0" y="0"/>
                <wp:positionH relativeFrom="column">
                  <wp:posOffset>-114300</wp:posOffset>
                </wp:positionH>
                <wp:positionV relativeFrom="paragraph">
                  <wp:posOffset>29845</wp:posOffset>
                </wp:positionV>
                <wp:extent cx="914400" cy="503555"/>
                <wp:effectExtent l="0" t="0" r="0" b="0"/>
                <wp:wrapNone/>
                <wp:docPr id="24" name="文本框 24"/>
                <wp:cNvGraphicFramePr/>
                <a:graphic xmlns:a="http://schemas.openxmlformats.org/drawingml/2006/main">
                  <a:graphicData uri="http://schemas.microsoft.com/office/word/2010/wordprocessingShape">
                    <wps:wsp>
                      <wps:cNvSpPr txBox="1">
                        <a:spLocks noChangeArrowheads="1"/>
                      </wps:cNvSpPr>
                      <wps:spPr bwMode="auto">
                        <a:xfrm>
                          <a:off x="0" y="0"/>
                          <a:ext cx="914400" cy="503555"/>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因发包人的原因解除</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35pt;height:39.65pt;width:72pt;z-index:251870208;mso-width-relative:page;mso-height-relative:page;" filled="f" stroked="f" coordsize="21600,21600" o:gfxdata="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MmPLjjVAAAACAEAAA8AAAAAAAAAAQAgAAAAIgAAAGRycy9kb3ducmV2&#10;LnhtbFBLAQIUABQAAAAIAIdO4kDU80K2/wEAANYDAAAOAAAAAAAAAAEAIAAAACQBAABkcnMvZTJv&#10;RG9jLnhtbFBLBQYAAAAABgAGAFkBAACVBQ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因发包人的原因解除</w:t>
                      </w:r>
                    </w:p>
                  </w:txbxContent>
                </v:textbox>
              </v:shape>
            </w:pict>
          </mc:Fallback>
        </mc:AlternateContent>
      </w:r>
      <w:r>
        <w:rPr>
          <w:rFonts w:hint="eastAsia" w:ascii="宋体" w:hAnsi="宋体" w:cs="宋体"/>
          <w:color w:val="auto"/>
          <w:kern w:val="0"/>
          <w:szCs w:val="21"/>
        </w:rPr>
        <w:t>发包人有下列情形之一者，承包人可以解除合同：</w:t>
      </w:r>
    </w:p>
    <w:p>
      <w:pPr>
        <w:numPr>
          <w:ilvl w:val="0"/>
          <w:numId w:val="32"/>
        </w:numPr>
        <w:tabs>
          <w:tab w:val="left" w:pos="2160"/>
        </w:tabs>
        <w:adjustRightInd w:val="0"/>
        <w:snapToGrid w:val="0"/>
        <w:spacing w:line="360" w:lineRule="auto"/>
        <w:ind w:left="1619" w:leftChars="771" w:firstLine="1"/>
        <w:rPr>
          <w:rFonts w:ascii="宋体" w:hAnsi="宋体" w:cs="宋体"/>
          <w:color w:val="auto"/>
          <w:kern w:val="0"/>
          <w:szCs w:val="21"/>
        </w:rPr>
      </w:pPr>
      <w:r>
        <w:rPr>
          <w:rFonts w:hint="eastAsia" w:ascii="宋体" w:hAnsi="宋体" w:cs="宋体"/>
          <w:color w:val="auto"/>
          <w:kern w:val="0"/>
          <w:szCs w:val="21"/>
        </w:rPr>
        <w:t>非承包人原因未按照第34.2款规定期限内发出开工令，经承包人催告后28天内仍未发出开工令的；</w:t>
      </w:r>
    </w:p>
    <w:p>
      <w:pPr>
        <w:numPr>
          <w:ilvl w:val="0"/>
          <w:numId w:val="32"/>
        </w:numPr>
        <w:tabs>
          <w:tab w:val="left" w:pos="2160"/>
        </w:tabs>
        <w:adjustRightInd w:val="0"/>
        <w:snapToGrid w:val="0"/>
        <w:spacing w:line="360" w:lineRule="auto"/>
        <w:ind w:left="1620" w:leftChars="771" w:hanging="1"/>
        <w:rPr>
          <w:rFonts w:ascii="宋体" w:hAnsi="宋体" w:cs="宋体"/>
          <w:color w:val="auto"/>
          <w:kern w:val="0"/>
          <w:szCs w:val="21"/>
        </w:rPr>
      </w:pPr>
      <w:r>
        <w:rPr>
          <w:rFonts w:hint="eastAsia" w:ascii="宋体" w:hAnsi="宋体" w:cs="宋体"/>
          <w:color w:val="auto"/>
          <w:kern w:val="0"/>
          <w:szCs w:val="21"/>
        </w:rPr>
        <w:t xml:space="preserve">按照第35.3款规定非承包人原因造成暂停施工持续56天以上或累计停工时间超过了70天的；           </w:t>
      </w:r>
    </w:p>
    <w:p>
      <w:pPr>
        <w:numPr>
          <w:ilvl w:val="0"/>
          <w:numId w:val="32"/>
        </w:numPr>
        <w:tabs>
          <w:tab w:val="left" w:pos="1800"/>
        </w:tabs>
        <w:adjustRightInd w:val="0"/>
        <w:snapToGrid w:val="0"/>
        <w:spacing w:line="360" w:lineRule="auto"/>
        <w:ind w:left="1620" w:leftChars="771" w:hanging="1"/>
        <w:rPr>
          <w:rFonts w:ascii="宋体" w:hAnsi="宋体" w:cs="宋体"/>
          <w:color w:val="auto"/>
          <w:kern w:val="0"/>
          <w:szCs w:val="21"/>
        </w:rPr>
      </w:pPr>
      <w:r>
        <w:rPr>
          <w:rFonts w:hint="eastAsia" w:ascii="宋体" w:hAnsi="宋体" w:cs="宋体"/>
          <w:color w:val="auto"/>
          <w:kern w:val="0"/>
          <w:szCs w:val="21"/>
        </w:rPr>
        <w:t>发包人按照第5条规定提供的施工设计图纸存在缺陷或按照第48条规定供应的材料和工程设备不符合强制性标准，致使承包人无法施工，经承包人催告后28天内仍未修正或更换的；</w:t>
      </w:r>
    </w:p>
    <w:p>
      <w:pPr>
        <w:numPr>
          <w:ilvl w:val="0"/>
          <w:numId w:val="32"/>
        </w:numPr>
        <w:tabs>
          <w:tab w:val="left" w:pos="2160"/>
        </w:tabs>
        <w:adjustRightInd w:val="0"/>
        <w:snapToGrid w:val="0"/>
        <w:spacing w:line="360" w:lineRule="auto"/>
        <w:ind w:left="1620" w:leftChars="771" w:hanging="1"/>
        <w:rPr>
          <w:rFonts w:ascii="宋体" w:hAnsi="宋体" w:cs="宋体"/>
          <w:color w:val="auto"/>
          <w:kern w:val="0"/>
          <w:szCs w:val="21"/>
        </w:rPr>
      </w:pPr>
      <w:r>
        <w:rPr>
          <w:rFonts w:hint="eastAsia" w:ascii="宋体" w:hAnsi="宋体" w:cs="宋体"/>
          <w:color w:val="auto"/>
          <w:kern w:val="0"/>
          <w:szCs w:val="21"/>
        </w:rPr>
        <w:t xml:space="preserve">监理工程师未按照合同约定及时发出工作指令，导致承包人无法继续施工的； </w:t>
      </w:r>
    </w:p>
    <w:p>
      <w:pPr>
        <w:numPr>
          <w:ilvl w:val="0"/>
          <w:numId w:val="32"/>
        </w:numPr>
        <w:tabs>
          <w:tab w:val="left" w:pos="2160"/>
        </w:tabs>
        <w:adjustRightInd w:val="0"/>
        <w:snapToGrid w:val="0"/>
        <w:spacing w:line="360" w:lineRule="auto"/>
        <w:ind w:left="1620" w:leftChars="771" w:hanging="1"/>
        <w:rPr>
          <w:rFonts w:ascii="宋体" w:hAnsi="宋体" w:cs="宋体"/>
          <w:color w:val="auto"/>
          <w:kern w:val="0"/>
          <w:szCs w:val="21"/>
        </w:rPr>
      </w:pPr>
      <w:r>
        <w:rPr>
          <w:rFonts w:hint="eastAsia" w:ascii="宋体" w:hAnsi="宋体" w:cs="宋体"/>
          <w:color w:val="auto"/>
          <w:kern w:val="0"/>
          <w:szCs w:val="21"/>
        </w:rPr>
        <w:t>发包人未按照第78.1款规定向承包人支付工程款，经承包人催告后28天内仍未支付的；</w:t>
      </w:r>
    </w:p>
    <w:p>
      <w:pPr>
        <w:numPr>
          <w:ilvl w:val="0"/>
          <w:numId w:val="32"/>
        </w:numPr>
        <w:tabs>
          <w:tab w:val="left" w:pos="2160"/>
        </w:tabs>
        <w:adjustRightInd w:val="0"/>
        <w:snapToGrid w:val="0"/>
        <w:spacing w:line="360" w:lineRule="auto"/>
        <w:ind w:left="1620" w:leftChars="771" w:hanging="1"/>
        <w:rPr>
          <w:rFonts w:ascii="宋体" w:hAnsi="宋体" w:cs="宋体"/>
          <w:color w:val="auto"/>
          <w:kern w:val="0"/>
          <w:szCs w:val="21"/>
        </w:rPr>
      </w:pPr>
      <w:r>
        <w:rPr>
          <w:rFonts w:hint="eastAsia" w:ascii="宋体" w:hAnsi="宋体" w:cs="宋体"/>
          <w:color w:val="auto"/>
          <w:kern w:val="0"/>
          <w:szCs w:val="21"/>
        </w:rPr>
        <w:t>发包人无法继续履行、明确表示或以行为表明不履行合同约定主要义务的；</w:t>
      </w:r>
    </w:p>
    <w:p>
      <w:pPr>
        <w:tabs>
          <w:tab w:val="left" w:pos="2160"/>
        </w:tabs>
        <w:adjustRightInd w:val="0"/>
        <w:snapToGrid w:val="0"/>
        <w:spacing w:line="360" w:lineRule="auto"/>
        <w:ind w:left="1619"/>
        <w:rPr>
          <w:rFonts w:ascii="宋体" w:hAnsi="宋体" w:cs="宋体"/>
          <w:color w:val="auto"/>
          <w:kern w:val="0"/>
          <w:szCs w:val="21"/>
        </w:rPr>
      </w:pPr>
      <w:r>
        <w:rPr>
          <w:rFonts w:hint="eastAsia" w:ascii="宋体" w:hAnsi="宋体" w:cs="宋体"/>
          <w:color w:val="auto"/>
          <w:kern w:val="0"/>
          <w:szCs w:val="21"/>
        </w:rPr>
        <w:t>(7)发包人延迟履行合同约定主要义务，经催告后在合理期限内仍未履行的；</w:t>
      </w:r>
    </w:p>
    <w:p>
      <w:pPr>
        <w:tabs>
          <w:tab w:val="left" w:pos="2160"/>
        </w:tabs>
        <w:adjustRightInd w:val="0"/>
        <w:snapToGrid w:val="0"/>
        <w:spacing w:line="360" w:lineRule="auto"/>
        <w:ind w:left="1619"/>
        <w:rPr>
          <w:rFonts w:ascii="宋体" w:hAnsi="宋体" w:cs="宋体"/>
          <w:color w:val="auto"/>
          <w:kern w:val="0"/>
          <w:szCs w:val="21"/>
        </w:rPr>
      </w:pPr>
      <w:r>
        <w:rPr>
          <w:rFonts w:hint="eastAsia" w:ascii="宋体" w:hAnsi="宋体" w:cs="宋体"/>
          <w:color w:val="auto"/>
          <w:kern w:val="0"/>
          <w:szCs w:val="21"/>
        </w:rPr>
        <w:t>(8)发包人破产或清偿的，但以机构重组或联合为目的的除外；</w:t>
      </w:r>
    </w:p>
    <w:p>
      <w:pPr>
        <w:tabs>
          <w:tab w:val="left" w:pos="2160"/>
        </w:tabs>
        <w:adjustRightInd w:val="0"/>
        <w:snapToGrid w:val="0"/>
        <w:spacing w:line="360" w:lineRule="auto"/>
        <w:ind w:left="1619"/>
        <w:rPr>
          <w:rFonts w:ascii="宋体" w:hAnsi="宋体" w:cs="宋体"/>
          <w:color w:val="auto"/>
          <w:kern w:val="0"/>
          <w:szCs w:val="21"/>
        </w:rPr>
      </w:pPr>
      <w:r>
        <w:rPr>
          <w:rFonts w:hint="eastAsia" w:ascii="宋体" w:hAnsi="宋体" w:cs="宋体"/>
          <w:color w:val="auto"/>
          <w:kern w:val="0"/>
          <w:szCs w:val="21"/>
        </w:rPr>
        <w:t>(9)发包人被认为是严重违反合同的其他违约行为。</w:t>
      </w:r>
    </w:p>
    <w:p>
      <w:pPr>
        <w:tabs>
          <w:tab w:val="left" w:pos="1320"/>
        </w:tabs>
        <w:adjustRightInd w:val="0"/>
        <w:snapToGrid w:val="0"/>
        <w:spacing w:line="360" w:lineRule="auto"/>
        <w:rPr>
          <w:rFonts w:ascii="宋体" w:hAnsi="宋体" w:cs="宋体"/>
          <w:b/>
          <w:color w:val="auto"/>
          <w:kern w:val="0"/>
          <w:szCs w:val="21"/>
        </w:rPr>
      </w:pPr>
      <w:r>
        <w:rPr>
          <w:rFonts w:ascii="宋体" w:hAnsi="宋体" w:cs="宋体"/>
          <w:color w:val="auto"/>
          <w:kern w:val="0"/>
          <w:szCs w:val="21"/>
        </w:rPr>
        <mc:AlternateContent>
          <mc:Choice Requires="wps">
            <w:drawing>
              <wp:anchor distT="0" distB="0" distL="114300" distR="114300" simplePos="0" relativeHeight="251871232" behindDoc="0" locked="0" layoutInCell="1" allowOverlap="1">
                <wp:simplePos x="0" y="0"/>
                <wp:positionH relativeFrom="column">
                  <wp:posOffset>-114300</wp:posOffset>
                </wp:positionH>
                <wp:positionV relativeFrom="paragraph">
                  <wp:posOffset>202565</wp:posOffset>
                </wp:positionV>
                <wp:extent cx="914400" cy="396240"/>
                <wp:effectExtent l="0" t="0" r="0" b="0"/>
                <wp:wrapNone/>
                <wp:docPr id="23" name="文本框 23"/>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书面通知合同解除</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5.95pt;height:31.2pt;width:72pt;z-index:251871232;mso-width-relative:page;mso-height-relative:page;" filled="f" stroked="f" coordsize="21600,21600" o:gfxdata="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lkNbiNcAAAAJAQAADwAAAAAAAAABACAAAAAiAAAAZHJzL2Rvd25y&#10;ZXYueG1sUEsBAhQAFAAAAAgAh07iQMbtcLz/AQAA1gMAAA4AAAAAAAAAAQAgAAAAJgEAAGRycy9l&#10;Mm9Eb2MueG1sUEsFBgAAAAAGAAYAWQEAAJcFA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书面通知合同解除</w:t>
                      </w:r>
                    </w:p>
                  </w:txbxContent>
                </v:textbox>
              </v:shape>
            </w:pict>
          </mc:Fallback>
        </mc:AlternateContent>
      </w:r>
      <w:r>
        <w:rPr>
          <w:rFonts w:hint="eastAsia" w:ascii="宋体" w:hAnsi="宋体" w:cs="宋体"/>
          <w:b/>
          <w:color w:val="auto"/>
          <w:kern w:val="0"/>
          <w:szCs w:val="21"/>
        </w:rPr>
        <w:t xml:space="preserve">87.5  </w:t>
      </w:r>
      <w:r>
        <w:rPr>
          <w:rFonts w:hint="eastAsia" w:ascii="宋体" w:hAnsi="宋体" w:cs="宋体"/>
          <w:b/>
          <w:color w:val="auto"/>
          <w:kern w:val="0"/>
          <w:szCs w:val="21"/>
          <w:u w:val="dotted"/>
        </w:rPr>
        <w:t xml:space="preserve">                                                                                                        </w:t>
      </w:r>
    </w:p>
    <w:p>
      <w:pPr>
        <w:adjustRightInd w:val="0"/>
        <w:snapToGrid w:val="0"/>
        <w:spacing w:line="360" w:lineRule="auto"/>
        <w:ind w:left="1619" w:leftChars="771"/>
        <w:rPr>
          <w:rFonts w:ascii="宋体" w:hAnsi="宋体" w:cs="宋体"/>
          <w:color w:val="auto"/>
          <w:kern w:val="0"/>
          <w:szCs w:val="21"/>
        </w:rPr>
      </w:pPr>
      <w:r>
        <w:rPr>
          <w:rFonts w:hint="eastAsia" w:ascii="宋体" w:hAnsi="宋体" w:cs="宋体"/>
          <w:color w:val="auto"/>
          <w:kern w:val="0"/>
          <w:szCs w:val="21"/>
        </w:rPr>
        <w:t>根据第87.2款至第87.4款规定要求解除合同的，解除方应以书面形式向另一方当事人发出解除合同的通知，另一方当事人收到通知时合同即告解除。对解除合同有争议的，应按照第86条规定处理。</w:t>
      </w:r>
    </w:p>
    <w:p>
      <w:pPr>
        <w:tabs>
          <w:tab w:val="left" w:pos="1320"/>
        </w:tabs>
        <w:adjustRightInd w:val="0"/>
        <w:snapToGrid w:val="0"/>
        <w:spacing w:line="480" w:lineRule="auto"/>
        <w:rPr>
          <w:rFonts w:ascii="宋体" w:hAnsi="宋体" w:cs="宋体"/>
          <w:b/>
          <w:color w:val="auto"/>
          <w:kern w:val="0"/>
          <w:szCs w:val="21"/>
        </w:rPr>
      </w:pPr>
      <w:r>
        <w:rPr>
          <w:rFonts w:hint="eastAsia" w:ascii="宋体" w:hAnsi="宋体" w:cs="宋体"/>
          <w:b/>
          <w:color w:val="auto"/>
          <w:kern w:val="0"/>
          <w:szCs w:val="21"/>
        </w:rPr>
        <w:t xml:space="preserve">87.6  </w:t>
      </w:r>
      <w:r>
        <w:rPr>
          <w:rFonts w:hint="eastAsia" w:ascii="宋体" w:hAnsi="宋体" w:cs="宋体"/>
          <w:b/>
          <w:color w:val="auto"/>
          <w:kern w:val="0"/>
          <w:szCs w:val="21"/>
          <w:u w:val="dotted"/>
        </w:rPr>
        <w:t xml:space="preserve">                                                                                                        </w:t>
      </w:r>
    </w:p>
    <w:p>
      <w:pPr>
        <w:adjustRightInd w:val="0"/>
        <w:snapToGrid w:val="0"/>
        <w:spacing w:line="360" w:lineRule="auto"/>
        <w:ind w:left="1619" w:leftChars="771"/>
        <w:rPr>
          <w:rFonts w:ascii="宋体" w:hAnsi="宋体" w:cs="宋体"/>
          <w:color w:val="auto"/>
          <w:kern w:val="0"/>
          <w:szCs w:val="21"/>
        </w:rPr>
      </w:pPr>
      <w:r>
        <w:rPr>
          <w:rFonts w:ascii="宋体" w:hAnsi="宋体" w:cs="宋体"/>
          <w:color w:val="auto"/>
          <w:kern w:val="0"/>
          <w:szCs w:val="21"/>
        </w:rPr>
        <mc:AlternateContent>
          <mc:Choice Requires="wps">
            <w:drawing>
              <wp:anchor distT="0" distB="0" distL="114300" distR="114300" simplePos="0" relativeHeight="251872256" behindDoc="0" locked="0" layoutInCell="1" allowOverlap="1">
                <wp:simplePos x="0" y="0"/>
                <wp:positionH relativeFrom="column">
                  <wp:posOffset>-114300</wp:posOffset>
                </wp:positionH>
                <wp:positionV relativeFrom="paragraph">
                  <wp:posOffset>6985</wp:posOffset>
                </wp:positionV>
                <wp:extent cx="914400" cy="594360"/>
                <wp:effectExtent l="0" t="0" r="0" b="0"/>
                <wp:wrapNone/>
                <wp:docPr id="22" name="文本框 22"/>
                <wp:cNvGraphicFramePr/>
                <a:graphic xmlns:a="http://schemas.openxmlformats.org/drawingml/2006/main">
                  <a:graphicData uri="http://schemas.microsoft.com/office/word/2010/wordprocessingShape">
                    <wps:wsp>
                      <wps:cNvSpPr txBox="1">
                        <a:spLocks noChangeArrowheads="1"/>
                      </wps:cNvSpPr>
                      <wps:spPr bwMode="auto">
                        <a:xfrm>
                          <a:off x="0" y="0"/>
                          <a:ext cx="914400" cy="594360"/>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合同解除后双方的责任和义务</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55pt;height:46.8pt;width:72pt;z-index:251872256;mso-width-relative:page;mso-height-relative:page;" filled="f" stroked="f" coordsize="21600,21600" o:gfxdata="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QDGpytQAAAAIAQAADwAAAAAAAAABACAAAAAiAAAAZHJzL2Rvd25yZXYu&#10;eG1sUEsBAhQAFAAAAAgAh07iQAtOdUf/AQAA1gMAAA4AAAAAAAAAAQAgAAAAIwEAAGRycy9lMm9E&#10;b2MueG1sUEsFBgAAAAAGAAYAWQEAAJQFA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合同解除后双方的责任和义务</w:t>
                      </w:r>
                    </w:p>
                  </w:txbxContent>
                </v:textbox>
              </v:shape>
            </w:pict>
          </mc:Fallback>
        </mc:AlternateContent>
      </w:r>
      <w:r>
        <w:rPr>
          <w:rFonts w:hint="eastAsia" w:ascii="宋体" w:hAnsi="宋体" w:cs="宋体"/>
          <w:color w:val="auto"/>
          <w:kern w:val="0"/>
          <w:szCs w:val="21"/>
        </w:rPr>
        <w:t>合同一旦解除，承包人应立即停止施工，保证现场安全，保护已完工程和已购材料、工程设备，尽快撤离现场，并将所有与本合同有关的施工文件、设计文件移交给监理工程师。发包人应为承包人的撤离提供便利和协助。</w:t>
      </w:r>
    </w:p>
    <w:p>
      <w:pPr>
        <w:adjustRightInd w:val="0"/>
        <w:snapToGrid w:val="0"/>
        <w:rPr>
          <w:rFonts w:ascii="宋体" w:hAnsi="宋体" w:cs="宋体"/>
          <w:b/>
          <w:color w:val="auto"/>
          <w:kern w:val="0"/>
          <w:szCs w:val="21"/>
          <w:u w:val="single"/>
        </w:rPr>
      </w:pPr>
      <w:r>
        <w:rPr>
          <w:rFonts w:hint="eastAsia" w:ascii="宋体" w:hAnsi="宋体" w:cs="宋体"/>
          <w:b/>
          <w:color w:val="auto"/>
          <w:kern w:val="0"/>
          <w:szCs w:val="21"/>
          <w:u w:val="single"/>
        </w:rPr>
        <w:t xml:space="preserve">                                                                                                              </w:t>
      </w:r>
    </w:p>
    <w:p>
      <w:pPr>
        <w:tabs>
          <w:tab w:val="left" w:pos="540"/>
        </w:tabs>
        <w:adjustRightInd w:val="0"/>
        <w:snapToGrid w:val="0"/>
        <w:spacing w:beforeLines="100"/>
        <w:ind w:right="-238" w:firstLine="420" w:firstLineChars="200"/>
        <w:rPr>
          <w:rFonts w:ascii="宋体" w:hAnsi="宋体" w:cs="宋体"/>
          <w:color w:val="auto"/>
          <w:kern w:val="0"/>
          <w:szCs w:val="21"/>
        </w:rPr>
      </w:pPr>
    </w:p>
    <w:p>
      <w:pPr>
        <w:tabs>
          <w:tab w:val="left" w:pos="540"/>
        </w:tabs>
        <w:adjustRightInd w:val="0"/>
        <w:snapToGrid w:val="0"/>
        <w:spacing w:beforeLines="100" w:line="360" w:lineRule="auto"/>
        <w:ind w:right="-238"/>
        <w:rPr>
          <w:rFonts w:ascii="宋体" w:hAnsi="宋体" w:cs="宋体"/>
          <w:b/>
          <w:color w:val="auto"/>
          <w:kern w:val="0"/>
          <w:szCs w:val="21"/>
        </w:rPr>
      </w:pPr>
      <w:r>
        <w:rPr>
          <w:rFonts w:hint="eastAsia" w:ascii="宋体" w:hAnsi="宋体" w:cs="宋体"/>
          <w:b/>
          <w:color w:val="auto"/>
          <w:kern w:val="0"/>
          <w:szCs w:val="21"/>
        </w:rPr>
        <w:t>88  合同解除的支付</w:t>
      </w:r>
    </w:p>
    <w:p>
      <w:pPr>
        <w:adjustRightInd w:val="0"/>
        <w:snapToGrid w:val="0"/>
        <w:spacing w:line="360" w:lineRule="auto"/>
        <w:rPr>
          <w:rFonts w:ascii="宋体" w:hAnsi="宋体" w:cs="宋体"/>
          <w:b/>
          <w:color w:val="auto"/>
          <w:kern w:val="0"/>
          <w:szCs w:val="21"/>
        </w:rPr>
      </w:pPr>
      <w:r>
        <w:rPr>
          <w:rFonts w:ascii="宋体" w:hAnsi="宋体" w:cs="宋体"/>
          <w:color w:val="auto"/>
          <w:kern w:val="0"/>
          <w:szCs w:val="21"/>
        </w:rPr>
        <mc:AlternateContent>
          <mc:Choice Requires="wps">
            <w:drawing>
              <wp:anchor distT="0" distB="0" distL="114300" distR="114300" simplePos="0" relativeHeight="251873280" behindDoc="0" locked="0" layoutInCell="1" allowOverlap="1">
                <wp:simplePos x="0" y="0"/>
                <wp:positionH relativeFrom="column">
                  <wp:posOffset>-66675</wp:posOffset>
                </wp:positionH>
                <wp:positionV relativeFrom="paragraph">
                  <wp:posOffset>188595</wp:posOffset>
                </wp:positionV>
                <wp:extent cx="914400" cy="396240"/>
                <wp:effectExtent l="0" t="0" r="0" b="0"/>
                <wp:wrapNone/>
                <wp:docPr id="21" name="文本框 21"/>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协商一致解除的支付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25pt;margin-top:14.85pt;height:31.2pt;width:72pt;z-index:251873280;mso-width-relative:page;mso-height-relative:page;" filled="f" stroked="f" coordsize="21600,21600" o:gfxdata="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45kRl1gAAAAkBAAAPAAAAAAAAAAEAIAAAACIAAABkcnMvZG93bnJl&#10;di54bWxQSwECFAAUAAAACACHTuJAoP95Qf8BAADWAwAADgAAAAAAAAABACAAAAAlAQAAZHJzL2Uy&#10;b0RvYy54bWxQSwUGAAAAAAYABgBZAQAAlgU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协商一致解除的支付</w:t>
                      </w:r>
                    </w:p>
                  </w:txbxContent>
                </v:textbox>
              </v:shape>
            </w:pict>
          </mc:Fallback>
        </mc:AlternateContent>
      </w:r>
      <w:r>
        <w:rPr>
          <w:rFonts w:hint="eastAsia" w:ascii="宋体" w:hAnsi="宋体" w:cs="宋体"/>
          <w:b/>
          <w:color w:val="auto"/>
          <w:kern w:val="0"/>
          <w:szCs w:val="21"/>
        </w:rPr>
        <w:t xml:space="preserve">88.1     </w:t>
      </w:r>
    </w:p>
    <w:p>
      <w:pPr>
        <w:adjustRightInd w:val="0"/>
        <w:snapToGrid w:val="0"/>
        <w:spacing w:line="360" w:lineRule="auto"/>
        <w:ind w:firstLine="1470" w:firstLineChars="700"/>
        <w:rPr>
          <w:rFonts w:ascii="宋体" w:hAnsi="宋体" w:cs="宋体"/>
          <w:color w:val="auto"/>
          <w:kern w:val="0"/>
          <w:szCs w:val="21"/>
        </w:rPr>
      </w:pPr>
      <w:r>
        <w:rPr>
          <w:rFonts w:hint="eastAsia" w:ascii="宋体" w:hAnsi="宋体" w:cs="宋体"/>
          <w:color w:val="auto"/>
          <w:kern w:val="0"/>
          <w:szCs w:val="21"/>
        </w:rPr>
        <w:t>根据第87.1款规定解除合同的，按照达成的协议办理结算和支付工程款。</w:t>
      </w:r>
    </w:p>
    <w:p>
      <w:pPr>
        <w:adjustRightInd w:val="0"/>
        <w:snapToGrid w:val="0"/>
        <w:spacing w:line="360" w:lineRule="auto"/>
        <w:rPr>
          <w:rFonts w:ascii="宋体" w:hAnsi="宋体" w:cs="宋体"/>
          <w:b/>
          <w:color w:val="auto"/>
          <w:kern w:val="0"/>
          <w:szCs w:val="21"/>
        </w:rPr>
      </w:pPr>
      <w:r>
        <w:rPr>
          <w:rFonts w:hint="eastAsia" w:ascii="宋体" w:hAnsi="宋体" w:cs="宋体"/>
          <w:b/>
          <w:color w:val="auto"/>
          <w:kern w:val="0"/>
          <w:szCs w:val="21"/>
        </w:rPr>
        <w:t xml:space="preserve">88.2  </w:t>
      </w:r>
      <w:r>
        <w:rPr>
          <w:rFonts w:hint="eastAsia" w:ascii="宋体" w:hAnsi="宋体" w:cs="宋体"/>
          <w:b/>
          <w:color w:val="auto"/>
          <w:kern w:val="0"/>
          <w:szCs w:val="21"/>
          <w:u w:val="dotted"/>
        </w:rPr>
        <w:t xml:space="preserve">                                                                                                        </w:t>
      </w:r>
    </w:p>
    <w:p>
      <w:pPr>
        <w:adjustRightInd w:val="0"/>
        <w:snapToGrid w:val="0"/>
        <w:spacing w:line="360" w:lineRule="auto"/>
        <w:ind w:left="1619" w:leftChars="771"/>
        <w:rPr>
          <w:rFonts w:ascii="宋体" w:hAnsi="宋体" w:cs="宋体"/>
          <w:color w:val="auto"/>
          <w:kern w:val="0"/>
          <w:szCs w:val="21"/>
        </w:rPr>
      </w:pPr>
      <w:r>
        <w:rPr>
          <w:rFonts w:ascii="宋体" w:hAnsi="宋体" w:cs="宋体"/>
          <w:color w:val="auto"/>
          <w:kern w:val="0"/>
          <w:szCs w:val="21"/>
        </w:rPr>
        <mc:AlternateContent>
          <mc:Choice Requires="wps">
            <w:drawing>
              <wp:anchor distT="0" distB="0" distL="114300" distR="114300" simplePos="0" relativeHeight="251874304" behindDoc="0" locked="0" layoutInCell="1" allowOverlap="1">
                <wp:simplePos x="0" y="0"/>
                <wp:positionH relativeFrom="column">
                  <wp:posOffset>-114300</wp:posOffset>
                </wp:positionH>
                <wp:positionV relativeFrom="paragraph">
                  <wp:posOffset>15875</wp:posOffset>
                </wp:positionV>
                <wp:extent cx="914400" cy="693420"/>
                <wp:effectExtent l="0" t="0" r="0" b="0"/>
                <wp:wrapNone/>
                <wp:docPr id="20" name="文本框 20"/>
                <wp:cNvGraphicFramePr/>
                <a:graphic xmlns:a="http://schemas.openxmlformats.org/drawingml/2006/main">
                  <a:graphicData uri="http://schemas.microsoft.com/office/word/2010/wordprocessingShape">
                    <wps:wsp>
                      <wps:cNvSpPr txBox="1">
                        <a:spLocks noChangeArrowheads="1"/>
                      </wps:cNvSpPr>
                      <wps:spPr bwMode="auto">
                        <a:xfrm>
                          <a:off x="0" y="0"/>
                          <a:ext cx="914400" cy="693420"/>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不可抗力解除的支付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5pt;height:54.6pt;width:72pt;z-index:251874304;mso-width-relative:page;mso-height-relative:page;" filled="f" stroked="f" coordsize="21600,21600" o:gfxdata="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QPuPt9YAAAAJAQAADwAAAAAAAAABACAAAAAiAAAAZHJzL2Rvd25yZXYu&#10;eG1sUEsBAhQAFAAAAAgAh07iQNlSnNv9AQAA1gMAAA4AAAAAAAAAAQAgAAAAJQEAAGRycy9lMm9E&#10;b2MueG1sUEsFBgAAAAAGAAYAWQEAAJQFA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不可抗力解除的支付</w:t>
                      </w:r>
                    </w:p>
                  </w:txbxContent>
                </v:textbox>
              </v:shape>
            </w:pict>
          </mc:Fallback>
        </mc:AlternateContent>
      </w:r>
      <w:r>
        <w:rPr>
          <w:rFonts w:hint="eastAsia" w:ascii="宋体" w:hAnsi="宋体" w:cs="宋体"/>
          <w:color w:val="auto"/>
          <w:kern w:val="0"/>
          <w:szCs w:val="21"/>
        </w:rPr>
        <w:t>根据第87.2款规定解除合同的，发包人应向承包人支付合同解除之日前已完成工程但尚未支付的工程款。此外，发包人还应支付下列款项：</w:t>
      </w:r>
    </w:p>
    <w:p>
      <w:pPr>
        <w:numPr>
          <w:ilvl w:val="0"/>
          <w:numId w:val="33"/>
        </w:numPr>
        <w:adjustRightInd w:val="0"/>
        <w:snapToGrid w:val="0"/>
        <w:spacing w:line="360" w:lineRule="auto"/>
        <w:ind w:left="2036" w:leftChars="771" w:hanging="417" w:hangingChars="199"/>
        <w:rPr>
          <w:rFonts w:ascii="宋体" w:hAnsi="宋体" w:cs="宋体"/>
          <w:color w:val="auto"/>
          <w:kern w:val="0"/>
          <w:szCs w:val="21"/>
        </w:rPr>
      </w:pPr>
      <w:r>
        <w:rPr>
          <w:rFonts w:hint="eastAsia" w:ascii="宋体" w:hAnsi="宋体" w:cs="宋体"/>
          <w:color w:val="auto"/>
          <w:kern w:val="0"/>
          <w:szCs w:val="21"/>
        </w:rPr>
        <w:t>已实施或部分实施的措施项目应付款项；</w:t>
      </w:r>
    </w:p>
    <w:p>
      <w:pPr>
        <w:numPr>
          <w:ilvl w:val="0"/>
          <w:numId w:val="33"/>
        </w:numPr>
        <w:adjustRightInd w:val="0"/>
        <w:snapToGrid w:val="0"/>
        <w:spacing w:line="360" w:lineRule="auto"/>
        <w:ind w:left="1618" w:leftChars="770" w:hanging="1"/>
        <w:rPr>
          <w:rFonts w:ascii="宋体" w:hAnsi="宋体" w:cs="宋体"/>
          <w:color w:val="auto"/>
          <w:kern w:val="0"/>
          <w:szCs w:val="21"/>
        </w:rPr>
      </w:pPr>
      <w:r>
        <w:rPr>
          <w:rFonts w:hint="eastAsia" w:ascii="宋体" w:hAnsi="宋体" w:cs="宋体"/>
          <w:color w:val="auto"/>
          <w:kern w:val="0"/>
          <w:szCs w:val="21"/>
        </w:rPr>
        <w:t>承包人为合同工程合理订购且已交付的材料和工程设备货款。发包人一经支付此项货款，该材料和工程设备即成为发包人的财产；</w:t>
      </w:r>
    </w:p>
    <w:p>
      <w:pPr>
        <w:numPr>
          <w:ilvl w:val="0"/>
          <w:numId w:val="33"/>
        </w:numPr>
        <w:adjustRightInd w:val="0"/>
        <w:snapToGrid w:val="0"/>
        <w:spacing w:line="360" w:lineRule="auto"/>
        <w:ind w:left="1618" w:leftChars="770" w:hanging="1"/>
        <w:rPr>
          <w:rFonts w:ascii="宋体" w:hAnsi="宋体" w:cs="宋体"/>
          <w:color w:val="auto"/>
          <w:kern w:val="0"/>
          <w:szCs w:val="21"/>
        </w:rPr>
      </w:pPr>
      <w:r>
        <w:rPr>
          <w:rFonts w:hint="eastAsia" w:ascii="宋体" w:hAnsi="宋体" w:cs="宋体"/>
          <w:color w:val="auto"/>
          <w:kern w:val="0"/>
          <w:szCs w:val="21"/>
        </w:rPr>
        <w:t>承包人为完成合同工程而预期开支的任何合理款项，且该项款项未包括在本款其他各项支付之内；</w:t>
      </w:r>
    </w:p>
    <w:p>
      <w:pPr>
        <w:numPr>
          <w:ilvl w:val="0"/>
          <w:numId w:val="33"/>
        </w:numPr>
        <w:adjustRightInd w:val="0"/>
        <w:snapToGrid w:val="0"/>
        <w:spacing w:line="360" w:lineRule="auto"/>
        <w:ind w:left="2036" w:leftChars="771" w:hanging="417" w:hangingChars="199"/>
        <w:rPr>
          <w:rFonts w:ascii="宋体" w:hAnsi="宋体" w:cs="宋体"/>
          <w:color w:val="auto"/>
          <w:kern w:val="0"/>
          <w:szCs w:val="21"/>
        </w:rPr>
      </w:pPr>
      <w:r>
        <w:rPr>
          <w:rFonts w:hint="eastAsia" w:ascii="宋体" w:hAnsi="宋体" w:cs="宋体"/>
          <w:color w:val="auto"/>
          <w:kern w:val="0"/>
          <w:szCs w:val="21"/>
        </w:rPr>
        <w:t>根据第31.3款规定的任何工作应支付的款项；</w:t>
      </w:r>
    </w:p>
    <w:p>
      <w:pPr>
        <w:numPr>
          <w:ilvl w:val="0"/>
          <w:numId w:val="33"/>
        </w:numPr>
        <w:tabs>
          <w:tab w:val="left" w:pos="1980"/>
        </w:tabs>
        <w:adjustRightInd w:val="0"/>
        <w:snapToGrid w:val="0"/>
        <w:spacing w:line="360" w:lineRule="auto"/>
        <w:ind w:left="1618" w:leftChars="770" w:hanging="1"/>
        <w:rPr>
          <w:rFonts w:ascii="宋体" w:hAnsi="宋体" w:cs="宋体"/>
          <w:color w:val="auto"/>
          <w:kern w:val="0"/>
          <w:szCs w:val="21"/>
        </w:rPr>
      </w:pPr>
      <w:r>
        <w:rPr>
          <w:rFonts w:hint="eastAsia" w:ascii="宋体" w:hAnsi="宋体" w:cs="宋体"/>
          <w:color w:val="auto"/>
          <w:kern w:val="0"/>
          <w:szCs w:val="21"/>
        </w:rPr>
        <w:t xml:space="preserve"> 根据第87.6款规定承包人撤离现场所需的合理款项，包括雇员遣送费和临时工程拆除、施工设备运离现场的款项。</w:t>
      </w:r>
    </w:p>
    <w:p>
      <w:pPr>
        <w:adjustRightInd w:val="0"/>
        <w:snapToGrid w:val="0"/>
        <w:spacing w:line="360" w:lineRule="auto"/>
        <w:ind w:left="1619" w:leftChars="771"/>
        <w:rPr>
          <w:rFonts w:ascii="宋体" w:hAnsi="宋体" w:cs="宋体"/>
          <w:color w:val="auto"/>
          <w:kern w:val="0"/>
          <w:szCs w:val="21"/>
        </w:rPr>
      </w:pPr>
      <w:r>
        <w:rPr>
          <w:rFonts w:hint="eastAsia" w:ascii="宋体" w:hAnsi="宋体" w:cs="宋体"/>
          <w:color w:val="auto"/>
          <w:kern w:val="0"/>
          <w:szCs w:val="21"/>
        </w:rPr>
        <w:t>合同双方当事人按照第82条、第83条规定办理结算工程款，但应扣除合同解除之日前发包人向承包人收回的任何款项。如果发包人应扣除的款项超过了应支付的款项，则承包人应在合同解除后的56天内将其差额退还给发包人。</w:t>
      </w:r>
    </w:p>
    <w:p>
      <w:pPr>
        <w:adjustRightInd w:val="0"/>
        <w:snapToGrid w:val="0"/>
        <w:spacing w:line="360" w:lineRule="auto"/>
        <w:rPr>
          <w:rFonts w:ascii="宋体" w:hAnsi="宋体" w:cs="宋体"/>
          <w:b/>
          <w:color w:val="auto"/>
          <w:kern w:val="0"/>
          <w:szCs w:val="21"/>
        </w:rPr>
      </w:pPr>
      <w:r>
        <w:rPr>
          <w:rFonts w:hint="eastAsia" w:ascii="宋体" w:hAnsi="宋体" w:cs="宋体"/>
          <w:b/>
          <w:color w:val="auto"/>
          <w:kern w:val="0"/>
          <w:szCs w:val="21"/>
        </w:rPr>
        <w:t xml:space="preserve">88.3  </w:t>
      </w:r>
      <w:r>
        <w:rPr>
          <w:rFonts w:hint="eastAsia" w:ascii="宋体" w:hAnsi="宋体" w:cs="宋体"/>
          <w:b/>
          <w:color w:val="auto"/>
          <w:kern w:val="0"/>
          <w:szCs w:val="21"/>
          <w:u w:val="dotted"/>
        </w:rPr>
        <w:t xml:space="preserve">                                                                                                        </w:t>
      </w:r>
    </w:p>
    <w:p>
      <w:pPr>
        <w:adjustRightInd w:val="0"/>
        <w:snapToGrid w:val="0"/>
        <w:spacing w:line="360" w:lineRule="auto"/>
        <w:ind w:left="1619" w:leftChars="771"/>
        <w:rPr>
          <w:rFonts w:ascii="宋体" w:hAnsi="宋体" w:cs="宋体"/>
          <w:b/>
          <w:color w:val="auto"/>
          <w:kern w:val="0"/>
          <w:szCs w:val="21"/>
        </w:rPr>
      </w:pPr>
      <w:r>
        <w:rPr>
          <w:rFonts w:ascii="宋体" w:hAnsi="宋体" w:cs="宋体"/>
          <w:color w:val="auto"/>
          <w:kern w:val="0"/>
          <w:szCs w:val="21"/>
        </w:rPr>
        <mc:AlternateContent>
          <mc:Choice Requires="wps">
            <w:drawing>
              <wp:anchor distT="0" distB="0" distL="114300" distR="114300" simplePos="0" relativeHeight="251875328" behindDoc="0" locked="0" layoutInCell="1" allowOverlap="1">
                <wp:simplePos x="0" y="0"/>
                <wp:positionH relativeFrom="column">
                  <wp:posOffset>-114300</wp:posOffset>
                </wp:positionH>
                <wp:positionV relativeFrom="paragraph">
                  <wp:posOffset>49530</wp:posOffset>
                </wp:positionV>
                <wp:extent cx="914400" cy="693420"/>
                <wp:effectExtent l="0" t="0" r="0" b="0"/>
                <wp:wrapNone/>
                <wp:docPr id="19" name="文本框 19"/>
                <wp:cNvGraphicFramePr/>
                <a:graphic xmlns:a="http://schemas.openxmlformats.org/drawingml/2006/main">
                  <a:graphicData uri="http://schemas.microsoft.com/office/word/2010/wordprocessingShape">
                    <wps:wsp>
                      <wps:cNvSpPr txBox="1">
                        <a:spLocks noChangeArrowheads="1"/>
                      </wps:cNvSpPr>
                      <wps:spPr bwMode="auto">
                        <a:xfrm>
                          <a:off x="0" y="0"/>
                          <a:ext cx="914400" cy="693420"/>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因承包人的原因解除的支付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9pt;height:54.6pt;width:72pt;z-index:251875328;mso-width-relative:page;mso-height-relative:page;" filled="f" stroked="f" coordsize="21600,21600" o:gfxdata="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KkBr53WAAAACQEAAA8AAAAAAAAAAQAgAAAAIgAAAGRycy9kb3ducmV2&#10;LnhtbFBLAQIUABQAAAAIAIdO4kAQtlz8/gEAANYDAAAOAAAAAAAAAAEAIAAAACUBAABkcnMvZTJv&#10;RG9jLnhtbFBLBQYAAAAABgAGAFkBAACVBQ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因承包人的原因解除的支付</w:t>
                      </w:r>
                    </w:p>
                  </w:txbxContent>
                </v:textbox>
              </v:shape>
            </w:pict>
          </mc:Fallback>
        </mc:AlternateContent>
      </w:r>
      <w:r>
        <w:rPr>
          <w:rFonts w:hint="eastAsia" w:ascii="宋体" w:hAnsi="宋体" w:cs="宋体"/>
          <w:color w:val="auto"/>
          <w:kern w:val="0"/>
          <w:szCs w:val="21"/>
        </w:rPr>
        <w:t>根据第87.3款规定解除合同的，发包人暂停向承包人支付任何款项，造价工程师应在合同解除后28天内核实合同解除时承包人已完成的全部工程款以及已运至现场的材料和工程设备货款，并扣除误期赔偿费（如有）和发包人已支付给承包人的各项款项，同时将结果通知承包人并抄报发包人。合同双方当事人应在收到核实结果后的28天内予以确认或提出意见，并按照第82.4款规定办理结算工程款。如果发包人应扣除的款项超过了应支付的款项，则承包人应在合同解除后的56天内将其差额退还给发包人。</w:t>
      </w:r>
    </w:p>
    <w:p>
      <w:pPr>
        <w:adjustRightInd w:val="0"/>
        <w:snapToGrid w:val="0"/>
        <w:spacing w:line="360" w:lineRule="auto"/>
        <w:rPr>
          <w:rFonts w:ascii="宋体" w:hAnsi="宋体" w:cs="宋体"/>
          <w:b/>
          <w:color w:val="auto"/>
          <w:kern w:val="0"/>
          <w:szCs w:val="21"/>
        </w:rPr>
      </w:pPr>
      <w:r>
        <w:rPr>
          <w:rFonts w:hint="eastAsia" w:ascii="宋体" w:hAnsi="宋体" w:cs="宋体"/>
          <w:b/>
          <w:color w:val="auto"/>
          <w:kern w:val="0"/>
          <w:szCs w:val="21"/>
        </w:rPr>
        <w:t xml:space="preserve">88.4  </w:t>
      </w:r>
      <w:r>
        <w:rPr>
          <w:rFonts w:hint="eastAsia" w:ascii="宋体" w:hAnsi="宋体" w:cs="宋体"/>
          <w:b/>
          <w:color w:val="auto"/>
          <w:kern w:val="0"/>
          <w:szCs w:val="21"/>
          <w:u w:val="dotted"/>
        </w:rPr>
        <w:t xml:space="preserve">                                                                                                        </w:t>
      </w:r>
    </w:p>
    <w:p>
      <w:pPr>
        <w:adjustRightInd w:val="0"/>
        <w:snapToGrid w:val="0"/>
        <w:spacing w:line="360" w:lineRule="auto"/>
        <w:ind w:left="1619" w:leftChars="771"/>
        <w:jc w:val="left"/>
        <w:rPr>
          <w:rFonts w:ascii="宋体" w:hAnsi="宋体" w:cs="宋体"/>
          <w:color w:val="auto"/>
          <w:kern w:val="0"/>
          <w:szCs w:val="21"/>
        </w:rPr>
      </w:pPr>
      <w:r>
        <w:rPr>
          <w:rFonts w:ascii="宋体" w:hAnsi="宋体" w:cs="宋体"/>
          <w:color w:val="auto"/>
          <w:kern w:val="0"/>
          <w:szCs w:val="21"/>
        </w:rPr>
        <mc:AlternateContent>
          <mc:Choice Requires="wps">
            <w:drawing>
              <wp:anchor distT="0" distB="0" distL="114300" distR="114300" simplePos="0" relativeHeight="251876352" behindDoc="0" locked="0" layoutInCell="1" allowOverlap="1">
                <wp:simplePos x="0" y="0"/>
                <wp:positionH relativeFrom="column">
                  <wp:posOffset>-114300</wp:posOffset>
                </wp:positionH>
                <wp:positionV relativeFrom="paragraph">
                  <wp:posOffset>45720</wp:posOffset>
                </wp:positionV>
                <wp:extent cx="914400" cy="463550"/>
                <wp:effectExtent l="0" t="0" r="0" b="0"/>
                <wp:wrapNone/>
                <wp:docPr id="18" name="文本框 18"/>
                <wp:cNvGraphicFramePr/>
                <a:graphic xmlns:a="http://schemas.openxmlformats.org/drawingml/2006/main">
                  <a:graphicData uri="http://schemas.microsoft.com/office/word/2010/wordprocessingShape">
                    <wps:wsp>
                      <wps:cNvSpPr txBox="1">
                        <a:spLocks noChangeArrowheads="1"/>
                      </wps:cNvSpPr>
                      <wps:spPr bwMode="auto">
                        <a:xfrm>
                          <a:off x="0" y="0"/>
                          <a:ext cx="914400" cy="463550"/>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因发包人的原因解除的支付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6pt;height:36.5pt;width:72pt;z-index:251876352;mso-width-relative:page;mso-height-relative:page;" filled="f" stroked="f" coordsize="21600,21600" o:gfxdata="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A9E29dUAAAAIAQAADwAAAAAAAAABACAAAAAiAAAAZHJzL2Rvd25yZXYu&#10;eG1sUEsBAhQAFAAAAAgAh07iQH2jZtH+AQAA1gMAAA4AAAAAAAAAAQAgAAAAJAEAAGRycy9lMm9E&#10;b2MueG1sUEsFBgAAAAAGAAYAWQEAAJQFA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因发包人的原因解除的支付</w:t>
                      </w:r>
                    </w:p>
                  </w:txbxContent>
                </v:textbox>
              </v:shape>
            </w:pict>
          </mc:Fallback>
        </mc:AlternateContent>
      </w:r>
      <w:r>
        <w:rPr>
          <w:rFonts w:hint="eastAsia" w:ascii="宋体" w:hAnsi="宋体" w:cs="宋体"/>
          <w:color w:val="auto"/>
          <w:kern w:val="0"/>
          <w:szCs w:val="21"/>
        </w:rPr>
        <w:t>根据第87.4款规定解除合同的，发包人除应按照第88.2款规定向承包人支付各项款项外，还应支付给承包人由于解除合同而引起的损失或损害的款项。该笔款项由承包人提出，造价工程师核实后与合同双方当事人协商确定，并在确定后的7天内由造价工程师向发包人签发支付证书，抄送承包人。协商不能达成一致的，按照第86条规定处理。</w:t>
      </w:r>
    </w:p>
    <w:p>
      <w:pPr>
        <w:adjustRightInd w:val="0"/>
        <w:snapToGrid w:val="0"/>
        <w:spacing w:line="360" w:lineRule="auto"/>
        <w:jc w:val="left"/>
        <w:rPr>
          <w:rFonts w:ascii="宋体" w:hAnsi="宋体" w:cs="宋体"/>
          <w:b/>
          <w:color w:val="auto"/>
          <w:kern w:val="0"/>
          <w:szCs w:val="21"/>
          <w:u w:val="single"/>
        </w:rPr>
      </w:pPr>
      <w:r>
        <w:rPr>
          <w:rFonts w:hint="eastAsia" w:ascii="宋体" w:hAnsi="宋体" w:cs="宋体"/>
          <w:b/>
          <w:color w:val="auto"/>
          <w:kern w:val="0"/>
          <w:szCs w:val="21"/>
          <w:u w:val="single"/>
        </w:rPr>
        <w:t xml:space="preserve">                                                                                                              </w:t>
      </w:r>
    </w:p>
    <w:p>
      <w:pPr>
        <w:adjustRightInd w:val="0"/>
        <w:snapToGrid w:val="0"/>
        <w:spacing w:line="360" w:lineRule="auto"/>
        <w:jc w:val="left"/>
        <w:rPr>
          <w:rFonts w:ascii="宋体" w:hAnsi="宋体" w:cs="宋体"/>
          <w:b/>
          <w:color w:val="auto"/>
          <w:kern w:val="0"/>
          <w:szCs w:val="21"/>
        </w:rPr>
      </w:pPr>
    </w:p>
    <w:p>
      <w:pPr>
        <w:adjustRightInd w:val="0"/>
        <w:snapToGrid w:val="0"/>
        <w:spacing w:line="360" w:lineRule="auto"/>
        <w:jc w:val="left"/>
        <w:rPr>
          <w:rFonts w:ascii="宋体" w:hAnsi="宋体" w:cs="宋体"/>
          <w:b/>
          <w:color w:val="auto"/>
          <w:kern w:val="0"/>
          <w:szCs w:val="21"/>
        </w:rPr>
      </w:pPr>
      <w:r>
        <w:rPr>
          <w:rFonts w:hint="eastAsia" w:ascii="宋体" w:hAnsi="宋体" w:cs="宋体"/>
          <w:b/>
          <w:color w:val="auto"/>
          <w:kern w:val="0"/>
          <w:szCs w:val="21"/>
        </w:rPr>
        <w:t>89  合同终止</w:t>
      </w:r>
    </w:p>
    <w:p>
      <w:pPr>
        <w:adjustRightInd w:val="0"/>
        <w:snapToGrid w:val="0"/>
        <w:spacing w:line="360" w:lineRule="auto"/>
        <w:rPr>
          <w:rFonts w:ascii="宋体" w:hAnsi="宋体" w:cs="宋体"/>
          <w:b/>
          <w:color w:val="auto"/>
          <w:kern w:val="0"/>
          <w:szCs w:val="21"/>
        </w:rPr>
      </w:pPr>
      <w:r>
        <w:rPr>
          <w:rFonts w:hint="eastAsia" w:ascii="宋体" w:hAnsi="宋体" w:cs="宋体"/>
          <w:b/>
          <w:color w:val="auto"/>
          <w:kern w:val="0"/>
          <w:szCs w:val="21"/>
        </w:rPr>
        <w:t xml:space="preserve">89.1    </w:t>
      </w:r>
    </w:p>
    <w:p>
      <w:pPr>
        <w:adjustRightInd w:val="0"/>
        <w:snapToGrid w:val="0"/>
        <w:spacing w:line="360" w:lineRule="auto"/>
        <w:ind w:left="1619" w:leftChars="771"/>
        <w:rPr>
          <w:rFonts w:ascii="宋体" w:hAnsi="宋体" w:cs="宋体"/>
          <w:color w:val="auto"/>
          <w:kern w:val="0"/>
          <w:szCs w:val="21"/>
        </w:rPr>
      </w:pPr>
      <w:r>
        <w:rPr>
          <w:rFonts w:ascii="宋体" w:hAnsi="宋体" w:cs="宋体"/>
          <w:color w:val="auto"/>
          <w:kern w:val="0"/>
          <w:szCs w:val="21"/>
        </w:rPr>
        <mc:AlternateContent>
          <mc:Choice Requires="wps">
            <w:drawing>
              <wp:anchor distT="0" distB="0" distL="114300" distR="114300" simplePos="0" relativeHeight="251877376" behindDoc="0" locked="0" layoutInCell="1" allowOverlap="1">
                <wp:simplePos x="0" y="0"/>
                <wp:positionH relativeFrom="column">
                  <wp:posOffset>-114300</wp:posOffset>
                </wp:positionH>
                <wp:positionV relativeFrom="paragraph">
                  <wp:posOffset>15875</wp:posOffset>
                </wp:positionV>
                <wp:extent cx="914400" cy="396240"/>
                <wp:effectExtent l="0" t="0" r="0" b="0"/>
                <wp:wrapNone/>
                <wp:docPr id="17" name="文本框 17"/>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合同解除后的终止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5pt;height:31.2pt;width:72pt;z-index:251877376;mso-width-relative:page;mso-height-relative:page;" filled="f" stroked="f" coordsize="21600,21600" o:gfxdata="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D8/wcNUAAAAIAQAADwAAAAAAAAABACAAAAAiAAAAZHJzL2Rvd25yZXYu&#10;eG1sUEsBAhQAFAAAAAgAh07iQKvnkYb+AQAA1gMAAA4AAAAAAAAAAQAgAAAAJAEAAGRycy9lMm9E&#10;b2MueG1sUEsFBgAAAAAGAAYAWQEAAJQFA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合同解除后的终止</w:t>
                      </w:r>
                    </w:p>
                  </w:txbxContent>
                </v:textbox>
              </v:shape>
            </w:pict>
          </mc:Fallback>
        </mc:AlternateContent>
      </w:r>
      <w:r>
        <w:rPr>
          <w:rFonts w:hint="eastAsia" w:ascii="宋体" w:hAnsi="宋体" w:cs="宋体"/>
          <w:color w:val="auto"/>
          <w:kern w:val="0"/>
          <w:szCs w:val="21"/>
        </w:rPr>
        <w:t>合同解除后，除合同双方当事人享有第86条至第88条规定的权利外，本合同即告终止，但不因一方当事人在此以前的任何违约而损害另一方当事人应享有的权利，也不影响合同双方当事人履行本合同结算和清算条款的效力。</w:t>
      </w:r>
    </w:p>
    <w:p>
      <w:pPr>
        <w:tabs>
          <w:tab w:val="left" w:pos="1320"/>
        </w:tabs>
        <w:adjustRightInd w:val="0"/>
        <w:snapToGrid w:val="0"/>
        <w:spacing w:line="360" w:lineRule="auto"/>
        <w:rPr>
          <w:rFonts w:ascii="宋体" w:hAnsi="宋体" w:cs="宋体"/>
          <w:b/>
          <w:color w:val="auto"/>
          <w:kern w:val="0"/>
          <w:szCs w:val="21"/>
        </w:rPr>
      </w:pPr>
      <w:r>
        <w:rPr>
          <w:rFonts w:hint="eastAsia" w:ascii="宋体" w:hAnsi="宋体" w:cs="宋体"/>
          <w:b/>
          <w:color w:val="auto"/>
          <w:kern w:val="0"/>
          <w:szCs w:val="21"/>
        </w:rPr>
        <w:t xml:space="preserve">89.2  </w:t>
      </w:r>
      <w:r>
        <w:rPr>
          <w:rFonts w:hint="eastAsia" w:ascii="宋体" w:hAnsi="宋体" w:cs="宋体"/>
          <w:b/>
          <w:color w:val="auto"/>
          <w:kern w:val="0"/>
          <w:szCs w:val="21"/>
          <w:u w:val="dotted"/>
        </w:rPr>
        <w:t xml:space="preserve">                                                                                                        </w:t>
      </w:r>
    </w:p>
    <w:p>
      <w:pPr>
        <w:adjustRightInd w:val="0"/>
        <w:snapToGrid w:val="0"/>
        <w:spacing w:line="360" w:lineRule="auto"/>
        <w:ind w:left="1619" w:leftChars="771"/>
        <w:rPr>
          <w:rFonts w:ascii="宋体" w:hAnsi="宋体" w:cs="宋体"/>
          <w:color w:val="auto"/>
          <w:kern w:val="0"/>
          <w:szCs w:val="21"/>
        </w:rPr>
      </w:pPr>
      <w:r>
        <w:rPr>
          <w:rFonts w:ascii="宋体" w:hAnsi="宋体" w:cs="宋体"/>
          <w:color w:val="auto"/>
          <w:kern w:val="0"/>
          <w:szCs w:val="21"/>
        </w:rPr>
        <mc:AlternateContent>
          <mc:Choice Requires="wps">
            <w:drawing>
              <wp:anchor distT="0" distB="0" distL="114300" distR="114300" simplePos="0" relativeHeight="252069888" behindDoc="0" locked="0" layoutInCell="1" allowOverlap="1">
                <wp:simplePos x="0" y="0"/>
                <wp:positionH relativeFrom="column">
                  <wp:posOffset>-114300</wp:posOffset>
                </wp:positionH>
                <wp:positionV relativeFrom="paragraph">
                  <wp:posOffset>635</wp:posOffset>
                </wp:positionV>
                <wp:extent cx="914400" cy="851535"/>
                <wp:effectExtent l="0" t="0" r="0" b="0"/>
                <wp:wrapNone/>
                <wp:docPr id="16" name="文本框 16"/>
                <wp:cNvGraphicFramePr/>
                <a:graphic xmlns:a="http://schemas.openxmlformats.org/drawingml/2006/main">
                  <a:graphicData uri="http://schemas.microsoft.com/office/word/2010/wordprocessingShape">
                    <wps:wsp>
                      <wps:cNvSpPr txBox="1">
                        <a:spLocks noChangeArrowheads="1"/>
                      </wps:cNvSpPr>
                      <wps:spPr bwMode="auto">
                        <a:xfrm>
                          <a:off x="0" y="0"/>
                          <a:ext cx="914400" cy="851535"/>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双方履行完全部义务后的终止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05pt;height:67.05pt;width:72pt;z-index:252069888;mso-width-relative:page;mso-height-relative:page;" filled="f" stroked="f" coordsize="21600,21600" o:gfxdata="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N/Cqn7VAAAACAEAAA8AAAAAAAAAAQAgAAAAIgAAAGRycy9kb3ducmV2&#10;LnhtbFBLAQIUABQAAAAIAIdO4kBRD7la/wEAANYDAAAOAAAAAAAAAAEAIAAAACQBAABkcnMvZTJv&#10;RG9jLnhtbFBLBQYAAAAABgAGAFkBAACVBQ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双方履行完全部义务后的终止</w:t>
                      </w:r>
                    </w:p>
                  </w:txbxContent>
                </v:textbox>
              </v:shape>
            </w:pict>
          </mc:Fallback>
        </mc:AlternateContent>
      </w:r>
      <w:r>
        <w:rPr>
          <w:rFonts w:hint="eastAsia" w:ascii="宋体" w:hAnsi="宋体" w:cs="宋体"/>
          <w:color w:val="auto"/>
          <w:kern w:val="0"/>
          <w:szCs w:val="21"/>
        </w:rPr>
        <w:t>除第59条和第84条规定的质量保修条款外，合同双方当事人履行完本合同全部义务，发包人向承包人支付完竣工结算款，承包人向发包人交付竣工工程后，本合同即告终止。</w:t>
      </w:r>
    </w:p>
    <w:p>
      <w:pPr>
        <w:tabs>
          <w:tab w:val="left" w:pos="1320"/>
        </w:tabs>
        <w:adjustRightInd w:val="0"/>
        <w:snapToGrid w:val="0"/>
        <w:spacing w:line="360" w:lineRule="auto"/>
        <w:rPr>
          <w:rFonts w:ascii="宋体" w:hAnsi="宋体" w:cs="宋体"/>
          <w:b/>
          <w:color w:val="auto"/>
          <w:kern w:val="0"/>
          <w:szCs w:val="21"/>
        </w:rPr>
      </w:pPr>
      <w:r>
        <w:rPr>
          <w:rFonts w:hint="eastAsia" w:ascii="宋体" w:hAnsi="宋体" w:cs="宋体"/>
          <w:b/>
          <w:color w:val="auto"/>
          <w:kern w:val="0"/>
          <w:szCs w:val="21"/>
        </w:rPr>
        <w:t xml:space="preserve">89.3  </w:t>
      </w:r>
      <w:r>
        <w:rPr>
          <w:rFonts w:hint="eastAsia" w:ascii="宋体" w:hAnsi="宋体" w:cs="宋体"/>
          <w:b/>
          <w:color w:val="auto"/>
          <w:kern w:val="0"/>
          <w:szCs w:val="21"/>
          <w:u w:val="dotted"/>
        </w:rPr>
        <w:t xml:space="preserve">                                                                              </w:t>
      </w:r>
    </w:p>
    <w:p>
      <w:pPr>
        <w:adjustRightInd w:val="0"/>
        <w:snapToGrid w:val="0"/>
        <w:spacing w:line="360" w:lineRule="auto"/>
        <w:ind w:left="1619" w:leftChars="771"/>
        <w:rPr>
          <w:rFonts w:ascii="宋体" w:hAnsi="宋体" w:cs="宋体"/>
          <w:color w:val="auto"/>
          <w:kern w:val="0"/>
          <w:szCs w:val="21"/>
        </w:rPr>
      </w:pPr>
      <w:r>
        <w:rPr>
          <w:rFonts w:ascii="宋体" w:hAnsi="宋体" w:cs="宋体"/>
          <w:color w:val="auto"/>
          <w:kern w:val="0"/>
          <w:szCs w:val="21"/>
        </w:rPr>
        <mc:AlternateContent>
          <mc:Choice Requires="wps">
            <w:drawing>
              <wp:anchor distT="0" distB="0" distL="114300" distR="114300" simplePos="0" relativeHeight="251878400" behindDoc="0" locked="0" layoutInCell="1" allowOverlap="1">
                <wp:simplePos x="0" y="0"/>
                <wp:positionH relativeFrom="column">
                  <wp:posOffset>-114300</wp:posOffset>
                </wp:positionH>
                <wp:positionV relativeFrom="paragraph">
                  <wp:posOffset>13335</wp:posOffset>
                </wp:positionV>
                <wp:extent cx="914400" cy="415925"/>
                <wp:effectExtent l="0" t="0" r="0" b="0"/>
                <wp:wrapNone/>
                <wp:docPr id="15" name="文本框 15"/>
                <wp:cNvGraphicFramePr/>
                <a:graphic xmlns:a="http://schemas.openxmlformats.org/drawingml/2006/main">
                  <a:graphicData uri="http://schemas.microsoft.com/office/word/2010/wordprocessingShape">
                    <wps:wsp>
                      <wps:cNvSpPr txBox="1">
                        <a:spLocks noChangeArrowheads="1"/>
                      </wps:cNvSpPr>
                      <wps:spPr bwMode="auto">
                        <a:xfrm>
                          <a:off x="0" y="0"/>
                          <a:ext cx="914400" cy="415925"/>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合同终止后双方的义务</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05pt;height:32.75pt;width:72pt;z-index:251878400;mso-width-relative:page;mso-height-relative:page;" filled="f" stroked="f" coordsize="21600,21600" o:gfxdata="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nEyWpNUAAAAIAQAADwAAAAAAAAABACAAAAAiAAAAZHJzL2Rvd25yZXYu&#10;eG1sUEsBAhQAFAAAAAgAh07iQNl9XML+AQAA1gMAAA4AAAAAAAAAAQAgAAAAJAEAAGRycy9lMm9E&#10;b2MueG1sUEsFBgAAAAAGAAYAWQEAAJQFA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合同终止后双方的义务</w:t>
                      </w:r>
                    </w:p>
                  </w:txbxContent>
                </v:textbox>
              </v:shape>
            </w:pict>
          </mc:Fallback>
        </mc:AlternateContent>
      </w:r>
      <w:r>
        <w:rPr>
          <w:rFonts w:hint="eastAsia" w:ascii="宋体" w:hAnsi="宋体" w:cs="宋体"/>
          <w:color w:val="auto"/>
          <w:kern w:val="0"/>
          <w:szCs w:val="21"/>
        </w:rPr>
        <w:t>本合同的权利义务终止后，合同双方当事人仍应遵循诚实信用原则，继续履行合同约定的通知、协助、保密等义务。</w:t>
      </w:r>
    </w:p>
    <w:p>
      <w:pPr>
        <w:adjustRightInd w:val="0"/>
        <w:snapToGrid w:val="0"/>
        <w:spacing w:line="480" w:lineRule="auto"/>
        <w:ind w:right="-238"/>
        <w:rPr>
          <w:rFonts w:ascii="宋体" w:hAnsi="宋体" w:cs="宋体"/>
          <w:color w:val="auto"/>
          <w:kern w:val="0"/>
          <w:szCs w:val="21"/>
          <w:u w:val="single"/>
        </w:rPr>
      </w:pPr>
      <w:r>
        <w:rPr>
          <w:rFonts w:hint="eastAsia" w:ascii="宋体" w:hAnsi="宋体" w:cs="宋体"/>
          <w:color w:val="auto"/>
          <w:kern w:val="0"/>
          <w:szCs w:val="21"/>
          <w:u w:val="single"/>
        </w:rPr>
        <w:t xml:space="preserve">                                                                                 </w:t>
      </w:r>
    </w:p>
    <w:p>
      <w:pPr>
        <w:adjustRightInd w:val="0"/>
        <w:snapToGrid w:val="0"/>
        <w:spacing w:line="360" w:lineRule="auto"/>
        <w:ind w:firstLine="2992" w:firstLineChars="1247"/>
        <w:outlineLvl w:val="1"/>
        <w:rPr>
          <w:rFonts w:ascii="宋体" w:hAnsi="宋体" w:cs="宋体"/>
          <w:bCs/>
          <w:color w:val="auto"/>
          <w:kern w:val="0"/>
          <w:sz w:val="24"/>
          <w:szCs w:val="18"/>
          <w:u w:val="single"/>
        </w:rPr>
      </w:pPr>
    </w:p>
    <w:p>
      <w:pPr>
        <w:adjustRightInd w:val="0"/>
        <w:snapToGrid w:val="0"/>
        <w:spacing w:line="360" w:lineRule="auto"/>
        <w:ind w:firstLine="2992" w:firstLineChars="1247"/>
        <w:outlineLvl w:val="1"/>
        <w:rPr>
          <w:rFonts w:ascii="宋体" w:hAnsi="宋体" w:cs="宋体"/>
          <w:bCs/>
          <w:color w:val="auto"/>
          <w:kern w:val="0"/>
          <w:sz w:val="24"/>
          <w:szCs w:val="18"/>
          <w:u w:val="single"/>
        </w:rPr>
      </w:pPr>
    </w:p>
    <w:p>
      <w:pPr>
        <w:adjustRightInd w:val="0"/>
        <w:snapToGrid w:val="0"/>
        <w:spacing w:line="360" w:lineRule="auto"/>
        <w:ind w:firstLine="4006" w:firstLineChars="1247"/>
        <w:outlineLvl w:val="1"/>
        <w:rPr>
          <w:rFonts w:ascii="宋体" w:hAnsi="宋体" w:cs="宋体"/>
          <w:b/>
          <w:bCs/>
          <w:color w:val="auto"/>
          <w:kern w:val="0"/>
          <w:sz w:val="32"/>
          <w:szCs w:val="28"/>
        </w:rPr>
      </w:pPr>
      <w:r>
        <w:rPr>
          <w:rFonts w:hint="eastAsia" w:ascii="宋体" w:hAnsi="宋体" w:cs="宋体"/>
          <w:b/>
          <w:bCs/>
          <w:color w:val="auto"/>
          <w:kern w:val="0"/>
          <w:sz w:val="32"/>
          <w:szCs w:val="28"/>
        </w:rPr>
        <w:t>八、其  他</w:t>
      </w:r>
    </w:p>
    <w:p>
      <w:pPr>
        <w:adjustRightInd w:val="0"/>
        <w:snapToGrid w:val="0"/>
        <w:spacing w:line="360" w:lineRule="auto"/>
        <w:jc w:val="center"/>
        <w:outlineLvl w:val="1"/>
        <w:rPr>
          <w:rFonts w:ascii="宋体" w:hAnsi="宋体" w:cs="宋体"/>
          <w:b/>
          <w:bCs/>
          <w:color w:val="auto"/>
          <w:kern w:val="0"/>
          <w:sz w:val="32"/>
          <w:szCs w:val="28"/>
        </w:rPr>
      </w:pPr>
    </w:p>
    <w:p>
      <w:pPr>
        <w:tabs>
          <w:tab w:val="left" w:pos="540"/>
        </w:tabs>
        <w:adjustRightInd w:val="0"/>
        <w:snapToGrid w:val="0"/>
        <w:spacing w:beforeLines="100" w:line="360" w:lineRule="auto"/>
        <w:ind w:right="-238"/>
        <w:rPr>
          <w:rFonts w:ascii="宋体" w:hAnsi="宋体" w:cs="宋体"/>
          <w:b/>
          <w:color w:val="auto"/>
          <w:kern w:val="0"/>
          <w:szCs w:val="21"/>
        </w:rPr>
      </w:pPr>
      <w:r>
        <w:rPr>
          <w:rFonts w:hint="eastAsia" w:ascii="宋体" w:hAnsi="宋体" w:cs="宋体"/>
          <w:b/>
          <w:color w:val="auto"/>
          <w:kern w:val="0"/>
          <w:szCs w:val="21"/>
        </w:rPr>
        <w:t>90  缴纳税费</w:t>
      </w:r>
    </w:p>
    <w:p>
      <w:pPr>
        <w:tabs>
          <w:tab w:val="left" w:pos="1320"/>
        </w:tabs>
        <w:adjustRightInd w:val="0"/>
        <w:snapToGrid w:val="0"/>
        <w:spacing w:line="360" w:lineRule="auto"/>
        <w:rPr>
          <w:rFonts w:ascii="宋体" w:hAnsi="宋体" w:cs="宋体"/>
          <w:b/>
          <w:color w:val="auto"/>
          <w:kern w:val="0"/>
          <w:szCs w:val="21"/>
        </w:rPr>
      </w:pPr>
      <w:r>
        <w:rPr>
          <w:rFonts w:hint="eastAsia" w:ascii="宋体" w:hAnsi="宋体" w:cs="宋体"/>
          <w:b/>
          <w:color w:val="auto"/>
          <w:kern w:val="0"/>
          <w:szCs w:val="21"/>
        </w:rPr>
        <w:t xml:space="preserve">90.1      </w:t>
      </w:r>
    </w:p>
    <w:p>
      <w:pPr>
        <w:adjustRightInd w:val="0"/>
        <w:snapToGrid w:val="0"/>
        <w:spacing w:line="360" w:lineRule="auto"/>
        <w:ind w:left="1619" w:leftChars="771"/>
        <w:rPr>
          <w:rFonts w:ascii="宋体" w:hAnsi="宋体" w:cs="宋体"/>
          <w:color w:val="auto"/>
          <w:kern w:val="0"/>
          <w:szCs w:val="21"/>
        </w:rPr>
      </w:pPr>
      <w:r>
        <w:rPr>
          <w:rFonts w:hint="eastAsia" w:ascii="宋体" w:hAnsi="宋体" w:cs="宋体"/>
          <w:color w:val="auto"/>
          <w:kern w:val="0"/>
          <w:szCs w:val="21"/>
        </w:rPr>
        <w:t>合同双方当事人</w:t>
      </w:r>
      <w:r>
        <w:rPr>
          <w:rFonts w:ascii="宋体" w:hAnsi="宋体" w:cs="宋体"/>
          <w:color w:val="auto"/>
          <w:kern w:val="0"/>
          <w:szCs w:val="21"/>
        </w:rPr>
        <mc:AlternateContent>
          <mc:Choice Requires="wps">
            <w:drawing>
              <wp:anchor distT="0" distB="0" distL="114300" distR="114300" simplePos="0" relativeHeight="251879424" behindDoc="0" locked="0" layoutInCell="1" allowOverlap="1">
                <wp:simplePos x="0" y="0"/>
                <wp:positionH relativeFrom="column">
                  <wp:posOffset>-114300</wp:posOffset>
                </wp:positionH>
                <wp:positionV relativeFrom="paragraph">
                  <wp:posOffset>635</wp:posOffset>
                </wp:positionV>
                <wp:extent cx="914400" cy="484505"/>
                <wp:effectExtent l="0" t="0" r="0" b="0"/>
                <wp:wrapNone/>
                <wp:docPr id="14" name="文本框 14"/>
                <wp:cNvGraphicFramePr/>
                <a:graphic xmlns:a="http://schemas.openxmlformats.org/drawingml/2006/main">
                  <a:graphicData uri="http://schemas.microsoft.com/office/word/2010/wordprocessingShape">
                    <wps:wsp>
                      <wps:cNvSpPr txBox="1">
                        <a:spLocks noChangeArrowheads="1"/>
                      </wps:cNvSpPr>
                      <wps:spPr bwMode="auto">
                        <a:xfrm>
                          <a:off x="0" y="0"/>
                          <a:ext cx="914400" cy="484505"/>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约定缴纳一切税费</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05pt;height:38.15pt;width:72pt;z-index:251879424;mso-width-relative:page;mso-height-relative:page;" filled="f" stroked="f" coordsize="21600,21600" o:gfxdata="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AKWgr1AAAAAcBAAAPAAAAAAAAAAEAIAAAACIAAABkcnMvZG93bnJldi54&#10;bWxQSwECFAAUAAAACACHTuJABAr63P4BAADWAwAADgAAAAAAAAABACAAAAAjAQAAZHJzL2Uyb0Rv&#10;Yy54bWxQSwUGAAAAAAYABgBZAQAAkwU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约定缴纳一切税费</w:t>
                      </w:r>
                    </w:p>
                  </w:txbxContent>
                </v:textbox>
              </v:shape>
            </w:pict>
          </mc:Fallback>
        </mc:AlternateContent>
      </w:r>
      <w:r>
        <w:rPr>
          <w:rFonts w:hint="eastAsia" w:ascii="宋体" w:hAnsi="宋体" w:cs="宋体"/>
          <w:color w:val="auto"/>
          <w:kern w:val="0"/>
          <w:szCs w:val="21"/>
        </w:rPr>
        <w:t>应按照国家现行税法和有关部门现行规定缴纳合同工程需缴的一切税费。</w:t>
      </w:r>
    </w:p>
    <w:p>
      <w:pPr>
        <w:tabs>
          <w:tab w:val="left" w:pos="1320"/>
        </w:tabs>
        <w:adjustRightInd w:val="0"/>
        <w:snapToGrid w:val="0"/>
        <w:spacing w:line="360" w:lineRule="auto"/>
        <w:rPr>
          <w:rFonts w:ascii="宋体" w:hAnsi="宋体" w:cs="宋体"/>
          <w:b/>
          <w:color w:val="auto"/>
          <w:kern w:val="0"/>
          <w:szCs w:val="21"/>
        </w:rPr>
      </w:pPr>
      <w:r>
        <w:rPr>
          <w:rFonts w:hint="eastAsia" w:ascii="宋体" w:hAnsi="宋体" w:cs="宋体"/>
          <w:b/>
          <w:color w:val="auto"/>
          <w:kern w:val="0"/>
          <w:szCs w:val="21"/>
        </w:rPr>
        <w:t xml:space="preserve">90.2  </w:t>
      </w:r>
      <w:r>
        <w:rPr>
          <w:rFonts w:hint="eastAsia" w:ascii="宋体" w:hAnsi="宋体" w:cs="宋体"/>
          <w:b/>
          <w:color w:val="auto"/>
          <w:kern w:val="0"/>
          <w:szCs w:val="21"/>
          <w:u w:val="dotted"/>
        </w:rPr>
        <w:t xml:space="preserve">                                                                                                        </w:t>
      </w:r>
    </w:p>
    <w:p>
      <w:pPr>
        <w:adjustRightInd w:val="0"/>
        <w:snapToGrid w:val="0"/>
        <w:spacing w:line="360" w:lineRule="auto"/>
        <w:ind w:left="1619" w:leftChars="771"/>
        <w:rPr>
          <w:rFonts w:ascii="宋体" w:hAnsi="宋体" w:cs="宋体"/>
          <w:color w:val="auto"/>
          <w:kern w:val="0"/>
          <w:szCs w:val="21"/>
        </w:rPr>
      </w:pPr>
      <w:r>
        <w:rPr>
          <w:rFonts w:ascii="宋体" w:hAnsi="宋体" w:cs="宋体"/>
          <w:color w:val="auto"/>
          <w:kern w:val="0"/>
          <w:szCs w:val="21"/>
        </w:rPr>
        <mc:AlternateContent>
          <mc:Choice Requires="wps">
            <w:drawing>
              <wp:anchor distT="0" distB="0" distL="114300" distR="114300" simplePos="0" relativeHeight="251880448" behindDoc="0" locked="0" layoutInCell="1" allowOverlap="1">
                <wp:simplePos x="0" y="0"/>
                <wp:positionH relativeFrom="column">
                  <wp:posOffset>-114300</wp:posOffset>
                </wp:positionH>
                <wp:positionV relativeFrom="paragraph">
                  <wp:posOffset>32385</wp:posOffset>
                </wp:positionV>
                <wp:extent cx="914400" cy="396240"/>
                <wp:effectExtent l="0" t="0" r="0" b="0"/>
                <wp:wrapNone/>
                <wp:docPr id="13" name="文本框 13"/>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没交或少交税费的责任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55pt;height:31.2pt;width:72pt;z-index:251880448;mso-width-relative:page;mso-height-relative:page;" filled="f" stroked="f" coordsize="21600,21600" o:gfxdata="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Oqj8jPVAAAACAEAAA8AAAAAAAAAAQAgAAAAIgAAAGRycy9kb3ducmV2&#10;LnhtbFBLAQIUABQAAAAIAIdO4kAmxfKn/wEAANYDAAAOAAAAAAAAAAEAIAAAACQBAABkcnMvZTJv&#10;RG9jLnhtbFBLBQYAAAAABgAGAFkBAACVBQ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没交或少交税费的责任</w:t>
                      </w:r>
                    </w:p>
                  </w:txbxContent>
                </v:textbox>
              </v:shape>
            </w:pict>
          </mc:Fallback>
        </mc:AlternateContent>
      </w:r>
      <w:r>
        <w:rPr>
          <w:rFonts w:hint="eastAsia" w:ascii="宋体" w:hAnsi="宋体" w:cs="宋体"/>
          <w:color w:val="auto"/>
          <w:kern w:val="0"/>
          <w:szCs w:val="21"/>
        </w:rPr>
        <w:t>合同任何一方当事人没交或少交合同工程需缴税费的，违法方应足额补交，并承担相应的法律责任；给另一方当事人造成损失的，违法方应赔偿损失。</w:t>
      </w:r>
    </w:p>
    <w:p>
      <w:pPr>
        <w:adjustRightInd w:val="0"/>
        <w:snapToGrid w:val="0"/>
        <w:rPr>
          <w:rFonts w:ascii="宋体" w:hAnsi="宋体" w:cs="宋体"/>
          <w:b/>
          <w:color w:val="auto"/>
          <w:kern w:val="0"/>
          <w:szCs w:val="21"/>
          <w:u w:val="single"/>
        </w:rPr>
      </w:pPr>
      <w:r>
        <w:rPr>
          <w:rFonts w:hint="eastAsia" w:ascii="宋体" w:hAnsi="宋体" w:cs="宋体"/>
          <w:b/>
          <w:color w:val="auto"/>
          <w:kern w:val="0"/>
          <w:szCs w:val="21"/>
          <w:u w:val="single"/>
        </w:rPr>
        <w:t xml:space="preserve">                                                                                                              </w:t>
      </w:r>
    </w:p>
    <w:p>
      <w:pPr>
        <w:tabs>
          <w:tab w:val="left" w:pos="1620"/>
        </w:tabs>
        <w:rPr>
          <w:rFonts w:ascii="宋体" w:hAnsi="宋体" w:cs="宋体"/>
          <w:color w:val="auto"/>
          <w:szCs w:val="21"/>
        </w:rPr>
      </w:pPr>
    </w:p>
    <w:p>
      <w:pPr>
        <w:tabs>
          <w:tab w:val="left" w:pos="540"/>
        </w:tabs>
        <w:adjustRightInd w:val="0"/>
        <w:snapToGrid w:val="0"/>
        <w:spacing w:beforeLines="100" w:line="360" w:lineRule="auto"/>
        <w:ind w:right="-238"/>
        <w:rPr>
          <w:rFonts w:ascii="宋体" w:hAnsi="宋体" w:cs="宋体"/>
          <w:b/>
          <w:color w:val="auto"/>
          <w:kern w:val="0"/>
          <w:szCs w:val="21"/>
        </w:rPr>
      </w:pPr>
      <w:r>
        <w:rPr>
          <w:rFonts w:hint="eastAsia" w:ascii="宋体" w:hAnsi="宋体" w:cs="宋体"/>
          <w:b/>
          <w:color w:val="auto"/>
          <w:kern w:val="0"/>
          <w:szCs w:val="21"/>
        </w:rPr>
        <w:t>91  保密要求</w:t>
      </w:r>
    </w:p>
    <w:p>
      <w:pPr>
        <w:adjustRightInd w:val="0"/>
        <w:snapToGrid w:val="0"/>
        <w:spacing w:line="360" w:lineRule="auto"/>
        <w:rPr>
          <w:rFonts w:ascii="宋体" w:hAnsi="宋体" w:cs="宋体"/>
          <w:b/>
          <w:color w:val="auto"/>
          <w:kern w:val="0"/>
          <w:szCs w:val="21"/>
        </w:rPr>
      </w:pPr>
      <w:r>
        <w:rPr>
          <w:rFonts w:hint="eastAsia" w:ascii="宋体" w:hAnsi="宋体" w:cs="宋体"/>
          <w:b/>
          <w:color w:val="auto"/>
          <w:kern w:val="0"/>
          <w:szCs w:val="21"/>
        </w:rPr>
        <w:t xml:space="preserve">91.1    </w:t>
      </w:r>
    </w:p>
    <w:p>
      <w:pPr>
        <w:adjustRightInd w:val="0"/>
        <w:snapToGrid w:val="0"/>
        <w:spacing w:line="360" w:lineRule="auto"/>
        <w:ind w:left="1619" w:leftChars="771"/>
        <w:rPr>
          <w:rFonts w:ascii="宋体" w:hAnsi="宋体" w:cs="宋体"/>
          <w:color w:val="auto"/>
          <w:kern w:val="0"/>
          <w:szCs w:val="21"/>
        </w:rPr>
      </w:pPr>
      <w:r>
        <w:rPr>
          <w:rFonts w:ascii="宋体" w:hAnsi="宋体" w:cs="宋体"/>
          <w:color w:val="auto"/>
          <w:kern w:val="0"/>
          <w:szCs w:val="21"/>
        </w:rPr>
        <mc:AlternateContent>
          <mc:Choice Requires="wps">
            <w:drawing>
              <wp:anchor distT="0" distB="0" distL="114300" distR="114300" simplePos="0" relativeHeight="251881472" behindDoc="0" locked="0" layoutInCell="1" allowOverlap="1">
                <wp:simplePos x="0" y="0"/>
                <wp:positionH relativeFrom="column">
                  <wp:posOffset>-114300</wp:posOffset>
                </wp:positionH>
                <wp:positionV relativeFrom="paragraph">
                  <wp:posOffset>34290</wp:posOffset>
                </wp:positionV>
                <wp:extent cx="914400" cy="594360"/>
                <wp:effectExtent l="0" t="0" r="0" b="0"/>
                <wp:wrapNone/>
                <wp:docPr id="12" name="文本框 12"/>
                <wp:cNvGraphicFramePr/>
                <a:graphic xmlns:a="http://schemas.openxmlformats.org/drawingml/2006/main">
                  <a:graphicData uri="http://schemas.microsoft.com/office/word/2010/wordprocessingShape">
                    <wps:wsp>
                      <wps:cNvSpPr txBox="1">
                        <a:spLocks noChangeArrowheads="1"/>
                      </wps:cNvSpPr>
                      <wps:spPr bwMode="auto">
                        <a:xfrm>
                          <a:off x="0" y="0"/>
                          <a:ext cx="914400" cy="594360"/>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提供保密信息和履行保密义务</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7pt;height:46.8pt;width:72pt;z-index:251881472;mso-width-relative:page;mso-height-relative:page;" filled="f" stroked="f" coordsize="21600,21600" o:gfxdata="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BtmtfXVAAAACAEAAA8AAAAAAAAAAQAgAAAAIgAAAGRycy9kb3ducmV2&#10;LnhtbFBLAQIUABQAAAAIAIdO4kDrZvdc/wEAANYDAAAOAAAAAAAAAAEAIAAAACQBAABkcnMvZTJv&#10;RG9jLnhtbFBLBQYAAAAABgAGAFkBAACVBQ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提供保密信息和履行保密义务</w:t>
                      </w:r>
                    </w:p>
                  </w:txbxContent>
                </v:textbox>
              </v:shape>
            </w:pict>
          </mc:Fallback>
        </mc:AlternateContent>
      </w:r>
      <w:r>
        <w:rPr>
          <w:rFonts w:hint="eastAsia" w:ascii="宋体" w:hAnsi="宋体" w:cs="宋体"/>
          <w:color w:val="auto"/>
          <w:kern w:val="0"/>
          <w:szCs w:val="21"/>
        </w:rPr>
        <w:t>合同双方当事人应在专用条款约定期限内提供保密信息。自收到对方当事人提供的保密信息之日起，合同双方当事人应履行保密义务。合同双方当事人履行保密义务，并不因本合同终止而结束。</w:t>
      </w:r>
    </w:p>
    <w:p>
      <w:pPr>
        <w:adjustRightInd w:val="0"/>
        <w:snapToGrid w:val="0"/>
        <w:spacing w:line="360" w:lineRule="auto"/>
        <w:rPr>
          <w:rFonts w:ascii="宋体" w:hAnsi="宋体" w:cs="宋体"/>
          <w:b/>
          <w:color w:val="auto"/>
          <w:kern w:val="0"/>
          <w:szCs w:val="21"/>
        </w:rPr>
      </w:pPr>
      <w:r>
        <w:rPr>
          <w:rFonts w:hint="eastAsia" w:ascii="宋体" w:hAnsi="宋体" w:cs="宋体"/>
          <w:b/>
          <w:color w:val="auto"/>
          <w:kern w:val="0"/>
          <w:szCs w:val="21"/>
        </w:rPr>
        <w:t xml:space="preserve">91.2  </w:t>
      </w:r>
      <w:r>
        <w:rPr>
          <w:rFonts w:hint="eastAsia" w:ascii="宋体" w:hAnsi="宋体" w:cs="宋体"/>
          <w:b/>
          <w:color w:val="auto"/>
          <w:kern w:val="0"/>
          <w:szCs w:val="21"/>
          <w:u w:val="dotted"/>
        </w:rPr>
        <w:t xml:space="preserve">                                                                                                        </w:t>
      </w:r>
    </w:p>
    <w:p>
      <w:pPr>
        <w:adjustRightInd w:val="0"/>
        <w:snapToGrid w:val="0"/>
        <w:spacing w:line="360" w:lineRule="auto"/>
        <w:ind w:left="1619" w:leftChars="771"/>
        <w:rPr>
          <w:rFonts w:ascii="宋体" w:hAnsi="宋体" w:cs="宋体"/>
          <w:color w:val="auto"/>
          <w:kern w:val="0"/>
          <w:szCs w:val="21"/>
        </w:rPr>
      </w:pPr>
      <w:r>
        <w:rPr>
          <w:rFonts w:ascii="宋体" w:hAnsi="宋体" w:cs="宋体"/>
          <w:color w:val="auto"/>
          <w:kern w:val="0"/>
          <w:szCs w:val="21"/>
        </w:rPr>
        <mc:AlternateContent>
          <mc:Choice Requires="wps">
            <w:drawing>
              <wp:anchor distT="0" distB="0" distL="114300" distR="114300" simplePos="0" relativeHeight="251882496" behindDoc="0" locked="0" layoutInCell="1" allowOverlap="1">
                <wp:simplePos x="0" y="0"/>
                <wp:positionH relativeFrom="column">
                  <wp:posOffset>-114300</wp:posOffset>
                </wp:positionH>
                <wp:positionV relativeFrom="paragraph">
                  <wp:posOffset>68580</wp:posOffset>
                </wp:positionV>
                <wp:extent cx="914400" cy="495300"/>
                <wp:effectExtent l="0" t="0" r="0" b="0"/>
                <wp:wrapNone/>
                <wp:docPr id="11" name="文本框 11"/>
                <wp:cNvGraphicFramePr/>
                <a:graphic xmlns:a="http://schemas.openxmlformats.org/drawingml/2006/main">
                  <a:graphicData uri="http://schemas.microsoft.com/office/word/2010/wordprocessingShape">
                    <wps:wsp>
                      <wps:cNvSpPr txBox="1">
                        <a:spLocks noChangeArrowheads="1"/>
                      </wps:cNvSpPr>
                      <wps:spPr bwMode="auto">
                        <a:xfrm>
                          <a:off x="0" y="0"/>
                          <a:ext cx="914400" cy="495300"/>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保密信息知悉权限</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5.4pt;height:39pt;width:72pt;z-index:251882496;mso-width-relative:page;mso-height-relative:page;" filled="f" stroked="f" coordsize="21600,21600" o:gfxdata="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AWKC71QAAAAkBAAAPAAAAAAAAAAEAIAAAACIAAABkcnMvZG93bnJldi54&#10;bWxQSwECFAAUAAAACACHTuJA5mwrQP0BAADWAwAADgAAAAAAAAABACAAAAAkAQAAZHJzL2Uyb0Rv&#10;Yy54bWxQSwUGAAAAAAYABgBZAQAAkwU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保密信息知悉权限</w:t>
                      </w:r>
                    </w:p>
                  </w:txbxContent>
                </v:textbox>
              </v:shape>
            </w:pict>
          </mc:Fallback>
        </mc:AlternateContent>
      </w:r>
      <w:r>
        <w:rPr>
          <w:rFonts w:hint="eastAsia" w:ascii="宋体" w:hAnsi="宋体" w:cs="宋体"/>
          <w:color w:val="auto"/>
          <w:kern w:val="0"/>
          <w:szCs w:val="21"/>
        </w:rPr>
        <w:t>合同双方当事人仅允许因履行本合同而使用另一方当事人提供的保密信息。除合同双方当事人书面委派履行本合同应知悉保密信息的人员外，合同任何一方当事人不得将另一方当事人相关的或属于另一方当事人所有的保密信息泄露或提供给第三方，也不得超出允许范围从另一方当事人复制、摘录或转移任何保密信息。任何保密信息的公布，均应事先征得提供方的书面同意。</w:t>
      </w:r>
    </w:p>
    <w:p>
      <w:pPr>
        <w:adjustRightInd w:val="0"/>
        <w:snapToGrid w:val="0"/>
        <w:spacing w:line="360" w:lineRule="auto"/>
        <w:rPr>
          <w:rFonts w:ascii="宋体" w:hAnsi="宋体" w:cs="宋体"/>
          <w:b/>
          <w:color w:val="auto"/>
          <w:kern w:val="0"/>
          <w:szCs w:val="21"/>
        </w:rPr>
      </w:pPr>
      <w:r>
        <w:rPr>
          <w:rFonts w:hint="eastAsia" w:ascii="宋体" w:hAnsi="宋体" w:cs="宋体"/>
          <w:b/>
          <w:color w:val="auto"/>
          <w:kern w:val="0"/>
          <w:szCs w:val="21"/>
        </w:rPr>
        <w:t xml:space="preserve">91.3  </w:t>
      </w:r>
      <w:r>
        <w:rPr>
          <w:rFonts w:hint="eastAsia" w:ascii="宋体" w:hAnsi="宋体" w:cs="宋体"/>
          <w:b/>
          <w:color w:val="auto"/>
          <w:kern w:val="0"/>
          <w:szCs w:val="21"/>
          <w:u w:val="dotted"/>
        </w:rPr>
        <w:t xml:space="preserve">                                                                                                       </w:t>
      </w:r>
    </w:p>
    <w:p>
      <w:pPr>
        <w:adjustRightInd w:val="0"/>
        <w:snapToGrid w:val="0"/>
        <w:spacing w:line="360" w:lineRule="auto"/>
        <w:ind w:left="1619" w:leftChars="771"/>
        <w:rPr>
          <w:rFonts w:ascii="宋体" w:hAnsi="宋体" w:cs="宋体"/>
          <w:color w:val="auto"/>
          <w:kern w:val="0"/>
          <w:szCs w:val="21"/>
        </w:rPr>
      </w:pPr>
      <w:r>
        <w:rPr>
          <w:rFonts w:ascii="宋体" w:hAnsi="宋体" w:cs="宋体"/>
          <w:color w:val="auto"/>
          <w:kern w:val="0"/>
          <w:szCs w:val="21"/>
        </w:rPr>
        <mc:AlternateContent>
          <mc:Choice Requires="wps">
            <w:drawing>
              <wp:anchor distT="0" distB="0" distL="114300" distR="114300" simplePos="0" relativeHeight="251883520" behindDoc="0" locked="0" layoutInCell="1" allowOverlap="1">
                <wp:simplePos x="0" y="0"/>
                <wp:positionH relativeFrom="column">
                  <wp:posOffset>-114300</wp:posOffset>
                </wp:positionH>
                <wp:positionV relativeFrom="paragraph">
                  <wp:posOffset>3175</wp:posOffset>
                </wp:positionV>
                <wp:extent cx="1028700" cy="300990"/>
                <wp:effectExtent l="0" t="0" r="0" b="0"/>
                <wp:wrapNone/>
                <wp:docPr id="10" name="文本框 10"/>
                <wp:cNvGraphicFramePr/>
                <a:graphic xmlns:a="http://schemas.openxmlformats.org/drawingml/2006/main">
                  <a:graphicData uri="http://schemas.microsoft.com/office/word/2010/wordprocessingShape">
                    <wps:wsp>
                      <wps:cNvSpPr txBox="1">
                        <a:spLocks noChangeArrowheads="1"/>
                      </wps:cNvSpPr>
                      <wps:spPr bwMode="auto">
                        <a:xfrm>
                          <a:off x="0" y="0"/>
                          <a:ext cx="1028700" cy="300990"/>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签订保密协议</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25pt;height:23.7pt;width:81pt;z-index:251883520;mso-width-relative:page;mso-height-relative:page;" filled="f" stroked="f" coordsize="21600,21600" o:gfxdata="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C5yYKjUAAAABwEAAA8AAAAAAAAAAQAgAAAAIgAAAGRycy9kb3ducmV2&#10;LnhtbFBLAQIUABQAAAAIAIdO4kDo9jIlAAIAANcDAAAOAAAAAAAAAAEAIAAAACMBAABkcnMvZTJv&#10;RG9jLnhtbFBLBQYAAAAABgAGAFkBAACVBQ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签订保密协议</w:t>
                      </w:r>
                    </w:p>
                  </w:txbxContent>
                </v:textbox>
              </v:shape>
            </w:pict>
          </mc:Fallback>
        </mc:AlternateContent>
      </w:r>
      <w:r>
        <w:rPr>
          <w:rFonts w:hint="eastAsia" w:ascii="宋体" w:hAnsi="宋体" w:cs="宋体"/>
          <w:color w:val="auto"/>
          <w:kern w:val="0"/>
          <w:szCs w:val="21"/>
        </w:rPr>
        <w:t>合同双方当事人应与履行本合同知悉保密信息的人员签订保密协议，并将其中一份及时提交给另一方当事人。合同双方当事人应以保护自身秘密的谨慎态度采取有效措施保护另一方当事人的保密信息，避免保密信息被不当公开或使用。合同任何一方当事人发现有第三方盗用或滥用另一方当事人保密信息的，应及时通知另一方当事人。</w:t>
      </w:r>
    </w:p>
    <w:p>
      <w:pPr>
        <w:adjustRightInd w:val="0"/>
        <w:snapToGrid w:val="0"/>
        <w:spacing w:line="360" w:lineRule="auto"/>
        <w:rPr>
          <w:rFonts w:ascii="宋体" w:hAnsi="宋体" w:cs="宋体"/>
          <w:b/>
          <w:color w:val="auto"/>
          <w:kern w:val="0"/>
          <w:szCs w:val="21"/>
        </w:rPr>
      </w:pPr>
      <w:r>
        <w:rPr>
          <w:rFonts w:hint="eastAsia" w:ascii="宋体" w:hAnsi="宋体" w:cs="宋体"/>
          <w:b/>
          <w:color w:val="auto"/>
          <w:kern w:val="0"/>
          <w:szCs w:val="21"/>
        </w:rPr>
        <w:t xml:space="preserve">91.4  </w:t>
      </w:r>
      <w:r>
        <w:rPr>
          <w:rFonts w:hint="eastAsia" w:ascii="宋体" w:hAnsi="宋体" w:cs="宋体"/>
          <w:b/>
          <w:color w:val="auto"/>
          <w:kern w:val="0"/>
          <w:szCs w:val="21"/>
          <w:u w:val="dotted"/>
        </w:rPr>
        <w:t xml:space="preserve">                                                                                                      </w:t>
      </w:r>
    </w:p>
    <w:p>
      <w:pPr>
        <w:adjustRightInd w:val="0"/>
        <w:snapToGrid w:val="0"/>
        <w:spacing w:line="360" w:lineRule="auto"/>
        <w:ind w:left="1619" w:leftChars="771"/>
        <w:rPr>
          <w:rFonts w:ascii="宋体" w:hAnsi="宋体" w:cs="宋体"/>
          <w:color w:val="auto"/>
          <w:kern w:val="0"/>
          <w:szCs w:val="21"/>
        </w:rPr>
      </w:pPr>
      <w:r>
        <w:rPr>
          <w:rFonts w:ascii="宋体" w:hAnsi="宋体" w:cs="宋体"/>
          <w:color w:val="auto"/>
          <w:kern w:val="0"/>
          <w:szCs w:val="21"/>
        </w:rPr>
        <mc:AlternateContent>
          <mc:Choice Requires="wps">
            <w:drawing>
              <wp:anchor distT="0" distB="0" distL="114300" distR="114300" simplePos="0" relativeHeight="251884544" behindDoc="0" locked="0" layoutInCell="1" allowOverlap="1">
                <wp:simplePos x="0" y="0"/>
                <wp:positionH relativeFrom="column">
                  <wp:posOffset>-114300</wp:posOffset>
                </wp:positionH>
                <wp:positionV relativeFrom="paragraph">
                  <wp:posOffset>65405</wp:posOffset>
                </wp:positionV>
                <wp:extent cx="914400" cy="727710"/>
                <wp:effectExtent l="0" t="0" r="0" b="0"/>
                <wp:wrapNone/>
                <wp:docPr id="9" name="文本框 9"/>
                <wp:cNvGraphicFramePr/>
                <a:graphic xmlns:a="http://schemas.openxmlformats.org/drawingml/2006/main">
                  <a:graphicData uri="http://schemas.microsoft.com/office/word/2010/wordprocessingShape">
                    <wps:wsp>
                      <wps:cNvSpPr txBox="1">
                        <a:spLocks noChangeArrowheads="1"/>
                      </wps:cNvSpPr>
                      <wps:spPr bwMode="auto">
                        <a:xfrm>
                          <a:off x="0" y="0"/>
                          <a:ext cx="914400" cy="727710"/>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配合政府要求并做好保密工作</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5.15pt;height:57.3pt;width:72pt;z-index:251884544;mso-width-relative:page;mso-height-relative:page;" filled="f" stroked="f" coordsize="21600,21600" o:gfxdata="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iehvZ9YAAAAKAQAADwAAAAAAAAABACAAAAAiAAAAZHJzL2Rvd25yZXYu&#10;eG1sUEsBAhQAFAAAAAgAh07iQEz+W739AQAA1AMAAA4AAAAAAAAAAQAgAAAAJQEAAGRycy9lMm9E&#10;b2MueG1sUEsFBgAAAAAGAAYAWQEAAJQFA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配合政府要求并做好保密工作</w:t>
                      </w:r>
                    </w:p>
                  </w:txbxContent>
                </v:textbox>
              </v:shape>
            </w:pict>
          </mc:Fallback>
        </mc:AlternateContent>
      </w:r>
      <w:r>
        <w:rPr>
          <w:rFonts w:hint="eastAsia" w:ascii="宋体" w:hAnsi="宋体" w:cs="宋体"/>
          <w:color w:val="auto"/>
          <w:kern w:val="0"/>
          <w:szCs w:val="21"/>
        </w:rPr>
        <w:t>如果法律或政府执法、监督管理等有要求，合同双方当事人应予配合和支持，并提供需要的保密信息。需提供另一方当事人保密信息的，应立即书面通知另一方当事人，以便另一方当事人及时履行义务。若另一方当事人未能及时作出回应的，除依法应提供另一方当事人信息外，应积极维护另一方当事人合法权益。</w:t>
      </w:r>
    </w:p>
    <w:p>
      <w:pPr>
        <w:adjustRightInd w:val="0"/>
        <w:snapToGrid w:val="0"/>
        <w:spacing w:line="360" w:lineRule="auto"/>
        <w:rPr>
          <w:rFonts w:ascii="宋体" w:hAnsi="宋体" w:cs="宋体"/>
          <w:b/>
          <w:color w:val="auto"/>
          <w:kern w:val="0"/>
          <w:szCs w:val="21"/>
        </w:rPr>
      </w:pPr>
      <w:r>
        <w:rPr>
          <w:rFonts w:hint="eastAsia" w:ascii="宋体" w:hAnsi="宋体" w:cs="宋体"/>
          <w:b/>
          <w:color w:val="auto"/>
          <w:kern w:val="0"/>
          <w:szCs w:val="21"/>
        </w:rPr>
        <w:t xml:space="preserve">91.5  </w:t>
      </w:r>
      <w:r>
        <w:rPr>
          <w:rFonts w:hint="eastAsia" w:ascii="宋体" w:hAnsi="宋体" w:cs="宋体"/>
          <w:b/>
          <w:color w:val="auto"/>
          <w:kern w:val="0"/>
          <w:szCs w:val="21"/>
          <w:u w:val="dotted"/>
        </w:rPr>
        <w:t xml:space="preserve">                                                                                                        </w:t>
      </w:r>
    </w:p>
    <w:p>
      <w:pPr>
        <w:adjustRightInd w:val="0"/>
        <w:snapToGrid w:val="0"/>
        <w:spacing w:line="360" w:lineRule="auto"/>
        <w:ind w:left="1619" w:leftChars="771"/>
        <w:rPr>
          <w:rFonts w:ascii="宋体" w:hAnsi="宋体" w:cs="宋体"/>
          <w:color w:val="auto"/>
          <w:kern w:val="0"/>
          <w:szCs w:val="21"/>
        </w:rPr>
      </w:pPr>
      <w:r>
        <w:rPr>
          <w:rFonts w:ascii="宋体" w:hAnsi="宋体" w:cs="宋体"/>
          <w:color w:val="auto"/>
          <w:kern w:val="0"/>
          <w:szCs w:val="21"/>
        </w:rPr>
        <mc:AlternateContent>
          <mc:Choice Requires="wps">
            <w:drawing>
              <wp:anchor distT="0" distB="0" distL="114300" distR="114300" simplePos="0" relativeHeight="251885568" behindDoc="0" locked="0" layoutInCell="1" allowOverlap="1">
                <wp:simplePos x="0" y="0"/>
                <wp:positionH relativeFrom="column">
                  <wp:posOffset>-114300</wp:posOffset>
                </wp:positionH>
                <wp:positionV relativeFrom="paragraph">
                  <wp:posOffset>22225</wp:posOffset>
                </wp:positionV>
                <wp:extent cx="914400" cy="495300"/>
                <wp:effectExtent l="0" t="0" r="0" b="0"/>
                <wp:wrapNone/>
                <wp:docPr id="8" name="文本框 8"/>
                <wp:cNvGraphicFramePr/>
                <a:graphic xmlns:a="http://schemas.openxmlformats.org/drawingml/2006/main">
                  <a:graphicData uri="http://schemas.microsoft.com/office/word/2010/wordprocessingShape">
                    <wps:wsp>
                      <wps:cNvSpPr txBox="1">
                        <a:spLocks noChangeArrowheads="1"/>
                      </wps:cNvSpPr>
                      <wps:spPr bwMode="auto">
                        <a:xfrm>
                          <a:off x="0" y="0"/>
                          <a:ext cx="914400" cy="495300"/>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书面说明保密程度</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75pt;height:39pt;width:72pt;z-index:251885568;mso-width-relative:page;mso-height-relative:page;" filled="f" stroked="f" coordsize="21600,21600" o:gfxdata="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NgUjOjVAAAACAEAAA8AAAAAAAAAAQAgAAAAIgAAAGRycy9kb3ducmV2Lnht&#10;bFBLAQIUABQAAAAIAIdO4kCTRksE/AEAANQDAAAOAAAAAAAAAAEAIAAAACQBAABkcnMvZTJvRG9j&#10;LnhtbFBLBQYAAAAABgAGAFkBAACSBQ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书面说明保密程度</w:t>
                      </w:r>
                    </w:p>
                  </w:txbxContent>
                </v:textbox>
              </v:shape>
            </w:pict>
          </mc:Fallback>
        </mc:AlternateContent>
      </w:r>
      <w:r>
        <w:rPr>
          <w:rFonts w:hint="eastAsia" w:ascii="宋体" w:hAnsi="宋体" w:cs="宋体"/>
          <w:color w:val="auto"/>
          <w:kern w:val="0"/>
          <w:szCs w:val="21"/>
        </w:rPr>
        <w:t>保密信息应由提供方以书面形式说明保密程度；以口头形式提供的，则提供方应在提供后28天内以书面形式予以确认。保密信息不但包括合同双方当事人确认的信息，还包括与材料和工程设备产品、价格、工程设计、图纸、技术、工艺和财务等相关信息。但不包括下述信息：</w:t>
      </w:r>
    </w:p>
    <w:p>
      <w:pPr>
        <w:numPr>
          <w:ilvl w:val="1"/>
          <w:numId w:val="32"/>
        </w:numPr>
        <w:tabs>
          <w:tab w:val="left" w:pos="1320"/>
          <w:tab w:val="left" w:pos="1620"/>
          <w:tab w:val="left" w:pos="2340"/>
          <w:tab w:val="left" w:pos="2700"/>
        </w:tabs>
        <w:adjustRightInd w:val="0"/>
        <w:snapToGrid w:val="0"/>
        <w:spacing w:line="360" w:lineRule="auto"/>
        <w:ind w:left="771" w:firstLine="849"/>
        <w:rPr>
          <w:rFonts w:ascii="宋体" w:hAnsi="宋体" w:cs="宋体"/>
          <w:color w:val="auto"/>
          <w:kern w:val="0"/>
          <w:szCs w:val="21"/>
        </w:rPr>
      </w:pPr>
      <w:r>
        <w:rPr>
          <w:rFonts w:hint="eastAsia" w:ascii="宋体" w:hAnsi="宋体" w:cs="宋体"/>
          <w:color w:val="auto"/>
          <w:kern w:val="0"/>
          <w:szCs w:val="21"/>
        </w:rPr>
        <w:t>提供前已由合同双方当事人所持有的；</w:t>
      </w:r>
    </w:p>
    <w:p>
      <w:pPr>
        <w:numPr>
          <w:ilvl w:val="1"/>
          <w:numId w:val="32"/>
        </w:numPr>
        <w:tabs>
          <w:tab w:val="left" w:pos="1320"/>
          <w:tab w:val="left" w:pos="1620"/>
          <w:tab w:val="left" w:pos="2340"/>
          <w:tab w:val="left" w:pos="2700"/>
        </w:tabs>
        <w:adjustRightInd w:val="0"/>
        <w:snapToGrid w:val="0"/>
        <w:spacing w:line="360" w:lineRule="auto"/>
        <w:ind w:left="771" w:firstLine="849"/>
        <w:rPr>
          <w:rFonts w:ascii="宋体" w:hAnsi="宋体" w:cs="宋体"/>
          <w:color w:val="auto"/>
          <w:kern w:val="0"/>
          <w:szCs w:val="21"/>
        </w:rPr>
      </w:pPr>
      <w:r>
        <w:rPr>
          <w:rFonts w:hint="eastAsia" w:ascii="宋体" w:hAnsi="宋体" w:cs="宋体"/>
          <w:color w:val="auto"/>
          <w:kern w:val="0"/>
          <w:szCs w:val="21"/>
        </w:rPr>
        <w:t>已公开发表或非对方当事人原因向公众公开的；</w:t>
      </w:r>
    </w:p>
    <w:p>
      <w:pPr>
        <w:numPr>
          <w:ilvl w:val="1"/>
          <w:numId w:val="32"/>
        </w:numPr>
        <w:tabs>
          <w:tab w:val="left" w:pos="1320"/>
          <w:tab w:val="left" w:pos="1620"/>
          <w:tab w:val="left" w:pos="2340"/>
          <w:tab w:val="left" w:pos="2700"/>
        </w:tabs>
        <w:adjustRightInd w:val="0"/>
        <w:snapToGrid w:val="0"/>
        <w:spacing w:line="360" w:lineRule="auto"/>
        <w:ind w:left="771" w:firstLine="849"/>
        <w:rPr>
          <w:rFonts w:ascii="宋体" w:hAnsi="宋体" w:cs="宋体"/>
          <w:color w:val="auto"/>
          <w:kern w:val="0"/>
          <w:szCs w:val="21"/>
        </w:rPr>
      </w:pPr>
      <w:r>
        <w:rPr>
          <w:rFonts w:hint="eastAsia" w:ascii="宋体" w:hAnsi="宋体" w:cs="宋体"/>
          <w:color w:val="auto"/>
          <w:kern w:val="0"/>
          <w:szCs w:val="21"/>
        </w:rPr>
        <w:t>已由各相关方书面同意其公开的；</w:t>
      </w:r>
    </w:p>
    <w:p>
      <w:pPr>
        <w:numPr>
          <w:ilvl w:val="1"/>
          <w:numId w:val="32"/>
        </w:numPr>
        <w:tabs>
          <w:tab w:val="left" w:pos="1320"/>
          <w:tab w:val="left" w:pos="1620"/>
          <w:tab w:val="left" w:pos="2340"/>
          <w:tab w:val="left" w:pos="2700"/>
        </w:tabs>
        <w:adjustRightInd w:val="0"/>
        <w:snapToGrid w:val="0"/>
        <w:spacing w:line="360" w:lineRule="auto"/>
        <w:ind w:left="771" w:firstLine="849"/>
        <w:rPr>
          <w:rFonts w:ascii="宋体" w:hAnsi="宋体" w:cs="宋体"/>
          <w:color w:val="auto"/>
          <w:kern w:val="0"/>
          <w:szCs w:val="21"/>
        </w:rPr>
      </w:pPr>
      <w:r>
        <w:rPr>
          <w:rFonts w:hint="eastAsia" w:ascii="宋体" w:hAnsi="宋体" w:cs="宋体"/>
          <w:color w:val="auto"/>
          <w:kern w:val="0"/>
          <w:szCs w:val="21"/>
        </w:rPr>
        <w:t>在未获取保密信息前由对方当事人独立开发的；</w:t>
      </w:r>
    </w:p>
    <w:p>
      <w:pPr>
        <w:numPr>
          <w:ilvl w:val="1"/>
          <w:numId w:val="32"/>
        </w:numPr>
        <w:tabs>
          <w:tab w:val="left" w:pos="1320"/>
          <w:tab w:val="left" w:pos="1620"/>
          <w:tab w:val="left" w:pos="2340"/>
          <w:tab w:val="left" w:pos="2700"/>
        </w:tabs>
        <w:adjustRightInd w:val="0"/>
        <w:snapToGrid w:val="0"/>
        <w:spacing w:line="360" w:lineRule="auto"/>
        <w:ind w:left="771" w:firstLine="849"/>
        <w:rPr>
          <w:rFonts w:ascii="宋体" w:hAnsi="宋体" w:cs="宋体"/>
          <w:color w:val="auto"/>
          <w:kern w:val="0"/>
          <w:szCs w:val="21"/>
        </w:rPr>
      </w:pPr>
      <w:r>
        <w:rPr>
          <w:rFonts w:hint="eastAsia" w:ascii="宋体" w:hAnsi="宋体" w:cs="宋体"/>
          <w:color w:val="auto"/>
          <w:kern w:val="0"/>
          <w:szCs w:val="21"/>
        </w:rPr>
        <w:t>对方当事人从对保密信息不承担保密义务的第三方处合法获得的。</w:t>
      </w:r>
    </w:p>
    <w:p>
      <w:pPr>
        <w:tabs>
          <w:tab w:val="left" w:pos="1620"/>
        </w:tabs>
        <w:adjustRightInd w:val="0"/>
        <w:snapToGrid w:val="0"/>
        <w:spacing w:line="240" w:lineRule="exact"/>
        <w:rPr>
          <w:rFonts w:ascii="宋体" w:hAnsi="宋体" w:cs="宋体"/>
          <w:b/>
          <w:color w:val="auto"/>
          <w:kern w:val="0"/>
          <w:szCs w:val="21"/>
          <w:u w:val="single"/>
        </w:rPr>
      </w:pPr>
      <w:r>
        <w:rPr>
          <w:rFonts w:hint="eastAsia" w:ascii="宋体" w:hAnsi="宋体" w:cs="宋体"/>
          <w:b/>
          <w:color w:val="auto"/>
          <w:kern w:val="0"/>
          <w:szCs w:val="21"/>
          <w:u w:val="single"/>
        </w:rPr>
        <w:t xml:space="preserve">                                                                                                      </w:t>
      </w:r>
    </w:p>
    <w:p>
      <w:pPr>
        <w:tabs>
          <w:tab w:val="left" w:pos="540"/>
        </w:tabs>
        <w:adjustRightInd w:val="0"/>
        <w:snapToGrid w:val="0"/>
        <w:spacing w:beforeLines="100" w:line="240" w:lineRule="exact"/>
        <w:ind w:right="-238" w:firstLine="602"/>
        <w:rPr>
          <w:rFonts w:ascii="宋体" w:hAnsi="宋体" w:cs="宋体"/>
          <w:b/>
          <w:color w:val="auto"/>
          <w:kern w:val="0"/>
          <w:szCs w:val="21"/>
        </w:rPr>
      </w:pPr>
    </w:p>
    <w:p>
      <w:pPr>
        <w:tabs>
          <w:tab w:val="left" w:pos="540"/>
        </w:tabs>
        <w:adjustRightInd w:val="0"/>
        <w:snapToGrid w:val="0"/>
        <w:spacing w:beforeLines="100" w:line="360" w:lineRule="auto"/>
        <w:ind w:right="-238"/>
        <w:rPr>
          <w:rFonts w:ascii="宋体" w:hAnsi="宋体" w:cs="宋体"/>
          <w:b/>
          <w:color w:val="auto"/>
          <w:kern w:val="0"/>
          <w:szCs w:val="21"/>
        </w:rPr>
      </w:pPr>
      <w:r>
        <w:rPr>
          <w:rFonts w:hint="eastAsia" w:ascii="宋体" w:hAnsi="宋体" w:cs="宋体"/>
          <w:b/>
          <w:color w:val="auto"/>
          <w:kern w:val="0"/>
          <w:szCs w:val="21"/>
        </w:rPr>
        <w:t>92  廉政建设</w:t>
      </w:r>
    </w:p>
    <w:p>
      <w:pPr>
        <w:adjustRightInd w:val="0"/>
        <w:snapToGrid w:val="0"/>
        <w:spacing w:line="360" w:lineRule="auto"/>
        <w:rPr>
          <w:rFonts w:ascii="宋体" w:hAnsi="宋体" w:cs="宋体"/>
          <w:b/>
          <w:color w:val="auto"/>
          <w:kern w:val="0"/>
          <w:szCs w:val="21"/>
        </w:rPr>
      </w:pPr>
      <w:r>
        <w:rPr>
          <w:rFonts w:hint="eastAsia" w:ascii="宋体" w:hAnsi="宋体" w:cs="宋体"/>
          <w:b/>
          <w:color w:val="auto"/>
          <w:kern w:val="0"/>
          <w:szCs w:val="21"/>
        </w:rPr>
        <w:t xml:space="preserve">92.1     </w:t>
      </w:r>
    </w:p>
    <w:p>
      <w:pPr>
        <w:adjustRightInd w:val="0"/>
        <w:snapToGrid w:val="0"/>
        <w:spacing w:line="360" w:lineRule="auto"/>
        <w:ind w:left="1619" w:leftChars="771"/>
        <w:rPr>
          <w:rFonts w:ascii="宋体" w:hAnsi="宋体" w:cs="宋体"/>
          <w:color w:val="auto"/>
          <w:kern w:val="0"/>
          <w:szCs w:val="21"/>
        </w:rPr>
      </w:pPr>
      <w:r>
        <w:rPr>
          <w:rFonts w:ascii="宋体" w:hAnsi="宋体" w:cs="宋体"/>
          <w:color w:val="auto"/>
          <w:kern w:val="0"/>
          <w:szCs w:val="21"/>
        </w:rPr>
        <mc:AlternateContent>
          <mc:Choice Requires="wps">
            <w:drawing>
              <wp:anchor distT="0" distB="0" distL="114300" distR="114300" simplePos="0" relativeHeight="251886592" behindDoc="0" locked="0" layoutInCell="1" allowOverlap="1">
                <wp:simplePos x="0" y="0"/>
                <wp:positionH relativeFrom="column">
                  <wp:posOffset>-114300</wp:posOffset>
                </wp:positionH>
                <wp:positionV relativeFrom="paragraph">
                  <wp:posOffset>15875</wp:posOffset>
                </wp:positionV>
                <wp:extent cx="800100" cy="297180"/>
                <wp:effectExtent l="0" t="0" r="0" b="0"/>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800100" cy="297180"/>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廉政建设</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5pt;height:23.4pt;width:63pt;z-index:251886592;mso-width-relative:page;mso-height-relative:page;" filled="f" stroked="f" coordsize="21600,21600" o:gfxdata="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EWHbJHVAAAACAEAAA8AAAAAAAAAAQAgAAAAIgAAAGRycy9kb3ducmV2&#10;LnhtbFBLAQIUABQAAAAIAIdO4kCSL/2Q/wEAANQDAAAOAAAAAAAAAAEAIAAAACQBAABkcnMvZTJv&#10;RG9jLnhtbFBLBQYAAAAABgAGAFkBAACVBQ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廉政建设</w:t>
                      </w:r>
                    </w:p>
                  </w:txbxContent>
                </v:textbox>
              </v:shape>
            </w:pict>
          </mc:Fallback>
        </mc:AlternateContent>
      </w:r>
      <w:r>
        <w:rPr>
          <w:rFonts w:hint="eastAsia" w:ascii="宋体" w:hAnsi="宋体" w:cs="宋体"/>
          <w:color w:val="auto"/>
          <w:kern w:val="0"/>
          <w:szCs w:val="21"/>
        </w:rPr>
        <w:t>合同双方当事人在签订本合同时，应同时签订廉政合同，作为本合同的附件。合同双方当事人在合同履行期间应遵守国家和政府有关廉政方面的规定和要求，禁止任何腐败行为。</w:t>
      </w:r>
    </w:p>
    <w:p>
      <w:pPr>
        <w:adjustRightInd w:val="0"/>
        <w:snapToGrid w:val="0"/>
        <w:spacing w:line="360" w:lineRule="auto"/>
        <w:rPr>
          <w:rFonts w:ascii="宋体" w:hAnsi="宋体" w:cs="宋体"/>
          <w:b/>
          <w:color w:val="auto"/>
          <w:kern w:val="0"/>
          <w:szCs w:val="21"/>
          <w:u w:val="dotted"/>
        </w:rPr>
      </w:pPr>
      <w:r>
        <w:rPr>
          <w:rFonts w:hint="eastAsia" w:ascii="宋体" w:hAnsi="宋体" w:cs="宋体"/>
          <w:b/>
          <w:color w:val="auto"/>
          <w:kern w:val="0"/>
          <w:szCs w:val="21"/>
        </w:rPr>
        <w:t xml:space="preserve">92.2  </w:t>
      </w:r>
      <w:r>
        <w:rPr>
          <w:rFonts w:hint="eastAsia" w:ascii="宋体" w:hAnsi="宋体" w:cs="宋体"/>
          <w:b/>
          <w:color w:val="auto"/>
          <w:kern w:val="0"/>
          <w:szCs w:val="21"/>
          <w:u w:val="dotted"/>
        </w:rPr>
        <w:t xml:space="preserve">                                                                                                       </w:t>
      </w:r>
    </w:p>
    <w:p>
      <w:pPr>
        <w:adjustRightInd w:val="0"/>
        <w:snapToGrid w:val="0"/>
        <w:spacing w:line="360" w:lineRule="auto"/>
        <w:ind w:left="1619" w:leftChars="771"/>
        <w:rPr>
          <w:rFonts w:ascii="宋体" w:hAnsi="宋体" w:cs="宋体"/>
          <w:color w:val="auto"/>
          <w:kern w:val="0"/>
          <w:szCs w:val="21"/>
        </w:rPr>
      </w:pPr>
      <w:r>
        <w:rPr>
          <w:rFonts w:ascii="宋体" w:hAnsi="宋体" w:cs="宋体"/>
          <w:color w:val="auto"/>
          <w:kern w:val="0"/>
          <w:szCs w:val="21"/>
        </w:rPr>
        <mc:AlternateContent>
          <mc:Choice Requires="wps">
            <w:drawing>
              <wp:anchor distT="0" distB="0" distL="114300" distR="114300" simplePos="0" relativeHeight="251887616" behindDoc="0" locked="0" layoutInCell="1" allowOverlap="1">
                <wp:simplePos x="0" y="0"/>
                <wp:positionH relativeFrom="column">
                  <wp:posOffset>-114300</wp:posOffset>
                </wp:positionH>
                <wp:positionV relativeFrom="paragraph">
                  <wp:posOffset>53975</wp:posOffset>
                </wp:positionV>
                <wp:extent cx="800100" cy="316865"/>
                <wp:effectExtent l="0" t="0" r="0" b="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800100" cy="316865"/>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违反责任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4.25pt;height:24.95pt;width:63pt;z-index:251887616;mso-width-relative:page;mso-height-relative:page;" filled="f" stroked="f" coordsize="21600,21600" o:gfxdata="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1zHYJ9QAAAAIAQAADwAAAAAAAAABACAAAAAiAAAAZHJzL2Rvd25yZXYu&#10;eG1sUEsBAhQAFAAAAAgAh07iQFGs/X//AQAA1AMAAA4AAAAAAAAAAQAgAAAAIwEAAGRycy9lMm9E&#10;b2MueG1sUEsFBgAAAAAGAAYAWQEAAJQFA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违反责任</w:t>
                      </w:r>
                    </w:p>
                  </w:txbxContent>
                </v:textbox>
              </v:shape>
            </w:pict>
          </mc:Fallback>
        </mc:AlternateContent>
      </w:r>
      <w:r>
        <w:rPr>
          <w:rFonts w:hint="eastAsia" w:ascii="宋体" w:hAnsi="宋体" w:cs="宋体"/>
          <w:color w:val="auto"/>
          <w:kern w:val="0"/>
          <w:szCs w:val="21"/>
        </w:rPr>
        <w:t>如果承包人违反廉政建设有关规定，采用不正当手段，贿赂或变相贿赂了包括监理工程师、造价工程师在内的发包人工作人员，以求获得或已获得不当利益的，则发包人除保留追究其工作人员责任外，因承包人上述行为造成发包人损失或工程损害的，承包人应予赔偿，并承担相应的法律责任。发包人有权按照第87.3款规定解除合同，并按照第88.3款规定办理合同解除的支付。</w:t>
      </w:r>
    </w:p>
    <w:p>
      <w:pPr>
        <w:adjustRightInd w:val="0"/>
        <w:snapToGrid w:val="0"/>
        <w:spacing w:line="240" w:lineRule="exact"/>
        <w:rPr>
          <w:rFonts w:ascii="宋体" w:hAnsi="宋体" w:cs="宋体"/>
          <w:b/>
          <w:color w:val="auto"/>
          <w:kern w:val="0"/>
          <w:szCs w:val="21"/>
          <w:u w:val="single"/>
        </w:rPr>
      </w:pPr>
      <w:r>
        <w:rPr>
          <w:rFonts w:hint="eastAsia" w:ascii="宋体" w:hAnsi="宋体" w:cs="宋体"/>
          <w:b/>
          <w:color w:val="auto"/>
          <w:kern w:val="0"/>
          <w:szCs w:val="21"/>
          <w:u w:val="single"/>
        </w:rPr>
        <w:t xml:space="preserve">                                                                                                             </w:t>
      </w:r>
    </w:p>
    <w:p>
      <w:pPr>
        <w:tabs>
          <w:tab w:val="left" w:pos="540"/>
        </w:tabs>
        <w:adjustRightInd w:val="0"/>
        <w:snapToGrid w:val="0"/>
        <w:spacing w:beforeLines="100" w:line="360" w:lineRule="auto"/>
        <w:ind w:right="-238"/>
        <w:rPr>
          <w:rFonts w:ascii="宋体" w:hAnsi="宋体" w:cs="宋体"/>
          <w:b/>
          <w:color w:val="auto"/>
          <w:kern w:val="0"/>
          <w:szCs w:val="21"/>
        </w:rPr>
      </w:pPr>
      <w:r>
        <w:rPr>
          <w:rFonts w:hint="eastAsia" w:ascii="宋体" w:hAnsi="宋体" w:cs="宋体"/>
          <w:b/>
          <w:color w:val="auto"/>
          <w:kern w:val="0"/>
          <w:szCs w:val="21"/>
        </w:rPr>
        <w:t>93  禁止转让</w:t>
      </w:r>
    </w:p>
    <w:p>
      <w:pPr>
        <w:adjustRightInd w:val="0"/>
        <w:snapToGrid w:val="0"/>
        <w:spacing w:line="360" w:lineRule="auto"/>
        <w:rPr>
          <w:rFonts w:ascii="宋体" w:hAnsi="宋体" w:cs="宋体"/>
          <w:b/>
          <w:color w:val="auto"/>
          <w:kern w:val="0"/>
          <w:szCs w:val="21"/>
        </w:rPr>
      </w:pPr>
      <w:r>
        <w:rPr>
          <w:rFonts w:hint="eastAsia" w:ascii="宋体" w:hAnsi="宋体" w:cs="宋体"/>
          <w:b/>
          <w:color w:val="auto"/>
          <w:kern w:val="0"/>
          <w:szCs w:val="21"/>
        </w:rPr>
        <w:t xml:space="preserve">93.1     </w:t>
      </w:r>
    </w:p>
    <w:p>
      <w:pPr>
        <w:spacing w:line="360" w:lineRule="auto"/>
        <w:ind w:left="1619" w:leftChars="771"/>
        <w:rPr>
          <w:rFonts w:ascii="宋体" w:hAnsi="宋体" w:cs="宋体"/>
          <w:color w:val="auto"/>
          <w:szCs w:val="21"/>
        </w:rPr>
      </w:pPr>
      <w:r>
        <w:rPr>
          <w:rFonts w:ascii="宋体" w:hAnsi="宋体" w:cs="宋体"/>
          <w:color w:val="auto"/>
          <w:szCs w:val="21"/>
        </w:rPr>
        <mc:AlternateContent>
          <mc:Choice Requires="wps">
            <w:drawing>
              <wp:anchor distT="0" distB="0" distL="114300" distR="114300" simplePos="0" relativeHeight="251981824" behindDoc="0" locked="0" layoutInCell="1" allowOverlap="1">
                <wp:simplePos x="0" y="0"/>
                <wp:positionH relativeFrom="column">
                  <wp:posOffset>-114300</wp:posOffset>
                </wp:positionH>
                <wp:positionV relativeFrom="paragraph">
                  <wp:posOffset>15875</wp:posOffset>
                </wp:positionV>
                <wp:extent cx="800100" cy="297180"/>
                <wp:effectExtent l="0" t="0" r="0" b="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800100" cy="297180"/>
                        </a:xfrm>
                        <a:prstGeom prst="rect">
                          <a:avLst/>
                        </a:prstGeom>
                        <a:noFill/>
                        <a:ln>
                          <a:noFill/>
                        </a:ln>
                        <a:effectLst/>
                      </wps:spPr>
                      <wps:txbx>
                        <w:txbxContent>
                          <w:p>
                            <w:pPr>
                              <w:spacing w:line="240" w:lineRule="exact"/>
                              <w:rPr>
                                <w:rFonts w:ascii="宋体" w:hAnsi="宋体"/>
                                <w:b/>
                                <w:bCs/>
                                <w:sz w:val="18"/>
                                <w:szCs w:val="18"/>
                              </w:rPr>
                            </w:pPr>
                            <w:r>
                              <w:rPr>
                                <w:rFonts w:hint="eastAsia" w:ascii="楷体_GB2312" w:hAnsi="宋体"/>
                                <w:b/>
                                <w:bCs/>
                                <w:sz w:val="18"/>
                                <w:szCs w:val="18"/>
                              </w:rPr>
                              <w:t>履行合同</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5pt;height:23.4pt;width:63pt;z-index:251981824;mso-width-relative:page;mso-height-relative:page;" filled="f" stroked="f" coordsize="21600,21600" o:gfxdata="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EWHbJHVAAAACAEAAA8AAAAAAAAAAQAgAAAAIgAAAGRycy9kb3ducmV2&#10;LnhtbFBLAQIUABQAAAAIAIdO4kDiAuzf/wEAANQDAAAOAAAAAAAAAAEAIAAAACQBAABkcnMvZTJv&#10;RG9jLnhtbFBLBQYAAAAABgAGAFkBAACVBQAAAAA=&#10;">
                <v:fill on="f" focussize="0,0"/>
                <v:stroke on="f"/>
                <v:imagedata o:title=""/>
                <o:lock v:ext="edit" aspectratio="f"/>
                <v:textbox>
                  <w:txbxContent>
                    <w:p>
                      <w:pPr>
                        <w:spacing w:line="240" w:lineRule="exact"/>
                        <w:rPr>
                          <w:rFonts w:ascii="宋体" w:hAnsi="宋体"/>
                          <w:b/>
                          <w:bCs/>
                          <w:sz w:val="18"/>
                          <w:szCs w:val="18"/>
                        </w:rPr>
                      </w:pPr>
                      <w:r>
                        <w:rPr>
                          <w:rFonts w:hint="eastAsia" w:ascii="楷体_GB2312" w:hAnsi="宋体"/>
                          <w:b/>
                          <w:bCs/>
                          <w:sz w:val="18"/>
                          <w:szCs w:val="18"/>
                        </w:rPr>
                        <w:t>履行合同</w:t>
                      </w:r>
                    </w:p>
                  </w:txbxContent>
                </v:textbox>
              </v:shape>
            </w:pict>
          </mc:Fallback>
        </mc:AlternateContent>
      </w:r>
      <w:r>
        <w:rPr>
          <w:rFonts w:hint="eastAsia" w:ascii="宋体" w:hAnsi="宋体" w:cs="宋体"/>
          <w:color w:val="auto"/>
          <w:szCs w:val="21"/>
        </w:rPr>
        <w:t>本合同一经签署，合同双方当事人均应按照本合同规定行使各自的权利、履行各自的义务。</w:t>
      </w:r>
    </w:p>
    <w:p>
      <w:pPr>
        <w:adjustRightInd w:val="0"/>
        <w:snapToGrid w:val="0"/>
        <w:spacing w:line="480" w:lineRule="auto"/>
        <w:rPr>
          <w:rFonts w:ascii="宋体" w:hAnsi="宋体" w:cs="宋体"/>
          <w:b/>
          <w:color w:val="auto"/>
          <w:kern w:val="0"/>
          <w:szCs w:val="21"/>
          <w:u w:val="dotted"/>
        </w:rPr>
      </w:pPr>
      <w:r>
        <w:rPr>
          <w:rFonts w:hint="eastAsia" w:ascii="宋体" w:hAnsi="宋体" w:cs="宋体"/>
          <w:b/>
          <w:color w:val="auto"/>
          <w:kern w:val="0"/>
          <w:szCs w:val="21"/>
        </w:rPr>
        <w:t xml:space="preserve">93.2  </w:t>
      </w:r>
      <w:r>
        <w:rPr>
          <w:rFonts w:hint="eastAsia" w:ascii="宋体" w:hAnsi="宋体" w:cs="宋体"/>
          <w:b/>
          <w:color w:val="auto"/>
          <w:kern w:val="0"/>
          <w:szCs w:val="21"/>
          <w:u w:val="dotted"/>
        </w:rPr>
        <w:t xml:space="preserve">                                                                                                       </w:t>
      </w:r>
    </w:p>
    <w:p>
      <w:pPr>
        <w:spacing w:line="360" w:lineRule="auto"/>
        <w:ind w:left="1619" w:leftChars="771"/>
        <w:rPr>
          <w:rFonts w:ascii="宋体" w:hAnsi="宋体" w:cs="宋体"/>
          <w:color w:val="auto"/>
          <w:szCs w:val="21"/>
        </w:rPr>
      </w:pPr>
      <w:r>
        <w:rPr>
          <w:rFonts w:ascii="宋体" w:hAnsi="宋体" w:cs="宋体"/>
          <w:color w:val="auto"/>
          <w:szCs w:val="21"/>
        </w:rPr>
        <mc:AlternateContent>
          <mc:Choice Requires="wps">
            <w:drawing>
              <wp:anchor distT="0" distB="0" distL="114300" distR="114300" simplePos="0" relativeHeight="252057600" behindDoc="0" locked="0" layoutInCell="1" allowOverlap="1">
                <wp:simplePos x="0" y="0"/>
                <wp:positionH relativeFrom="column">
                  <wp:posOffset>-114300</wp:posOffset>
                </wp:positionH>
                <wp:positionV relativeFrom="paragraph">
                  <wp:posOffset>98425</wp:posOffset>
                </wp:positionV>
                <wp:extent cx="800100" cy="297180"/>
                <wp:effectExtent l="0" t="0" r="0" b="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800100" cy="297180"/>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不得转让</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7.75pt;height:23.4pt;width:63pt;z-index:252057600;mso-width-relative:page;mso-height-relative:page;" filled="f" stroked="f" coordsize="21600,21600" o:gfxdata="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AR7Jo1gAAAAkBAAAPAAAAAAAAAAEAIAAAACIAAABkcnMvZG93bnJl&#10;di54bWxQSwECFAAUAAAACACHTuJAWpRk+P8BAADUAwAADgAAAAAAAAABACAAAAAlAQAAZHJzL2Uy&#10;b0RvYy54bWxQSwUGAAAAAAYABgBZAQAAlgU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不得转让</w:t>
                      </w:r>
                    </w:p>
                  </w:txbxContent>
                </v:textbox>
              </v:shape>
            </w:pict>
          </mc:Fallback>
        </mc:AlternateContent>
      </w:r>
      <w:r>
        <w:rPr>
          <w:rFonts w:hint="eastAsia" w:ascii="宋体" w:hAnsi="宋体" w:cs="宋体"/>
          <w:color w:val="auto"/>
          <w:szCs w:val="21"/>
        </w:rPr>
        <w:t>除合同另有约定外，未经另一方当事人同意，合同一方当事人不得将本合同的全部或部分权利、义务转让给第三方。</w:t>
      </w:r>
    </w:p>
    <w:p>
      <w:pPr>
        <w:adjustRightInd w:val="0"/>
        <w:snapToGrid w:val="0"/>
        <w:spacing w:line="480" w:lineRule="auto"/>
        <w:rPr>
          <w:rFonts w:ascii="宋体" w:hAnsi="宋体" w:cs="宋体"/>
          <w:b/>
          <w:color w:val="auto"/>
          <w:kern w:val="0"/>
          <w:szCs w:val="21"/>
        </w:rPr>
      </w:pPr>
      <w:r>
        <w:rPr>
          <w:rFonts w:hint="eastAsia" w:ascii="宋体" w:hAnsi="宋体" w:cs="宋体"/>
          <w:b/>
          <w:color w:val="auto"/>
          <w:kern w:val="0"/>
          <w:szCs w:val="21"/>
          <w:u w:val="single"/>
        </w:rPr>
        <w:t xml:space="preserve">                                                                                </w:t>
      </w:r>
    </w:p>
    <w:p>
      <w:pPr>
        <w:tabs>
          <w:tab w:val="left" w:pos="540"/>
        </w:tabs>
        <w:adjustRightInd w:val="0"/>
        <w:snapToGrid w:val="0"/>
        <w:spacing w:beforeLines="100" w:line="240" w:lineRule="exact"/>
        <w:ind w:right="-238"/>
        <w:rPr>
          <w:rFonts w:ascii="宋体" w:hAnsi="宋体" w:cs="宋体"/>
          <w:b/>
          <w:color w:val="auto"/>
          <w:kern w:val="0"/>
          <w:szCs w:val="21"/>
        </w:rPr>
      </w:pPr>
    </w:p>
    <w:p>
      <w:pPr>
        <w:tabs>
          <w:tab w:val="left" w:pos="540"/>
        </w:tabs>
        <w:adjustRightInd w:val="0"/>
        <w:snapToGrid w:val="0"/>
        <w:spacing w:beforeLines="100" w:line="360" w:lineRule="auto"/>
        <w:ind w:right="-238"/>
        <w:rPr>
          <w:rFonts w:ascii="宋体" w:hAnsi="宋体" w:cs="宋体"/>
          <w:b/>
          <w:color w:val="auto"/>
          <w:kern w:val="0"/>
          <w:szCs w:val="21"/>
        </w:rPr>
      </w:pPr>
      <w:r>
        <w:rPr>
          <w:rFonts w:hint="eastAsia" w:ascii="宋体" w:hAnsi="宋体" w:cs="宋体"/>
          <w:b/>
          <w:color w:val="auto"/>
          <w:kern w:val="0"/>
          <w:szCs w:val="21"/>
        </w:rPr>
        <w:t>94  合同份数</w:t>
      </w:r>
    </w:p>
    <w:p>
      <w:pPr>
        <w:adjustRightInd w:val="0"/>
        <w:snapToGrid w:val="0"/>
        <w:spacing w:line="360" w:lineRule="auto"/>
        <w:ind w:left="1383" w:hanging="1383" w:hangingChars="656"/>
        <w:rPr>
          <w:rFonts w:ascii="宋体" w:hAnsi="宋体" w:cs="宋体"/>
          <w:b/>
          <w:color w:val="auto"/>
          <w:kern w:val="0"/>
          <w:szCs w:val="21"/>
        </w:rPr>
      </w:pPr>
      <w:r>
        <w:rPr>
          <w:rFonts w:hint="eastAsia" w:ascii="宋体" w:hAnsi="宋体" w:cs="宋体"/>
          <w:b/>
          <w:color w:val="auto"/>
          <w:kern w:val="0"/>
          <w:szCs w:val="21"/>
        </w:rPr>
        <w:t xml:space="preserve">94.1        </w:t>
      </w:r>
    </w:p>
    <w:p>
      <w:pPr>
        <w:adjustRightInd w:val="0"/>
        <w:snapToGrid w:val="0"/>
        <w:spacing w:line="360" w:lineRule="auto"/>
        <w:ind w:left="1682" w:leftChars="800" w:hanging="2"/>
        <w:rPr>
          <w:rFonts w:ascii="宋体" w:hAnsi="宋体" w:cs="宋体"/>
          <w:color w:val="auto"/>
          <w:kern w:val="0"/>
          <w:szCs w:val="21"/>
        </w:rPr>
      </w:pPr>
      <w:r>
        <w:rPr>
          <w:rFonts w:ascii="宋体" w:hAnsi="宋体" w:cs="宋体"/>
          <w:color w:val="auto"/>
          <w:kern w:val="0"/>
          <w:szCs w:val="21"/>
        </w:rPr>
        <mc:AlternateContent>
          <mc:Choice Requires="wps">
            <w:drawing>
              <wp:anchor distT="0" distB="0" distL="114300" distR="114300" simplePos="0" relativeHeight="251888640" behindDoc="0" locked="0" layoutInCell="1" allowOverlap="1">
                <wp:simplePos x="0" y="0"/>
                <wp:positionH relativeFrom="column">
                  <wp:posOffset>-66675</wp:posOffset>
                </wp:positionH>
                <wp:positionV relativeFrom="paragraph">
                  <wp:posOffset>10160</wp:posOffset>
                </wp:positionV>
                <wp:extent cx="914400" cy="396240"/>
                <wp:effectExtent l="0" t="0" r="0" b="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约定提供合同文本</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25pt;margin-top:0.8pt;height:31.2pt;width:72pt;z-index:251888640;mso-width-relative:page;mso-height-relative:page;" filled="f" stroked="f" coordsize="21600,21600" o:gfxdata="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AJYh/HUAAAACAEAAA8AAAAAAAAAAQAgAAAAIgAAAGRycy9kb3ducmV2Lnht&#10;bFBLAQIUABQAAAAIAIdO4kB89TeR/QEAANQDAAAOAAAAAAAAAAEAIAAAACMBAABkcnMvZTJvRG9j&#10;LnhtbFBLBQYAAAAABgAGAFkBAACSBQ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约定提供合同文本</w:t>
                      </w:r>
                    </w:p>
                  </w:txbxContent>
                </v:textbox>
              </v:shape>
            </w:pict>
          </mc:Fallback>
        </mc:AlternateContent>
      </w:r>
      <w:r>
        <w:rPr>
          <w:rFonts w:hint="eastAsia" w:ascii="宋体" w:hAnsi="宋体" w:cs="宋体"/>
          <w:color w:val="auto"/>
          <w:kern w:val="0"/>
          <w:szCs w:val="21"/>
        </w:rPr>
        <w:t>除专用条款另有约定外，发包人应按照第94.2款规定的份数免费为承包人提供合同文本。</w:t>
      </w:r>
    </w:p>
    <w:p>
      <w:pPr>
        <w:adjustRightInd w:val="0"/>
        <w:snapToGrid w:val="0"/>
        <w:spacing w:line="480" w:lineRule="auto"/>
        <w:rPr>
          <w:rFonts w:ascii="宋体" w:hAnsi="宋体" w:cs="宋体"/>
          <w:color w:val="auto"/>
          <w:kern w:val="0"/>
          <w:szCs w:val="21"/>
        </w:rPr>
      </w:pPr>
      <w:r>
        <w:rPr>
          <w:rFonts w:hint="eastAsia" w:ascii="宋体" w:hAnsi="宋体" w:cs="宋体"/>
          <w:b/>
          <w:color w:val="auto"/>
          <w:kern w:val="0"/>
          <w:szCs w:val="21"/>
        </w:rPr>
        <w:t xml:space="preserve">94.2  </w:t>
      </w:r>
      <w:r>
        <w:rPr>
          <w:rFonts w:hint="eastAsia" w:ascii="宋体" w:hAnsi="宋体" w:cs="宋体"/>
          <w:b/>
          <w:color w:val="auto"/>
          <w:kern w:val="0"/>
          <w:szCs w:val="21"/>
          <w:u w:val="dotted"/>
        </w:rPr>
        <w:t xml:space="preserve"> </w:t>
      </w:r>
      <w:r>
        <w:rPr>
          <w:rFonts w:hint="eastAsia" w:ascii="宋体" w:hAnsi="宋体" w:cs="宋体"/>
          <w:color w:val="auto"/>
          <w:kern w:val="0"/>
          <w:szCs w:val="21"/>
          <w:u w:val="dotted"/>
        </w:rPr>
        <w:t xml:space="preserve">                                                                                                       </w:t>
      </w:r>
    </w:p>
    <w:p>
      <w:pPr>
        <w:adjustRightInd w:val="0"/>
        <w:snapToGrid w:val="0"/>
        <w:spacing w:line="360" w:lineRule="auto"/>
        <w:ind w:left="1619" w:leftChars="771"/>
        <w:rPr>
          <w:rFonts w:ascii="宋体" w:hAnsi="宋体" w:cs="宋体"/>
          <w:color w:val="auto"/>
          <w:kern w:val="0"/>
          <w:szCs w:val="21"/>
        </w:rPr>
      </w:pPr>
      <w:r>
        <w:rPr>
          <w:rFonts w:ascii="宋体" w:hAnsi="宋体" w:cs="宋体"/>
          <w:color w:val="auto"/>
          <w:kern w:val="0"/>
          <w:szCs w:val="21"/>
        </w:rPr>
        <mc:AlternateContent>
          <mc:Choice Requires="wps">
            <w:drawing>
              <wp:anchor distT="0" distB="0" distL="114300" distR="114300" simplePos="0" relativeHeight="251985920" behindDoc="0" locked="0" layoutInCell="1" allowOverlap="1">
                <wp:simplePos x="0" y="0"/>
                <wp:positionH relativeFrom="column">
                  <wp:posOffset>-114300</wp:posOffset>
                </wp:positionH>
                <wp:positionV relativeFrom="paragraph">
                  <wp:posOffset>8255</wp:posOffset>
                </wp:positionV>
                <wp:extent cx="800100" cy="299720"/>
                <wp:effectExtent l="0" t="0" r="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800100" cy="299720"/>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正副本效力</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65pt;height:23.6pt;width:63pt;z-index:251985920;mso-width-relative:page;mso-height-relative:page;" filled="f" stroked="f" coordsize="21600,21600" o:gfxdata="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Mf3b61AAAAAgBAAAPAAAAAAAAAAEAIAAAACIAAABkcnMvZG93bnJldi54&#10;bWxQSwECFAAUAAAACACHTuJAmlLRe/4BAADUAwAADgAAAAAAAAABACAAAAAjAQAAZHJzL2Uyb0Rv&#10;Yy54bWxQSwUGAAAAAAYABgBZAQAAkwU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正副本效力</w:t>
                      </w:r>
                    </w:p>
                  </w:txbxContent>
                </v:textbox>
              </v:shape>
            </w:pict>
          </mc:Fallback>
        </mc:AlternateContent>
      </w:r>
      <w:r>
        <w:rPr>
          <w:rFonts w:hint="eastAsia" w:ascii="宋体" w:hAnsi="宋体" w:cs="宋体"/>
          <w:color w:val="auto"/>
          <w:kern w:val="0"/>
          <w:szCs w:val="21"/>
        </w:rPr>
        <w:t>本合同正、副本份数，由合同双方当事人根据需要在专用条款中约定。正本与副本具有同等效力，当正本与副本不一致时，以正本为准。</w:t>
      </w:r>
    </w:p>
    <w:p>
      <w:pPr>
        <w:adjustRightInd w:val="0"/>
        <w:snapToGrid w:val="0"/>
        <w:spacing w:line="480" w:lineRule="auto"/>
        <w:rPr>
          <w:rFonts w:ascii="宋体" w:hAnsi="宋体" w:cs="宋体"/>
          <w:b/>
          <w:color w:val="auto"/>
          <w:kern w:val="0"/>
          <w:szCs w:val="21"/>
          <w:u w:val="single"/>
        </w:rPr>
      </w:pPr>
      <w:r>
        <w:rPr>
          <w:rFonts w:hint="eastAsia" w:ascii="宋体" w:hAnsi="宋体" w:cs="宋体"/>
          <w:b/>
          <w:color w:val="auto"/>
          <w:kern w:val="0"/>
          <w:szCs w:val="21"/>
          <w:u w:val="single"/>
        </w:rPr>
        <w:t xml:space="preserve">                                                                                 </w:t>
      </w:r>
    </w:p>
    <w:p>
      <w:pPr>
        <w:adjustRightInd w:val="0"/>
        <w:snapToGrid w:val="0"/>
        <w:spacing w:line="360" w:lineRule="auto"/>
        <w:rPr>
          <w:rFonts w:ascii="宋体" w:hAnsi="宋体" w:cs="宋体"/>
          <w:b/>
          <w:color w:val="auto"/>
          <w:kern w:val="0"/>
          <w:szCs w:val="21"/>
        </w:rPr>
      </w:pPr>
    </w:p>
    <w:p>
      <w:pPr>
        <w:adjustRightInd w:val="0"/>
        <w:snapToGrid w:val="0"/>
        <w:spacing w:line="360" w:lineRule="auto"/>
        <w:rPr>
          <w:rFonts w:ascii="宋体" w:hAnsi="宋体" w:cs="宋体"/>
          <w:b/>
          <w:color w:val="auto"/>
          <w:kern w:val="0"/>
          <w:szCs w:val="21"/>
        </w:rPr>
      </w:pPr>
      <w:r>
        <w:rPr>
          <w:rFonts w:hint="eastAsia" w:ascii="宋体" w:hAnsi="宋体" w:cs="宋体"/>
          <w:b/>
          <w:color w:val="auto"/>
          <w:kern w:val="0"/>
          <w:szCs w:val="21"/>
        </w:rPr>
        <w:t>95  合同备案</w:t>
      </w:r>
    </w:p>
    <w:p>
      <w:pPr>
        <w:adjustRightInd w:val="0"/>
        <w:snapToGrid w:val="0"/>
        <w:spacing w:line="360" w:lineRule="auto"/>
        <w:rPr>
          <w:rFonts w:ascii="宋体" w:hAnsi="宋体" w:cs="宋体"/>
          <w:b/>
          <w:color w:val="auto"/>
          <w:kern w:val="0"/>
          <w:szCs w:val="21"/>
        </w:rPr>
      </w:pPr>
      <w:r>
        <w:rPr>
          <w:rFonts w:ascii="宋体" w:hAnsi="宋体" w:cs="宋体"/>
          <w:color w:val="auto"/>
          <w:kern w:val="0"/>
          <w:szCs w:val="21"/>
        </w:rPr>
        <mc:AlternateContent>
          <mc:Choice Requires="wps">
            <w:drawing>
              <wp:anchor distT="0" distB="0" distL="114300" distR="114300" simplePos="0" relativeHeight="251986944" behindDoc="0" locked="0" layoutInCell="1" allowOverlap="1">
                <wp:simplePos x="0" y="0"/>
                <wp:positionH relativeFrom="column">
                  <wp:posOffset>-114300</wp:posOffset>
                </wp:positionH>
                <wp:positionV relativeFrom="paragraph">
                  <wp:posOffset>208915</wp:posOffset>
                </wp:positionV>
                <wp:extent cx="1039495" cy="529590"/>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039495" cy="529590"/>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合同备案及限</w:t>
                            </w:r>
                          </w:p>
                          <w:p>
                            <w:pPr>
                              <w:spacing w:line="240" w:lineRule="exact"/>
                              <w:rPr>
                                <w:rFonts w:ascii="楷体_GB2312" w:hAnsi="宋体"/>
                                <w:b/>
                                <w:bCs/>
                                <w:sz w:val="18"/>
                                <w:szCs w:val="18"/>
                              </w:rPr>
                            </w:pPr>
                            <w:r>
                              <w:rPr>
                                <w:rFonts w:hint="eastAsia" w:ascii="楷体_GB2312" w:hAnsi="宋体"/>
                                <w:b/>
                                <w:bCs/>
                                <w:sz w:val="18"/>
                                <w:szCs w:val="18"/>
                              </w:rPr>
                              <w:t>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6.45pt;height:41.7pt;width:81.85pt;z-index:251986944;mso-width-relative:page;mso-height-relative:page;" filled="f" stroked="f" coordsize="21600,21600" o:gfxdata="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Eu6rNjYAAAACgEAAA8AAAAAAAAAAQAgAAAAIgAAAGRycy9kb3du&#10;cmV2LnhtbFBLAQIUABQAAAAIAIdO4kAmZGzJ/wEAANUDAAAOAAAAAAAAAAEAIAAAACcBAABkcnMv&#10;ZTJvRG9jLnhtbFBLBQYAAAAABgAGAFkBAACYBQ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合同备案及限</w:t>
                      </w:r>
                    </w:p>
                    <w:p>
                      <w:pPr>
                        <w:spacing w:line="240" w:lineRule="exact"/>
                        <w:rPr>
                          <w:rFonts w:ascii="楷体_GB2312" w:hAnsi="宋体"/>
                          <w:b/>
                          <w:bCs/>
                          <w:sz w:val="18"/>
                          <w:szCs w:val="18"/>
                        </w:rPr>
                      </w:pPr>
                      <w:r>
                        <w:rPr>
                          <w:rFonts w:hint="eastAsia" w:ascii="楷体_GB2312" w:hAnsi="宋体"/>
                          <w:b/>
                          <w:bCs/>
                          <w:sz w:val="18"/>
                          <w:szCs w:val="18"/>
                        </w:rPr>
                        <w:t>制</w:t>
                      </w:r>
                    </w:p>
                  </w:txbxContent>
                </v:textbox>
              </v:shape>
            </w:pict>
          </mc:Fallback>
        </mc:AlternateContent>
      </w:r>
      <w:r>
        <w:rPr>
          <w:rFonts w:hint="eastAsia" w:ascii="宋体" w:hAnsi="宋体" w:cs="宋体"/>
          <w:b/>
          <w:color w:val="auto"/>
          <w:kern w:val="0"/>
          <w:szCs w:val="21"/>
        </w:rPr>
        <w:t xml:space="preserve">95.1  </w:t>
      </w:r>
    </w:p>
    <w:p>
      <w:pPr>
        <w:adjustRightInd w:val="0"/>
        <w:snapToGrid w:val="0"/>
        <w:spacing w:line="360" w:lineRule="auto"/>
        <w:ind w:left="1619" w:leftChars="771"/>
        <w:rPr>
          <w:rFonts w:ascii="宋体" w:hAnsi="宋体" w:cs="宋体"/>
          <w:color w:val="auto"/>
          <w:kern w:val="0"/>
          <w:szCs w:val="21"/>
        </w:rPr>
      </w:pPr>
      <w:r>
        <w:rPr>
          <w:rFonts w:hint="eastAsia" w:ascii="宋体" w:hAnsi="宋体" w:cs="宋体"/>
          <w:color w:val="auto"/>
          <w:kern w:val="0"/>
          <w:szCs w:val="21"/>
        </w:rPr>
        <w:t>本合同签署后，发包人应在办理施工许可证前，将本合同一式两份报送工程所在地建设行政主管部门备案（其中一份报送工程造价管理机构备案）。除合同双方当事人同意修改外，未按照本合同所有条款规定的合同，不予备案。</w:t>
      </w:r>
    </w:p>
    <w:p>
      <w:pPr>
        <w:adjustRightInd w:val="0"/>
        <w:snapToGrid w:val="0"/>
        <w:spacing w:line="480" w:lineRule="auto"/>
        <w:rPr>
          <w:rFonts w:ascii="宋体" w:hAnsi="宋体" w:cs="宋体"/>
          <w:b/>
          <w:color w:val="auto"/>
          <w:kern w:val="0"/>
          <w:szCs w:val="21"/>
        </w:rPr>
      </w:pPr>
      <w:r>
        <w:rPr>
          <w:rFonts w:hint="eastAsia" w:ascii="宋体" w:hAnsi="宋体" w:cs="宋体"/>
          <w:b/>
          <w:color w:val="auto"/>
          <w:kern w:val="0"/>
          <w:szCs w:val="21"/>
        </w:rPr>
        <w:t xml:space="preserve">95.2  </w:t>
      </w:r>
      <w:r>
        <w:rPr>
          <w:rFonts w:hint="eastAsia" w:ascii="宋体" w:hAnsi="宋体" w:cs="宋体"/>
          <w:b/>
          <w:color w:val="auto"/>
          <w:kern w:val="0"/>
          <w:szCs w:val="21"/>
          <w:u w:val="dotted"/>
        </w:rPr>
        <w:t xml:space="preserve">                                                                                 </w:t>
      </w:r>
    </w:p>
    <w:p>
      <w:pPr>
        <w:spacing w:line="360" w:lineRule="auto"/>
        <w:ind w:left="1840" w:hanging="1840" w:hangingChars="873"/>
        <w:rPr>
          <w:rFonts w:ascii="宋体" w:hAnsi="宋体" w:cs="宋体"/>
          <w:color w:val="auto"/>
          <w:szCs w:val="21"/>
        </w:rPr>
      </w:pPr>
      <w:r>
        <w:rPr>
          <w:rFonts w:hint="eastAsia" w:ascii="宋体" w:hAnsi="宋体" w:cs="宋体"/>
          <w:b/>
          <w:bCs/>
          <w:color w:val="auto"/>
          <w:szCs w:val="21"/>
        </w:rPr>
        <w:t xml:space="preserve">合同管理         </w:t>
      </w:r>
      <w:r>
        <w:rPr>
          <w:rFonts w:hint="eastAsia" w:ascii="宋体" w:hAnsi="宋体" w:cs="宋体"/>
          <w:color w:val="auto"/>
          <w:szCs w:val="21"/>
        </w:rPr>
        <w:t>合同双方当事人应按照第22条至第25条的职责划分，督促各自人员认真履行合同管理职责，加强合同管理。</w:t>
      </w:r>
    </w:p>
    <w:p>
      <w:pPr>
        <w:spacing w:line="360" w:lineRule="auto"/>
        <w:ind w:left="1592" w:leftChars="758"/>
        <w:rPr>
          <w:rFonts w:ascii="宋体" w:hAnsi="宋体" w:cs="宋体"/>
          <w:color w:val="auto"/>
          <w:szCs w:val="21"/>
        </w:rPr>
      </w:pPr>
      <w:r>
        <w:rPr>
          <w:rFonts w:hint="eastAsia" w:ascii="宋体" w:hAnsi="宋体" w:cs="宋体"/>
          <w:color w:val="auto"/>
          <w:szCs w:val="21"/>
        </w:rPr>
        <w:t xml:space="preserve">经备案的本合同，作为处理合同纠纷、结算工程款的依据。涉及国有资金投资的工程，建设行政主管部门、工程造价管理机构应依据备案的本合同实施合同监督管理；合同双方当事人应随时接受执法人员对本合同的监督管理，并为监督管理活动提供配合和协助。      </w:t>
      </w:r>
    </w:p>
    <w:p>
      <w:pPr>
        <w:rPr>
          <w:rFonts w:ascii="宋体" w:hAnsi="宋体" w:cs="宋体"/>
          <w:b/>
          <w:color w:val="auto"/>
          <w:szCs w:val="21"/>
          <w:u w:val="single"/>
        </w:rPr>
      </w:pPr>
      <w:r>
        <w:rPr>
          <w:rFonts w:hint="eastAsia" w:ascii="宋体" w:hAnsi="宋体" w:cs="宋体"/>
          <w:b/>
          <w:color w:val="auto"/>
          <w:szCs w:val="21"/>
          <w:u w:val="single"/>
        </w:rPr>
        <w:t xml:space="preserve">                                                                        </w:t>
      </w:r>
    </w:p>
    <w:p>
      <w:pPr>
        <w:rPr>
          <w:rFonts w:ascii="宋体" w:hAnsi="宋体" w:cs="宋体"/>
          <w:b/>
          <w:color w:val="auto"/>
          <w:szCs w:val="21"/>
          <w:u w:val="single"/>
        </w:rPr>
      </w:pPr>
    </w:p>
    <w:p>
      <w:pPr>
        <w:rPr>
          <w:rFonts w:ascii="宋体" w:hAnsi="宋体" w:cs="宋体"/>
          <w:b/>
          <w:color w:val="auto"/>
          <w:sz w:val="24"/>
          <w:szCs w:val="18"/>
          <w:u w:val="single"/>
        </w:rPr>
      </w:pPr>
    </w:p>
    <w:p>
      <w:pPr>
        <w:rPr>
          <w:rFonts w:ascii="宋体" w:hAnsi="宋体" w:cs="宋体"/>
          <w:b/>
          <w:color w:val="auto"/>
          <w:sz w:val="24"/>
          <w:szCs w:val="18"/>
          <w:u w:val="single"/>
        </w:rPr>
      </w:pPr>
    </w:p>
    <w:p>
      <w:pPr>
        <w:rPr>
          <w:rFonts w:ascii="宋体" w:hAnsi="宋体" w:cs="宋体"/>
          <w:b/>
          <w:color w:val="auto"/>
          <w:sz w:val="24"/>
          <w:szCs w:val="18"/>
          <w:u w:val="single"/>
        </w:rPr>
      </w:pPr>
    </w:p>
    <w:p>
      <w:pPr>
        <w:rPr>
          <w:rFonts w:ascii="宋体" w:hAnsi="宋体" w:cs="宋体"/>
          <w:b/>
          <w:color w:val="auto"/>
          <w:sz w:val="24"/>
          <w:szCs w:val="18"/>
          <w:u w:val="single"/>
        </w:rPr>
      </w:pPr>
    </w:p>
    <w:p>
      <w:pPr>
        <w:rPr>
          <w:rFonts w:ascii="宋体" w:hAnsi="宋体" w:cs="宋体"/>
          <w:b/>
          <w:color w:val="auto"/>
          <w:sz w:val="24"/>
          <w:szCs w:val="18"/>
          <w:u w:val="single"/>
        </w:rPr>
      </w:pPr>
    </w:p>
    <w:p>
      <w:pPr>
        <w:rPr>
          <w:rFonts w:ascii="宋体" w:hAnsi="宋体" w:cs="宋体"/>
          <w:b/>
          <w:color w:val="auto"/>
          <w:sz w:val="24"/>
          <w:szCs w:val="18"/>
          <w:u w:val="single"/>
        </w:rPr>
      </w:pPr>
    </w:p>
    <w:p>
      <w:pPr>
        <w:rPr>
          <w:rFonts w:ascii="宋体" w:hAnsi="宋体" w:cs="宋体"/>
          <w:b/>
          <w:color w:val="auto"/>
          <w:sz w:val="24"/>
          <w:szCs w:val="18"/>
          <w:u w:val="single"/>
        </w:rPr>
      </w:pPr>
    </w:p>
    <w:p>
      <w:pPr>
        <w:rPr>
          <w:rFonts w:ascii="宋体" w:hAnsi="宋体" w:cs="宋体"/>
          <w:b/>
          <w:color w:val="auto"/>
          <w:sz w:val="24"/>
          <w:szCs w:val="18"/>
          <w:u w:val="single"/>
        </w:rPr>
      </w:pPr>
    </w:p>
    <w:p>
      <w:pPr>
        <w:rPr>
          <w:rFonts w:ascii="宋体" w:hAnsi="宋体" w:cs="宋体"/>
          <w:b/>
          <w:color w:val="auto"/>
          <w:sz w:val="24"/>
          <w:szCs w:val="18"/>
          <w:u w:val="single"/>
        </w:rPr>
      </w:pPr>
    </w:p>
    <w:p>
      <w:pPr>
        <w:rPr>
          <w:rFonts w:ascii="宋体" w:hAnsi="宋体" w:cs="宋体"/>
          <w:b/>
          <w:color w:val="auto"/>
          <w:sz w:val="24"/>
          <w:szCs w:val="18"/>
          <w:u w:val="single"/>
        </w:rPr>
      </w:pPr>
    </w:p>
    <w:p>
      <w:pPr>
        <w:rPr>
          <w:rFonts w:ascii="宋体" w:hAnsi="宋体" w:cs="宋体"/>
          <w:b/>
          <w:color w:val="auto"/>
          <w:sz w:val="24"/>
          <w:szCs w:val="18"/>
          <w:u w:val="single"/>
        </w:rPr>
      </w:pPr>
    </w:p>
    <w:p>
      <w:pPr>
        <w:rPr>
          <w:rFonts w:ascii="宋体" w:hAnsi="宋体" w:cs="宋体"/>
          <w:b/>
          <w:color w:val="auto"/>
          <w:sz w:val="24"/>
          <w:szCs w:val="18"/>
          <w:u w:val="single"/>
        </w:rPr>
      </w:pPr>
    </w:p>
    <w:p>
      <w:pPr>
        <w:rPr>
          <w:rFonts w:ascii="宋体" w:hAnsi="宋体" w:cs="宋体"/>
          <w:b/>
          <w:color w:val="auto"/>
          <w:sz w:val="24"/>
          <w:szCs w:val="18"/>
          <w:u w:val="single"/>
        </w:rPr>
      </w:pPr>
    </w:p>
    <w:p>
      <w:pPr>
        <w:rPr>
          <w:rFonts w:ascii="宋体" w:hAnsi="宋体" w:cs="宋体"/>
          <w:b/>
          <w:color w:val="auto"/>
          <w:sz w:val="24"/>
          <w:szCs w:val="18"/>
          <w:u w:val="single"/>
        </w:rPr>
      </w:pPr>
    </w:p>
    <w:p>
      <w:pPr>
        <w:rPr>
          <w:rFonts w:ascii="宋体" w:hAnsi="宋体" w:cs="宋体"/>
          <w:b/>
          <w:color w:val="auto"/>
          <w:sz w:val="24"/>
          <w:szCs w:val="18"/>
          <w:u w:val="single"/>
        </w:rPr>
      </w:pPr>
    </w:p>
    <w:p>
      <w:pPr>
        <w:rPr>
          <w:rFonts w:ascii="宋体" w:hAnsi="宋体" w:cs="宋体"/>
          <w:b/>
          <w:color w:val="auto"/>
          <w:sz w:val="24"/>
          <w:szCs w:val="18"/>
          <w:u w:val="single"/>
        </w:rPr>
      </w:pPr>
    </w:p>
    <w:p>
      <w:pPr>
        <w:rPr>
          <w:rFonts w:ascii="宋体" w:hAnsi="宋体" w:cs="宋体"/>
          <w:b/>
          <w:color w:val="auto"/>
          <w:sz w:val="24"/>
          <w:szCs w:val="18"/>
          <w:u w:val="single"/>
        </w:rPr>
      </w:pPr>
    </w:p>
    <w:p>
      <w:pPr>
        <w:rPr>
          <w:rFonts w:ascii="宋体" w:hAnsi="宋体" w:cs="宋体"/>
          <w:b/>
          <w:color w:val="auto"/>
          <w:sz w:val="24"/>
          <w:szCs w:val="18"/>
          <w:u w:val="single"/>
        </w:rPr>
      </w:pPr>
    </w:p>
    <w:p>
      <w:pPr>
        <w:rPr>
          <w:rFonts w:ascii="宋体" w:hAnsi="宋体" w:cs="宋体"/>
          <w:b/>
          <w:color w:val="auto"/>
          <w:sz w:val="24"/>
          <w:szCs w:val="18"/>
          <w:u w:val="single"/>
        </w:rPr>
      </w:pPr>
    </w:p>
    <w:p>
      <w:pPr>
        <w:rPr>
          <w:rFonts w:ascii="宋体" w:hAnsi="宋体" w:cs="宋体"/>
          <w:b/>
          <w:color w:val="auto"/>
          <w:sz w:val="24"/>
          <w:szCs w:val="18"/>
          <w:u w:val="single"/>
        </w:rPr>
      </w:pPr>
    </w:p>
    <w:p>
      <w:pPr>
        <w:rPr>
          <w:rFonts w:ascii="宋体" w:hAnsi="宋体" w:cs="宋体"/>
          <w:b/>
          <w:color w:val="auto"/>
          <w:sz w:val="24"/>
          <w:szCs w:val="18"/>
          <w:u w:val="single"/>
        </w:rPr>
      </w:pPr>
    </w:p>
    <w:p>
      <w:pPr>
        <w:spacing w:line="360" w:lineRule="auto"/>
        <w:jc w:val="center"/>
        <w:outlineLvl w:val="0"/>
        <w:rPr>
          <w:rFonts w:ascii="宋体" w:hAnsi="宋体" w:cs="宋体"/>
          <w:b/>
          <w:color w:val="auto"/>
          <w:sz w:val="32"/>
          <w:szCs w:val="32"/>
        </w:rPr>
      </w:pPr>
      <w:r>
        <w:rPr>
          <w:rFonts w:hint="eastAsia" w:ascii="宋体" w:hAnsi="宋体" w:cs="宋体"/>
          <w:b/>
          <w:color w:val="auto"/>
          <w:sz w:val="32"/>
          <w:szCs w:val="32"/>
        </w:rPr>
        <w:br w:type="page"/>
      </w:r>
      <w:r>
        <w:rPr>
          <w:rFonts w:hint="eastAsia" w:ascii="宋体" w:hAnsi="宋体" w:cs="宋体"/>
          <w:b/>
          <w:color w:val="auto"/>
          <w:sz w:val="32"/>
          <w:szCs w:val="32"/>
        </w:rPr>
        <w:t>第三部分  专用条款</w:t>
      </w:r>
    </w:p>
    <w:p>
      <w:pPr>
        <w:spacing w:before="96" w:line="300" w:lineRule="auto"/>
        <w:jc w:val="left"/>
        <w:rPr>
          <w:rFonts w:ascii="宋体" w:hAnsi="宋体" w:cs="宋体"/>
          <w:b/>
          <w:color w:val="auto"/>
          <w:szCs w:val="21"/>
        </w:rPr>
      </w:pPr>
      <w:r>
        <w:rPr>
          <w:rFonts w:hint="eastAsia" w:ascii="宋体" w:hAnsi="宋体" w:cs="宋体"/>
          <w:b/>
          <w:color w:val="auto"/>
          <w:szCs w:val="21"/>
        </w:rPr>
        <w:t>1. 定义</w:t>
      </w:r>
    </w:p>
    <w:p>
      <w:pPr>
        <w:autoSpaceDE w:val="0"/>
        <w:autoSpaceDN w:val="0"/>
        <w:spacing w:before="96" w:line="300" w:lineRule="auto"/>
        <w:ind w:firstLine="420" w:firstLineChars="200"/>
        <w:jc w:val="left"/>
        <w:rPr>
          <w:rFonts w:ascii="宋体" w:hAnsi="宋体" w:cs="宋体"/>
          <w:bCs/>
          <w:color w:val="auto"/>
          <w:szCs w:val="21"/>
        </w:rPr>
      </w:pPr>
      <w:r>
        <w:rPr>
          <w:rFonts w:hint="eastAsia" w:ascii="宋体" w:hAnsi="宋体" w:cs="宋体"/>
          <w:bCs/>
          <w:color w:val="auto"/>
          <w:szCs w:val="21"/>
        </w:rPr>
        <w:t>1.53 所采用的书面形式包括：</w:t>
      </w:r>
    </w:p>
    <w:p>
      <w:pPr>
        <w:autoSpaceDE w:val="0"/>
        <w:autoSpaceDN w:val="0"/>
        <w:spacing w:before="96" w:line="300" w:lineRule="auto"/>
        <w:ind w:firstLine="420" w:firstLineChars="200"/>
        <w:jc w:val="left"/>
        <w:rPr>
          <w:rFonts w:ascii="宋体" w:hAnsi="宋体" w:cs="宋体"/>
          <w:bCs/>
          <w:color w:val="auto"/>
          <w:szCs w:val="21"/>
        </w:rPr>
      </w:pPr>
      <w:r>
        <w:rPr>
          <w:rFonts w:hint="eastAsia" w:ascii="宋体" w:hAnsi="宋体" w:cs="宋体"/>
          <w:bCs/>
          <w:color w:val="auto"/>
          <w:szCs w:val="21"/>
        </w:rPr>
        <w:t>■文书；</w:t>
      </w:r>
    </w:p>
    <w:p>
      <w:pPr>
        <w:autoSpaceDE w:val="0"/>
        <w:autoSpaceDN w:val="0"/>
        <w:spacing w:before="96" w:line="300" w:lineRule="auto"/>
        <w:ind w:firstLine="420" w:firstLineChars="200"/>
        <w:jc w:val="left"/>
        <w:rPr>
          <w:rFonts w:ascii="宋体" w:hAnsi="宋体" w:cs="宋体"/>
          <w:bCs/>
          <w:color w:val="auto"/>
          <w:szCs w:val="21"/>
        </w:rPr>
      </w:pPr>
      <w:r>
        <w:rPr>
          <w:rFonts w:hint="eastAsia" w:ascii="宋体" w:hAnsi="宋体" w:cs="宋体"/>
          <w:bCs/>
          <w:color w:val="auto"/>
          <w:szCs w:val="21"/>
        </w:rPr>
        <w:t>■信件；</w:t>
      </w:r>
    </w:p>
    <w:p>
      <w:pPr>
        <w:autoSpaceDE w:val="0"/>
        <w:autoSpaceDN w:val="0"/>
        <w:spacing w:before="96" w:line="300" w:lineRule="auto"/>
        <w:ind w:firstLine="420" w:firstLineChars="200"/>
        <w:jc w:val="left"/>
        <w:rPr>
          <w:rFonts w:ascii="宋体" w:hAnsi="宋体" w:cs="宋体"/>
          <w:bCs/>
          <w:color w:val="auto"/>
          <w:szCs w:val="21"/>
        </w:rPr>
      </w:pPr>
      <w:r>
        <w:rPr>
          <w:rFonts w:hint="eastAsia" w:ascii="宋体" w:hAnsi="宋体" w:cs="宋体"/>
          <w:bCs/>
          <w:color w:val="auto"/>
          <w:szCs w:val="21"/>
        </w:rPr>
        <w:t>□电报；</w:t>
      </w:r>
    </w:p>
    <w:p>
      <w:pPr>
        <w:autoSpaceDE w:val="0"/>
        <w:autoSpaceDN w:val="0"/>
        <w:spacing w:before="96" w:line="300" w:lineRule="auto"/>
        <w:ind w:firstLine="420" w:firstLineChars="200"/>
        <w:jc w:val="left"/>
        <w:rPr>
          <w:rFonts w:ascii="宋体" w:hAnsi="宋体" w:cs="宋体"/>
          <w:bCs/>
          <w:color w:val="auto"/>
          <w:szCs w:val="21"/>
        </w:rPr>
      </w:pPr>
      <w:r>
        <w:rPr>
          <w:rFonts w:hint="eastAsia" w:ascii="宋体" w:hAnsi="宋体" w:cs="宋体"/>
          <w:bCs/>
          <w:color w:val="auto"/>
          <w:szCs w:val="21"/>
        </w:rPr>
        <w:t>■传真；</w:t>
      </w:r>
    </w:p>
    <w:p>
      <w:pPr>
        <w:autoSpaceDE w:val="0"/>
        <w:autoSpaceDN w:val="0"/>
        <w:spacing w:before="96" w:line="300" w:lineRule="auto"/>
        <w:ind w:firstLine="420" w:firstLineChars="200"/>
        <w:jc w:val="left"/>
        <w:rPr>
          <w:rFonts w:ascii="宋体" w:hAnsi="宋体" w:cs="宋体"/>
          <w:bCs/>
          <w:color w:val="auto"/>
          <w:szCs w:val="21"/>
        </w:rPr>
      </w:pPr>
      <w:r>
        <w:rPr>
          <w:rFonts w:hint="eastAsia" w:ascii="宋体" w:hAnsi="宋体" w:cs="宋体"/>
          <w:bCs/>
          <w:color w:val="auto"/>
          <w:szCs w:val="21"/>
        </w:rPr>
        <w:t>□电子邮件；</w:t>
      </w:r>
    </w:p>
    <w:p>
      <w:pPr>
        <w:autoSpaceDE w:val="0"/>
        <w:autoSpaceDN w:val="0"/>
        <w:spacing w:before="96" w:line="300" w:lineRule="auto"/>
        <w:ind w:firstLine="420" w:firstLineChars="200"/>
        <w:jc w:val="left"/>
        <w:rPr>
          <w:rFonts w:ascii="宋体" w:hAnsi="宋体" w:cs="宋体"/>
          <w:bCs/>
          <w:color w:val="auto"/>
          <w:szCs w:val="21"/>
        </w:rPr>
      </w:pPr>
      <w:r>
        <w:rPr>
          <w:rFonts w:hint="eastAsia" w:ascii="宋体" w:hAnsi="宋体" w:cs="宋体"/>
          <w:bCs/>
          <w:color w:val="auto"/>
          <w:szCs w:val="21"/>
        </w:rPr>
        <w:t>□其他：</w:t>
      </w:r>
    </w:p>
    <w:p>
      <w:pPr>
        <w:spacing w:before="96" w:line="300" w:lineRule="auto"/>
        <w:jc w:val="left"/>
        <w:rPr>
          <w:rFonts w:ascii="宋体" w:hAnsi="宋体" w:cs="宋体"/>
          <w:b/>
          <w:color w:val="auto"/>
          <w:szCs w:val="21"/>
        </w:rPr>
      </w:pPr>
      <w:r>
        <w:rPr>
          <w:rFonts w:hint="eastAsia" w:ascii="宋体" w:hAnsi="宋体" w:cs="宋体"/>
          <w:b/>
          <w:color w:val="auto"/>
          <w:szCs w:val="21"/>
        </w:rPr>
        <w:t>2. 合同文件及解释</w:t>
      </w:r>
    </w:p>
    <w:p>
      <w:pPr>
        <w:autoSpaceDE w:val="0"/>
        <w:autoSpaceDN w:val="0"/>
        <w:spacing w:before="96" w:line="300" w:lineRule="auto"/>
        <w:ind w:firstLine="420" w:firstLineChars="200"/>
        <w:jc w:val="left"/>
        <w:rPr>
          <w:rFonts w:ascii="宋体" w:hAnsi="宋体" w:cs="宋体"/>
          <w:bCs/>
          <w:color w:val="auto"/>
          <w:szCs w:val="21"/>
        </w:rPr>
      </w:pPr>
      <w:r>
        <w:rPr>
          <w:rFonts w:hint="eastAsia" w:ascii="宋体" w:hAnsi="宋体" w:cs="宋体"/>
          <w:bCs/>
          <w:color w:val="auto"/>
          <w:szCs w:val="21"/>
        </w:rPr>
        <w:t>2.2 组成本合同文件的优先解释顺序如下：</w:t>
      </w:r>
    </w:p>
    <w:p>
      <w:pPr>
        <w:autoSpaceDE w:val="0"/>
        <w:autoSpaceDN w:val="0"/>
        <w:spacing w:before="96" w:line="300" w:lineRule="auto"/>
        <w:ind w:firstLine="420" w:firstLineChars="200"/>
        <w:jc w:val="left"/>
        <w:rPr>
          <w:rFonts w:ascii="宋体" w:hAnsi="宋体" w:cs="宋体"/>
          <w:bCs/>
          <w:color w:val="auto"/>
          <w:szCs w:val="21"/>
        </w:rPr>
      </w:pPr>
      <w:r>
        <w:rPr>
          <w:rFonts w:hint="eastAsia" w:ascii="宋体" w:hAnsi="宋体" w:cs="宋体"/>
          <w:bCs/>
          <w:color w:val="auto"/>
          <w:szCs w:val="21"/>
        </w:rPr>
        <w:t>(1)本合同协议书及附件（含合同谈判中澄清文件）；</w:t>
      </w:r>
    </w:p>
    <w:p>
      <w:pPr>
        <w:autoSpaceDE w:val="0"/>
        <w:autoSpaceDN w:val="0"/>
        <w:spacing w:before="96" w:line="300" w:lineRule="auto"/>
        <w:ind w:firstLine="420" w:firstLineChars="200"/>
        <w:jc w:val="left"/>
        <w:rPr>
          <w:rFonts w:ascii="宋体" w:hAnsi="宋体" w:cs="宋体"/>
          <w:bCs/>
          <w:color w:val="auto"/>
          <w:szCs w:val="21"/>
        </w:rPr>
      </w:pPr>
      <w:r>
        <w:rPr>
          <w:rFonts w:hint="eastAsia" w:ascii="宋体" w:hAnsi="宋体" w:cs="宋体"/>
          <w:bCs/>
          <w:color w:val="auto"/>
          <w:szCs w:val="21"/>
        </w:rPr>
        <w:t>(2)履行本合同的相关补充协议（含工程洽商记录、会议纪要、工程变更、现场签证、索赔和合同价款调整报告等修正文件）；</w:t>
      </w:r>
    </w:p>
    <w:p>
      <w:pPr>
        <w:autoSpaceDE w:val="0"/>
        <w:autoSpaceDN w:val="0"/>
        <w:spacing w:before="96" w:line="300" w:lineRule="auto"/>
        <w:ind w:firstLine="420" w:firstLineChars="200"/>
        <w:jc w:val="left"/>
        <w:rPr>
          <w:rFonts w:ascii="宋体" w:hAnsi="宋体" w:cs="宋体"/>
          <w:bCs/>
          <w:color w:val="auto"/>
          <w:szCs w:val="21"/>
        </w:rPr>
      </w:pPr>
      <w:r>
        <w:rPr>
          <w:rFonts w:hint="eastAsia" w:ascii="宋体" w:hAnsi="宋体" w:cs="宋体"/>
          <w:bCs/>
          <w:color w:val="auto"/>
          <w:szCs w:val="21"/>
        </w:rPr>
        <w:t>(3)中标通知书；</w:t>
      </w:r>
      <w:r>
        <w:rPr>
          <w:rFonts w:hint="eastAsia" w:ascii="宋体" w:hAnsi="宋体" w:cs="宋体"/>
          <w:bCs/>
          <w:color w:val="auto"/>
          <w:szCs w:val="21"/>
        </w:rPr>
        <w:tab/>
      </w:r>
    </w:p>
    <w:p>
      <w:pPr>
        <w:autoSpaceDE w:val="0"/>
        <w:autoSpaceDN w:val="0"/>
        <w:spacing w:before="96" w:line="300" w:lineRule="auto"/>
        <w:ind w:firstLine="420" w:firstLineChars="200"/>
        <w:jc w:val="left"/>
        <w:rPr>
          <w:rFonts w:ascii="宋体" w:hAnsi="宋体" w:cs="宋体"/>
          <w:bCs/>
          <w:color w:val="auto"/>
          <w:szCs w:val="21"/>
        </w:rPr>
      </w:pPr>
      <w:r>
        <w:rPr>
          <w:rFonts w:hint="eastAsia" w:ascii="宋体" w:hAnsi="宋体" w:cs="宋体"/>
          <w:bCs/>
          <w:color w:val="auto"/>
          <w:szCs w:val="21"/>
        </w:rPr>
        <w:t xml:space="preserve">(4)保证书； </w:t>
      </w:r>
    </w:p>
    <w:p>
      <w:pPr>
        <w:autoSpaceDE w:val="0"/>
        <w:autoSpaceDN w:val="0"/>
        <w:spacing w:before="96" w:line="300" w:lineRule="auto"/>
        <w:ind w:firstLine="420" w:firstLineChars="200"/>
        <w:jc w:val="left"/>
        <w:rPr>
          <w:rFonts w:ascii="宋体" w:hAnsi="宋体" w:cs="宋体"/>
          <w:bCs/>
          <w:color w:val="auto"/>
          <w:szCs w:val="21"/>
        </w:rPr>
      </w:pPr>
      <w:r>
        <w:rPr>
          <w:rFonts w:hint="eastAsia" w:ascii="宋体" w:hAnsi="宋体" w:cs="宋体"/>
          <w:bCs/>
          <w:color w:val="auto"/>
          <w:szCs w:val="21"/>
        </w:rPr>
        <w:t>(5)专用条款；</w:t>
      </w:r>
    </w:p>
    <w:p>
      <w:pPr>
        <w:autoSpaceDE w:val="0"/>
        <w:autoSpaceDN w:val="0"/>
        <w:spacing w:before="96" w:line="300" w:lineRule="auto"/>
        <w:ind w:firstLine="420" w:firstLineChars="200"/>
        <w:jc w:val="left"/>
        <w:rPr>
          <w:rFonts w:ascii="宋体" w:hAnsi="宋体" w:cs="宋体"/>
          <w:bCs/>
          <w:color w:val="auto"/>
          <w:szCs w:val="21"/>
        </w:rPr>
      </w:pPr>
      <w:r>
        <w:rPr>
          <w:rFonts w:hint="eastAsia" w:ascii="宋体" w:hAnsi="宋体" w:cs="宋体"/>
          <w:bCs/>
          <w:color w:val="auto"/>
          <w:szCs w:val="21"/>
        </w:rPr>
        <w:t>(6)通用条款</w:t>
      </w:r>
    </w:p>
    <w:p>
      <w:pPr>
        <w:autoSpaceDE w:val="0"/>
        <w:autoSpaceDN w:val="0"/>
        <w:spacing w:before="96" w:line="300" w:lineRule="auto"/>
        <w:ind w:firstLine="420" w:firstLineChars="200"/>
        <w:jc w:val="left"/>
        <w:rPr>
          <w:rFonts w:ascii="宋体" w:hAnsi="宋体" w:cs="宋体"/>
          <w:bCs/>
          <w:color w:val="auto"/>
          <w:szCs w:val="21"/>
        </w:rPr>
      </w:pPr>
      <w:r>
        <w:rPr>
          <w:rFonts w:hint="eastAsia" w:ascii="宋体" w:hAnsi="宋体" w:cs="宋体"/>
          <w:bCs/>
          <w:color w:val="auto"/>
          <w:szCs w:val="21"/>
        </w:rPr>
        <w:t>(7)标准、规范及有关技术文件；</w:t>
      </w:r>
    </w:p>
    <w:p>
      <w:pPr>
        <w:autoSpaceDE w:val="0"/>
        <w:autoSpaceDN w:val="0"/>
        <w:spacing w:before="96" w:line="300" w:lineRule="auto"/>
        <w:ind w:firstLine="420" w:firstLineChars="200"/>
        <w:jc w:val="left"/>
        <w:rPr>
          <w:rFonts w:ascii="宋体" w:hAnsi="宋体" w:cs="宋体"/>
          <w:bCs/>
          <w:color w:val="auto"/>
          <w:szCs w:val="21"/>
        </w:rPr>
      </w:pPr>
      <w:r>
        <w:rPr>
          <w:rFonts w:hint="eastAsia" w:ascii="宋体" w:hAnsi="宋体" w:cs="宋体"/>
          <w:bCs/>
          <w:color w:val="auto"/>
          <w:szCs w:val="21"/>
        </w:rPr>
        <w:t>(8)施工设计图纸；</w:t>
      </w:r>
    </w:p>
    <w:p>
      <w:pPr>
        <w:autoSpaceDE w:val="0"/>
        <w:autoSpaceDN w:val="0"/>
        <w:spacing w:before="96" w:line="300" w:lineRule="auto"/>
        <w:ind w:firstLine="420" w:firstLineChars="200"/>
        <w:jc w:val="left"/>
        <w:rPr>
          <w:rFonts w:ascii="宋体" w:hAnsi="宋体" w:cs="宋体"/>
          <w:bCs/>
          <w:color w:val="auto"/>
          <w:szCs w:val="21"/>
        </w:rPr>
      </w:pPr>
      <w:r>
        <w:rPr>
          <w:rFonts w:hint="eastAsia" w:ascii="宋体" w:hAnsi="宋体" w:cs="宋体"/>
          <w:bCs/>
          <w:color w:val="auto"/>
          <w:szCs w:val="21"/>
        </w:rPr>
        <w:t>(9)响应文件及其附件（含评标期间的澄清文件和补充资料）；</w:t>
      </w:r>
    </w:p>
    <w:p>
      <w:pPr>
        <w:autoSpaceDE w:val="0"/>
        <w:autoSpaceDN w:val="0"/>
        <w:spacing w:before="96" w:line="300" w:lineRule="auto"/>
        <w:ind w:firstLine="420" w:firstLineChars="200"/>
        <w:jc w:val="left"/>
        <w:rPr>
          <w:rFonts w:ascii="宋体" w:hAnsi="宋体" w:cs="宋体"/>
          <w:bCs/>
          <w:color w:val="auto"/>
          <w:szCs w:val="21"/>
        </w:rPr>
      </w:pPr>
      <w:r>
        <w:rPr>
          <w:rFonts w:hint="eastAsia" w:ascii="宋体" w:hAnsi="宋体" w:cs="宋体"/>
          <w:bCs/>
          <w:color w:val="auto"/>
          <w:szCs w:val="21"/>
        </w:rPr>
        <w:t>(10)标价的工程量清单；</w:t>
      </w:r>
    </w:p>
    <w:p>
      <w:pPr>
        <w:autoSpaceDE w:val="0"/>
        <w:autoSpaceDN w:val="0"/>
        <w:spacing w:before="96" w:line="300" w:lineRule="auto"/>
        <w:ind w:firstLine="420" w:firstLineChars="200"/>
        <w:jc w:val="left"/>
        <w:rPr>
          <w:rFonts w:ascii="宋体" w:hAnsi="宋体" w:cs="宋体"/>
          <w:bCs/>
          <w:color w:val="auto"/>
          <w:szCs w:val="21"/>
        </w:rPr>
      </w:pPr>
      <w:r>
        <w:rPr>
          <w:rFonts w:hint="eastAsia" w:ascii="宋体" w:hAnsi="宋体" w:cs="宋体"/>
          <w:bCs/>
          <w:color w:val="auto"/>
          <w:szCs w:val="21"/>
        </w:rPr>
        <w:t>(11)招标文件及投标咨询答疑会议纪要、补遗书；</w:t>
      </w:r>
    </w:p>
    <w:p>
      <w:pPr>
        <w:autoSpaceDE w:val="0"/>
        <w:autoSpaceDN w:val="0"/>
        <w:spacing w:before="96" w:line="300" w:lineRule="auto"/>
        <w:ind w:firstLine="420" w:firstLineChars="200"/>
        <w:jc w:val="left"/>
        <w:rPr>
          <w:rFonts w:ascii="宋体" w:hAnsi="宋体" w:cs="宋体"/>
          <w:bCs/>
          <w:color w:val="auto"/>
          <w:szCs w:val="21"/>
        </w:rPr>
      </w:pPr>
      <w:r>
        <w:rPr>
          <w:rFonts w:hint="eastAsia" w:ascii="宋体" w:hAnsi="宋体" w:cs="宋体"/>
          <w:bCs/>
          <w:color w:val="auto"/>
          <w:szCs w:val="21"/>
        </w:rPr>
        <w:t>(12)廉政合同；</w:t>
      </w:r>
    </w:p>
    <w:p>
      <w:pPr>
        <w:autoSpaceDE w:val="0"/>
        <w:autoSpaceDN w:val="0"/>
        <w:spacing w:before="96" w:line="300" w:lineRule="auto"/>
        <w:ind w:firstLine="420" w:firstLineChars="200"/>
        <w:jc w:val="left"/>
        <w:rPr>
          <w:rFonts w:ascii="宋体" w:hAnsi="宋体" w:cs="宋体"/>
          <w:bCs/>
          <w:color w:val="auto"/>
          <w:szCs w:val="21"/>
        </w:rPr>
      </w:pPr>
      <w:r>
        <w:rPr>
          <w:rFonts w:hint="eastAsia" w:ascii="宋体" w:hAnsi="宋体" w:cs="宋体"/>
          <w:bCs/>
          <w:color w:val="auto"/>
          <w:szCs w:val="21"/>
        </w:rPr>
        <w:t>(13)构成本合同组成部分的其他文件。</w:t>
      </w:r>
    </w:p>
    <w:p>
      <w:pPr>
        <w:spacing w:before="96" w:line="300" w:lineRule="auto"/>
        <w:jc w:val="left"/>
        <w:rPr>
          <w:rFonts w:ascii="宋体" w:hAnsi="宋体" w:cs="宋体"/>
          <w:b/>
          <w:color w:val="auto"/>
          <w:szCs w:val="21"/>
        </w:rPr>
      </w:pPr>
      <w:r>
        <w:rPr>
          <w:rFonts w:hint="eastAsia" w:ascii="宋体" w:hAnsi="宋体" w:cs="宋体"/>
          <w:b/>
          <w:color w:val="auto"/>
          <w:szCs w:val="21"/>
        </w:rPr>
        <w:t>4. 语言及适用的法律、标准与规范</w:t>
      </w:r>
    </w:p>
    <w:p>
      <w:pPr>
        <w:autoSpaceDE w:val="0"/>
        <w:autoSpaceDN w:val="0"/>
        <w:spacing w:before="96" w:line="300" w:lineRule="auto"/>
        <w:ind w:firstLine="420" w:firstLineChars="200"/>
        <w:jc w:val="left"/>
        <w:rPr>
          <w:rFonts w:ascii="宋体" w:hAnsi="宋体" w:cs="宋体"/>
          <w:bCs/>
          <w:color w:val="auto"/>
          <w:szCs w:val="21"/>
          <w:u w:val="single"/>
        </w:rPr>
      </w:pPr>
      <w:r>
        <w:rPr>
          <w:rFonts w:hint="eastAsia" w:ascii="宋体" w:hAnsi="宋体" w:cs="宋体"/>
          <w:bCs/>
          <w:color w:val="auto"/>
          <w:szCs w:val="21"/>
        </w:rPr>
        <w:t>4.3 约定适用的标准、规范的名称：</w:t>
      </w:r>
      <w:r>
        <w:rPr>
          <w:rFonts w:hint="eastAsia" w:ascii="宋体" w:hAnsi="宋体" w:cs="宋体"/>
          <w:bCs/>
          <w:color w:val="auto"/>
          <w:szCs w:val="21"/>
          <w:u w:val="single"/>
        </w:rPr>
        <w:t xml:space="preserve"> 按照现行规定的最新标准与规范执行。</w:t>
      </w:r>
    </w:p>
    <w:p>
      <w:pPr>
        <w:spacing w:before="96" w:line="300" w:lineRule="auto"/>
        <w:jc w:val="left"/>
        <w:rPr>
          <w:rFonts w:ascii="宋体" w:hAnsi="宋体" w:cs="宋体"/>
          <w:b/>
          <w:color w:val="auto"/>
          <w:szCs w:val="21"/>
        </w:rPr>
      </w:pPr>
      <w:r>
        <w:rPr>
          <w:rFonts w:hint="eastAsia" w:ascii="宋体" w:hAnsi="宋体" w:cs="宋体"/>
          <w:b/>
          <w:color w:val="auto"/>
          <w:szCs w:val="21"/>
        </w:rPr>
        <w:t>5. 施工设计图纸</w:t>
      </w:r>
    </w:p>
    <w:p>
      <w:pPr>
        <w:autoSpaceDE w:val="0"/>
        <w:autoSpaceDN w:val="0"/>
        <w:spacing w:before="96" w:line="300" w:lineRule="auto"/>
        <w:ind w:firstLine="420" w:firstLineChars="200"/>
        <w:jc w:val="left"/>
        <w:rPr>
          <w:rFonts w:ascii="宋体" w:hAnsi="宋体" w:cs="宋体"/>
          <w:bCs/>
          <w:color w:val="auto"/>
          <w:szCs w:val="21"/>
        </w:rPr>
      </w:pPr>
      <w:r>
        <w:rPr>
          <w:rFonts w:hint="eastAsia" w:ascii="宋体" w:hAnsi="宋体" w:cs="宋体"/>
          <w:bCs/>
          <w:color w:val="auto"/>
          <w:szCs w:val="21"/>
        </w:rPr>
        <w:t>5.1 发包人提供施工设计图纸</w:t>
      </w:r>
    </w:p>
    <w:p>
      <w:pPr>
        <w:autoSpaceDE w:val="0"/>
        <w:autoSpaceDN w:val="0"/>
        <w:spacing w:before="96" w:line="300" w:lineRule="auto"/>
        <w:ind w:firstLine="420" w:firstLineChars="200"/>
        <w:jc w:val="left"/>
        <w:rPr>
          <w:rFonts w:ascii="宋体" w:hAnsi="宋体" w:cs="宋体"/>
          <w:bCs/>
          <w:color w:val="auto"/>
          <w:szCs w:val="21"/>
          <w:u w:val="single"/>
        </w:rPr>
      </w:pPr>
      <w:r>
        <w:rPr>
          <w:rFonts w:hint="eastAsia" w:ascii="宋体" w:hAnsi="宋体" w:cs="宋体"/>
          <w:bCs/>
          <w:color w:val="auto"/>
          <w:szCs w:val="21"/>
        </w:rPr>
        <w:t>(1) 提供的时间：</w:t>
      </w:r>
      <w:r>
        <w:rPr>
          <w:rFonts w:hint="eastAsia" w:ascii="宋体" w:hAnsi="宋体" w:cs="宋体"/>
          <w:bCs/>
          <w:color w:val="auto"/>
          <w:szCs w:val="21"/>
          <w:u w:val="single"/>
        </w:rPr>
        <w:t xml:space="preserve"> 合同签订后1周内。</w:t>
      </w:r>
    </w:p>
    <w:p>
      <w:pPr>
        <w:autoSpaceDE w:val="0"/>
        <w:autoSpaceDN w:val="0"/>
        <w:spacing w:before="96" w:line="300" w:lineRule="auto"/>
        <w:ind w:firstLine="420" w:firstLineChars="200"/>
        <w:jc w:val="left"/>
        <w:rPr>
          <w:rFonts w:ascii="宋体" w:hAnsi="宋体" w:cs="宋体"/>
          <w:bCs/>
          <w:color w:val="auto"/>
          <w:szCs w:val="21"/>
          <w:u w:val="single"/>
        </w:rPr>
      </w:pPr>
      <w:r>
        <w:rPr>
          <w:rFonts w:hint="eastAsia" w:ascii="宋体" w:hAnsi="宋体" w:cs="宋体"/>
          <w:bCs/>
          <w:color w:val="auto"/>
          <w:szCs w:val="21"/>
        </w:rPr>
        <w:t>(2) 图纸提供的数量：</w:t>
      </w:r>
      <w:r>
        <w:rPr>
          <w:rFonts w:hint="eastAsia" w:ascii="宋体" w:hAnsi="宋体" w:cs="宋体"/>
          <w:bCs/>
          <w:color w:val="auto"/>
          <w:szCs w:val="21"/>
          <w:u w:val="single"/>
        </w:rPr>
        <w:t xml:space="preserve"> 3套。承包人要求额外提供图纸和资料的，发包人可予以提供，费用由承包人承担。承包人不得私自向设计单位购取图纸；承包人在本工程中使用的图纸都必须经过发包人的确认。</w:t>
      </w:r>
    </w:p>
    <w:p>
      <w:pPr>
        <w:autoSpaceDE w:val="0"/>
        <w:autoSpaceDN w:val="0"/>
        <w:spacing w:before="96" w:line="300" w:lineRule="auto"/>
        <w:ind w:firstLine="420" w:firstLineChars="200"/>
        <w:jc w:val="left"/>
        <w:rPr>
          <w:rFonts w:ascii="宋体" w:hAnsi="宋体" w:cs="宋体"/>
          <w:bCs/>
          <w:color w:val="auto"/>
          <w:szCs w:val="21"/>
        </w:rPr>
      </w:pPr>
      <w:r>
        <w:rPr>
          <w:rFonts w:hint="eastAsia" w:ascii="宋体" w:hAnsi="宋体" w:cs="宋体"/>
          <w:bCs/>
          <w:color w:val="auto"/>
          <w:szCs w:val="21"/>
        </w:rPr>
        <w:t>5.2 承包人提供施工设计图纸</w:t>
      </w:r>
    </w:p>
    <w:p>
      <w:pPr>
        <w:autoSpaceDE w:val="0"/>
        <w:autoSpaceDN w:val="0"/>
        <w:spacing w:before="96" w:line="300" w:lineRule="auto"/>
        <w:ind w:firstLine="420" w:firstLineChars="200"/>
        <w:jc w:val="left"/>
        <w:rPr>
          <w:rFonts w:ascii="宋体" w:hAnsi="宋体" w:cs="宋体"/>
          <w:bCs/>
          <w:color w:val="auto"/>
          <w:szCs w:val="21"/>
        </w:rPr>
      </w:pPr>
      <w:r>
        <w:rPr>
          <w:rFonts w:hint="eastAsia" w:ascii="宋体" w:hAnsi="宋体" w:cs="宋体"/>
          <w:bCs/>
          <w:color w:val="auto"/>
          <w:szCs w:val="21"/>
        </w:rPr>
        <w:t>(1) 提供的时间：</w:t>
      </w:r>
      <w:r>
        <w:rPr>
          <w:rFonts w:hint="eastAsia" w:ascii="宋体" w:hAnsi="宋体" w:cs="宋体"/>
          <w:bCs/>
          <w:color w:val="auto"/>
          <w:szCs w:val="21"/>
          <w:u w:val="single"/>
        </w:rPr>
        <w:t xml:space="preserve"> 无。</w:t>
      </w:r>
    </w:p>
    <w:p>
      <w:pPr>
        <w:autoSpaceDE w:val="0"/>
        <w:autoSpaceDN w:val="0"/>
        <w:spacing w:before="96" w:line="300" w:lineRule="auto"/>
        <w:ind w:firstLine="420" w:firstLineChars="200"/>
        <w:jc w:val="left"/>
        <w:rPr>
          <w:rFonts w:ascii="宋体" w:hAnsi="宋体" w:cs="宋体"/>
          <w:bCs/>
          <w:color w:val="auto"/>
          <w:szCs w:val="21"/>
        </w:rPr>
      </w:pPr>
      <w:r>
        <w:rPr>
          <w:rFonts w:hint="eastAsia" w:ascii="宋体" w:hAnsi="宋体" w:cs="宋体"/>
          <w:bCs/>
          <w:color w:val="auto"/>
          <w:szCs w:val="21"/>
        </w:rPr>
        <w:t>(2) 提供的数量：</w:t>
      </w:r>
      <w:r>
        <w:rPr>
          <w:rFonts w:hint="eastAsia" w:ascii="宋体" w:hAnsi="宋体" w:cs="宋体"/>
          <w:bCs/>
          <w:color w:val="auto"/>
          <w:szCs w:val="21"/>
          <w:u w:val="single"/>
        </w:rPr>
        <w:t xml:space="preserve"> 无。</w:t>
      </w:r>
    </w:p>
    <w:p>
      <w:pPr>
        <w:spacing w:before="96" w:line="300" w:lineRule="auto"/>
        <w:jc w:val="left"/>
        <w:rPr>
          <w:rFonts w:ascii="宋体" w:hAnsi="宋体" w:cs="宋体"/>
          <w:b/>
          <w:color w:val="auto"/>
          <w:szCs w:val="21"/>
        </w:rPr>
      </w:pPr>
      <w:r>
        <w:rPr>
          <w:rFonts w:hint="eastAsia" w:ascii="宋体" w:hAnsi="宋体" w:cs="宋体"/>
          <w:b/>
          <w:color w:val="auto"/>
          <w:szCs w:val="21"/>
        </w:rPr>
        <w:t>6. 通讯联络</w:t>
      </w:r>
    </w:p>
    <w:p>
      <w:pPr>
        <w:spacing w:before="96" w:line="300" w:lineRule="auto"/>
        <w:ind w:firstLine="420" w:firstLineChars="200"/>
        <w:jc w:val="left"/>
        <w:rPr>
          <w:rFonts w:ascii="宋体" w:hAnsi="宋体" w:cs="宋体"/>
          <w:bCs/>
          <w:color w:val="auto"/>
          <w:szCs w:val="21"/>
        </w:rPr>
      </w:pPr>
      <w:r>
        <w:rPr>
          <w:rFonts w:hint="eastAsia" w:ascii="宋体" w:hAnsi="宋体" w:cs="宋体"/>
          <w:bCs/>
          <w:color w:val="auto"/>
          <w:szCs w:val="21"/>
        </w:rPr>
        <w:t>6.2 各方通讯地址、收件人及其他送达方式</w:t>
      </w:r>
    </w:p>
    <w:p>
      <w:pPr>
        <w:spacing w:before="96" w:line="300" w:lineRule="auto"/>
        <w:ind w:firstLine="420" w:firstLineChars="200"/>
        <w:jc w:val="left"/>
        <w:rPr>
          <w:rFonts w:ascii="宋体" w:hAnsi="宋体" w:cs="宋体"/>
          <w:bCs/>
          <w:color w:val="auto"/>
          <w:szCs w:val="21"/>
        </w:rPr>
      </w:pPr>
      <w:r>
        <w:rPr>
          <w:rFonts w:hint="eastAsia" w:ascii="宋体" w:hAnsi="宋体" w:cs="宋体"/>
          <w:bCs/>
          <w:color w:val="auto"/>
          <w:szCs w:val="21"/>
        </w:rPr>
        <w:t>(1) 各方通讯地址和收件人：</w:t>
      </w:r>
    </w:p>
    <w:p>
      <w:pPr>
        <w:spacing w:before="96" w:line="300" w:lineRule="auto"/>
        <w:ind w:firstLine="420" w:firstLineChars="200"/>
        <w:jc w:val="left"/>
        <w:rPr>
          <w:rFonts w:ascii="宋体" w:hAnsi="宋体" w:cs="宋体"/>
          <w:bCs/>
          <w:color w:val="auto"/>
          <w:szCs w:val="21"/>
        </w:rPr>
      </w:pPr>
      <w:r>
        <w:rPr>
          <w:rFonts w:hint="eastAsia" w:ascii="宋体" w:hAnsi="宋体" w:cs="宋体"/>
          <w:bCs/>
          <w:color w:val="auto"/>
          <w:szCs w:val="21"/>
        </w:rPr>
        <w:t>发包人:</w:t>
      </w:r>
      <w:r>
        <w:rPr>
          <w:rFonts w:hint="eastAsia" w:ascii="宋体" w:hAnsi="宋体" w:cs="宋体"/>
          <w:color w:val="auto"/>
          <w:szCs w:val="21"/>
          <w:u w:val="single"/>
        </w:rPr>
        <w:t>广东省农业科学院动物科学研究所</w:t>
      </w:r>
    </w:p>
    <w:p>
      <w:pPr>
        <w:spacing w:before="96" w:line="300" w:lineRule="auto"/>
        <w:ind w:firstLine="420" w:firstLineChars="200"/>
        <w:jc w:val="left"/>
        <w:rPr>
          <w:rFonts w:ascii="宋体" w:hAnsi="宋体" w:cs="宋体"/>
          <w:bCs/>
          <w:color w:val="auto"/>
          <w:szCs w:val="21"/>
        </w:rPr>
      </w:pPr>
      <w:r>
        <w:rPr>
          <w:rFonts w:hint="eastAsia" w:ascii="宋体" w:hAnsi="宋体" w:cs="宋体"/>
          <w:bCs/>
          <w:color w:val="auto"/>
          <w:szCs w:val="21"/>
        </w:rPr>
        <w:t>通讯地址：</w:t>
      </w:r>
      <w:r>
        <w:rPr>
          <w:rFonts w:hint="eastAsia" w:ascii="宋体" w:hAnsi="宋体" w:cs="宋体"/>
          <w:bCs/>
          <w:color w:val="auto"/>
          <w:szCs w:val="21"/>
          <w:u w:val="single"/>
        </w:rPr>
        <w:t>广州市天河区大丰一街1号</w:t>
      </w:r>
      <w:r>
        <w:rPr>
          <w:rFonts w:hint="eastAsia" w:ascii="宋体" w:hAnsi="宋体" w:cs="宋体"/>
          <w:bCs/>
          <w:color w:val="auto"/>
          <w:szCs w:val="21"/>
        </w:rPr>
        <w:t xml:space="preserve">    </w:t>
      </w:r>
    </w:p>
    <w:p>
      <w:pPr>
        <w:spacing w:before="96" w:line="300" w:lineRule="auto"/>
        <w:ind w:firstLine="420" w:firstLineChars="200"/>
        <w:jc w:val="left"/>
        <w:rPr>
          <w:rFonts w:ascii="宋体" w:hAnsi="宋体" w:cs="宋体"/>
          <w:bCs/>
          <w:color w:val="auto"/>
          <w:szCs w:val="21"/>
        </w:rPr>
      </w:pPr>
      <w:r>
        <w:rPr>
          <w:rFonts w:hint="eastAsia" w:ascii="宋体" w:hAnsi="宋体" w:cs="宋体"/>
          <w:bCs/>
          <w:color w:val="auto"/>
          <w:szCs w:val="21"/>
        </w:rPr>
        <w:t>收件人：</w:t>
      </w:r>
      <w:r>
        <w:rPr>
          <w:rFonts w:hint="eastAsia" w:ascii="宋体" w:hAnsi="宋体" w:cs="宋体"/>
          <w:bCs/>
          <w:color w:val="auto"/>
          <w:szCs w:val="21"/>
          <w:u w:val="single"/>
        </w:rPr>
        <w:t xml:space="preserve">           </w:t>
      </w:r>
      <w:r>
        <w:rPr>
          <w:rFonts w:hint="eastAsia" w:ascii="宋体" w:hAnsi="宋体" w:cs="宋体"/>
          <w:bCs/>
          <w:color w:val="auto"/>
          <w:szCs w:val="21"/>
        </w:rPr>
        <w:t>邮编：</w:t>
      </w:r>
      <w:r>
        <w:rPr>
          <w:rFonts w:hint="eastAsia" w:ascii="宋体" w:hAnsi="宋体" w:cs="宋体"/>
          <w:bCs/>
          <w:color w:val="auto"/>
          <w:szCs w:val="21"/>
          <w:u w:val="single"/>
        </w:rPr>
        <w:t>510640</w:t>
      </w:r>
    </w:p>
    <w:p>
      <w:pPr>
        <w:spacing w:before="96" w:line="300" w:lineRule="auto"/>
        <w:ind w:firstLine="420" w:firstLineChars="200"/>
        <w:jc w:val="left"/>
        <w:rPr>
          <w:rFonts w:ascii="宋体" w:hAnsi="宋体" w:cs="宋体"/>
          <w:bCs/>
          <w:color w:val="auto"/>
          <w:szCs w:val="21"/>
        </w:rPr>
      </w:pPr>
      <w:r>
        <w:rPr>
          <w:rFonts w:hint="eastAsia" w:ascii="宋体" w:hAnsi="宋体" w:cs="宋体"/>
          <w:bCs/>
          <w:color w:val="auto"/>
          <w:szCs w:val="21"/>
        </w:rPr>
        <w:t>承包人：</w:t>
      </w:r>
      <w:r>
        <w:rPr>
          <w:rFonts w:hint="eastAsia" w:ascii="宋体" w:hAnsi="宋体" w:cs="宋体"/>
          <w:color w:val="auto"/>
          <w:szCs w:val="21"/>
          <w:u w:val="single"/>
        </w:rPr>
        <w:t xml:space="preserve">                   </w:t>
      </w:r>
    </w:p>
    <w:p>
      <w:pPr>
        <w:spacing w:before="96" w:line="300" w:lineRule="auto"/>
        <w:ind w:firstLine="420" w:firstLineChars="200"/>
        <w:jc w:val="left"/>
        <w:rPr>
          <w:rFonts w:ascii="宋体" w:hAnsi="宋体" w:cs="宋体"/>
          <w:bCs/>
          <w:color w:val="auto"/>
          <w:szCs w:val="21"/>
          <w:u w:val="single"/>
        </w:rPr>
      </w:pPr>
      <w:r>
        <w:rPr>
          <w:rFonts w:hint="eastAsia" w:ascii="宋体" w:hAnsi="宋体" w:cs="宋体"/>
          <w:bCs/>
          <w:color w:val="auto"/>
          <w:szCs w:val="21"/>
        </w:rPr>
        <w:t>通讯地址：</w:t>
      </w:r>
      <w:r>
        <w:rPr>
          <w:rFonts w:hint="eastAsia" w:ascii="宋体" w:hAnsi="宋体" w:cs="宋体"/>
          <w:bCs/>
          <w:color w:val="auto"/>
          <w:szCs w:val="21"/>
          <w:u w:val="single"/>
        </w:rPr>
        <w:t xml:space="preserve">                 </w:t>
      </w:r>
    </w:p>
    <w:p>
      <w:pPr>
        <w:spacing w:before="96" w:line="300" w:lineRule="auto"/>
        <w:ind w:firstLine="420" w:firstLineChars="200"/>
        <w:jc w:val="left"/>
        <w:rPr>
          <w:rFonts w:ascii="宋体" w:hAnsi="宋体" w:cs="宋体"/>
          <w:bCs/>
          <w:color w:val="auto"/>
          <w:szCs w:val="21"/>
        </w:rPr>
      </w:pPr>
      <w:r>
        <w:rPr>
          <w:rFonts w:hint="eastAsia" w:ascii="宋体" w:hAnsi="宋体" w:cs="宋体"/>
          <w:bCs/>
          <w:color w:val="auto"/>
          <w:szCs w:val="21"/>
        </w:rPr>
        <w:t>收件人</w:t>
      </w:r>
      <w:r>
        <w:rPr>
          <w:rFonts w:hint="eastAsia" w:ascii="宋体" w:hAnsi="宋体" w:cs="宋体"/>
          <w:bCs/>
          <w:color w:val="auto"/>
          <w:szCs w:val="21"/>
          <w:u w:val="single"/>
        </w:rPr>
        <w:t xml:space="preserve">：             </w:t>
      </w:r>
      <w:r>
        <w:rPr>
          <w:rFonts w:hint="eastAsia" w:ascii="宋体" w:hAnsi="宋体" w:cs="宋体"/>
          <w:bCs/>
          <w:color w:val="auto"/>
          <w:szCs w:val="21"/>
        </w:rPr>
        <w:t>邮编：</w:t>
      </w:r>
    </w:p>
    <w:p>
      <w:pPr>
        <w:spacing w:before="96" w:line="300" w:lineRule="auto"/>
        <w:ind w:firstLine="420" w:firstLineChars="200"/>
        <w:jc w:val="left"/>
        <w:rPr>
          <w:rFonts w:ascii="宋体" w:hAnsi="宋体" w:cs="宋体"/>
          <w:color w:val="auto"/>
          <w:szCs w:val="21"/>
          <w:u w:val="single"/>
        </w:rPr>
      </w:pPr>
      <w:r>
        <w:rPr>
          <w:rFonts w:hint="eastAsia" w:ascii="宋体" w:hAnsi="宋体" w:cs="宋体"/>
          <w:bCs/>
          <w:color w:val="auto"/>
          <w:szCs w:val="21"/>
        </w:rPr>
        <w:t>监理人：</w:t>
      </w:r>
      <w:r>
        <w:rPr>
          <w:rFonts w:hint="eastAsia" w:ascii="宋体" w:hAnsi="宋体" w:cs="宋体"/>
          <w:color w:val="auto"/>
          <w:szCs w:val="21"/>
          <w:u w:val="single"/>
        </w:rPr>
        <w:t xml:space="preserve">                        </w:t>
      </w:r>
    </w:p>
    <w:p>
      <w:pPr>
        <w:spacing w:before="96" w:line="300" w:lineRule="auto"/>
        <w:ind w:firstLine="420" w:firstLineChars="200"/>
        <w:jc w:val="left"/>
        <w:rPr>
          <w:rFonts w:ascii="宋体" w:hAnsi="宋体" w:cs="宋体"/>
          <w:bCs/>
          <w:color w:val="auto"/>
          <w:szCs w:val="21"/>
        </w:rPr>
      </w:pPr>
      <w:r>
        <w:rPr>
          <w:rFonts w:hint="eastAsia" w:ascii="宋体" w:hAnsi="宋体" w:cs="宋体"/>
          <w:bCs/>
          <w:color w:val="auto"/>
          <w:szCs w:val="21"/>
        </w:rPr>
        <w:t>通讯地址：       收件人</w:t>
      </w:r>
      <w:r>
        <w:rPr>
          <w:rFonts w:hint="eastAsia" w:ascii="宋体" w:hAnsi="宋体" w:cs="宋体"/>
          <w:bCs/>
          <w:color w:val="auto"/>
          <w:szCs w:val="21"/>
          <w:u w:val="single"/>
        </w:rPr>
        <w:t xml:space="preserve">：        </w:t>
      </w:r>
      <w:r>
        <w:rPr>
          <w:rFonts w:hint="eastAsia" w:ascii="宋体" w:hAnsi="宋体" w:cs="宋体"/>
          <w:bCs/>
          <w:color w:val="auto"/>
          <w:szCs w:val="21"/>
        </w:rPr>
        <w:t xml:space="preserve"> 邮编：</w:t>
      </w:r>
    </w:p>
    <w:p>
      <w:pPr>
        <w:spacing w:before="96" w:line="300" w:lineRule="auto"/>
        <w:ind w:firstLine="420" w:firstLineChars="200"/>
        <w:jc w:val="left"/>
        <w:rPr>
          <w:rFonts w:ascii="宋体" w:hAnsi="宋体" w:cs="宋体"/>
          <w:bCs/>
          <w:color w:val="auto"/>
          <w:szCs w:val="21"/>
          <w:u w:val="single"/>
        </w:rPr>
      </w:pPr>
      <w:r>
        <w:rPr>
          <w:rFonts w:hint="eastAsia" w:ascii="宋体" w:hAnsi="宋体" w:cs="宋体"/>
          <w:bCs/>
          <w:color w:val="auto"/>
          <w:szCs w:val="21"/>
        </w:rPr>
        <w:t>工程造价咨询人：</w:t>
      </w:r>
    </w:p>
    <w:p>
      <w:pPr>
        <w:spacing w:before="96" w:line="300" w:lineRule="auto"/>
        <w:ind w:firstLine="420" w:firstLineChars="200"/>
        <w:jc w:val="left"/>
        <w:rPr>
          <w:rFonts w:ascii="宋体" w:hAnsi="宋体" w:cs="宋体"/>
          <w:bCs/>
          <w:color w:val="auto"/>
          <w:szCs w:val="21"/>
        </w:rPr>
      </w:pPr>
      <w:r>
        <w:rPr>
          <w:rFonts w:hint="eastAsia" w:ascii="宋体" w:hAnsi="宋体" w:cs="宋体"/>
          <w:bCs/>
          <w:color w:val="auto"/>
          <w:szCs w:val="21"/>
        </w:rPr>
        <w:t>通讯地址：       收件人</w:t>
      </w:r>
      <w:r>
        <w:rPr>
          <w:rFonts w:hint="eastAsia" w:ascii="宋体" w:hAnsi="宋体" w:cs="宋体"/>
          <w:bCs/>
          <w:color w:val="auto"/>
          <w:szCs w:val="21"/>
          <w:u w:val="single"/>
        </w:rPr>
        <w:t xml:space="preserve">：        </w:t>
      </w:r>
      <w:r>
        <w:rPr>
          <w:rFonts w:hint="eastAsia" w:ascii="宋体" w:hAnsi="宋体" w:cs="宋体"/>
          <w:bCs/>
          <w:color w:val="auto"/>
          <w:szCs w:val="21"/>
        </w:rPr>
        <w:t xml:space="preserve"> 邮编：</w:t>
      </w:r>
    </w:p>
    <w:p>
      <w:pPr>
        <w:spacing w:before="96" w:line="300" w:lineRule="auto"/>
        <w:ind w:firstLine="420" w:firstLineChars="200"/>
        <w:jc w:val="left"/>
        <w:rPr>
          <w:rFonts w:ascii="宋体" w:hAnsi="宋体" w:cs="宋体"/>
          <w:bCs/>
          <w:color w:val="auto"/>
          <w:szCs w:val="21"/>
        </w:rPr>
      </w:pPr>
      <w:r>
        <w:rPr>
          <w:rFonts w:hint="eastAsia" w:ascii="宋体" w:hAnsi="宋体" w:cs="宋体"/>
          <w:bCs/>
          <w:color w:val="auto"/>
          <w:szCs w:val="21"/>
        </w:rPr>
        <w:t>(2) 视为送达的其他方式：</w:t>
      </w:r>
      <w:r>
        <w:rPr>
          <w:rFonts w:hint="eastAsia" w:ascii="宋体" w:hAnsi="宋体" w:cs="宋体"/>
          <w:bCs/>
          <w:color w:val="auto"/>
          <w:szCs w:val="21"/>
          <w:u w:val="single"/>
        </w:rPr>
        <w:t xml:space="preserve"> 无。 </w:t>
      </w:r>
    </w:p>
    <w:p>
      <w:pPr>
        <w:spacing w:before="96" w:line="300" w:lineRule="auto"/>
        <w:jc w:val="left"/>
        <w:rPr>
          <w:rFonts w:ascii="宋体" w:hAnsi="宋体" w:cs="宋体"/>
          <w:b/>
          <w:color w:val="auto"/>
          <w:szCs w:val="21"/>
        </w:rPr>
      </w:pPr>
      <w:r>
        <w:rPr>
          <w:rFonts w:hint="eastAsia" w:ascii="宋体" w:hAnsi="宋体" w:cs="宋体"/>
          <w:b/>
          <w:color w:val="auto"/>
          <w:szCs w:val="21"/>
        </w:rPr>
        <w:t>7. 工程分包</w:t>
      </w:r>
    </w:p>
    <w:p>
      <w:pPr>
        <w:spacing w:before="96" w:line="300" w:lineRule="auto"/>
        <w:ind w:firstLine="420" w:firstLineChars="200"/>
        <w:jc w:val="left"/>
        <w:rPr>
          <w:rFonts w:ascii="宋体" w:hAnsi="宋体" w:cs="宋体"/>
          <w:bCs/>
          <w:color w:val="auto"/>
          <w:szCs w:val="21"/>
        </w:rPr>
      </w:pPr>
      <w:r>
        <w:rPr>
          <w:rFonts w:hint="eastAsia" w:ascii="宋体" w:hAnsi="宋体" w:cs="宋体"/>
          <w:bCs/>
          <w:color w:val="auto"/>
          <w:szCs w:val="21"/>
        </w:rPr>
        <w:t>7.2指定分包工程名称：</w:t>
      </w:r>
      <w:r>
        <w:rPr>
          <w:rFonts w:hint="eastAsia" w:ascii="宋体" w:hAnsi="宋体" w:cs="宋体"/>
          <w:bCs/>
          <w:color w:val="auto"/>
          <w:szCs w:val="21"/>
          <w:u w:val="single"/>
        </w:rPr>
        <w:t xml:space="preserve"> 无。 </w:t>
      </w:r>
    </w:p>
    <w:p>
      <w:pPr>
        <w:spacing w:before="96" w:line="300" w:lineRule="auto"/>
        <w:ind w:firstLine="420" w:firstLineChars="200"/>
        <w:jc w:val="left"/>
        <w:rPr>
          <w:rFonts w:ascii="宋体" w:hAnsi="宋体" w:cs="宋体"/>
          <w:bCs/>
          <w:color w:val="auto"/>
          <w:szCs w:val="21"/>
        </w:rPr>
      </w:pPr>
      <w:r>
        <w:rPr>
          <w:rFonts w:hint="eastAsia" w:ascii="宋体" w:hAnsi="宋体" w:cs="宋体"/>
          <w:bCs/>
          <w:color w:val="auto"/>
          <w:szCs w:val="21"/>
        </w:rPr>
        <w:t>7.4 分包工程款的支付方式：</w:t>
      </w:r>
      <w:r>
        <w:rPr>
          <w:rFonts w:hint="eastAsia" w:ascii="宋体" w:hAnsi="宋体" w:cs="宋体"/>
          <w:bCs/>
          <w:color w:val="auto"/>
          <w:szCs w:val="21"/>
          <w:u w:val="single"/>
        </w:rPr>
        <w:t xml:space="preserve"> /。</w:t>
      </w:r>
    </w:p>
    <w:p>
      <w:pPr>
        <w:spacing w:before="96" w:line="300" w:lineRule="auto"/>
        <w:jc w:val="left"/>
        <w:rPr>
          <w:rFonts w:ascii="宋体" w:hAnsi="宋体" w:cs="宋体"/>
          <w:b/>
          <w:color w:val="auto"/>
          <w:szCs w:val="21"/>
        </w:rPr>
      </w:pPr>
      <w:r>
        <w:rPr>
          <w:rFonts w:hint="eastAsia" w:ascii="宋体" w:hAnsi="宋体" w:cs="宋体"/>
          <w:b/>
          <w:color w:val="auto"/>
          <w:szCs w:val="21"/>
        </w:rPr>
        <w:t>12．事故处理</w:t>
      </w:r>
    </w:p>
    <w:p>
      <w:pPr>
        <w:spacing w:before="96" w:line="300" w:lineRule="auto"/>
        <w:ind w:firstLine="420" w:firstLineChars="200"/>
        <w:jc w:val="left"/>
        <w:rPr>
          <w:rFonts w:ascii="宋体" w:hAnsi="宋体" w:cs="宋体"/>
          <w:bCs/>
          <w:color w:val="auto"/>
          <w:szCs w:val="21"/>
        </w:rPr>
      </w:pPr>
      <w:r>
        <w:rPr>
          <w:rFonts w:hint="eastAsia" w:ascii="宋体" w:hAnsi="宋体" w:cs="宋体"/>
          <w:bCs/>
          <w:color w:val="auto"/>
          <w:szCs w:val="21"/>
        </w:rPr>
        <w:t>12.4 承包人若在本工程实施过程中发生重特大安全事故，除接受上级行政主管部门的处罚外，还要视情节轻重接受发包人对承包人按合同总造价5-10‰的经济处罚。</w:t>
      </w:r>
    </w:p>
    <w:p>
      <w:pPr>
        <w:spacing w:before="96" w:line="300" w:lineRule="auto"/>
        <w:jc w:val="left"/>
        <w:rPr>
          <w:rFonts w:ascii="宋体" w:hAnsi="宋体" w:cs="宋体"/>
          <w:b/>
          <w:color w:val="auto"/>
          <w:szCs w:val="21"/>
        </w:rPr>
      </w:pPr>
      <w:r>
        <w:rPr>
          <w:rFonts w:hint="eastAsia" w:ascii="宋体" w:hAnsi="宋体" w:cs="宋体"/>
          <w:b/>
          <w:color w:val="auto"/>
          <w:szCs w:val="21"/>
        </w:rPr>
        <w:t>13．交通运输</w:t>
      </w:r>
    </w:p>
    <w:p>
      <w:pPr>
        <w:autoSpaceDE w:val="0"/>
        <w:autoSpaceDN w:val="0"/>
        <w:spacing w:before="96" w:line="300" w:lineRule="auto"/>
        <w:ind w:firstLine="420" w:firstLineChars="200"/>
        <w:jc w:val="left"/>
        <w:rPr>
          <w:rFonts w:ascii="宋体" w:hAnsi="宋体" w:cs="宋体"/>
          <w:bCs/>
          <w:color w:val="auto"/>
          <w:szCs w:val="21"/>
          <w:u w:val="single"/>
        </w:rPr>
      </w:pPr>
      <w:r>
        <w:rPr>
          <w:rFonts w:hint="eastAsia" w:ascii="宋体" w:hAnsi="宋体" w:cs="宋体"/>
          <w:bCs/>
          <w:color w:val="auto"/>
          <w:szCs w:val="21"/>
        </w:rPr>
        <w:t>13.1 办理道路通行权和修建场外设施的费用：</w:t>
      </w:r>
      <w:r>
        <w:rPr>
          <w:rFonts w:hint="eastAsia" w:ascii="宋体" w:hAnsi="宋体" w:cs="宋体"/>
          <w:bCs/>
          <w:color w:val="auto"/>
          <w:szCs w:val="21"/>
          <w:u w:val="single"/>
        </w:rPr>
        <w:t xml:space="preserve"> 发包人协助承包人办理道路通行权和取得为实施合同工程所需修建场外设施的权利，但费用由承包人承担。</w:t>
      </w:r>
    </w:p>
    <w:p>
      <w:pPr>
        <w:autoSpaceDE w:val="0"/>
        <w:autoSpaceDN w:val="0"/>
        <w:spacing w:before="96" w:line="300" w:lineRule="auto"/>
        <w:ind w:firstLine="420" w:firstLineChars="200"/>
        <w:jc w:val="left"/>
        <w:rPr>
          <w:rFonts w:ascii="宋体" w:hAnsi="宋体" w:cs="宋体"/>
          <w:bCs/>
          <w:color w:val="auto"/>
          <w:szCs w:val="21"/>
        </w:rPr>
      </w:pPr>
      <w:r>
        <w:rPr>
          <w:rFonts w:hint="eastAsia" w:ascii="宋体" w:hAnsi="宋体" w:cs="宋体"/>
          <w:color w:val="auto"/>
          <w:szCs w:val="21"/>
        </w:rPr>
        <w:t xml:space="preserve">13.2 </w:t>
      </w:r>
      <w:r>
        <w:rPr>
          <w:rFonts w:hint="eastAsia" w:ascii="宋体" w:hAnsi="宋体" w:cs="宋体"/>
          <w:bCs/>
          <w:color w:val="auto"/>
          <w:szCs w:val="21"/>
        </w:rPr>
        <w:t>修建场内临时道路和交通设施的费用：</w:t>
      </w:r>
      <w:r>
        <w:rPr>
          <w:rFonts w:hint="eastAsia" w:ascii="宋体" w:hAnsi="宋体" w:cs="宋体"/>
          <w:bCs/>
          <w:color w:val="auto"/>
          <w:szCs w:val="21"/>
          <w:u w:val="single"/>
        </w:rPr>
        <w:t xml:space="preserve"> 费用由承包人承担。</w:t>
      </w:r>
    </w:p>
    <w:p>
      <w:pPr>
        <w:autoSpaceDE w:val="0"/>
        <w:autoSpaceDN w:val="0"/>
        <w:spacing w:before="96" w:line="300" w:lineRule="auto"/>
        <w:ind w:firstLine="420" w:firstLineChars="200"/>
        <w:jc w:val="left"/>
        <w:rPr>
          <w:rFonts w:ascii="宋体" w:hAnsi="宋体" w:cs="宋体"/>
          <w:bCs/>
          <w:color w:val="auto"/>
          <w:szCs w:val="21"/>
          <w:u w:val="single"/>
        </w:rPr>
      </w:pPr>
      <w:r>
        <w:rPr>
          <w:rFonts w:hint="eastAsia" w:ascii="宋体" w:hAnsi="宋体" w:cs="宋体"/>
          <w:bCs/>
          <w:color w:val="auto"/>
          <w:szCs w:val="21"/>
        </w:rPr>
        <w:t>13.4 运输超大件和超重件的费用：</w:t>
      </w:r>
      <w:r>
        <w:rPr>
          <w:rFonts w:hint="eastAsia" w:ascii="宋体" w:hAnsi="宋体" w:cs="宋体"/>
          <w:bCs/>
          <w:color w:val="auto"/>
          <w:szCs w:val="21"/>
          <w:u w:val="single"/>
        </w:rPr>
        <w:t xml:space="preserve"> 按通用条款执行。</w:t>
      </w:r>
    </w:p>
    <w:p>
      <w:pPr>
        <w:autoSpaceDE w:val="0"/>
        <w:autoSpaceDN w:val="0"/>
        <w:spacing w:before="96" w:line="300" w:lineRule="auto"/>
        <w:ind w:firstLine="420" w:firstLineChars="200"/>
        <w:jc w:val="left"/>
        <w:rPr>
          <w:rFonts w:ascii="宋体" w:hAnsi="宋体" w:cs="宋体"/>
          <w:bCs/>
          <w:color w:val="auto"/>
          <w:szCs w:val="21"/>
        </w:rPr>
      </w:pPr>
      <w:r>
        <w:rPr>
          <w:rFonts w:hint="eastAsia" w:ascii="宋体" w:hAnsi="宋体" w:cs="宋体"/>
          <w:bCs/>
          <w:color w:val="auto"/>
          <w:szCs w:val="21"/>
        </w:rPr>
        <w:t>13.7 承包人自进场施工起至项目竣工验收止，需保证临时道路（或通道）的畅通安全及整洁。保证沿线相关单位、居民的行车畅通，如封闭沿线单位、居民进入拟施工道路的出入口，需按原道路宽度，修建临时道路，解决沿线单位、居民出入拟施工道路的问题，相关费用包含在合同总价中，若承包人无法保证，则发包人可另行委托其他单位实施上述工作，相关费用从支付给承包人的工程款中扣回。</w:t>
      </w:r>
    </w:p>
    <w:p>
      <w:pPr>
        <w:autoSpaceDE w:val="0"/>
        <w:autoSpaceDN w:val="0"/>
        <w:spacing w:before="96" w:line="300" w:lineRule="auto"/>
        <w:ind w:right="-20"/>
        <w:jc w:val="left"/>
        <w:rPr>
          <w:rFonts w:ascii="宋体" w:hAnsi="宋体" w:cs="宋体"/>
          <w:b/>
          <w:color w:val="auto"/>
          <w:szCs w:val="21"/>
        </w:rPr>
      </w:pPr>
      <w:r>
        <w:rPr>
          <w:rFonts w:hint="eastAsia" w:ascii="宋体" w:hAnsi="宋体" w:cs="宋体"/>
          <w:b/>
          <w:color w:val="auto"/>
          <w:szCs w:val="21"/>
        </w:rPr>
        <w:t>14．专项批准事件的签认</w:t>
      </w:r>
    </w:p>
    <w:p>
      <w:pPr>
        <w:spacing w:before="96" w:line="300" w:lineRule="auto"/>
        <w:ind w:firstLine="420" w:firstLineChars="200"/>
        <w:jc w:val="left"/>
        <w:rPr>
          <w:rFonts w:ascii="宋体" w:hAnsi="宋体" w:cs="宋体"/>
          <w:color w:val="auto"/>
          <w:szCs w:val="21"/>
        </w:rPr>
      </w:pPr>
      <w:r>
        <w:rPr>
          <w:rFonts w:hint="eastAsia" w:ascii="宋体" w:hAnsi="宋体" w:cs="宋体"/>
          <w:color w:val="auto"/>
          <w:szCs w:val="21"/>
        </w:rPr>
        <w:t>14.2 专项批准事件的签认人选</w:t>
      </w:r>
    </w:p>
    <w:p>
      <w:pPr>
        <w:spacing w:before="96" w:line="300" w:lineRule="auto"/>
        <w:ind w:firstLine="420" w:firstLineChars="200"/>
        <w:jc w:val="left"/>
        <w:rPr>
          <w:rFonts w:ascii="宋体" w:hAnsi="宋体" w:cs="宋体"/>
          <w:color w:val="auto"/>
          <w:szCs w:val="21"/>
        </w:rPr>
      </w:pPr>
      <w:r>
        <w:rPr>
          <w:rFonts w:hint="eastAsia" w:ascii="宋体" w:hAnsi="宋体" w:cs="宋体"/>
          <w:color w:val="auto"/>
          <w:szCs w:val="21"/>
        </w:rPr>
        <w:t>(1)监理工程师：</w:t>
      </w:r>
    </w:p>
    <w:p>
      <w:pPr>
        <w:spacing w:before="96" w:line="300" w:lineRule="auto"/>
        <w:ind w:firstLine="420" w:firstLineChars="200"/>
        <w:jc w:val="left"/>
        <w:rPr>
          <w:rFonts w:ascii="宋体" w:hAnsi="宋体" w:cs="宋体"/>
          <w:color w:val="auto"/>
          <w:szCs w:val="21"/>
          <w:u w:val="single"/>
        </w:rPr>
      </w:pPr>
      <w:r>
        <w:rPr>
          <w:rFonts w:hint="eastAsia" w:ascii="宋体" w:hAnsi="宋体" w:cs="宋体"/>
          <w:color w:val="auto"/>
          <w:szCs w:val="21"/>
        </w:rPr>
        <w:t>姓名：      印章样式：        签字样式：</w:t>
      </w:r>
    </w:p>
    <w:p>
      <w:pPr>
        <w:spacing w:before="96" w:line="300" w:lineRule="auto"/>
        <w:ind w:firstLine="420" w:firstLineChars="200"/>
        <w:jc w:val="left"/>
        <w:rPr>
          <w:rFonts w:ascii="宋体" w:hAnsi="宋体" w:cs="宋体"/>
          <w:color w:val="auto"/>
          <w:szCs w:val="21"/>
        </w:rPr>
      </w:pPr>
      <w:r>
        <w:rPr>
          <w:rFonts w:hint="eastAsia" w:ascii="宋体" w:hAnsi="宋体" w:cs="宋体"/>
          <w:color w:val="auto"/>
          <w:szCs w:val="21"/>
        </w:rPr>
        <w:t>(2)造价工程师：</w:t>
      </w:r>
    </w:p>
    <w:p>
      <w:pPr>
        <w:spacing w:before="96" w:line="300" w:lineRule="auto"/>
        <w:ind w:firstLine="420" w:firstLineChars="200"/>
        <w:jc w:val="left"/>
        <w:rPr>
          <w:rFonts w:ascii="宋体" w:hAnsi="宋体" w:cs="宋体"/>
          <w:color w:val="auto"/>
          <w:szCs w:val="21"/>
          <w:u w:val="single"/>
        </w:rPr>
      </w:pPr>
      <w:r>
        <w:rPr>
          <w:rFonts w:hint="eastAsia" w:ascii="宋体" w:hAnsi="宋体" w:cs="宋体"/>
          <w:color w:val="auto"/>
          <w:szCs w:val="21"/>
        </w:rPr>
        <w:t>姓名：      印章样式：        签字样式：</w:t>
      </w:r>
    </w:p>
    <w:p>
      <w:pPr>
        <w:spacing w:before="96" w:line="300" w:lineRule="auto"/>
        <w:ind w:firstLine="420" w:firstLineChars="200"/>
        <w:jc w:val="left"/>
        <w:rPr>
          <w:rFonts w:ascii="宋体" w:hAnsi="宋体" w:cs="宋体"/>
          <w:color w:val="auto"/>
          <w:szCs w:val="21"/>
        </w:rPr>
      </w:pPr>
      <w:r>
        <w:rPr>
          <w:rFonts w:hint="eastAsia" w:ascii="宋体" w:hAnsi="宋体" w:cs="宋体"/>
          <w:color w:val="auto"/>
          <w:szCs w:val="21"/>
        </w:rPr>
        <w:t>(3)建造师：</w:t>
      </w:r>
    </w:p>
    <w:p>
      <w:pPr>
        <w:spacing w:before="96" w:line="300" w:lineRule="auto"/>
        <w:ind w:firstLine="420" w:firstLineChars="200"/>
        <w:jc w:val="left"/>
        <w:rPr>
          <w:rFonts w:ascii="宋体" w:hAnsi="宋体" w:cs="宋体"/>
          <w:color w:val="auto"/>
          <w:szCs w:val="21"/>
        </w:rPr>
      </w:pPr>
      <w:r>
        <w:rPr>
          <w:rFonts w:hint="eastAsia" w:ascii="宋体" w:hAnsi="宋体" w:cs="宋体"/>
          <w:color w:val="auto"/>
          <w:szCs w:val="21"/>
        </w:rPr>
        <w:t>姓名：      印章样式：        签字样式：</w:t>
      </w:r>
    </w:p>
    <w:p>
      <w:pPr>
        <w:autoSpaceDE w:val="0"/>
        <w:autoSpaceDN w:val="0"/>
        <w:spacing w:before="96" w:line="300" w:lineRule="auto"/>
        <w:ind w:right="-20"/>
        <w:jc w:val="left"/>
        <w:rPr>
          <w:rFonts w:ascii="宋体" w:hAnsi="宋体" w:cs="宋体"/>
          <w:b/>
          <w:color w:val="auto"/>
          <w:szCs w:val="21"/>
        </w:rPr>
      </w:pPr>
      <w:r>
        <w:rPr>
          <w:rFonts w:hint="eastAsia" w:ascii="宋体" w:hAnsi="宋体" w:cs="宋体"/>
          <w:b/>
          <w:color w:val="auto"/>
          <w:szCs w:val="21"/>
        </w:rPr>
        <w:t>19、发包人</w:t>
      </w:r>
    </w:p>
    <w:p>
      <w:pPr>
        <w:tabs>
          <w:tab w:val="left" w:pos="1125"/>
        </w:tabs>
        <w:autoSpaceDE w:val="0"/>
        <w:autoSpaceDN w:val="0"/>
        <w:spacing w:before="96" w:line="300" w:lineRule="auto"/>
        <w:ind w:firstLine="420" w:firstLineChars="200"/>
        <w:jc w:val="left"/>
        <w:rPr>
          <w:rFonts w:ascii="宋体" w:hAnsi="宋体" w:cs="宋体"/>
          <w:bCs/>
          <w:color w:val="auto"/>
          <w:szCs w:val="21"/>
        </w:rPr>
      </w:pPr>
      <w:r>
        <w:rPr>
          <w:rFonts w:hint="eastAsia" w:ascii="宋体" w:hAnsi="宋体" w:cs="宋体"/>
          <w:bCs/>
          <w:color w:val="auto"/>
          <w:szCs w:val="21"/>
        </w:rPr>
        <w:t>19.2</w:t>
      </w:r>
      <w:r>
        <w:rPr>
          <w:rFonts w:hint="eastAsia" w:ascii="宋体" w:hAnsi="宋体" w:cs="宋体"/>
          <w:bCs/>
          <w:color w:val="auto"/>
          <w:szCs w:val="21"/>
        </w:rPr>
        <w:tab/>
      </w:r>
      <w:r>
        <w:rPr>
          <w:rFonts w:hint="eastAsia" w:ascii="宋体" w:hAnsi="宋体" w:cs="宋体"/>
          <w:bCs/>
          <w:color w:val="auto"/>
          <w:szCs w:val="21"/>
        </w:rPr>
        <w:t>发包人完成下列工作的约定</w:t>
      </w:r>
    </w:p>
    <w:p>
      <w:pPr>
        <w:tabs>
          <w:tab w:val="left" w:pos="1100"/>
        </w:tabs>
        <w:autoSpaceDE w:val="0"/>
        <w:autoSpaceDN w:val="0"/>
        <w:spacing w:before="96" w:line="300" w:lineRule="auto"/>
        <w:ind w:firstLine="420" w:firstLineChars="200"/>
        <w:jc w:val="left"/>
        <w:rPr>
          <w:rFonts w:ascii="宋体" w:hAnsi="宋体" w:cs="宋体"/>
          <w:bCs/>
          <w:color w:val="auto"/>
          <w:szCs w:val="21"/>
        </w:rPr>
      </w:pPr>
      <w:r>
        <w:rPr>
          <w:rFonts w:hint="eastAsia" w:ascii="宋体" w:hAnsi="宋体" w:cs="宋体"/>
          <w:bCs/>
          <w:color w:val="auto"/>
          <w:szCs w:val="21"/>
        </w:rPr>
        <w:t>(1)办理土地征用、拆迁、平整工作场地等工作的时间：</w:t>
      </w:r>
      <w:r>
        <w:rPr>
          <w:rFonts w:hint="eastAsia" w:ascii="宋体" w:hAnsi="宋体" w:cs="宋体"/>
          <w:bCs/>
          <w:color w:val="auto"/>
          <w:szCs w:val="21"/>
          <w:u w:val="single"/>
        </w:rPr>
        <w:t>不需要。</w:t>
      </w:r>
    </w:p>
    <w:p>
      <w:pPr>
        <w:tabs>
          <w:tab w:val="left" w:pos="1100"/>
        </w:tabs>
        <w:autoSpaceDE w:val="0"/>
        <w:autoSpaceDN w:val="0"/>
        <w:spacing w:before="96" w:line="300" w:lineRule="auto"/>
        <w:ind w:firstLine="420" w:firstLineChars="200"/>
        <w:jc w:val="left"/>
        <w:rPr>
          <w:rFonts w:ascii="宋体" w:hAnsi="宋体" w:cs="宋体"/>
          <w:bCs/>
          <w:color w:val="auto"/>
          <w:szCs w:val="21"/>
          <w:u w:val="single"/>
        </w:rPr>
      </w:pPr>
      <w:r>
        <w:rPr>
          <w:rFonts w:hint="eastAsia" w:ascii="宋体" w:hAnsi="宋体" w:cs="宋体"/>
          <w:bCs/>
          <w:color w:val="auto"/>
          <w:szCs w:val="21"/>
        </w:rPr>
        <w:t>(2)完成施工所需水、电、通讯线路接驳的时间及地点：</w:t>
      </w:r>
      <w:r>
        <w:rPr>
          <w:rFonts w:hint="eastAsia" w:ascii="宋体" w:hAnsi="宋体" w:cs="宋体"/>
          <w:color w:val="auto"/>
          <w:szCs w:val="21"/>
          <w:u w:val="single"/>
        </w:rPr>
        <w:t>发包人仅就近提供水、电接驳点，其他由承包人自行解决，通讯由承包人自行负责。施工场地内接驳</w:t>
      </w:r>
      <w:r>
        <w:rPr>
          <w:rFonts w:hint="eastAsia" w:ascii="宋体" w:hAnsi="宋体" w:cs="宋体"/>
          <w:bCs/>
          <w:color w:val="auto"/>
          <w:szCs w:val="21"/>
          <w:u w:val="single"/>
        </w:rPr>
        <w:t>给排水管道</w:t>
      </w:r>
      <w:r>
        <w:rPr>
          <w:rFonts w:hint="eastAsia" w:ascii="宋体" w:hAnsi="宋体" w:cs="宋体"/>
          <w:color w:val="auto"/>
          <w:szCs w:val="21"/>
          <w:u w:val="single"/>
        </w:rPr>
        <w:t>、电力管线和用电、用水、通讯等费用已包含在本合同价款内，承包人安装独立的施工用水、用电计量表，按水表、电表实际用量缴回水电费给供给单位。承包人为保证工期和质量而采取的其他措施（包括自行发电、自行供水等）所发生的相关费用发包人不作补偿。</w:t>
      </w:r>
    </w:p>
    <w:p>
      <w:pPr>
        <w:tabs>
          <w:tab w:val="left" w:pos="1100"/>
        </w:tabs>
        <w:autoSpaceDE w:val="0"/>
        <w:autoSpaceDN w:val="0"/>
        <w:spacing w:before="96" w:line="300" w:lineRule="auto"/>
        <w:ind w:firstLine="420" w:firstLineChars="200"/>
        <w:jc w:val="left"/>
        <w:rPr>
          <w:rFonts w:ascii="宋体" w:hAnsi="宋体" w:cs="宋体"/>
          <w:bCs/>
          <w:color w:val="auto"/>
          <w:szCs w:val="21"/>
          <w:u w:val="single"/>
        </w:rPr>
      </w:pPr>
      <w:r>
        <w:rPr>
          <w:rFonts w:hint="eastAsia" w:ascii="宋体" w:hAnsi="宋体" w:cs="宋体"/>
          <w:bCs/>
          <w:color w:val="auto"/>
          <w:szCs w:val="21"/>
        </w:rPr>
        <w:t>(3)</w:t>
      </w:r>
      <w:r>
        <w:rPr>
          <w:rFonts w:hint="eastAsia" w:ascii="宋体" w:hAnsi="宋体" w:cs="宋体"/>
          <w:color w:val="auto"/>
          <w:szCs w:val="21"/>
        </w:rPr>
        <w:t>开通施工现场与城乡公共道路间的通道的时间</w:t>
      </w:r>
      <w:r>
        <w:rPr>
          <w:rFonts w:hint="eastAsia" w:ascii="宋体" w:hAnsi="宋体" w:cs="宋体"/>
          <w:bCs/>
          <w:color w:val="auto"/>
          <w:szCs w:val="21"/>
        </w:rPr>
        <w:t>：</w:t>
      </w:r>
      <w:r>
        <w:rPr>
          <w:rFonts w:hint="eastAsia" w:ascii="宋体" w:hAnsi="宋体" w:cs="宋体"/>
          <w:bCs/>
          <w:color w:val="auto"/>
          <w:szCs w:val="21"/>
          <w:u w:val="single"/>
        </w:rPr>
        <w:t xml:space="preserve">  已开通 。</w:t>
      </w:r>
    </w:p>
    <w:p>
      <w:pPr>
        <w:autoSpaceDE w:val="0"/>
        <w:autoSpaceDN w:val="0"/>
        <w:spacing w:before="96" w:line="300" w:lineRule="auto"/>
        <w:ind w:firstLine="420" w:firstLineChars="200"/>
        <w:jc w:val="left"/>
        <w:rPr>
          <w:rFonts w:ascii="宋体" w:hAnsi="宋体" w:cs="宋体"/>
          <w:bCs/>
          <w:color w:val="auto"/>
          <w:szCs w:val="21"/>
          <w:u w:val="single"/>
        </w:rPr>
      </w:pPr>
      <w:r>
        <w:rPr>
          <w:rFonts w:hint="eastAsia" w:ascii="宋体" w:hAnsi="宋体" w:cs="宋体"/>
          <w:bCs/>
          <w:color w:val="auto"/>
          <w:szCs w:val="21"/>
        </w:rPr>
        <w:t>(4)提供</w:t>
      </w:r>
      <w:r>
        <w:rPr>
          <w:rFonts w:hint="eastAsia" w:ascii="宋体" w:hAnsi="宋体" w:cs="宋体"/>
          <w:color w:val="auto"/>
          <w:szCs w:val="21"/>
        </w:rPr>
        <w:t>施工所需的</w:t>
      </w:r>
      <w:r>
        <w:rPr>
          <w:rFonts w:hint="eastAsia" w:ascii="宋体" w:hAnsi="宋体" w:cs="宋体"/>
          <w:bCs/>
          <w:color w:val="auto"/>
          <w:szCs w:val="21"/>
        </w:rPr>
        <w:t>有关资料的时间：</w:t>
      </w:r>
      <w:r>
        <w:rPr>
          <w:rFonts w:hint="eastAsia" w:ascii="宋体" w:hAnsi="宋体" w:cs="宋体"/>
          <w:bCs/>
          <w:color w:val="auto"/>
          <w:szCs w:val="21"/>
          <w:u w:val="single"/>
        </w:rPr>
        <w:t>开工前三天现场甲方管辖的水电管线走向；施工场地及周围的地下管线（包括煤气管道）、建筑物、构筑物（含文物保护建筑）、名树名木的资料由承包人自行调查核实，费用已包含在合同价款中，发包人不另行计量支付，发包人可提供可能的协助和方便。</w:t>
      </w:r>
    </w:p>
    <w:p>
      <w:pPr>
        <w:autoSpaceDE w:val="0"/>
        <w:autoSpaceDN w:val="0"/>
        <w:spacing w:before="96" w:line="300" w:lineRule="auto"/>
        <w:ind w:firstLine="420" w:firstLineChars="200"/>
        <w:jc w:val="left"/>
        <w:rPr>
          <w:rFonts w:ascii="宋体" w:hAnsi="宋体" w:cs="宋体"/>
          <w:bCs/>
          <w:color w:val="auto"/>
          <w:szCs w:val="21"/>
          <w:u w:val="single"/>
        </w:rPr>
      </w:pPr>
      <w:r>
        <w:rPr>
          <w:rFonts w:hint="eastAsia" w:ascii="宋体" w:hAnsi="宋体" w:cs="宋体"/>
          <w:bCs/>
          <w:color w:val="auto"/>
          <w:szCs w:val="21"/>
        </w:rPr>
        <w:t>(5)</w:t>
      </w:r>
      <w:r>
        <w:rPr>
          <w:rFonts w:hint="eastAsia" w:ascii="宋体" w:hAnsi="宋体" w:cs="宋体"/>
          <w:color w:val="auto"/>
          <w:szCs w:val="21"/>
        </w:rPr>
        <w:t>办理施工所需的有关证件和批准手续的时间</w:t>
      </w:r>
      <w:r>
        <w:rPr>
          <w:rFonts w:hint="eastAsia" w:ascii="宋体" w:hAnsi="宋体" w:cs="宋体"/>
          <w:bCs/>
          <w:color w:val="auto"/>
          <w:szCs w:val="21"/>
        </w:rPr>
        <w:t>：</w:t>
      </w:r>
      <w:r>
        <w:rPr>
          <w:rFonts w:hint="eastAsia" w:ascii="宋体" w:hAnsi="宋体" w:cs="宋体"/>
          <w:bCs/>
          <w:color w:val="auto"/>
          <w:szCs w:val="21"/>
          <w:u w:val="single"/>
        </w:rPr>
        <w:t>不需要。</w:t>
      </w:r>
    </w:p>
    <w:p>
      <w:pPr>
        <w:autoSpaceDE w:val="0"/>
        <w:autoSpaceDN w:val="0"/>
        <w:spacing w:before="96" w:line="300" w:lineRule="auto"/>
        <w:ind w:firstLine="420" w:firstLineChars="200"/>
        <w:jc w:val="left"/>
        <w:rPr>
          <w:rFonts w:ascii="宋体" w:hAnsi="宋体" w:cs="宋体"/>
          <w:bCs/>
          <w:color w:val="auto"/>
          <w:szCs w:val="21"/>
        </w:rPr>
      </w:pPr>
      <w:r>
        <w:rPr>
          <w:rFonts w:hint="eastAsia" w:ascii="宋体" w:hAnsi="宋体" w:cs="宋体"/>
          <w:bCs/>
          <w:color w:val="auto"/>
          <w:szCs w:val="21"/>
        </w:rPr>
        <w:t>(6)现场交验的时间：</w:t>
      </w:r>
      <w:r>
        <w:rPr>
          <w:rFonts w:hint="eastAsia" w:ascii="宋体" w:hAnsi="宋体" w:cs="宋体"/>
          <w:bCs/>
          <w:color w:val="auto"/>
          <w:szCs w:val="21"/>
          <w:u w:val="single"/>
        </w:rPr>
        <w:t>签订合同后3天。</w:t>
      </w:r>
    </w:p>
    <w:p>
      <w:pPr>
        <w:tabs>
          <w:tab w:val="left" w:pos="1100"/>
        </w:tabs>
        <w:autoSpaceDE w:val="0"/>
        <w:autoSpaceDN w:val="0"/>
        <w:spacing w:before="96" w:line="300" w:lineRule="auto"/>
        <w:ind w:firstLine="420" w:firstLineChars="200"/>
        <w:jc w:val="left"/>
        <w:rPr>
          <w:rFonts w:ascii="宋体" w:hAnsi="宋体" w:cs="宋体"/>
          <w:bCs/>
          <w:color w:val="auto"/>
          <w:szCs w:val="21"/>
          <w:u w:val="single"/>
        </w:rPr>
      </w:pPr>
      <w:r>
        <w:rPr>
          <w:rFonts w:hint="eastAsia" w:ascii="宋体" w:hAnsi="宋体" w:cs="宋体"/>
          <w:bCs/>
          <w:color w:val="auto"/>
          <w:szCs w:val="21"/>
        </w:rPr>
        <w:t>(7)</w:t>
      </w:r>
      <w:r>
        <w:rPr>
          <w:rFonts w:hint="eastAsia" w:ascii="宋体" w:hAnsi="宋体" w:cs="宋体"/>
          <w:color w:val="auto"/>
          <w:szCs w:val="21"/>
        </w:rPr>
        <w:t>提供标准与规范的时间</w:t>
      </w:r>
      <w:r>
        <w:rPr>
          <w:rFonts w:hint="eastAsia" w:ascii="宋体" w:hAnsi="宋体" w:cs="宋体"/>
          <w:bCs/>
          <w:color w:val="auto"/>
          <w:szCs w:val="21"/>
        </w:rPr>
        <w:t>：</w:t>
      </w:r>
      <w:r>
        <w:rPr>
          <w:rFonts w:hint="eastAsia" w:ascii="宋体" w:hAnsi="宋体" w:cs="宋体"/>
          <w:bCs/>
          <w:color w:val="auto"/>
          <w:szCs w:val="21"/>
          <w:u w:val="single"/>
        </w:rPr>
        <w:t>由承包人自行购买。</w:t>
      </w:r>
    </w:p>
    <w:p>
      <w:pPr>
        <w:tabs>
          <w:tab w:val="left" w:pos="1100"/>
        </w:tabs>
        <w:autoSpaceDE w:val="0"/>
        <w:autoSpaceDN w:val="0"/>
        <w:spacing w:before="96" w:line="300" w:lineRule="auto"/>
        <w:ind w:firstLine="420" w:firstLineChars="200"/>
        <w:jc w:val="left"/>
        <w:rPr>
          <w:rFonts w:ascii="宋体" w:hAnsi="宋体" w:cs="宋体"/>
          <w:bCs/>
          <w:color w:val="auto"/>
          <w:szCs w:val="21"/>
          <w:u w:val="single"/>
        </w:rPr>
      </w:pPr>
      <w:r>
        <w:rPr>
          <w:rFonts w:hint="eastAsia" w:ascii="宋体" w:hAnsi="宋体" w:cs="宋体"/>
          <w:bCs/>
          <w:color w:val="auto"/>
          <w:szCs w:val="21"/>
        </w:rPr>
        <w:t>(8)组织图纸会审和设计交底的时间：</w:t>
      </w:r>
      <w:r>
        <w:rPr>
          <w:rFonts w:hint="eastAsia" w:ascii="宋体" w:hAnsi="宋体" w:cs="宋体"/>
          <w:bCs/>
          <w:color w:val="auto"/>
          <w:szCs w:val="21"/>
          <w:u w:val="single"/>
        </w:rPr>
        <w:t>合同签订后7日内，具体时间由发包人以书面形式通知承包人。后续设计变更如需图纸会审，按施工进度要求分阶段完成。</w:t>
      </w:r>
    </w:p>
    <w:p>
      <w:pPr>
        <w:tabs>
          <w:tab w:val="left" w:pos="1100"/>
        </w:tabs>
        <w:autoSpaceDE w:val="0"/>
        <w:autoSpaceDN w:val="0"/>
        <w:spacing w:before="96" w:line="300" w:lineRule="auto"/>
        <w:ind w:firstLine="420" w:firstLineChars="200"/>
        <w:jc w:val="left"/>
        <w:rPr>
          <w:rFonts w:ascii="宋体" w:hAnsi="宋体" w:cs="宋体"/>
          <w:bCs/>
          <w:color w:val="auto"/>
          <w:szCs w:val="21"/>
          <w:u w:val="single"/>
        </w:rPr>
      </w:pPr>
      <w:r>
        <w:rPr>
          <w:rFonts w:hint="eastAsia" w:ascii="宋体" w:hAnsi="宋体" w:cs="宋体"/>
          <w:bCs/>
          <w:color w:val="auto"/>
          <w:szCs w:val="21"/>
        </w:rPr>
        <w:t>(9)协调处理施工场地周围地形关系问题和做好邻近建筑物等的保护工作的约定：</w:t>
      </w:r>
      <w:r>
        <w:rPr>
          <w:rFonts w:hint="eastAsia" w:ascii="宋体" w:hAnsi="宋体" w:cs="宋体"/>
          <w:bCs/>
          <w:color w:val="auto"/>
          <w:szCs w:val="21"/>
          <w:u w:val="single"/>
        </w:rPr>
        <w:t>由承包人承担施工场地及周围的地下管线（包括供水、供电、供气、电讯、油管等）、建筑物、构筑物（含文物保护建筑）、名树名木的保护工作。并且由承包人承担在施工过程造成其损伤而引起的责任和损失，费用已包含在合同价款中，发包人不另行计量支付。</w:t>
      </w:r>
    </w:p>
    <w:p>
      <w:pPr>
        <w:spacing w:before="96" w:line="300" w:lineRule="auto"/>
        <w:ind w:firstLine="420" w:firstLineChars="200"/>
        <w:jc w:val="left"/>
        <w:rPr>
          <w:rFonts w:ascii="宋体" w:hAnsi="宋体" w:cs="宋体"/>
          <w:bCs/>
          <w:color w:val="auto"/>
          <w:szCs w:val="21"/>
        </w:rPr>
      </w:pPr>
      <w:r>
        <w:rPr>
          <w:rFonts w:hint="eastAsia" w:ascii="宋体" w:hAnsi="宋体" w:cs="宋体"/>
          <w:bCs/>
          <w:color w:val="auto"/>
          <w:szCs w:val="21"/>
        </w:rPr>
        <w:t>委托给承包人负责的部分工作有：</w:t>
      </w:r>
      <w:r>
        <w:rPr>
          <w:rFonts w:hint="eastAsia" w:ascii="宋体" w:hAnsi="宋体" w:cs="宋体"/>
          <w:bCs/>
          <w:color w:val="auto"/>
          <w:szCs w:val="21"/>
          <w:u w:val="single"/>
        </w:rPr>
        <w:t>施工场地及周围的地下管线（包括煤气管道）、建筑物、构筑物（含文物保护建筑）、名树名木的资料的调查核实。</w:t>
      </w:r>
      <w:r>
        <w:rPr>
          <w:rFonts w:hint="eastAsia" w:ascii="宋体" w:hAnsi="宋体" w:cs="宋体"/>
          <w:b/>
          <w:bCs/>
          <w:color w:val="auto"/>
          <w:szCs w:val="21"/>
          <w:u w:val="single"/>
        </w:rPr>
        <w:t>对通用条款中应由发包人承担的工作而发包人委托承包人承担的，承包人已在投标时审慎报价，有关费用已包含在合同总价，发包人不再作补偿。</w:t>
      </w:r>
    </w:p>
    <w:p>
      <w:pPr>
        <w:tabs>
          <w:tab w:val="left" w:pos="1240"/>
        </w:tabs>
        <w:autoSpaceDE w:val="0"/>
        <w:autoSpaceDN w:val="0"/>
        <w:spacing w:before="96" w:line="300" w:lineRule="auto"/>
        <w:ind w:firstLine="420" w:firstLineChars="200"/>
        <w:jc w:val="left"/>
        <w:rPr>
          <w:rFonts w:ascii="宋体" w:hAnsi="宋体" w:cs="宋体"/>
          <w:bCs/>
          <w:color w:val="auto"/>
          <w:szCs w:val="21"/>
          <w:u w:val="single"/>
        </w:rPr>
      </w:pPr>
      <w:r>
        <w:rPr>
          <w:rFonts w:hint="eastAsia" w:ascii="宋体" w:hAnsi="宋体" w:cs="宋体"/>
          <w:bCs/>
          <w:color w:val="auto"/>
          <w:szCs w:val="21"/>
        </w:rPr>
        <w:t>19.3 提供施工场地的时间：</w:t>
      </w:r>
      <w:r>
        <w:rPr>
          <w:rFonts w:hint="eastAsia" w:ascii="宋体" w:hAnsi="宋体" w:cs="宋体"/>
          <w:bCs/>
          <w:color w:val="auto"/>
          <w:szCs w:val="21"/>
          <w:u w:val="single"/>
        </w:rPr>
        <w:t>发包人在施工合同签订后一周内按现状提供施工场地，但发包人保留其工作人员、雇员、发包人有关合作单位和相关执法人员进入和使用施工场地的权利。</w:t>
      </w:r>
    </w:p>
    <w:p>
      <w:pPr>
        <w:spacing w:before="96" w:line="300" w:lineRule="auto"/>
        <w:ind w:firstLine="420" w:firstLineChars="200"/>
        <w:jc w:val="left"/>
        <w:rPr>
          <w:rFonts w:ascii="宋体" w:hAnsi="宋体" w:cs="宋体"/>
          <w:color w:val="auto"/>
          <w:szCs w:val="21"/>
        </w:rPr>
      </w:pPr>
      <w:r>
        <w:rPr>
          <w:rFonts w:hint="eastAsia" w:ascii="宋体" w:hAnsi="宋体" w:cs="宋体"/>
          <w:color w:val="auto"/>
          <w:szCs w:val="21"/>
        </w:rPr>
        <w:t>19.4 支付款项</w:t>
      </w:r>
    </w:p>
    <w:p>
      <w:pPr>
        <w:spacing w:before="96" w:line="300" w:lineRule="auto"/>
        <w:ind w:firstLine="420" w:firstLineChars="200"/>
        <w:jc w:val="left"/>
        <w:rPr>
          <w:rFonts w:ascii="宋体" w:hAnsi="宋体" w:cs="宋体"/>
          <w:color w:val="auto"/>
          <w:szCs w:val="21"/>
        </w:rPr>
      </w:pPr>
      <w:r>
        <w:rPr>
          <w:rFonts w:hint="eastAsia" w:ascii="宋体" w:hAnsi="宋体" w:cs="宋体"/>
          <w:color w:val="auto"/>
          <w:szCs w:val="21"/>
        </w:rPr>
        <w:t>(1) 工程款支付期限</w:t>
      </w:r>
    </w:p>
    <w:p>
      <w:pPr>
        <w:spacing w:before="96" w:line="300" w:lineRule="auto"/>
        <w:ind w:firstLine="420" w:firstLineChars="200"/>
        <w:jc w:val="left"/>
        <w:rPr>
          <w:rFonts w:ascii="宋体" w:hAnsi="宋体" w:cs="宋体"/>
          <w:color w:val="auto"/>
          <w:kern w:val="0"/>
          <w:szCs w:val="21"/>
        </w:rPr>
      </w:pPr>
      <w:r>
        <w:rPr>
          <w:rFonts w:hint="eastAsia" w:ascii="宋体" w:hAnsi="宋体" w:cs="宋体"/>
          <w:bCs/>
          <w:color w:val="auto"/>
          <w:szCs w:val="21"/>
        </w:rPr>
        <w:t>□</w:t>
      </w:r>
      <w:r>
        <w:rPr>
          <w:rFonts w:hint="eastAsia" w:ascii="宋体" w:hAnsi="宋体" w:cs="宋体"/>
          <w:color w:val="auto"/>
          <w:kern w:val="0"/>
          <w:szCs w:val="21"/>
        </w:rPr>
        <w:t xml:space="preserve"> 按通用条款第80.3款、第81.3款、第83.3款等规定期限支付。</w:t>
      </w:r>
    </w:p>
    <w:p>
      <w:pPr>
        <w:spacing w:before="96" w:line="300" w:lineRule="auto"/>
        <w:ind w:firstLine="420" w:firstLineChars="200"/>
        <w:jc w:val="left"/>
        <w:rPr>
          <w:rFonts w:ascii="宋体" w:hAnsi="宋体" w:cs="宋体"/>
          <w:color w:val="auto"/>
          <w:kern w:val="0"/>
          <w:szCs w:val="21"/>
          <w:u w:val="single"/>
        </w:rPr>
      </w:pPr>
      <w:r>
        <w:rPr>
          <w:rFonts w:hint="eastAsia" w:ascii="宋体" w:hAnsi="宋体" w:cs="宋体"/>
          <w:color w:val="auto"/>
          <w:kern w:val="0"/>
          <w:szCs w:val="21"/>
        </w:rPr>
        <w:t>■ 另作约定：</w:t>
      </w:r>
      <w:r>
        <w:rPr>
          <w:rFonts w:hint="eastAsia" w:ascii="宋体" w:hAnsi="宋体" w:cs="宋体"/>
          <w:color w:val="auto"/>
          <w:kern w:val="0"/>
          <w:szCs w:val="21"/>
          <w:u w:val="single"/>
        </w:rPr>
        <w:t>按合同专用条款中81.1执行。</w:t>
      </w:r>
    </w:p>
    <w:p>
      <w:pPr>
        <w:spacing w:before="96" w:line="30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(2) 工程款支付方式</w:t>
      </w:r>
    </w:p>
    <w:p>
      <w:pPr>
        <w:spacing w:before="96" w:line="30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 按协议书所注明的银行账户转账。本项目发包人为业主单位，发票须以业主单位名称开具。</w:t>
      </w:r>
    </w:p>
    <w:p>
      <w:pPr>
        <w:spacing w:before="96" w:line="30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 支票支付。</w:t>
      </w:r>
    </w:p>
    <w:p>
      <w:pPr>
        <w:spacing w:before="96" w:line="30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 其他方式：</w:t>
      </w:r>
    </w:p>
    <w:p>
      <w:pPr>
        <w:autoSpaceDE w:val="0"/>
        <w:autoSpaceDN w:val="0"/>
        <w:spacing w:before="96" w:line="300" w:lineRule="auto"/>
        <w:ind w:right="-40"/>
        <w:jc w:val="left"/>
        <w:rPr>
          <w:rFonts w:ascii="宋体" w:hAnsi="宋体" w:cs="宋体"/>
          <w:b/>
          <w:color w:val="auto"/>
          <w:szCs w:val="21"/>
        </w:rPr>
      </w:pPr>
      <w:r>
        <w:rPr>
          <w:rFonts w:hint="eastAsia" w:ascii="宋体" w:hAnsi="宋体" w:cs="宋体"/>
          <w:b/>
          <w:color w:val="auto"/>
          <w:szCs w:val="21"/>
        </w:rPr>
        <w:t>20．承包人</w:t>
      </w:r>
    </w:p>
    <w:p>
      <w:pPr>
        <w:tabs>
          <w:tab w:val="left" w:pos="1240"/>
        </w:tabs>
        <w:autoSpaceDE w:val="0"/>
        <w:autoSpaceDN w:val="0"/>
        <w:spacing w:before="96" w:line="300" w:lineRule="auto"/>
        <w:ind w:firstLine="420" w:firstLineChars="200"/>
        <w:jc w:val="left"/>
        <w:rPr>
          <w:rFonts w:ascii="宋体" w:hAnsi="宋体" w:cs="宋体"/>
          <w:bCs/>
          <w:color w:val="auto"/>
          <w:szCs w:val="21"/>
        </w:rPr>
      </w:pPr>
      <w:r>
        <w:rPr>
          <w:rFonts w:hint="eastAsia" w:ascii="宋体" w:hAnsi="宋体" w:cs="宋体"/>
          <w:bCs/>
          <w:color w:val="auto"/>
          <w:szCs w:val="21"/>
        </w:rPr>
        <w:t>20.2 承包人完成下列工作的约定</w:t>
      </w:r>
    </w:p>
    <w:p>
      <w:pPr>
        <w:spacing w:before="96" w:line="30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(3)提交支付申请和工程款额报告期限</w:t>
      </w:r>
    </w:p>
    <w:p>
      <w:pPr>
        <w:spacing w:before="96" w:line="30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 按通用条款第80.2款、第81.1款、第83.1款等规定期限提交。</w:t>
      </w:r>
    </w:p>
    <w:p>
      <w:pPr>
        <w:tabs>
          <w:tab w:val="left" w:pos="1240"/>
        </w:tabs>
        <w:autoSpaceDE w:val="0"/>
        <w:autoSpaceDN w:val="0"/>
        <w:spacing w:before="96" w:line="300" w:lineRule="auto"/>
        <w:ind w:firstLine="420" w:firstLineChars="200"/>
        <w:jc w:val="left"/>
        <w:rPr>
          <w:rFonts w:ascii="宋体" w:hAnsi="宋体" w:cs="宋体"/>
          <w:bCs/>
          <w:color w:val="auto"/>
          <w:szCs w:val="21"/>
        </w:rPr>
      </w:pPr>
      <w:r>
        <w:rPr>
          <w:rFonts w:hint="eastAsia" w:ascii="宋体" w:hAnsi="宋体" w:cs="宋体"/>
          <w:color w:val="auto"/>
          <w:kern w:val="0"/>
          <w:szCs w:val="21"/>
        </w:rPr>
        <w:t>□ 另作约定：</w:t>
      </w:r>
    </w:p>
    <w:p>
      <w:pPr>
        <w:spacing w:before="96" w:line="300" w:lineRule="auto"/>
        <w:ind w:firstLine="420" w:firstLineChars="200"/>
        <w:jc w:val="left"/>
        <w:rPr>
          <w:rFonts w:ascii="宋体" w:hAnsi="宋体" w:cs="宋体"/>
          <w:color w:val="auto"/>
          <w:kern w:val="0"/>
          <w:szCs w:val="21"/>
          <w:u w:val="single"/>
        </w:rPr>
      </w:pPr>
      <w:r>
        <w:rPr>
          <w:rFonts w:hint="eastAsia" w:ascii="宋体" w:hAnsi="宋体" w:cs="宋体"/>
          <w:color w:val="auto"/>
          <w:kern w:val="0"/>
          <w:szCs w:val="21"/>
        </w:rPr>
        <w:t>(5)向发包人提供施工现场办公和生活的房屋设施的时间和要求：</w:t>
      </w:r>
      <w:r>
        <w:rPr>
          <w:rFonts w:hint="eastAsia" w:ascii="宋体" w:hAnsi="宋体" w:cs="宋体"/>
          <w:color w:val="auto"/>
          <w:kern w:val="0"/>
          <w:szCs w:val="21"/>
          <w:u w:val="single"/>
        </w:rPr>
        <w:t>不需要。</w:t>
      </w:r>
    </w:p>
    <w:p>
      <w:pPr>
        <w:spacing w:before="96" w:line="300" w:lineRule="auto"/>
        <w:ind w:firstLine="420" w:firstLineChars="200"/>
        <w:jc w:val="left"/>
        <w:rPr>
          <w:rFonts w:ascii="宋体" w:hAnsi="宋体" w:cs="宋体"/>
          <w:color w:val="auto"/>
          <w:kern w:val="0"/>
          <w:szCs w:val="21"/>
          <w:u w:val="single"/>
        </w:rPr>
      </w:pPr>
      <w:r>
        <w:rPr>
          <w:rFonts w:hint="eastAsia" w:ascii="宋体" w:hAnsi="宋体" w:cs="宋体"/>
          <w:color w:val="auto"/>
          <w:kern w:val="0"/>
          <w:szCs w:val="21"/>
        </w:rPr>
        <w:t>(6)办完施工场地交通、环境保护、施工噪声、安全文明施工等手续的时间：</w:t>
      </w:r>
      <w:r>
        <w:rPr>
          <w:rFonts w:hint="eastAsia" w:ascii="宋体" w:hAnsi="宋体" w:cs="宋体"/>
          <w:color w:val="auto"/>
          <w:szCs w:val="21"/>
          <w:u w:val="single"/>
        </w:rPr>
        <w:t>开工前完成。</w:t>
      </w:r>
    </w:p>
    <w:p>
      <w:pPr>
        <w:spacing w:before="96" w:line="30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(8)做好施工场地地下管线和邻近建筑物、构筑物（包括文物保护建筑）、古树名木保护工作的约定：</w:t>
      </w:r>
      <w:r>
        <w:rPr>
          <w:rFonts w:hint="eastAsia" w:ascii="宋体" w:hAnsi="宋体" w:cs="宋体"/>
          <w:color w:val="auto"/>
          <w:kern w:val="0"/>
          <w:szCs w:val="21"/>
          <w:u w:val="single"/>
        </w:rPr>
        <w:t>由承包人自行勘查和负责保护，在开工前进行房屋及构筑物等鉴定工作，有关费用包含在本合同总价款内，发包人不再承担任何费用。因施工过程造成的破坏，由承包人负责其翻修费用、鉴定费用及赔偿责任。</w:t>
      </w:r>
    </w:p>
    <w:p>
      <w:pPr>
        <w:spacing w:before="96" w:line="300" w:lineRule="auto"/>
        <w:ind w:firstLine="420" w:firstLineChars="200"/>
        <w:jc w:val="left"/>
        <w:rPr>
          <w:rFonts w:ascii="宋体" w:hAnsi="宋体" w:cs="宋体"/>
          <w:color w:val="auto"/>
          <w:kern w:val="0"/>
          <w:szCs w:val="21"/>
          <w:u w:val="single"/>
        </w:rPr>
      </w:pPr>
      <w:r>
        <w:rPr>
          <w:rFonts w:hint="eastAsia" w:ascii="宋体" w:hAnsi="宋体" w:cs="宋体"/>
          <w:color w:val="auto"/>
          <w:kern w:val="0"/>
          <w:szCs w:val="21"/>
        </w:rPr>
        <w:t>(9)保证施工场地的清洁和做好交工前施工现场清理工作的约定：</w:t>
      </w:r>
      <w:r>
        <w:rPr>
          <w:rFonts w:hint="eastAsia" w:ascii="宋体" w:hAnsi="宋体" w:cs="宋体"/>
          <w:color w:val="auto"/>
          <w:kern w:val="0"/>
          <w:szCs w:val="21"/>
          <w:u w:val="single"/>
        </w:rPr>
        <w:t>承包人必须按广州市文明施工管理有关规定执行，做好施工场地的文明施工措施，符合有关部门的文明施工要求；在竣工后搬走所有施工机械、垃圾及剩余材料，并确保竣工现场干净、整齐。有关费用由承包人负责。</w:t>
      </w:r>
    </w:p>
    <w:p>
      <w:pPr>
        <w:spacing w:before="96" w:line="30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(10)提交竣工验收申请报告和竣工结算文件</w:t>
      </w:r>
    </w:p>
    <w:p>
      <w:pPr>
        <w:spacing w:before="96" w:line="30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 按通用条款第82.2款规定提交。</w:t>
      </w:r>
    </w:p>
    <w:p>
      <w:pPr>
        <w:spacing w:before="96" w:line="300" w:lineRule="auto"/>
        <w:ind w:firstLine="420" w:firstLineChars="200"/>
        <w:jc w:val="left"/>
        <w:rPr>
          <w:rFonts w:ascii="宋体" w:hAnsi="宋体" w:cs="宋体"/>
          <w:color w:val="auto"/>
          <w:kern w:val="0"/>
          <w:szCs w:val="21"/>
          <w:u w:val="single"/>
        </w:rPr>
      </w:pPr>
      <w:r>
        <w:rPr>
          <w:rFonts w:hint="eastAsia" w:ascii="宋体" w:hAnsi="宋体" w:cs="宋体"/>
          <w:color w:val="auto"/>
          <w:kern w:val="0"/>
          <w:szCs w:val="21"/>
        </w:rPr>
        <w:t>□ 另作约定：</w:t>
      </w:r>
    </w:p>
    <w:p>
      <w:pPr>
        <w:spacing w:before="96" w:line="30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(11)承包人正式开工前向总监提供整体项目进度计划及相应施工方案，并于每月25日前</w:t>
      </w:r>
      <w:r>
        <w:rPr>
          <w:rFonts w:hint="eastAsia" w:ascii="宋体" w:hAnsi="宋体" w:cs="宋体"/>
          <w:bCs/>
          <w:color w:val="auto"/>
          <w:szCs w:val="21"/>
        </w:rPr>
        <w:t>向总监理工程师提供如下计划、报表，经监理单位审核后，报发包人批准后实施：</w:t>
      </w:r>
    </w:p>
    <w:p>
      <w:pPr>
        <w:spacing w:before="96" w:line="30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a、当月应完成的工程进度和实际完成进度统计报表一式六份（说明提前或拖延原因（时间从上月25日至当月24日）；</w:t>
      </w:r>
    </w:p>
    <w:p>
      <w:pPr>
        <w:spacing w:before="96" w:line="30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b、当月完成的工程量申报,要求分细项申报,并有完成金额一式六份（时间从上月25日至当月24日）；</w:t>
      </w:r>
    </w:p>
    <w:p>
      <w:pPr>
        <w:spacing w:before="96" w:line="30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c、下月资金使用计划一式六份（时间从本月25日至下月24日）；</w:t>
      </w:r>
    </w:p>
    <w:p>
      <w:pPr>
        <w:spacing w:before="96" w:line="30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d、下月施工进度计划一式六份（时间从本月25日至下月24日）；</w:t>
      </w:r>
    </w:p>
    <w:p>
      <w:pPr>
        <w:spacing w:before="96" w:line="30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e、下月施工拟投入设备、劳动力计划一式六份（时间从本月25日至下月24日）；</w:t>
      </w:r>
    </w:p>
    <w:p>
      <w:pPr>
        <w:spacing w:before="96" w:line="30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f、当月工程质量、安全生产、文明施工情况报告一式六份（时间从上月25日至当月24日）；</w:t>
      </w:r>
    </w:p>
    <w:p>
      <w:pPr>
        <w:spacing w:before="96" w:line="30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 xml:space="preserve">g、承包人负责向发包人提供工程事故报告一式六份（如果发生时）。 </w:t>
      </w:r>
    </w:p>
    <w:p>
      <w:pPr>
        <w:spacing w:before="96" w:line="30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h、承包人应在每月的25日前递交上月的工程进度款《资金使用反馈表》，由监理工程师核实确认资金落实情况，保证承包人及平行分包专业应将工程进度款专用于实施本合同工程所需的材料及人工费用、施工机械、工程设备。</w:t>
      </w:r>
    </w:p>
    <w:p>
      <w:pPr>
        <w:spacing w:before="96" w:line="30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i、承包人应在每月25日前向发包人提交对各专业间的组织管理、协调、配合等方面情况及所出现问题的专项报告。</w:t>
      </w:r>
    </w:p>
    <w:p>
      <w:pPr>
        <w:spacing w:before="96" w:line="30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注：所述的计划、报表的具体格式，由监理提供并须经发包人审定，不足的先由承包人提出格式建议，经监理单位和发包人调整后按统一格式执行。</w:t>
      </w:r>
    </w:p>
    <w:p>
      <w:pPr>
        <w:spacing w:before="96" w:line="30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(12)承包人需配合由发包人委托的桩基等检测项目的检测工作，负责按检测单位要求提供水源、电源、脚手架、场地、钻芯孔回灌封闭所需的水泥等、相关预埋件的埋设、结构实体检测后的恢复工作等准备、配合工作，所发生相关费用由承包人负责。</w:t>
      </w:r>
    </w:p>
    <w:p>
      <w:pPr>
        <w:spacing w:before="96" w:line="30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(13)根据工程需要，承包人提供和维修白天或夜间施工使用的照明、围栏设施，并负责安全保卫。若承包人未履行上述义务造成工程、财产、人身损害等，由承包人承担责任及因此所发生的一切费用。</w:t>
      </w:r>
    </w:p>
    <w:p>
      <w:pPr>
        <w:spacing w:before="96" w:line="30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在承包人进场后，承包人应作为本项目施工场地总负责人，负责施工场地安全和文明施工管理，承担一切安全保卫义务，要求符合《广州市建设工程文明施工管理方法（试行）》穗建筑[1999]175号规定。</w:t>
      </w:r>
    </w:p>
    <w:p>
      <w:pPr>
        <w:spacing w:before="96" w:line="30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(14)需承包人办理的有关场地交通、环卫和施工噪音管理等手续：按工程所在地政府的规定办理并承担由此发生的费用，并在开工后1个月内以书面形式知会发包人。</w:t>
      </w:r>
    </w:p>
    <w:p>
      <w:pPr>
        <w:spacing w:before="96" w:line="30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(15)已完工程成品保护的特殊要求及费用承担：未移交后续施工单位使用前或未移交养护单位养护前，对自行施工的已完工工程的保护工作及费用均由承包人负责，发生损坏由承包人自费修复；</w:t>
      </w:r>
    </w:p>
    <w:p>
      <w:pPr>
        <w:spacing w:before="96" w:line="30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(16)承包人应对施工场地及周围的地下管线、建筑物、构筑物（含文物保护建筑）、古树名木之状况进行勘察，根据勘察结果确定具体的保护措施并承担有关费用。本项目经过城镇居民住宅区，应充分考虑施工准备措施和施工方案，加强安全文明施工，避免扰民和发生纠纷。因此，发包人要求：①施工前后应对周边的房屋进行安全鉴定并制定相应的安全保护措施；②按规定需要围蔽施工的必须围蔽施工；③应限制作业时间避免扰民并制定可行措施保证周边居民接受施工。承包人应将上述可能发生的鉴定费和措施费考虑在合同报价中，任何由于承包人未按照上述要求进行安全文明施工所引起的纠纷由承包人负责并保证发包人免于任何可能的指控和赔偿。</w:t>
      </w:r>
    </w:p>
    <w:p>
      <w:pPr>
        <w:spacing w:before="96" w:line="30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承包人应对上述内容所采取的保护措施进行监测及维护，并应根据监测结果及时反馈信息指导施工，以确保上述受保护物件及作业人员、居民的安全。因承包人原因，受保护物件发生损坏的，由承包人承担责任并负责赔偿。</w:t>
      </w:r>
    </w:p>
    <w:p>
      <w:pPr>
        <w:spacing w:before="96" w:line="30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(17)施工场地清洁卫生的要求：承包人须按发包人批准的施工组织设计进行施工现场布置、放置材料机械及其他设施，完成场地硬体化、排水管道化，及时将施工垃圾、余泥运出场外，达到省、市文明施工样板工地标准，保证施工场地清洁符合环境卫生管理的有关规定，若承包人施工场地要求达不到上述要求，发包人有权委托相关单位进行清理，所需费用从工程进度款中扣除。</w:t>
      </w:r>
    </w:p>
    <w:p>
      <w:pPr>
        <w:spacing w:before="96" w:line="30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交工前清理现场要求：工程竣工验收后10天内，承包人应对施工场地进行清理。施工场地的清理应达到发包人及监理单位的规定要求。</w:t>
      </w:r>
    </w:p>
    <w:p>
      <w:pPr>
        <w:spacing w:before="96" w:line="30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(18)散体物料运输车辆的要求：承包人必须遵守《关于加强我市建筑工地散体物料运输车辆管理的通知》（穗建筑[2007]576号）、广州市建设委员会2009年8月27日发布的《建设工地余泥渣土运输与排放源头管理工作实施意见》及近期省市建设主管部门出台的有关规定要求，对出入工地的散体物料运输车辆进行严格管理，坚决执行“一不准进，三不准出”的管理规定。</w:t>
      </w:r>
    </w:p>
    <w:p>
      <w:pPr>
        <w:spacing w:before="96" w:line="30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(19)承包人应做的其他工作：</w:t>
      </w:r>
    </w:p>
    <w:p>
      <w:pPr>
        <w:spacing w:before="96" w:line="30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(1)保证执行承包人投标时所承诺的施工组织设计中的资源投入计划，将工程施工所需的机械设备、人员、材料等资源，根据工程进度计划按时、按标准、足额投入。否则，按规定承担违反投标承诺的违约责任。</w:t>
      </w:r>
    </w:p>
    <w:p>
      <w:pPr>
        <w:spacing w:before="96" w:line="30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各分项工程开工前，承包人必须在施工组织设计中编制资源投入计划，报总监理工程师和发包人批准后实施。特别是施工所需的机械设备（包括自有和租赁），应与承包人投标时填报的品牌、数量、质量、规格、性能相符且具备正常施工功能，并配有明显的承包人单位标志，且为合法使用设备（如年检证、使用证等），便于发包人检查承包人施工设备投入情况。</w:t>
      </w:r>
    </w:p>
    <w:p>
      <w:pPr>
        <w:spacing w:before="96" w:line="30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施工过程中，承包人因特殊原因需变更资源投入计划或者对已投入的资源进行调整的，应当提前7天提出申请，报总监理工程师和发包人批准。允许机械、设备调整的原则为：所调整机械、设备，规格、标准只能比原计划提高，不能降低；数量原则上不允许减少，如确因更换先进设备提高了工效，可考虑在总工作能力不降低的前提下同意调整。未经发包人许可，承包人开工后已进场的机械设备在任何情况下都不得在计划使用期间撤出现场。若施工机械、设备在施工过程中发生损坏的情况，承包人必须在3天内修复或更换。</w:t>
      </w:r>
    </w:p>
    <w:p>
      <w:pPr>
        <w:spacing w:before="96" w:line="30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因设计变更、施工现场情况变化造成工程内容、工程量变化，须调整机械、设备的规格、数量的，承包人须在变更或变化确定后3天内，提出完整的更新施工方案和资源投入计划，报总监理工程师和发包人批准后实施。</w:t>
      </w:r>
    </w:p>
    <w:p>
      <w:pPr>
        <w:spacing w:before="96" w:line="30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承包人擅自变更资源投入计划或者对已投入的资源进行调整的，按规定承担违约责任。</w:t>
      </w:r>
    </w:p>
    <w:p>
      <w:pPr>
        <w:spacing w:before="96" w:line="30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(2)严格遵守国家、省、市有关防火、爆破和施工安全以及文明施工、夜间施工、环卫和城管等规定，建立规章制度和防护措施，并承担由于自身措施不力造成事故的责任和发生的费用。</w:t>
      </w:r>
    </w:p>
    <w:p>
      <w:pPr>
        <w:spacing w:before="96" w:line="30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(3)对施工图、技术资料认真地复核和检查，有预见性的发现和指正设计缺陷和错误，应提出能实质性地节约资金和缩短工期的建议和措施。</w:t>
      </w:r>
    </w:p>
    <w:p>
      <w:pPr>
        <w:spacing w:before="96" w:line="30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(4)工人的意外事故或伤害。对于承包人或其分包人所雇用的工人出现的伤亡事故或损失，应由承包人自行负责（但由于发包人或监理单位的行为失误所造成的除外）。对于这类伤亡或损失，发包人不负责任，不负担涉及这类伤亡或损失的索赔、诉讼、损害赔偿及其它费用。对分包单位出现的工人意外事故或伤害，由于分包单位原因造成的，承包人同样需承担连带责任。</w:t>
      </w:r>
    </w:p>
    <w:p>
      <w:pPr>
        <w:spacing w:before="96" w:line="30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(5)干扰与协调</w:t>
      </w:r>
    </w:p>
    <w:p>
      <w:pPr>
        <w:spacing w:before="96" w:line="30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a、承包人应当清楚地预计到施工期间对外界可能产生的必需的不可能避免的干扰，并为此保证主动努力减少这些干扰对外界的影响，且应当积极主动与外界进行协调。</w:t>
      </w:r>
    </w:p>
    <w:p>
      <w:pPr>
        <w:spacing w:before="96" w:line="30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b、除必须发包人出面的情况外，承包人应负责协调施工期间外界的各种干扰。</w:t>
      </w:r>
    </w:p>
    <w:p>
      <w:pPr>
        <w:spacing w:before="96" w:line="30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c、发包人将在承包人的配合下，充分运用自己对各方面的影响力，尽可能地将外界对工程的干扰减少到最少程度。这种协调并不解除承包人的各项责任与义务。</w:t>
      </w:r>
    </w:p>
    <w:p>
      <w:pPr>
        <w:spacing w:before="96" w:line="30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d、承包人应按合同规定或监理工程师的指令，为下述人员从事其工作提供配合和协助：</w:t>
      </w:r>
    </w:p>
    <w:p>
      <w:pPr>
        <w:spacing w:before="96" w:line="30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1)发包人的工作人员；</w:t>
      </w:r>
    </w:p>
    <w:p>
      <w:pPr>
        <w:spacing w:before="96" w:line="30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2)发包人的雇员；</w:t>
      </w:r>
    </w:p>
    <w:p>
      <w:pPr>
        <w:spacing w:before="96" w:line="30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3)任何政府及监督管理机构的执法人员。</w:t>
      </w:r>
    </w:p>
    <w:p>
      <w:pPr>
        <w:spacing w:before="96" w:line="30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此类指令增加了承包人的工作或支出，包括使用了承包人的设备、临时工程或通行道路等，由承包人自行承担相关费用，已包含在合同总价中。</w:t>
      </w:r>
    </w:p>
    <w:p>
      <w:pPr>
        <w:spacing w:before="96" w:line="30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(20)根据工程需要，承包人应采用计算机信息管理技术建立相应的信息技术网络，以便与发包人、各有关单位及各专业分包单位进行数据交换，提高工作效率，如政府相关主管部门要求在工地现场装备实时监控系统时，承包人应按要求安装配备并承担相关费用（包括接入发包人办公室的视频监控系统费用）。</w:t>
      </w:r>
    </w:p>
    <w:p>
      <w:pPr>
        <w:spacing w:before="96" w:line="30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(21)承包人项目管理机构中各级管理人员和所使用的机械设备的标准与数量不得低于其响应文件的标准与数量，否则，视为违约，并按相应专用条款承担违约责任。</w:t>
      </w:r>
    </w:p>
    <w:p>
      <w:pPr>
        <w:spacing w:before="96" w:line="30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(22)承包人应当按照国家及广东省、广州市的有关规定和本合同的有关约定加强其参与本合同工程建设人员（包括农民工）的管理。</w:t>
      </w:r>
    </w:p>
    <w:p>
      <w:pPr>
        <w:spacing w:before="96" w:line="30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(1)实行平安卡管理制度</w:t>
      </w:r>
    </w:p>
    <w:p>
      <w:pPr>
        <w:spacing w:before="96" w:line="30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a、承包人应按广东省、广州市的有关规定，对其参与本合同工程建设的所有管理人员和作业人员（包括农民工）实行平安卡管理制度，上岗时一律佩带平安卡。</w:t>
      </w:r>
    </w:p>
    <w:p>
      <w:pPr>
        <w:spacing w:before="96" w:line="30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b、承包人应按广东省、广州市的有关规定牵头负责其承包管理范围内所有专业单位和分包单位实行平安卡管理制度的工作并予以落实。</w:t>
      </w:r>
    </w:p>
    <w:p>
      <w:pPr>
        <w:spacing w:before="96" w:line="30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c、发包人及监理单位将不定期抽查承包人及其所管辖的专业单位和分包单位实行平安卡管理制度的情况，如发现违反本合同有关约定的，由承包人按本合同专用条款第28.9款的约定承担违约责任。如发现有冒名顶替或人不到场而代为刷卡等弄虚作假现象的，由承包人按本合同专用条款28.9款的约定承担违约责任。</w:t>
      </w:r>
    </w:p>
    <w:p>
      <w:pPr>
        <w:spacing w:before="96" w:line="30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(23)按时足额支付农民工工资</w:t>
      </w:r>
    </w:p>
    <w:p>
      <w:pPr>
        <w:spacing w:before="96" w:line="30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(1)承包人应当根据劳动合同约定的农民工工资标准等内容，按照依法签订的集体合同或劳动合同约定的日期按月支付工资，并不得低于本地最低工资标准。</w:t>
      </w:r>
    </w:p>
    <w:p>
      <w:pPr>
        <w:spacing w:before="96" w:line="30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(2)承包人应每月编制农民工工资支付表，如实记录支付时间、支付对象、支付金额等工资支付情况，并于每月底在其现场管理机构办公场所显眼位置公示，自觉接受发包人、监理等单位的检查监督。</w:t>
      </w:r>
    </w:p>
    <w:p>
      <w:pPr>
        <w:spacing w:before="96" w:line="30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(3)承包人应对其专业分包或劳务分包单位工资支付进行监督，督促其依法支付农民工工资。</w:t>
      </w:r>
    </w:p>
    <w:p>
      <w:pPr>
        <w:spacing w:before="96" w:line="30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(4)承包人应贯彻落实《广东省建设领域工人工资支付分账管理暂行办法的通知》（粤人社[2015]3号）、《关于印发广州市建设领域工人工资支付分账管理实施细则的通知》（穗建规字〔2017〕10号）文件要求。</w:t>
      </w:r>
    </w:p>
    <w:p>
      <w:pPr>
        <w:spacing w:before="96" w:line="30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(5)承包人应按上述要求及国家、地方有关规定按时足额支付农民工工资，否则视同违约，应按合同专用条款28.9款的约定承担违约责任。若因农民工工资支付原因造成劳资纠纷或由此引起社会不稳定因素（停工、集体上访、媒体曝光、聚集围阻发包人办公地点甚至政府办公部门等过激行为，对本项目造成不良社会影响的），承包人须承担一切经济和法律责任，发包人有权在承包人的工程款中扣除先行支付相关费用，解决劳资纠纷，直至解除合同。同时履约保证金不予退还。</w:t>
      </w:r>
    </w:p>
    <w:p>
      <w:pPr>
        <w:spacing w:before="96" w:line="300" w:lineRule="auto"/>
        <w:ind w:firstLine="420" w:firstLineChars="200"/>
        <w:jc w:val="left"/>
        <w:rPr>
          <w:rFonts w:ascii="宋体" w:hAnsi="宋体" w:cs="宋体"/>
          <w:color w:val="auto"/>
          <w:kern w:val="0"/>
          <w:szCs w:val="21"/>
          <w:u w:val="single"/>
        </w:rPr>
      </w:pPr>
      <w:r>
        <w:rPr>
          <w:rFonts w:hint="eastAsia" w:ascii="宋体" w:hAnsi="宋体" w:cs="宋体"/>
          <w:color w:val="auto"/>
          <w:kern w:val="0"/>
          <w:szCs w:val="21"/>
        </w:rPr>
        <w:t>(24)承包人应自备足够数量的备用发电机，以满足工程施工的需要，不得以停电为理由拖延工期。</w:t>
      </w:r>
    </w:p>
    <w:p>
      <w:pPr>
        <w:spacing w:before="96" w:line="30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20.3 承包人提供施工所需劳务、材料、国产设备、施工设备和其他物品的约定：</w:t>
      </w:r>
      <w:r>
        <w:rPr>
          <w:rFonts w:hint="eastAsia" w:ascii="宋体" w:hAnsi="宋体" w:cs="宋体"/>
          <w:color w:val="auto"/>
          <w:kern w:val="0"/>
          <w:szCs w:val="21"/>
          <w:u w:val="single"/>
        </w:rPr>
        <w:t>按通用条款要求。</w:t>
      </w:r>
    </w:p>
    <w:p>
      <w:pPr>
        <w:spacing w:before="96" w:line="30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20.4 增加以下内容：承包人应根据现场实际情况考虑切实可行的施工方案及费用，发包人不对承包人因施工方案改变而引起的任何费用的增加进行补偿。施工过程中由于承包人的施工方案未考虑周全而造成的经济损失（包括调整施工方案所增加的费用）及法律责任均由承包人承担，情况严重时发包人有权终止合同。</w:t>
      </w:r>
    </w:p>
    <w:p>
      <w:pPr>
        <w:spacing w:before="96" w:line="300" w:lineRule="auto"/>
        <w:jc w:val="left"/>
        <w:rPr>
          <w:rFonts w:ascii="宋体" w:hAnsi="宋体" w:cs="宋体"/>
          <w:b/>
          <w:bCs/>
          <w:color w:val="auto"/>
          <w:kern w:val="0"/>
          <w:szCs w:val="21"/>
        </w:rPr>
      </w:pPr>
      <w:r>
        <w:rPr>
          <w:rFonts w:hint="eastAsia" w:ascii="宋体" w:hAnsi="宋体" w:cs="宋体"/>
          <w:b/>
          <w:bCs/>
          <w:color w:val="auto"/>
          <w:kern w:val="0"/>
          <w:szCs w:val="21"/>
        </w:rPr>
        <w:t>21. 现场管理人员任命和更换</w:t>
      </w:r>
    </w:p>
    <w:p>
      <w:pPr>
        <w:spacing w:before="96" w:line="30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21.1 发包人现场管理人员任命和更换：</w:t>
      </w:r>
    </w:p>
    <w:p>
      <w:pPr>
        <w:spacing w:before="96" w:line="30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21.2 承包人代表任命和更换：</w:t>
      </w:r>
    </w:p>
    <w:p>
      <w:pPr>
        <w:spacing w:before="96" w:line="30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21.3 监理工程师代表任命和撤回：</w:t>
      </w:r>
    </w:p>
    <w:p>
      <w:pPr>
        <w:spacing w:before="96" w:line="30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 xml:space="preserve">     造价工程师代表任命和撤回：</w:t>
      </w:r>
    </w:p>
    <w:p>
      <w:pPr>
        <w:autoSpaceDE w:val="0"/>
        <w:autoSpaceDN w:val="0"/>
        <w:spacing w:before="96" w:line="300" w:lineRule="auto"/>
        <w:ind w:firstLine="420" w:firstLineChars="200"/>
        <w:jc w:val="left"/>
        <w:rPr>
          <w:rFonts w:ascii="宋体" w:hAnsi="宋体" w:cs="宋体"/>
          <w:bCs/>
          <w:color w:val="auto"/>
          <w:szCs w:val="21"/>
        </w:rPr>
      </w:pPr>
      <w:r>
        <w:rPr>
          <w:rFonts w:hint="eastAsia" w:ascii="宋体" w:hAnsi="宋体" w:cs="宋体"/>
          <w:color w:val="auto"/>
          <w:kern w:val="0"/>
          <w:szCs w:val="21"/>
        </w:rPr>
        <w:t>21.4 承包人代表授权人选任命和撤回：</w:t>
      </w:r>
    </w:p>
    <w:p>
      <w:pPr>
        <w:autoSpaceDE w:val="0"/>
        <w:autoSpaceDN w:val="0"/>
        <w:spacing w:before="96" w:line="300" w:lineRule="auto"/>
        <w:ind w:left="101" w:right="-20"/>
        <w:jc w:val="left"/>
        <w:rPr>
          <w:rFonts w:ascii="宋体" w:hAnsi="宋体" w:cs="宋体"/>
          <w:b/>
          <w:color w:val="auto"/>
          <w:szCs w:val="21"/>
        </w:rPr>
      </w:pPr>
      <w:r>
        <w:rPr>
          <w:rFonts w:hint="eastAsia" w:ascii="宋体" w:hAnsi="宋体" w:cs="宋体"/>
          <w:b/>
          <w:color w:val="auto"/>
          <w:szCs w:val="21"/>
        </w:rPr>
        <w:t>22．发包人代表</w:t>
      </w:r>
    </w:p>
    <w:p>
      <w:pPr>
        <w:tabs>
          <w:tab w:val="left" w:pos="1240"/>
        </w:tabs>
        <w:autoSpaceDE w:val="0"/>
        <w:autoSpaceDN w:val="0"/>
        <w:spacing w:before="96" w:line="300" w:lineRule="auto"/>
        <w:ind w:firstLine="420" w:firstLineChars="200"/>
        <w:jc w:val="left"/>
        <w:rPr>
          <w:rFonts w:ascii="宋体" w:hAnsi="宋体" w:cs="宋体"/>
          <w:bCs/>
          <w:color w:val="auto"/>
          <w:szCs w:val="21"/>
        </w:rPr>
      </w:pPr>
      <w:r>
        <w:rPr>
          <w:rFonts w:hint="eastAsia" w:ascii="宋体" w:hAnsi="宋体" w:cs="宋体"/>
          <w:bCs/>
          <w:color w:val="auto"/>
          <w:szCs w:val="21"/>
        </w:rPr>
        <w:t>22.1 发包人代表及其权力的限制</w:t>
      </w:r>
    </w:p>
    <w:p>
      <w:pPr>
        <w:tabs>
          <w:tab w:val="left" w:pos="3980"/>
        </w:tabs>
        <w:autoSpaceDE w:val="0"/>
        <w:autoSpaceDN w:val="0"/>
        <w:spacing w:before="96" w:line="300" w:lineRule="auto"/>
        <w:ind w:firstLine="420" w:firstLineChars="200"/>
        <w:jc w:val="left"/>
        <w:rPr>
          <w:rFonts w:ascii="宋体" w:hAnsi="宋体" w:cs="宋体"/>
          <w:bCs/>
          <w:color w:val="auto"/>
          <w:szCs w:val="21"/>
        </w:rPr>
      </w:pPr>
      <w:r>
        <w:rPr>
          <w:rFonts w:hint="eastAsia" w:ascii="宋体" w:hAnsi="宋体" w:cs="宋体"/>
          <w:bCs/>
          <w:color w:val="auto"/>
          <w:szCs w:val="21"/>
        </w:rPr>
        <w:t>(1) 发包人任命（李晋耀）为发包人代表，其联络通讯地址如下：</w:t>
      </w:r>
    </w:p>
    <w:p>
      <w:pPr>
        <w:tabs>
          <w:tab w:val="left" w:pos="5140"/>
        </w:tabs>
        <w:autoSpaceDE w:val="0"/>
        <w:autoSpaceDN w:val="0"/>
        <w:spacing w:before="96" w:line="300" w:lineRule="auto"/>
        <w:ind w:firstLine="420" w:firstLineChars="200"/>
        <w:jc w:val="left"/>
        <w:rPr>
          <w:rFonts w:ascii="宋体" w:hAnsi="宋体" w:cs="宋体"/>
          <w:bCs/>
          <w:color w:val="auto"/>
          <w:szCs w:val="21"/>
          <w:u w:val="single"/>
        </w:rPr>
      </w:pPr>
      <w:r>
        <w:rPr>
          <w:rFonts w:hint="eastAsia" w:ascii="宋体" w:hAnsi="宋体" w:cs="宋体"/>
          <w:bCs/>
          <w:color w:val="auto"/>
          <w:szCs w:val="21"/>
        </w:rPr>
        <w:t>通讯地址：</w:t>
      </w:r>
      <w:r>
        <w:rPr>
          <w:rFonts w:hint="eastAsia" w:ascii="宋体" w:hAnsi="宋体" w:cs="宋体"/>
          <w:bCs/>
          <w:color w:val="auto"/>
          <w:szCs w:val="21"/>
          <w:u w:val="single"/>
        </w:rPr>
        <w:tab/>
      </w:r>
      <w:r>
        <w:rPr>
          <w:rFonts w:hint="eastAsia" w:ascii="宋体" w:hAnsi="宋体" w:cs="宋体"/>
          <w:bCs/>
          <w:color w:val="auto"/>
          <w:szCs w:val="21"/>
        </w:rPr>
        <w:t>邮政编码：</w:t>
      </w:r>
    </w:p>
    <w:p>
      <w:pPr>
        <w:tabs>
          <w:tab w:val="left" w:pos="5140"/>
        </w:tabs>
        <w:autoSpaceDE w:val="0"/>
        <w:autoSpaceDN w:val="0"/>
        <w:spacing w:before="96" w:line="300" w:lineRule="auto"/>
        <w:ind w:firstLine="420" w:firstLineChars="200"/>
        <w:jc w:val="left"/>
        <w:rPr>
          <w:rFonts w:ascii="宋体" w:hAnsi="宋体" w:cs="宋体"/>
          <w:bCs/>
          <w:color w:val="auto"/>
          <w:szCs w:val="21"/>
          <w:u w:val="single"/>
        </w:rPr>
      </w:pPr>
      <w:r>
        <w:rPr>
          <w:rFonts w:hint="eastAsia" w:ascii="宋体" w:hAnsi="宋体" w:cs="宋体"/>
          <w:bCs/>
          <w:color w:val="auto"/>
          <w:szCs w:val="21"/>
        </w:rPr>
        <w:t>联系电话：</w:t>
      </w:r>
      <w:r>
        <w:rPr>
          <w:rFonts w:hint="eastAsia" w:ascii="宋体" w:hAnsi="宋体" w:cs="宋体"/>
          <w:bCs/>
          <w:color w:val="auto"/>
          <w:szCs w:val="21"/>
          <w:u w:val="single"/>
        </w:rPr>
        <w:tab/>
      </w:r>
      <w:r>
        <w:rPr>
          <w:rFonts w:hint="eastAsia" w:ascii="宋体" w:hAnsi="宋体" w:cs="宋体"/>
          <w:bCs/>
          <w:color w:val="auto"/>
          <w:szCs w:val="21"/>
        </w:rPr>
        <w:t>传真号码：</w:t>
      </w:r>
    </w:p>
    <w:p>
      <w:pPr>
        <w:tabs>
          <w:tab w:val="left" w:pos="1100"/>
        </w:tabs>
        <w:autoSpaceDE w:val="0"/>
        <w:autoSpaceDN w:val="0"/>
        <w:spacing w:before="96" w:line="300" w:lineRule="auto"/>
        <w:ind w:firstLine="420" w:firstLineChars="200"/>
        <w:jc w:val="left"/>
        <w:rPr>
          <w:rFonts w:ascii="宋体" w:hAnsi="宋体" w:cs="宋体"/>
          <w:bCs/>
          <w:color w:val="auto"/>
          <w:szCs w:val="21"/>
          <w:u w:val="single"/>
        </w:rPr>
      </w:pPr>
      <w:r>
        <w:rPr>
          <w:rFonts w:hint="eastAsia" w:ascii="宋体" w:hAnsi="宋体" w:cs="宋体"/>
          <w:bCs/>
          <w:color w:val="auto"/>
          <w:szCs w:val="21"/>
        </w:rPr>
        <w:t>(2) 发包人对发包人代表权力做如下限制：</w:t>
      </w:r>
      <w:r>
        <w:rPr>
          <w:rFonts w:hint="eastAsia" w:ascii="宋体" w:hAnsi="宋体" w:cs="宋体"/>
          <w:bCs/>
          <w:color w:val="auto"/>
          <w:szCs w:val="21"/>
          <w:u w:val="single"/>
        </w:rPr>
        <w:t>代表发包人监督检查工程施工进度、质量、安全文明施工，负责现场有关报表、报告的签认及与发包人相关的现场协调工作，与本工程相关的文件、资料须由发包人盖章确认后方可生效。发包人调整现场代表职责范围时，提前7天通知承包人。</w:t>
      </w:r>
    </w:p>
    <w:p>
      <w:pPr>
        <w:autoSpaceDE w:val="0"/>
        <w:autoSpaceDN w:val="0"/>
        <w:spacing w:before="96" w:line="300" w:lineRule="auto"/>
        <w:ind w:right="-20"/>
        <w:jc w:val="left"/>
        <w:rPr>
          <w:rFonts w:ascii="宋体" w:hAnsi="宋体" w:cs="宋体"/>
          <w:b/>
          <w:color w:val="auto"/>
          <w:szCs w:val="21"/>
        </w:rPr>
      </w:pPr>
      <w:r>
        <w:rPr>
          <w:rFonts w:hint="eastAsia" w:ascii="宋体" w:hAnsi="宋体" w:cs="宋体"/>
          <w:b/>
          <w:color w:val="auto"/>
          <w:szCs w:val="21"/>
        </w:rPr>
        <w:t>23．监理工程师</w:t>
      </w:r>
    </w:p>
    <w:p>
      <w:pPr>
        <w:tabs>
          <w:tab w:val="left" w:pos="1240"/>
        </w:tabs>
        <w:autoSpaceDE w:val="0"/>
        <w:autoSpaceDN w:val="0"/>
        <w:spacing w:before="96" w:line="300" w:lineRule="auto"/>
        <w:ind w:firstLine="420" w:firstLineChars="200"/>
        <w:jc w:val="left"/>
        <w:rPr>
          <w:rFonts w:ascii="宋体" w:hAnsi="宋体" w:cs="宋体"/>
          <w:bCs/>
          <w:color w:val="auto"/>
          <w:szCs w:val="21"/>
        </w:rPr>
      </w:pPr>
      <w:r>
        <w:rPr>
          <w:rFonts w:hint="eastAsia" w:ascii="宋体" w:hAnsi="宋体" w:cs="宋体"/>
          <w:bCs/>
          <w:color w:val="auto"/>
          <w:szCs w:val="21"/>
        </w:rPr>
        <w:t>23.1 负责合同工程的监理单位及任命的监理工程师</w:t>
      </w:r>
    </w:p>
    <w:p>
      <w:pPr>
        <w:tabs>
          <w:tab w:val="left" w:pos="5175"/>
        </w:tabs>
        <w:autoSpaceDE w:val="0"/>
        <w:autoSpaceDN w:val="0"/>
        <w:spacing w:before="96" w:line="300" w:lineRule="auto"/>
        <w:ind w:firstLine="420" w:firstLineChars="200"/>
        <w:jc w:val="left"/>
        <w:rPr>
          <w:rFonts w:ascii="宋体" w:hAnsi="宋体" w:cs="宋体"/>
          <w:bCs/>
          <w:color w:val="auto"/>
          <w:szCs w:val="21"/>
        </w:rPr>
      </w:pPr>
      <w:r>
        <w:rPr>
          <w:rFonts w:hint="eastAsia" w:ascii="宋体" w:hAnsi="宋体" w:cs="宋体"/>
          <w:bCs/>
          <w:color w:val="auto"/>
          <w:szCs w:val="21"/>
        </w:rPr>
        <w:t>(1) 监理单位</w:t>
      </w:r>
      <w:r>
        <w:rPr>
          <w:rFonts w:hint="eastAsia" w:ascii="宋体" w:hAnsi="宋体" w:cs="宋体"/>
          <w:color w:val="auto"/>
          <w:szCs w:val="21"/>
        </w:rPr>
        <w:t>：</w:t>
      </w:r>
      <w:r>
        <w:rPr>
          <w:rFonts w:hint="eastAsia" w:ascii="宋体" w:hAnsi="宋体" w:cs="宋体"/>
          <w:bCs/>
          <w:color w:val="auto"/>
          <w:szCs w:val="21"/>
          <w:u w:val="single"/>
        </w:rPr>
        <w:t xml:space="preserve">                    </w:t>
      </w:r>
      <w:r>
        <w:rPr>
          <w:rFonts w:hint="eastAsia" w:ascii="宋体" w:hAnsi="宋体" w:cs="宋体"/>
          <w:bCs/>
          <w:color w:val="auto"/>
          <w:szCs w:val="21"/>
        </w:rPr>
        <w:t>法定代表人：</w:t>
      </w:r>
      <w:r>
        <w:rPr>
          <w:rFonts w:hint="eastAsia" w:ascii="宋体" w:hAnsi="宋体" w:cs="宋体"/>
          <w:bCs/>
          <w:color w:val="auto"/>
          <w:szCs w:val="21"/>
          <w:u w:val="single"/>
        </w:rPr>
        <w:t xml:space="preserve">      </w:t>
      </w:r>
    </w:p>
    <w:p>
      <w:pPr>
        <w:tabs>
          <w:tab w:val="left" w:pos="3260"/>
          <w:tab w:val="left" w:pos="5980"/>
        </w:tabs>
        <w:autoSpaceDE w:val="0"/>
        <w:autoSpaceDN w:val="0"/>
        <w:spacing w:before="96" w:line="300" w:lineRule="auto"/>
        <w:ind w:firstLine="420" w:firstLineChars="200"/>
        <w:jc w:val="left"/>
        <w:rPr>
          <w:rFonts w:ascii="宋体" w:hAnsi="宋体" w:cs="宋体"/>
          <w:bCs/>
          <w:color w:val="auto"/>
          <w:szCs w:val="21"/>
        </w:rPr>
      </w:pPr>
      <w:r>
        <w:rPr>
          <w:rFonts w:hint="eastAsia" w:ascii="宋体" w:hAnsi="宋体" w:cs="宋体"/>
          <w:bCs/>
          <w:color w:val="auto"/>
          <w:szCs w:val="21"/>
        </w:rPr>
        <w:t>(2) 任命（</w:t>
      </w:r>
      <w:r>
        <w:rPr>
          <w:rFonts w:hint="eastAsia" w:ascii="宋体" w:hAnsi="宋体" w:cs="宋体"/>
          <w:bCs/>
          <w:color w:val="auto"/>
          <w:szCs w:val="21"/>
        </w:rPr>
        <w:tab/>
      </w:r>
      <w:r>
        <w:rPr>
          <w:rFonts w:hint="eastAsia" w:ascii="宋体" w:hAnsi="宋体" w:cs="宋体"/>
          <w:bCs/>
          <w:color w:val="auto"/>
          <w:szCs w:val="21"/>
        </w:rPr>
        <w:t>）为监理工程师，其联络通讯地址如下：</w:t>
      </w:r>
    </w:p>
    <w:p>
      <w:pPr>
        <w:tabs>
          <w:tab w:val="left" w:pos="5140"/>
        </w:tabs>
        <w:autoSpaceDE w:val="0"/>
        <w:autoSpaceDN w:val="0"/>
        <w:spacing w:before="96" w:line="300" w:lineRule="auto"/>
        <w:ind w:firstLine="420" w:firstLineChars="200"/>
        <w:jc w:val="left"/>
        <w:rPr>
          <w:rFonts w:ascii="宋体" w:hAnsi="宋体" w:cs="宋体"/>
          <w:bCs/>
          <w:color w:val="auto"/>
          <w:szCs w:val="21"/>
          <w:u w:val="single"/>
        </w:rPr>
      </w:pPr>
      <w:r>
        <w:rPr>
          <w:rFonts w:hint="eastAsia" w:ascii="宋体" w:hAnsi="宋体" w:cs="宋体"/>
          <w:bCs/>
          <w:color w:val="auto"/>
          <w:szCs w:val="21"/>
        </w:rPr>
        <w:t>通讯地址：</w:t>
      </w:r>
      <w:r>
        <w:rPr>
          <w:rFonts w:hint="eastAsia" w:ascii="宋体" w:hAnsi="宋体" w:cs="宋体"/>
          <w:bCs/>
          <w:color w:val="auto"/>
          <w:szCs w:val="21"/>
          <w:u w:val="single"/>
        </w:rPr>
        <w:tab/>
      </w:r>
      <w:r>
        <w:rPr>
          <w:rFonts w:hint="eastAsia" w:ascii="宋体" w:hAnsi="宋体" w:cs="宋体"/>
          <w:bCs/>
          <w:color w:val="auto"/>
          <w:szCs w:val="21"/>
        </w:rPr>
        <w:t>邮政编码：</w:t>
      </w:r>
    </w:p>
    <w:p>
      <w:pPr>
        <w:tabs>
          <w:tab w:val="left" w:pos="5140"/>
        </w:tabs>
        <w:autoSpaceDE w:val="0"/>
        <w:autoSpaceDN w:val="0"/>
        <w:spacing w:before="96" w:line="300" w:lineRule="auto"/>
        <w:ind w:firstLine="420" w:firstLineChars="200"/>
        <w:jc w:val="left"/>
        <w:rPr>
          <w:rFonts w:ascii="宋体" w:hAnsi="宋体" w:cs="宋体"/>
          <w:bCs/>
          <w:color w:val="auto"/>
          <w:szCs w:val="21"/>
          <w:u w:val="single"/>
        </w:rPr>
      </w:pPr>
      <w:r>
        <w:rPr>
          <w:rFonts w:hint="eastAsia" w:ascii="宋体" w:hAnsi="宋体" w:cs="宋体"/>
          <w:bCs/>
          <w:color w:val="auto"/>
          <w:szCs w:val="21"/>
        </w:rPr>
        <w:t>联系电话：</w:t>
      </w:r>
      <w:r>
        <w:rPr>
          <w:rFonts w:hint="eastAsia" w:ascii="宋体" w:hAnsi="宋体" w:cs="宋体"/>
          <w:bCs/>
          <w:color w:val="auto"/>
          <w:szCs w:val="21"/>
          <w:u w:val="single"/>
        </w:rPr>
        <w:tab/>
      </w:r>
      <w:r>
        <w:rPr>
          <w:rFonts w:hint="eastAsia" w:ascii="宋体" w:hAnsi="宋体" w:cs="宋体"/>
          <w:bCs/>
          <w:color w:val="auto"/>
          <w:szCs w:val="21"/>
        </w:rPr>
        <w:t>传真号码：</w:t>
      </w:r>
    </w:p>
    <w:p>
      <w:pPr>
        <w:tabs>
          <w:tab w:val="left" w:pos="1240"/>
        </w:tabs>
        <w:autoSpaceDE w:val="0"/>
        <w:autoSpaceDN w:val="0"/>
        <w:spacing w:before="96" w:line="300" w:lineRule="auto"/>
        <w:ind w:firstLine="420" w:firstLineChars="200"/>
        <w:jc w:val="left"/>
        <w:rPr>
          <w:rFonts w:ascii="宋体" w:hAnsi="宋体" w:cs="宋体"/>
          <w:bCs/>
          <w:color w:val="auto"/>
          <w:szCs w:val="21"/>
        </w:rPr>
      </w:pPr>
      <w:r>
        <w:rPr>
          <w:rFonts w:hint="eastAsia" w:ascii="宋体" w:hAnsi="宋体" w:cs="宋体"/>
          <w:bCs/>
          <w:color w:val="auto"/>
          <w:szCs w:val="21"/>
        </w:rPr>
        <w:t>23.3（12）需要发包人批准的其他事项：</w:t>
      </w:r>
      <w:r>
        <w:rPr>
          <w:rFonts w:hint="eastAsia" w:ascii="宋体" w:hAnsi="宋体" w:cs="宋体"/>
          <w:bCs/>
          <w:color w:val="auto"/>
          <w:szCs w:val="21"/>
          <w:u w:val="single"/>
        </w:rPr>
        <w:tab/>
      </w:r>
    </w:p>
    <w:p>
      <w:pPr>
        <w:autoSpaceDE w:val="0"/>
        <w:autoSpaceDN w:val="0"/>
        <w:spacing w:before="96" w:line="300" w:lineRule="auto"/>
        <w:ind w:right="-20"/>
        <w:jc w:val="left"/>
        <w:rPr>
          <w:rFonts w:ascii="宋体" w:hAnsi="宋体" w:cs="宋体"/>
          <w:b/>
          <w:color w:val="auto"/>
          <w:szCs w:val="21"/>
        </w:rPr>
      </w:pPr>
      <w:r>
        <w:rPr>
          <w:rFonts w:hint="eastAsia" w:ascii="宋体" w:hAnsi="宋体" w:cs="宋体"/>
          <w:b/>
          <w:color w:val="auto"/>
          <w:szCs w:val="21"/>
        </w:rPr>
        <w:t>24．造价工程师</w:t>
      </w:r>
    </w:p>
    <w:p>
      <w:pPr>
        <w:spacing w:before="96" w:line="300" w:lineRule="auto"/>
        <w:ind w:firstLine="420" w:firstLineChars="200"/>
        <w:jc w:val="left"/>
        <w:rPr>
          <w:rFonts w:ascii="宋体" w:hAnsi="宋体" w:cs="宋体"/>
          <w:color w:val="auto"/>
          <w:szCs w:val="21"/>
        </w:rPr>
      </w:pPr>
      <w:r>
        <w:rPr>
          <w:rFonts w:hint="eastAsia" w:ascii="宋体" w:hAnsi="宋体" w:cs="宋体"/>
          <w:color w:val="auto"/>
          <w:szCs w:val="21"/>
        </w:rPr>
        <w:t>24.1 负责合同工程的造价咨询单位及任命的造价工程师</w:t>
      </w:r>
    </w:p>
    <w:p>
      <w:pPr>
        <w:spacing w:before="96" w:line="300" w:lineRule="auto"/>
        <w:ind w:firstLine="420" w:firstLineChars="200"/>
        <w:jc w:val="left"/>
        <w:rPr>
          <w:rFonts w:ascii="宋体" w:hAnsi="宋体" w:cs="宋体"/>
          <w:color w:val="auto"/>
          <w:szCs w:val="21"/>
          <w:u w:val="single"/>
        </w:rPr>
      </w:pPr>
      <w:r>
        <w:rPr>
          <w:rFonts w:hint="eastAsia" w:ascii="宋体" w:hAnsi="宋体" w:cs="宋体"/>
          <w:color w:val="auto"/>
          <w:szCs w:val="21"/>
        </w:rPr>
        <w:t>(1) 工程造价咨询人：                   法定代表人：</w:t>
      </w:r>
    </w:p>
    <w:p>
      <w:pPr>
        <w:spacing w:before="96" w:line="300" w:lineRule="auto"/>
        <w:ind w:firstLine="420" w:firstLineChars="200"/>
        <w:jc w:val="left"/>
        <w:rPr>
          <w:rFonts w:ascii="宋体" w:hAnsi="宋体" w:cs="宋体"/>
          <w:color w:val="auto"/>
          <w:szCs w:val="21"/>
        </w:rPr>
      </w:pPr>
      <w:r>
        <w:rPr>
          <w:rFonts w:hint="eastAsia" w:ascii="宋体" w:hAnsi="宋体" w:cs="宋体"/>
          <w:color w:val="auto"/>
          <w:szCs w:val="21"/>
        </w:rPr>
        <w:t>(2) 任命（              ）为造价工程师，其通讯方式为</w:t>
      </w:r>
    </w:p>
    <w:p>
      <w:pPr>
        <w:tabs>
          <w:tab w:val="left" w:pos="5140"/>
        </w:tabs>
        <w:autoSpaceDE w:val="0"/>
        <w:autoSpaceDN w:val="0"/>
        <w:spacing w:before="96" w:line="300" w:lineRule="auto"/>
        <w:ind w:firstLine="420" w:firstLineChars="200"/>
        <w:jc w:val="left"/>
        <w:rPr>
          <w:rFonts w:ascii="宋体" w:hAnsi="宋体" w:cs="宋体"/>
          <w:bCs/>
          <w:color w:val="auto"/>
          <w:szCs w:val="21"/>
          <w:u w:val="single"/>
        </w:rPr>
      </w:pPr>
      <w:r>
        <w:rPr>
          <w:rFonts w:hint="eastAsia" w:ascii="宋体" w:hAnsi="宋体" w:cs="宋体"/>
          <w:bCs/>
          <w:color w:val="auto"/>
          <w:szCs w:val="21"/>
        </w:rPr>
        <w:t>通讯地址：</w:t>
      </w:r>
      <w:r>
        <w:rPr>
          <w:rFonts w:hint="eastAsia" w:ascii="宋体" w:hAnsi="宋体" w:cs="宋体"/>
          <w:bCs/>
          <w:color w:val="auto"/>
          <w:szCs w:val="21"/>
          <w:u w:val="single"/>
        </w:rPr>
        <w:tab/>
      </w:r>
      <w:r>
        <w:rPr>
          <w:rFonts w:hint="eastAsia" w:ascii="宋体" w:hAnsi="宋体" w:cs="宋体"/>
          <w:bCs/>
          <w:color w:val="auto"/>
          <w:szCs w:val="21"/>
        </w:rPr>
        <w:t>邮政编码：</w:t>
      </w:r>
    </w:p>
    <w:p>
      <w:pPr>
        <w:tabs>
          <w:tab w:val="left" w:pos="5140"/>
        </w:tabs>
        <w:autoSpaceDE w:val="0"/>
        <w:autoSpaceDN w:val="0"/>
        <w:spacing w:before="96" w:line="300" w:lineRule="auto"/>
        <w:ind w:firstLine="420" w:firstLineChars="200"/>
        <w:jc w:val="left"/>
        <w:rPr>
          <w:rFonts w:ascii="宋体" w:hAnsi="宋体" w:cs="宋体"/>
          <w:bCs/>
          <w:color w:val="auto"/>
          <w:szCs w:val="21"/>
          <w:u w:val="single"/>
        </w:rPr>
      </w:pPr>
      <w:r>
        <w:rPr>
          <w:rFonts w:hint="eastAsia" w:ascii="宋体" w:hAnsi="宋体" w:cs="宋体"/>
          <w:bCs/>
          <w:color w:val="auto"/>
          <w:szCs w:val="21"/>
        </w:rPr>
        <w:t>联系电话：</w:t>
      </w:r>
      <w:r>
        <w:rPr>
          <w:rFonts w:hint="eastAsia" w:ascii="宋体" w:hAnsi="宋体" w:cs="宋体"/>
          <w:bCs/>
          <w:color w:val="auto"/>
          <w:szCs w:val="21"/>
          <w:u w:val="single"/>
        </w:rPr>
        <w:tab/>
      </w:r>
      <w:r>
        <w:rPr>
          <w:rFonts w:hint="eastAsia" w:ascii="宋体" w:hAnsi="宋体" w:cs="宋体"/>
          <w:bCs/>
          <w:color w:val="auto"/>
          <w:szCs w:val="21"/>
        </w:rPr>
        <w:t>传真号码：</w:t>
      </w:r>
    </w:p>
    <w:p>
      <w:pPr>
        <w:autoSpaceDE w:val="0"/>
        <w:autoSpaceDN w:val="0"/>
        <w:spacing w:before="96" w:line="300" w:lineRule="auto"/>
        <w:ind w:firstLine="420" w:firstLineChars="200"/>
        <w:jc w:val="left"/>
        <w:rPr>
          <w:rFonts w:ascii="宋体" w:hAnsi="宋体" w:cs="宋体"/>
          <w:bCs/>
          <w:color w:val="auto"/>
          <w:szCs w:val="21"/>
        </w:rPr>
      </w:pPr>
      <w:r>
        <w:rPr>
          <w:rFonts w:hint="eastAsia" w:ascii="宋体" w:hAnsi="宋体" w:cs="宋体"/>
          <w:color w:val="auto"/>
          <w:szCs w:val="21"/>
        </w:rPr>
        <w:t>24.3 （7）需要发包人批准的其他事项：</w:t>
      </w:r>
    </w:p>
    <w:p>
      <w:pPr>
        <w:autoSpaceDE w:val="0"/>
        <w:autoSpaceDN w:val="0"/>
        <w:spacing w:before="96" w:line="300" w:lineRule="auto"/>
        <w:ind w:right="-20"/>
        <w:jc w:val="left"/>
        <w:rPr>
          <w:rFonts w:ascii="宋体" w:hAnsi="宋体" w:cs="宋体"/>
          <w:b/>
          <w:color w:val="auto"/>
          <w:szCs w:val="21"/>
        </w:rPr>
      </w:pPr>
      <w:r>
        <w:rPr>
          <w:rFonts w:hint="eastAsia" w:ascii="宋体" w:hAnsi="宋体" w:cs="宋体"/>
          <w:b/>
          <w:color w:val="auto"/>
          <w:szCs w:val="21"/>
        </w:rPr>
        <w:t>25．承包人代表</w:t>
      </w:r>
    </w:p>
    <w:p>
      <w:pPr>
        <w:tabs>
          <w:tab w:val="left" w:pos="1240"/>
          <w:tab w:val="left" w:pos="4120"/>
          <w:tab w:val="left" w:pos="5860"/>
        </w:tabs>
        <w:autoSpaceDE w:val="0"/>
        <w:autoSpaceDN w:val="0"/>
        <w:spacing w:before="96" w:line="300" w:lineRule="auto"/>
        <w:ind w:firstLine="420" w:firstLineChars="200"/>
        <w:jc w:val="left"/>
        <w:rPr>
          <w:rFonts w:ascii="宋体" w:hAnsi="宋体" w:cs="宋体"/>
          <w:bCs/>
          <w:color w:val="auto"/>
          <w:szCs w:val="21"/>
        </w:rPr>
      </w:pPr>
      <w:r>
        <w:rPr>
          <w:rFonts w:hint="eastAsia" w:ascii="宋体" w:hAnsi="宋体" w:cs="宋体"/>
          <w:bCs/>
          <w:color w:val="auto"/>
          <w:szCs w:val="21"/>
        </w:rPr>
        <w:t>25.1 承包人任命（</w:t>
      </w:r>
      <w:r>
        <w:rPr>
          <w:rFonts w:hint="eastAsia" w:ascii="宋体" w:hAnsi="宋体" w:cs="宋体"/>
          <w:bCs/>
          <w:color w:val="auto"/>
          <w:szCs w:val="21"/>
        </w:rPr>
        <w:tab/>
      </w:r>
      <w:r>
        <w:rPr>
          <w:rFonts w:hint="eastAsia" w:ascii="宋体" w:hAnsi="宋体" w:cs="宋体"/>
          <w:bCs/>
          <w:color w:val="auto"/>
          <w:szCs w:val="21"/>
        </w:rPr>
        <w:t>）为承包人代表，其通讯</w:t>
      </w:r>
      <w:r>
        <w:rPr>
          <w:rFonts w:hint="eastAsia" w:ascii="宋体" w:hAnsi="宋体" w:cs="宋体"/>
          <w:color w:val="auto"/>
          <w:szCs w:val="21"/>
        </w:rPr>
        <w:t>方式为</w:t>
      </w:r>
    </w:p>
    <w:p>
      <w:pPr>
        <w:tabs>
          <w:tab w:val="left" w:pos="5140"/>
        </w:tabs>
        <w:autoSpaceDE w:val="0"/>
        <w:autoSpaceDN w:val="0"/>
        <w:spacing w:before="96" w:line="300" w:lineRule="auto"/>
        <w:ind w:firstLine="420" w:firstLineChars="200"/>
        <w:jc w:val="left"/>
        <w:rPr>
          <w:rFonts w:ascii="宋体" w:hAnsi="宋体" w:cs="宋体"/>
          <w:bCs/>
          <w:color w:val="auto"/>
          <w:szCs w:val="21"/>
          <w:u w:val="single"/>
        </w:rPr>
      </w:pPr>
      <w:r>
        <w:rPr>
          <w:rFonts w:hint="eastAsia" w:ascii="宋体" w:hAnsi="宋体" w:cs="宋体"/>
          <w:bCs/>
          <w:color w:val="auto"/>
          <w:szCs w:val="21"/>
        </w:rPr>
        <w:t>通讯地址：</w:t>
      </w:r>
      <w:r>
        <w:rPr>
          <w:rFonts w:hint="eastAsia" w:ascii="宋体" w:hAnsi="宋体" w:cs="宋体"/>
          <w:bCs/>
          <w:color w:val="auto"/>
          <w:szCs w:val="21"/>
          <w:u w:val="single"/>
        </w:rPr>
        <w:tab/>
      </w:r>
      <w:r>
        <w:rPr>
          <w:rFonts w:hint="eastAsia" w:ascii="宋体" w:hAnsi="宋体" w:cs="宋体"/>
          <w:bCs/>
          <w:color w:val="auto"/>
          <w:szCs w:val="21"/>
        </w:rPr>
        <w:t>邮政编码：</w:t>
      </w:r>
    </w:p>
    <w:p>
      <w:pPr>
        <w:tabs>
          <w:tab w:val="left" w:pos="5140"/>
        </w:tabs>
        <w:autoSpaceDE w:val="0"/>
        <w:autoSpaceDN w:val="0"/>
        <w:spacing w:before="96" w:line="300" w:lineRule="auto"/>
        <w:ind w:firstLine="420" w:firstLineChars="200"/>
        <w:jc w:val="left"/>
        <w:rPr>
          <w:rFonts w:ascii="宋体" w:hAnsi="宋体" w:cs="宋体"/>
          <w:bCs/>
          <w:color w:val="auto"/>
          <w:szCs w:val="21"/>
          <w:u w:val="single"/>
        </w:rPr>
      </w:pPr>
      <w:r>
        <w:rPr>
          <w:rFonts w:hint="eastAsia" w:ascii="宋体" w:hAnsi="宋体" w:cs="宋体"/>
          <w:bCs/>
          <w:color w:val="auto"/>
          <w:szCs w:val="21"/>
        </w:rPr>
        <w:t>联系电话：</w:t>
      </w:r>
      <w:r>
        <w:rPr>
          <w:rFonts w:hint="eastAsia" w:ascii="宋体" w:hAnsi="宋体" w:cs="宋体"/>
          <w:bCs/>
          <w:color w:val="auto"/>
          <w:szCs w:val="21"/>
          <w:u w:val="single"/>
        </w:rPr>
        <w:tab/>
      </w:r>
      <w:r>
        <w:rPr>
          <w:rFonts w:hint="eastAsia" w:ascii="宋体" w:hAnsi="宋体" w:cs="宋体"/>
          <w:bCs/>
          <w:color w:val="auto"/>
          <w:szCs w:val="21"/>
        </w:rPr>
        <w:t>传真号码：</w:t>
      </w:r>
    </w:p>
    <w:p>
      <w:pPr>
        <w:autoSpaceDE w:val="0"/>
        <w:autoSpaceDN w:val="0"/>
        <w:spacing w:before="96" w:line="300" w:lineRule="auto"/>
        <w:ind w:right="-20"/>
        <w:jc w:val="left"/>
        <w:rPr>
          <w:rFonts w:ascii="宋体" w:hAnsi="宋体" w:cs="宋体"/>
          <w:b/>
          <w:color w:val="auto"/>
          <w:szCs w:val="21"/>
        </w:rPr>
      </w:pPr>
      <w:r>
        <w:rPr>
          <w:rFonts w:hint="eastAsia" w:ascii="宋体" w:hAnsi="宋体" w:cs="宋体"/>
          <w:b/>
          <w:color w:val="auto"/>
          <w:szCs w:val="21"/>
        </w:rPr>
        <w:t>26．指定分包人</w:t>
      </w:r>
    </w:p>
    <w:p>
      <w:pPr>
        <w:tabs>
          <w:tab w:val="left" w:pos="5140"/>
        </w:tabs>
        <w:autoSpaceDE w:val="0"/>
        <w:autoSpaceDN w:val="0"/>
        <w:spacing w:before="96" w:line="300" w:lineRule="auto"/>
        <w:ind w:firstLine="420" w:firstLineChars="200"/>
        <w:jc w:val="left"/>
        <w:rPr>
          <w:rFonts w:ascii="宋体" w:hAnsi="宋体" w:cs="宋体"/>
          <w:bCs/>
          <w:color w:val="auto"/>
          <w:szCs w:val="21"/>
        </w:rPr>
      </w:pPr>
      <w:r>
        <w:rPr>
          <w:rFonts w:hint="eastAsia" w:ascii="宋体" w:hAnsi="宋体" w:cs="宋体"/>
          <w:bCs/>
          <w:color w:val="auto"/>
          <w:szCs w:val="21"/>
        </w:rPr>
        <w:t>26.1 依法指定的分包人及其有关规定：</w:t>
      </w:r>
    </w:p>
    <w:p>
      <w:pPr>
        <w:autoSpaceDE w:val="0"/>
        <w:autoSpaceDN w:val="0"/>
        <w:spacing w:before="96" w:line="300" w:lineRule="auto"/>
        <w:ind w:firstLine="420" w:firstLineChars="200"/>
        <w:jc w:val="left"/>
        <w:rPr>
          <w:rFonts w:ascii="宋体" w:hAnsi="宋体" w:cs="宋体"/>
          <w:bCs/>
          <w:color w:val="auto"/>
          <w:szCs w:val="21"/>
        </w:rPr>
      </w:pPr>
      <w:r>
        <w:rPr>
          <w:rFonts w:hint="eastAsia" w:ascii="宋体" w:hAnsi="宋体" w:cs="宋体"/>
          <w:bCs/>
          <w:color w:val="auto"/>
          <w:szCs w:val="21"/>
        </w:rPr>
        <w:t>(1) 实施、完成任何永久工程的分包人：</w:t>
      </w:r>
      <w:r>
        <w:rPr>
          <w:rFonts w:hint="eastAsia" w:ascii="宋体" w:hAnsi="宋体" w:cs="宋体"/>
          <w:bCs/>
          <w:color w:val="auto"/>
          <w:szCs w:val="21"/>
          <w:u w:val="single"/>
        </w:rPr>
        <w:t>无</w:t>
      </w:r>
    </w:p>
    <w:p>
      <w:pPr>
        <w:autoSpaceDE w:val="0"/>
        <w:autoSpaceDN w:val="0"/>
        <w:spacing w:before="96" w:line="300" w:lineRule="auto"/>
        <w:ind w:firstLine="420" w:firstLineChars="200"/>
        <w:jc w:val="left"/>
        <w:rPr>
          <w:rFonts w:ascii="宋体" w:hAnsi="宋体" w:cs="宋体"/>
          <w:bCs/>
          <w:color w:val="auto"/>
          <w:szCs w:val="21"/>
        </w:rPr>
      </w:pPr>
      <w:r>
        <w:rPr>
          <w:rFonts w:hint="eastAsia" w:ascii="宋体" w:hAnsi="宋体" w:cs="宋体"/>
          <w:bCs/>
          <w:color w:val="auto"/>
          <w:szCs w:val="21"/>
        </w:rPr>
        <w:t>(2) 提供本合同工程材料和工程设备、服务的分包人：</w:t>
      </w:r>
      <w:r>
        <w:rPr>
          <w:rFonts w:hint="eastAsia" w:ascii="宋体" w:hAnsi="宋体" w:cs="宋体"/>
          <w:bCs/>
          <w:color w:val="auto"/>
          <w:szCs w:val="21"/>
          <w:u w:val="single"/>
        </w:rPr>
        <w:t>无</w:t>
      </w:r>
    </w:p>
    <w:p>
      <w:pPr>
        <w:autoSpaceDE w:val="0"/>
        <w:autoSpaceDN w:val="0"/>
        <w:spacing w:before="96" w:line="300" w:lineRule="auto"/>
        <w:ind w:left="101" w:right="-20"/>
        <w:jc w:val="left"/>
        <w:rPr>
          <w:rFonts w:ascii="宋体" w:hAnsi="宋体" w:cs="宋体"/>
          <w:b/>
          <w:color w:val="auto"/>
          <w:szCs w:val="21"/>
        </w:rPr>
      </w:pPr>
      <w:r>
        <w:rPr>
          <w:rFonts w:hint="eastAsia" w:ascii="宋体" w:hAnsi="宋体" w:cs="宋体"/>
          <w:b/>
          <w:color w:val="auto"/>
          <w:szCs w:val="21"/>
        </w:rPr>
        <w:t>28．工程担保</w:t>
      </w:r>
    </w:p>
    <w:p>
      <w:pPr>
        <w:tabs>
          <w:tab w:val="left" w:pos="1240"/>
        </w:tabs>
        <w:autoSpaceDE w:val="0"/>
        <w:autoSpaceDN w:val="0"/>
        <w:spacing w:before="96" w:line="300" w:lineRule="auto"/>
        <w:ind w:firstLine="420" w:firstLineChars="200"/>
        <w:jc w:val="left"/>
        <w:rPr>
          <w:rFonts w:ascii="宋体" w:hAnsi="宋体" w:cs="宋体"/>
          <w:bCs/>
          <w:color w:val="auto"/>
          <w:szCs w:val="21"/>
        </w:rPr>
      </w:pPr>
      <w:r>
        <w:rPr>
          <w:rFonts w:hint="eastAsia" w:ascii="宋体" w:hAnsi="宋体" w:cs="宋体"/>
          <w:bCs/>
          <w:color w:val="auto"/>
          <w:szCs w:val="21"/>
        </w:rPr>
        <w:t>28.1 承包人提供履约担保的约定</w:t>
      </w:r>
    </w:p>
    <w:p>
      <w:pPr>
        <w:tabs>
          <w:tab w:val="left" w:pos="6620"/>
          <w:tab w:val="left" w:pos="9020"/>
        </w:tabs>
        <w:autoSpaceDE w:val="0"/>
        <w:autoSpaceDN w:val="0"/>
        <w:spacing w:before="96" w:line="300" w:lineRule="auto"/>
        <w:ind w:firstLine="420" w:firstLineChars="200"/>
        <w:jc w:val="left"/>
        <w:rPr>
          <w:rFonts w:ascii="宋体" w:hAnsi="宋体" w:cs="宋体"/>
          <w:bCs/>
          <w:color w:val="auto"/>
          <w:szCs w:val="21"/>
          <w:u w:val="single"/>
        </w:rPr>
      </w:pPr>
      <w:r>
        <w:rPr>
          <w:rFonts w:hint="eastAsia" w:ascii="宋体" w:hAnsi="宋体" w:cs="宋体"/>
          <w:bCs/>
          <w:color w:val="auto"/>
          <w:szCs w:val="21"/>
        </w:rPr>
        <w:t>(1)提供履约担保的金额：</w:t>
      </w:r>
      <w:r>
        <w:rPr>
          <w:rFonts w:hint="eastAsia" w:ascii="宋体" w:hAnsi="宋体" w:cs="宋体"/>
          <w:bCs/>
          <w:color w:val="auto"/>
          <w:szCs w:val="21"/>
          <w:u w:val="single"/>
        </w:rPr>
        <w:t>承包人须以转账或支票形式向发包人交付履约担保，履约</w:t>
      </w:r>
      <w:r>
        <w:rPr>
          <w:rFonts w:hint="eastAsia" w:ascii="宋体" w:hAnsi="宋体" w:cs="宋体"/>
          <w:color w:val="auto"/>
          <w:szCs w:val="21"/>
          <w:u w:val="single"/>
        </w:rPr>
        <w:t>担保</w:t>
      </w:r>
      <w:r>
        <w:rPr>
          <w:rFonts w:hint="eastAsia" w:ascii="宋体" w:hAnsi="宋体" w:cs="宋体"/>
          <w:bCs/>
          <w:color w:val="auto"/>
          <w:szCs w:val="21"/>
          <w:u w:val="single"/>
        </w:rPr>
        <w:t>金为中标价的10%。</w:t>
      </w:r>
    </w:p>
    <w:p>
      <w:pPr>
        <w:tabs>
          <w:tab w:val="left" w:pos="6620"/>
          <w:tab w:val="left" w:pos="9020"/>
        </w:tabs>
        <w:autoSpaceDE w:val="0"/>
        <w:autoSpaceDN w:val="0"/>
        <w:spacing w:before="96" w:line="300" w:lineRule="auto"/>
        <w:ind w:firstLine="420" w:firstLineChars="200"/>
        <w:jc w:val="left"/>
        <w:rPr>
          <w:rFonts w:ascii="宋体" w:hAnsi="宋体" w:cs="宋体"/>
          <w:bCs/>
          <w:color w:val="auto"/>
          <w:szCs w:val="21"/>
        </w:rPr>
      </w:pPr>
      <w:r>
        <w:rPr>
          <w:rFonts w:hint="eastAsia" w:ascii="宋体" w:hAnsi="宋体" w:cs="宋体"/>
          <w:bCs/>
          <w:color w:val="auto"/>
          <w:szCs w:val="21"/>
        </w:rPr>
        <w:t>(2)提供履约担保的时间：</w:t>
      </w:r>
    </w:p>
    <w:p>
      <w:pPr>
        <w:autoSpaceDE w:val="0"/>
        <w:autoSpaceDN w:val="0"/>
        <w:spacing w:before="96" w:line="300" w:lineRule="auto"/>
        <w:ind w:firstLine="420" w:firstLineChars="200"/>
        <w:jc w:val="left"/>
        <w:rPr>
          <w:rFonts w:ascii="宋体" w:hAnsi="宋体" w:cs="宋体"/>
          <w:bCs/>
          <w:color w:val="auto"/>
          <w:szCs w:val="21"/>
        </w:rPr>
      </w:pPr>
      <w:r>
        <w:rPr>
          <w:rFonts w:hint="eastAsia" w:ascii="宋体" w:hAnsi="宋体" w:cs="宋体"/>
          <w:bCs/>
          <w:color w:val="auto"/>
          <w:szCs w:val="21"/>
        </w:rPr>
        <w:t>□ 签订本合同时。</w:t>
      </w:r>
    </w:p>
    <w:p>
      <w:pPr>
        <w:autoSpaceDE w:val="0"/>
        <w:autoSpaceDN w:val="0"/>
        <w:spacing w:before="96" w:line="300" w:lineRule="auto"/>
        <w:ind w:firstLine="420" w:firstLineChars="200"/>
        <w:jc w:val="left"/>
        <w:rPr>
          <w:rFonts w:ascii="宋体" w:hAnsi="宋体" w:cs="宋体"/>
          <w:bCs/>
          <w:color w:val="auto"/>
          <w:szCs w:val="21"/>
        </w:rPr>
      </w:pPr>
      <w:r>
        <w:rPr>
          <w:rFonts w:hint="eastAsia" w:ascii="宋体" w:hAnsi="宋体" w:cs="宋体"/>
          <w:bCs/>
          <w:color w:val="auto"/>
          <w:szCs w:val="21"/>
        </w:rPr>
        <w:t>■ 另作约定：在收到中标通知书后的15日内并在本合同签订前。</w:t>
      </w:r>
    </w:p>
    <w:p>
      <w:pPr>
        <w:tabs>
          <w:tab w:val="left" w:pos="6620"/>
          <w:tab w:val="left" w:pos="9020"/>
        </w:tabs>
        <w:autoSpaceDE w:val="0"/>
        <w:autoSpaceDN w:val="0"/>
        <w:spacing w:before="96" w:line="300" w:lineRule="auto"/>
        <w:ind w:firstLine="420" w:firstLineChars="200"/>
        <w:jc w:val="left"/>
        <w:rPr>
          <w:rFonts w:ascii="宋体" w:hAnsi="宋体" w:cs="宋体"/>
          <w:bCs/>
          <w:color w:val="auto"/>
          <w:szCs w:val="21"/>
          <w:u w:val="single"/>
        </w:rPr>
      </w:pPr>
      <w:r>
        <w:rPr>
          <w:rFonts w:hint="eastAsia" w:ascii="宋体" w:hAnsi="宋体" w:cs="宋体"/>
          <w:color w:val="auto"/>
          <w:kern w:val="0"/>
          <w:szCs w:val="21"/>
        </w:rPr>
        <w:t>(3)提供履约担保金的方式：</w:t>
      </w:r>
      <w:r>
        <w:rPr>
          <w:rFonts w:hint="eastAsia" w:ascii="宋体" w:hAnsi="宋体" w:cs="宋体"/>
          <w:color w:val="auto"/>
          <w:kern w:val="0"/>
          <w:szCs w:val="21"/>
          <w:u w:val="single"/>
        </w:rPr>
        <w:t>以支票或现金转账等有效形式提供。从承包人开户银行帐户中转帐或汇款到发包人以下的银行帐户内﹙收款单位：广东省农业科学院动物科学研究所，银行帐号：      ，开户银行：            ﹚。</w:t>
      </w:r>
    </w:p>
    <w:p>
      <w:pPr>
        <w:tabs>
          <w:tab w:val="left" w:pos="1240"/>
        </w:tabs>
        <w:autoSpaceDE w:val="0"/>
        <w:autoSpaceDN w:val="0"/>
        <w:spacing w:before="96" w:line="300" w:lineRule="auto"/>
        <w:ind w:firstLine="420" w:firstLineChars="200"/>
        <w:jc w:val="left"/>
        <w:rPr>
          <w:rFonts w:ascii="宋体" w:hAnsi="宋体" w:cs="宋体"/>
          <w:bCs/>
          <w:color w:val="auto"/>
          <w:szCs w:val="21"/>
        </w:rPr>
      </w:pPr>
      <w:r>
        <w:rPr>
          <w:rFonts w:hint="eastAsia" w:ascii="宋体" w:hAnsi="宋体" w:cs="宋体"/>
          <w:bCs/>
          <w:color w:val="auto"/>
          <w:szCs w:val="21"/>
        </w:rPr>
        <w:t>28.4 发包人提供支付担保的约定</w:t>
      </w:r>
    </w:p>
    <w:p>
      <w:pPr>
        <w:tabs>
          <w:tab w:val="left" w:pos="6620"/>
          <w:tab w:val="left" w:pos="9020"/>
        </w:tabs>
        <w:autoSpaceDE w:val="0"/>
        <w:autoSpaceDN w:val="0"/>
        <w:spacing w:before="96" w:line="300" w:lineRule="auto"/>
        <w:ind w:firstLine="420" w:firstLineChars="200"/>
        <w:jc w:val="left"/>
        <w:rPr>
          <w:rFonts w:ascii="宋体" w:hAnsi="宋体" w:cs="宋体"/>
          <w:bCs/>
          <w:color w:val="auto"/>
          <w:szCs w:val="21"/>
        </w:rPr>
      </w:pPr>
      <w:r>
        <w:rPr>
          <w:rFonts w:hint="eastAsia" w:ascii="宋体" w:hAnsi="宋体" w:cs="宋体"/>
          <w:bCs/>
          <w:color w:val="auto"/>
          <w:szCs w:val="21"/>
        </w:rPr>
        <w:t>(1)支付担保的金额：</w:t>
      </w:r>
      <w:r>
        <w:rPr>
          <w:rFonts w:hint="eastAsia" w:ascii="宋体" w:hAnsi="宋体" w:cs="宋体"/>
          <w:bCs/>
          <w:color w:val="auto"/>
          <w:szCs w:val="21"/>
          <w:u w:val="single"/>
        </w:rPr>
        <w:t>无</w:t>
      </w:r>
    </w:p>
    <w:p>
      <w:pPr>
        <w:autoSpaceDE w:val="0"/>
        <w:autoSpaceDN w:val="0"/>
        <w:spacing w:before="96" w:line="300" w:lineRule="auto"/>
        <w:ind w:firstLine="420" w:firstLineChars="200"/>
        <w:jc w:val="left"/>
        <w:rPr>
          <w:rFonts w:ascii="宋体" w:hAnsi="宋体" w:cs="宋体"/>
          <w:bCs/>
          <w:color w:val="auto"/>
          <w:szCs w:val="21"/>
        </w:rPr>
      </w:pPr>
      <w:r>
        <w:rPr>
          <w:rFonts w:hint="eastAsia" w:ascii="宋体" w:hAnsi="宋体" w:cs="宋体"/>
          <w:bCs/>
          <w:color w:val="auto"/>
          <w:szCs w:val="21"/>
        </w:rPr>
        <w:t>(2)提供支付担保的时间：</w:t>
      </w:r>
      <w:r>
        <w:rPr>
          <w:rFonts w:hint="eastAsia" w:ascii="宋体" w:hAnsi="宋体" w:cs="宋体"/>
          <w:color w:val="auto"/>
          <w:szCs w:val="21"/>
          <w:u w:val="single"/>
        </w:rPr>
        <w:t>无</w:t>
      </w:r>
    </w:p>
    <w:p>
      <w:pPr>
        <w:autoSpaceDE w:val="0"/>
        <w:autoSpaceDN w:val="0"/>
        <w:spacing w:before="96" w:line="300" w:lineRule="auto"/>
        <w:ind w:firstLine="420" w:firstLineChars="200"/>
        <w:jc w:val="left"/>
        <w:rPr>
          <w:rFonts w:ascii="宋体" w:hAnsi="宋体" w:cs="宋体"/>
          <w:bCs/>
          <w:color w:val="auto"/>
          <w:szCs w:val="21"/>
        </w:rPr>
      </w:pPr>
      <w:r>
        <w:rPr>
          <w:rFonts w:hint="eastAsia" w:ascii="宋体" w:hAnsi="宋体" w:cs="宋体"/>
          <w:bCs/>
          <w:color w:val="auto"/>
          <w:szCs w:val="21"/>
        </w:rPr>
        <w:t>□ 签订本合同时。</w:t>
      </w:r>
      <w:r>
        <w:rPr>
          <w:rFonts w:hint="eastAsia" w:ascii="宋体" w:hAnsi="宋体" w:cs="宋体"/>
          <w:color w:val="auto"/>
          <w:szCs w:val="21"/>
          <w:u w:val="single"/>
        </w:rPr>
        <w:t xml:space="preserve">  /  </w:t>
      </w:r>
    </w:p>
    <w:p>
      <w:pPr>
        <w:autoSpaceDE w:val="0"/>
        <w:autoSpaceDN w:val="0"/>
        <w:spacing w:before="96" w:line="300" w:lineRule="auto"/>
        <w:ind w:firstLine="420" w:firstLineChars="200"/>
        <w:jc w:val="left"/>
        <w:rPr>
          <w:rFonts w:ascii="宋体" w:hAnsi="宋体" w:cs="宋体"/>
          <w:bCs/>
          <w:color w:val="auto"/>
          <w:szCs w:val="21"/>
        </w:rPr>
      </w:pPr>
      <w:r>
        <w:rPr>
          <w:rFonts w:hint="eastAsia" w:ascii="宋体" w:hAnsi="宋体" w:cs="宋体"/>
          <w:bCs/>
          <w:color w:val="auto"/>
          <w:szCs w:val="21"/>
        </w:rPr>
        <w:t>□ 另作约定：</w:t>
      </w:r>
      <w:r>
        <w:rPr>
          <w:rFonts w:hint="eastAsia" w:ascii="宋体" w:hAnsi="宋体" w:cs="宋体"/>
          <w:color w:val="auto"/>
          <w:szCs w:val="21"/>
          <w:u w:val="single"/>
        </w:rPr>
        <w:t xml:space="preserve">  /  </w:t>
      </w:r>
    </w:p>
    <w:p>
      <w:pPr>
        <w:autoSpaceDE w:val="0"/>
        <w:autoSpaceDN w:val="0"/>
        <w:spacing w:before="96" w:line="300" w:lineRule="auto"/>
        <w:ind w:firstLine="420" w:firstLineChars="200"/>
        <w:jc w:val="left"/>
        <w:rPr>
          <w:rFonts w:ascii="宋体" w:hAnsi="宋体" w:cs="宋体"/>
          <w:color w:val="auto"/>
          <w:szCs w:val="21"/>
          <w:u w:val="single"/>
        </w:rPr>
      </w:pPr>
      <w:r>
        <w:rPr>
          <w:rFonts w:hint="eastAsia" w:ascii="宋体" w:hAnsi="宋体" w:cs="宋体"/>
          <w:bCs/>
          <w:color w:val="auto"/>
          <w:szCs w:val="21"/>
        </w:rPr>
        <w:t>(3)  出具支付担保的</w:t>
      </w:r>
      <w:r>
        <w:rPr>
          <w:rFonts w:hint="eastAsia" w:ascii="宋体" w:hAnsi="宋体" w:cs="宋体"/>
          <w:color w:val="auto"/>
          <w:kern w:val="0"/>
          <w:szCs w:val="21"/>
        </w:rPr>
        <w:t>担保人</w:t>
      </w:r>
      <w:r>
        <w:rPr>
          <w:rFonts w:hint="eastAsia" w:ascii="宋体" w:hAnsi="宋体" w:cs="宋体"/>
          <w:bCs/>
          <w:color w:val="auto"/>
          <w:szCs w:val="21"/>
        </w:rPr>
        <w:t>：</w:t>
      </w:r>
      <w:r>
        <w:rPr>
          <w:rFonts w:hint="eastAsia" w:ascii="宋体" w:hAnsi="宋体" w:cs="宋体"/>
          <w:color w:val="auto"/>
          <w:szCs w:val="21"/>
          <w:u w:val="single"/>
        </w:rPr>
        <w:t>无</w:t>
      </w:r>
    </w:p>
    <w:p>
      <w:pPr>
        <w:autoSpaceDE w:val="0"/>
        <w:autoSpaceDN w:val="0"/>
        <w:spacing w:before="96" w:line="300" w:lineRule="auto"/>
        <w:ind w:firstLine="420" w:firstLineChars="200"/>
        <w:jc w:val="left"/>
        <w:rPr>
          <w:rFonts w:ascii="宋体" w:hAnsi="宋体" w:cs="宋体"/>
          <w:color w:val="auto"/>
          <w:szCs w:val="21"/>
          <w:u w:val="single"/>
        </w:rPr>
      </w:pPr>
      <w:r>
        <w:rPr>
          <w:rFonts w:hint="eastAsia" w:ascii="宋体" w:hAnsi="宋体" w:cs="宋体"/>
          <w:color w:val="auto"/>
          <w:szCs w:val="21"/>
          <w:u w:val="single"/>
        </w:rPr>
        <w:t>28.6 本条款不适用</w:t>
      </w:r>
    </w:p>
    <w:p>
      <w:pPr>
        <w:autoSpaceDE w:val="0"/>
        <w:autoSpaceDN w:val="0"/>
        <w:spacing w:before="96" w:line="300" w:lineRule="auto"/>
        <w:ind w:firstLine="420" w:firstLineChars="200"/>
        <w:jc w:val="left"/>
        <w:rPr>
          <w:rFonts w:ascii="宋体" w:hAnsi="宋体" w:cs="宋体"/>
          <w:bCs/>
          <w:color w:val="auto"/>
          <w:szCs w:val="21"/>
          <w:u w:val="single"/>
        </w:rPr>
      </w:pPr>
      <w:r>
        <w:rPr>
          <w:rFonts w:hint="eastAsia" w:ascii="宋体" w:hAnsi="宋体" w:cs="宋体"/>
          <w:color w:val="auto"/>
          <w:szCs w:val="21"/>
        </w:rPr>
        <w:t>28.7 在承包人按照合同要求实施和完成本合同工程之前，履约担保一直有效。</w:t>
      </w:r>
    </w:p>
    <w:p>
      <w:pPr>
        <w:autoSpaceDE w:val="0"/>
        <w:autoSpaceDN w:val="0"/>
        <w:spacing w:before="96" w:line="300" w:lineRule="auto"/>
        <w:ind w:firstLine="420" w:firstLineChars="200"/>
        <w:jc w:val="left"/>
        <w:rPr>
          <w:rFonts w:ascii="宋体" w:hAnsi="宋体" w:cs="宋体"/>
          <w:bCs/>
          <w:color w:val="auto"/>
          <w:szCs w:val="21"/>
        </w:rPr>
      </w:pPr>
      <w:r>
        <w:rPr>
          <w:rFonts w:hint="eastAsia" w:ascii="宋体" w:hAnsi="宋体" w:cs="宋体"/>
          <w:bCs/>
          <w:color w:val="auto"/>
          <w:szCs w:val="21"/>
        </w:rPr>
        <w:t>28.8 担保内容、方式和责任等事项的约定：</w:t>
      </w:r>
      <w:r>
        <w:rPr>
          <w:rFonts w:hint="eastAsia" w:ascii="宋体" w:hAnsi="宋体" w:cs="宋体"/>
          <w:bCs/>
          <w:color w:val="auto"/>
          <w:szCs w:val="21"/>
          <w:u w:val="single"/>
        </w:rPr>
        <w:t xml:space="preserve">  /  </w:t>
      </w:r>
    </w:p>
    <w:p>
      <w:pPr>
        <w:tabs>
          <w:tab w:val="left" w:pos="1260"/>
          <w:tab w:val="left" w:pos="1395"/>
        </w:tabs>
        <w:spacing w:before="96" w:line="300" w:lineRule="auto"/>
        <w:ind w:firstLine="420" w:firstLineChars="200"/>
        <w:jc w:val="left"/>
        <w:rPr>
          <w:rFonts w:ascii="宋体" w:hAnsi="宋体" w:cs="宋体"/>
          <w:color w:val="auto"/>
          <w:szCs w:val="21"/>
        </w:rPr>
      </w:pPr>
      <w:r>
        <w:rPr>
          <w:rFonts w:hint="eastAsia" w:ascii="宋体" w:hAnsi="宋体" w:cs="宋体"/>
          <w:bCs/>
          <w:color w:val="auto"/>
          <w:szCs w:val="21"/>
        </w:rPr>
        <w:t xml:space="preserve">28.9 </w:t>
      </w:r>
      <w:r>
        <w:rPr>
          <w:rFonts w:hint="eastAsia" w:ascii="宋体" w:hAnsi="宋体" w:cs="宋体"/>
          <w:color w:val="auto"/>
          <w:szCs w:val="21"/>
        </w:rPr>
        <w:t>承包人违约与履约担保金的扣除</w:t>
      </w:r>
    </w:p>
    <w:p>
      <w:pPr>
        <w:spacing w:before="96" w:line="300" w:lineRule="auto"/>
        <w:ind w:firstLine="420" w:firstLineChars="200"/>
        <w:jc w:val="left"/>
        <w:rPr>
          <w:rFonts w:ascii="宋体" w:hAnsi="宋体" w:cs="宋体"/>
          <w:snapToGrid w:val="0"/>
          <w:color w:val="auto"/>
          <w:szCs w:val="21"/>
        </w:rPr>
      </w:pPr>
      <w:r>
        <w:rPr>
          <w:rFonts w:hint="eastAsia" w:ascii="宋体" w:hAnsi="宋体" w:cs="宋体"/>
          <w:snapToGrid w:val="0"/>
          <w:color w:val="auto"/>
          <w:szCs w:val="21"/>
        </w:rPr>
        <w:t>如果承包人违反国家法律法规，或监理工程师向发包人证明承包人有下述行为时：</w:t>
      </w:r>
    </w:p>
    <w:p>
      <w:pPr>
        <w:tabs>
          <w:tab w:val="left" w:pos="720"/>
          <w:tab w:val="left" w:pos="851"/>
        </w:tabs>
        <w:spacing w:before="96" w:line="300" w:lineRule="auto"/>
        <w:ind w:firstLine="420" w:firstLineChars="200"/>
        <w:jc w:val="left"/>
        <w:rPr>
          <w:rFonts w:ascii="宋体" w:hAnsi="宋体" w:cs="宋体"/>
          <w:color w:val="auto"/>
          <w:szCs w:val="21"/>
        </w:rPr>
      </w:pPr>
      <w:r>
        <w:rPr>
          <w:rFonts w:hint="eastAsia" w:ascii="宋体" w:hAnsi="宋体" w:cs="宋体"/>
          <w:color w:val="auto"/>
          <w:szCs w:val="21"/>
        </w:rPr>
        <w:t>(1)已不再承认合同或无正当理由中途退场；</w:t>
      </w:r>
    </w:p>
    <w:p>
      <w:pPr>
        <w:tabs>
          <w:tab w:val="left" w:pos="720"/>
          <w:tab w:val="left" w:pos="851"/>
        </w:tabs>
        <w:spacing w:before="96" w:line="300" w:lineRule="auto"/>
        <w:ind w:firstLine="420" w:firstLineChars="200"/>
        <w:jc w:val="left"/>
        <w:rPr>
          <w:rFonts w:ascii="宋体" w:hAnsi="宋体" w:cs="宋体"/>
          <w:color w:val="auto"/>
          <w:szCs w:val="21"/>
        </w:rPr>
      </w:pPr>
      <w:r>
        <w:rPr>
          <w:rFonts w:hint="eastAsia" w:ascii="宋体" w:hAnsi="宋体" w:cs="宋体"/>
          <w:color w:val="auto"/>
          <w:szCs w:val="21"/>
        </w:rPr>
        <w:t>(2)无正当理由而未能：</w:t>
      </w:r>
    </w:p>
    <w:p>
      <w:pPr>
        <w:tabs>
          <w:tab w:val="left" w:pos="720"/>
          <w:tab w:val="left" w:pos="851"/>
        </w:tabs>
        <w:spacing w:before="96" w:line="300" w:lineRule="auto"/>
        <w:ind w:firstLine="420" w:firstLineChars="200"/>
        <w:jc w:val="left"/>
        <w:rPr>
          <w:rFonts w:ascii="宋体" w:hAnsi="宋体" w:cs="宋体"/>
          <w:color w:val="auto"/>
          <w:szCs w:val="21"/>
        </w:rPr>
      </w:pPr>
      <w:r>
        <w:rPr>
          <w:rFonts w:hint="eastAsia" w:ascii="宋体" w:hAnsi="宋体" w:cs="宋体"/>
          <w:color w:val="auto"/>
          <w:szCs w:val="21"/>
        </w:rPr>
        <w:t>①按时开工；</w:t>
      </w:r>
    </w:p>
    <w:p>
      <w:pPr>
        <w:tabs>
          <w:tab w:val="left" w:pos="720"/>
          <w:tab w:val="left" w:pos="851"/>
        </w:tabs>
        <w:spacing w:before="96" w:line="300" w:lineRule="auto"/>
        <w:ind w:firstLine="420" w:firstLineChars="200"/>
        <w:jc w:val="left"/>
        <w:rPr>
          <w:rFonts w:ascii="宋体" w:hAnsi="宋体" w:cs="宋体"/>
          <w:color w:val="auto"/>
          <w:szCs w:val="21"/>
        </w:rPr>
      </w:pPr>
      <w:r>
        <w:rPr>
          <w:rFonts w:hint="eastAsia" w:ascii="宋体" w:hAnsi="宋体" w:cs="宋体"/>
          <w:color w:val="auto"/>
          <w:szCs w:val="21"/>
        </w:rPr>
        <w:t>②按发包人、监理工程师根据合同条款的规定，要求其加快工程进度；</w:t>
      </w:r>
    </w:p>
    <w:p>
      <w:pPr>
        <w:tabs>
          <w:tab w:val="left" w:pos="720"/>
          <w:tab w:val="left" w:pos="851"/>
        </w:tabs>
        <w:spacing w:before="96" w:line="300" w:lineRule="auto"/>
        <w:ind w:firstLine="420" w:firstLineChars="200"/>
        <w:jc w:val="left"/>
        <w:rPr>
          <w:rFonts w:ascii="宋体" w:hAnsi="宋体" w:cs="宋体"/>
          <w:color w:val="auto"/>
          <w:szCs w:val="21"/>
        </w:rPr>
      </w:pPr>
      <w:r>
        <w:rPr>
          <w:rFonts w:hint="eastAsia" w:ascii="宋体" w:hAnsi="宋体" w:cs="宋体"/>
          <w:color w:val="auto"/>
          <w:szCs w:val="21"/>
        </w:rPr>
        <w:t>③按合同规定的工期完工(除非合同另有规定)；</w:t>
      </w:r>
    </w:p>
    <w:p>
      <w:pPr>
        <w:tabs>
          <w:tab w:val="left" w:pos="720"/>
          <w:tab w:val="left" w:pos="851"/>
        </w:tabs>
        <w:spacing w:before="96" w:line="300" w:lineRule="auto"/>
        <w:ind w:firstLine="420" w:firstLineChars="200"/>
        <w:jc w:val="left"/>
        <w:rPr>
          <w:rFonts w:ascii="宋体" w:hAnsi="宋体" w:cs="宋体"/>
          <w:color w:val="auto"/>
          <w:szCs w:val="21"/>
        </w:rPr>
      </w:pPr>
      <w:r>
        <w:rPr>
          <w:rFonts w:hint="eastAsia" w:ascii="宋体" w:hAnsi="宋体" w:cs="宋体"/>
          <w:color w:val="auto"/>
          <w:szCs w:val="21"/>
        </w:rPr>
        <w:t xml:space="preserve">(3)对监理工程师按规定发出的整改指示，未采取相应的改正措施； </w:t>
      </w:r>
    </w:p>
    <w:p>
      <w:pPr>
        <w:tabs>
          <w:tab w:val="left" w:pos="720"/>
          <w:tab w:val="left" w:pos="851"/>
        </w:tabs>
        <w:spacing w:before="96" w:line="300" w:lineRule="auto"/>
        <w:ind w:firstLine="420" w:firstLineChars="200"/>
        <w:jc w:val="left"/>
        <w:rPr>
          <w:rFonts w:ascii="宋体" w:hAnsi="宋体" w:cs="宋体"/>
          <w:color w:val="auto"/>
          <w:szCs w:val="21"/>
        </w:rPr>
      </w:pPr>
      <w:r>
        <w:rPr>
          <w:rFonts w:hint="eastAsia" w:ascii="宋体" w:hAnsi="宋体" w:cs="宋体"/>
          <w:color w:val="auto"/>
          <w:szCs w:val="21"/>
        </w:rPr>
        <w:t>(4)对发包人、监理工程师指出的施工质量不合格或有缺陷的工程，未能补救或返工重建；</w:t>
      </w:r>
    </w:p>
    <w:p>
      <w:pPr>
        <w:tabs>
          <w:tab w:val="left" w:pos="720"/>
          <w:tab w:val="left" w:pos="851"/>
        </w:tabs>
        <w:spacing w:before="96" w:line="300" w:lineRule="auto"/>
        <w:ind w:firstLine="420" w:firstLineChars="200"/>
        <w:jc w:val="left"/>
        <w:rPr>
          <w:rFonts w:ascii="宋体" w:hAnsi="宋体" w:cs="宋体"/>
          <w:color w:val="auto"/>
          <w:szCs w:val="21"/>
        </w:rPr>
      </w:pPr>
      <w:r>
        <w:rPr>
          <w:rFonts w:hint="eastAsia" w:ascii="宋体" w:hAnsi="宋体" w:cs="宋体"/>
          <w:color w:val="auto"/>
          <w:szCs w:val="21"/>
        </w:rPr>
        <w:t>(5)无视发包人、监理工程师事先书面警告，仍一贯或公然忽视履行合同责任;</w:t>
      </w:r>
    </w:p>
    <w:p>
      <w:pPr>
        <w:tabs>
          <w:tab w:val="left" w:pos="720"/>
          <w:tab w:val="left" w:pos="851"/>
        </w:tabs>
        <w:spacing w:before="96" w:line="300" w:lineRule="auto"/>
        <w:ind w:firstLine="420" w:firstLineChars="200"/>
        <w:jc w:val="left"/>
        <w:rPr>
          <w:rFonts w:ascii="宋体" w:hAnsi="宋体" w:cs="宋体"/>
          <w:color w:val="auto"/>
          <w:szCs w:val="21"/>
        </w:rPr>
      </w:pPr>
      <w:r>
        <w:rPr>
          <w:rFonts w:hint="eastAsia" w:ascii="宋体" w:hAnsi="宋体" w:cs="宋体"/>
          <w:color w:val="auto"/>
          <w:szCs w:val="21"/>
        </w:rPr>
        <w:t>(6)违反合同规定没有派投标书中承诺的主要施工管理人员到场组织施工，或没有经发包人同意，替换不合格的施工管理人员（如发生此情况将按补充条款96.7款处理）；</w:t>
      </w:r>
    </w:p>
    <w:p>
      <w:pPr>
        <w:tabs>
          <w:tab w:val="left" w:pos="720"/>
          <w:tab w:val="left" w:pos="851"/>
        </w:tabs>
        <w:spacing w:before="96" w:line="300" w:lineRule="auto"/>
        <w:ind w:firstLine="420" w:firstLineChars="200"/>
        <w:jc w:val="left"/>
        <w:rPr>
          <w:rFonts w:ascii="宋体" w:hAnsi="宋体" w:cs="宋体"/>
          <w:color w:val="auto"/>
          <w:szCs w:val="21"/>
        </w:rPr>
      </w:pPr>
      <w:r>
        <w:rPr>
          <w:rFonts w:hint="eastAsia" w:ascii="宋体" w:hAnsi="宋体" w:cs="宋体"/>
          <w:color w:val="auto"/>
          <w:szCs w:val="21"/>
        </w:rPr>
        <w:t>(7)违反合同规定不使用投标书中承诺的关键施工机械；</w:t>
      </w:r>
    </w:p>
    <w:p>
      <w:pPr>
        <w:tabs>
          <w:tab w:val="left" w:pos="720"/>
          <w:tab w:val="left" w:pos="851"/>
        </w:tabs>
        <w:spacing w:before="96" w:line="300" w:lineRule="auto"/>
        <w:ind w:firstLine="420" w:firstLineChars="200"/>
        <w:jc w:val="left"/>
        <w:rPr>
          <w:rFonts w:ascii="宋体" w:hAnsi="宋体" w:cs="宋体"/>
          <w:color w:val="auto"/>
          <w:szCs w:val="21"/>
        </w:rPr>
      </w:pPr>
      <w:r>
        <w:rPr>
          <w:rFonts w:hint="eastAsia" w:ascii="宋体" w:hAnsi="宋体" w:cs="宋体"/>
          <w:color w:val="auto"/>
          <w:szCs w:val="21"/>
        </w:rPr>
        <w:t>(8)违反合同规定转包或分包主体工程；</w:t>
      </w:r>
    </w:p>
    <w:p>
      <w:pPr>
        <w:tabs>
          <w:tab w:val="left" w:pos="720"/>
          <w:tab w:val="left" w:pos="851"/>
        </w:tabs>
        <w:spacing w:before="96" w:line="30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(9)未按规定按时足额支付农民工工资；</w:t>
      </w:r>
    </w:p>
    <w:p>
      <w:pPr>
        <w:tabs>
          <w:tab w:val="left" w:pos="720"/>
          <w:tab w:val="left" w:pos="851"/>
        </w:tabs>
        <w:spacing w:before="96" w:line="300" w:lineRule="auto"/>
        <w:ind w:firstLine="420" w:firstLineChars="200"/>
        <w:jc w:val="left"/>
        <w:rPr>
          <w:rFonts w:ascii="宋体" w:hAnsi="宋体" w:cs="宋体"/>
          <w:color w:val="auto"/>
          <w:szCs w:val="21"/>
        </w:rPr>
      </w:pPr>
      <w:r>
        <w:rPr>
          <w:rFonts w:hint="eastAsia" w:ascii="宋体" w:hAnsi="宋体" w:cs="宋体"/>
          <w:color w:val="auto"/>
          <w:kern w:val="0"/>
          <w:szCs w:val="21"/>
        </w:rPr>
        <w:t>(10)未按规定实行平安卡管理制度，或有冒名顶替或人不到场而代为刷卡等弄虚作假现象的。</w:t>
      </w:r>
    </w:p>
    <w:p>
      <w:pPr>
        <w:autoSpaceDE w:val="0"/>
        <w:autoSpaceDN w:val="0"/>
        <w:spacing w:before="96" w:line="300" w:lineRule="auto"/>
        <w:ind w:firstLine="420" w:firstLineChars="200"/>
        <w:jc w:val="left"/>
        <w:rPr>
          <w:rFonts w:ascii="宋体" w:hAnsi="宋体" w:cs="宋体"/>
          <w:color w:val="auto"/>
          <w:szCs w:val="21"/>
        </w:rPr>
      </w:pPr>
      <w:r>
        <w:rPr>
          <w:rFonts w:hint="eastAsia" w:ascii="宋体" w:hAnsi="宋体" w:cs="宋体"/>
          <w:color w:val="auto"/>
          <w:szCs w:val="21"/>
        </w:rPr>
        <w:t>则发包人在向承包人发出通知的10天内未见纠正的，可以视情况扣除全部或部分履约担保金，或取消承包人承包的权利，另行发包。</w:t>
      </w:r>
    </w:p>
    <w:p>
      <w:pPr>
        <w:autoSpaceDE w:val="0"/>
        <w:autoSpaceDN w:val="0"/>
        <w:spacing w:before="96" w:line="300" w:lineRule="auto"/>
        <w:ind w:firstLine="420" w:firstLineChars="200"/>
        <w:jc w:val="left"/>
        <w:rPr>
          <w:rFonts w:ascii="宋体" w:hAnsi="宋体" w:cs="宋体"/>
          <w:color w:val="auto"/>
          <w:szCs w:val="21"/>
        </w:rPr>
      </w:pPr>
      <w:r>
        <w:rPr>
          <w:rFonts w:hint="eastAsia" w:ascii="宋体" w:hAnsi="宋体" w:cs="宋体"/>
          <w:color w:val="auto"/>
          <w:szCs w:val="21"/>
        </w:rPr>
        <w:t>28.10 履约担保金的退回</w:t>
      </w:r>
    </w:p>
    <w:p>
      <w:pPr>
        <w:autoSpaceDE w:val="0"/>
        <w:autoSpaceDN w:val="0"/>
        <w:spacing w:before="96" w:line="300" w:lineRule="auto"/>
        <w:ind w:firstLine="420" w:firstLineChars="200"/>
        <w:jc w:val="left"/>
        <w:rPr>
          <w:rFonts w:ascii="宋体" w:hAnsi="宋体" w:cs="宋体"/>
          <w:color w:val="auto"/>
          <w:szCs w:val="21"/>
        </w:rPr>
      </w:pPr>
      <w:r>
        <w:rPr>
          <w:rFonts w:hint="eastAsia" w:ascii="宋体" w:hAnsi="宋体" w:cs="宋体"/>
          <w:color w:val="auto"/>
          <w:szCs w:val="21"/>
        </w:rPr>
        <w:t>以现金或支票等方式提交的，工程完工并经竣工验收合格后28天内无息退回履约担保金；如以银行保函方式提供的，则工程完工并经竣工验收合格后28天内退回银行保函原件。</w:t>
      </w:r>
    </w:p>
    <w:p>
      <w:pPr>
        <w:autoSpaceDE w:val="0"/>
        <w:autoSpaceDN w:val="0"/>
        <w:spacing w:before="96" w:line="300" w:lineRule="auto"/>
        <w:ind w:right="-20"/>
        <w:jc w:val="left"/>
        <w:rPr>
          <w:rFonts w:ascii="宋体" w:hAnsi="宋体" w:cs="宋体"/>
          <w:b/>
          <w:color w:val="auto"/>
          <w:szCs w:val="21"/>
        </w:rPr>
      </w:pPr>
      <w:r>
        <w:rPr>
          <w:rFonts w:hint="eastAsia" w:ascii="宋体" w:hAnsi="宋体" w:cs="宋体"/>
          <w:b/>
          <w:color w:val="auto"/>
          <w:szCs w:val="21"/>
        </w:rPr>
        <w:t>29．发包人风险</w:t>
      </w:r>
    </w:p>
    <w:p>
      <w:pPr>
        <w:autoSpaceDE w:val="0"/>
        <w:autoSpaceDN w:val="0"/>
        <w:spacing w:before="96" w:line="300" w:lineRule="auto"/>
        <w:ind w:firstLine="420" w:firstLineChars="200"/>
        <w:jc w:val="left"/>
        <w:rPr>
          <w:rFonts w:ascii="宋体" w:hAnsi="宋体" w:cs="宋体"/>
          <w:color w:val="auto"/>
          <w:szCs w:val="21"/>
        </w:rPr>
      </w:pPr>
      <w:r>
        <w:rPr>
          <w:rFonts w:hint="eastAsia" w:ascii="宋体" w:hAnsi="宋体" w:cs="宋体"/>
          <w:color w:val="auto"/>
          <w:szCs w:val="21"/>
        </w:rPr>
        <w:t>29.2（5）关于地质、邻近建筑物、古树名木和物价上涨等原因是否属于承包人风险按专用条款20.2和76条规定执行。</w:t>
      </w:r>
    </w:p>
    <w:p>
      <w:pPr>
        <w:autoSpaceDE w:val="0"/>
        <w:autoSpaceDN w:val="0"/>
        <w:spacing w:before="96" w:line="300" w:lineRule="auto"/>
        <w:ind w:right="-20"/>
        <w:jc w:val="left"/>
        <w:rPr>
          <w:rFonts w:ascii="宋体" w:hAnsi="宋体" w:cs="宋体"/>
          <w:b/>
          <w:color w:val="auto"/>
          <w:szCs w:val="21"/>
        </w:rPr>
      </w:pPr>
      <w:r>
        <w:rPr>
          <w:rFonts w:hint="eastAsia" w:ascii="宋体" w:hAnsi="宋体" w:cs="宋体"/>
          <w:b/>
          <w:color w:val="auto"/>
          <w:szCs w:val="21"/>
        </w:rPr>
        <w:t>31．不可抗力</w:t>
      </w:r>
    </w:p>
    <w:p>
      <w:pPr>
        <w:autoSpaceDE w:val="0"/>
        <w:autoSpaceDN w:val="0"/>
        <w:spacing w:before="96" w:line="300" w:lineRule="auto"/>
        <w:ind w:firstLine="420" w:firstLineChars="200"/>
        <w:jc w:val="left"/>
        <w:rPr>
          <w:rFonts w:ascii="宋体" w:hAnsi="宋体" w:cs="宋体"/>
          <w:color w:val="auto"/>
          <w:szCs w:val="21"/>
        </w:rPr>
      </w:pPr>
      <w:r>
        <w:rPr>
          <w:rFonts w:hint="eastAsia" w:ascii="宋体" w:hAnsi="宋体" w:cs="宋体"/>
          <w:color w:val="auto"/>
          <w:szCs w:val="21"/>
        </w:rPr>
        <w:t>31.1（4）不可抗力的其他情形：</w:t>
      </w:r>
      <w:r>
        <w:rPr>
          <w:rFonts w:hint="eastAsia" w:ascii="宋体" w:hAnsi="宋体" w:cs="宋体"/>
          <w:color w:val="auto"/>
          <w:szCs w:val="21"/>
          <w:u w:val="single"/>
        </w:rPr>
        <w:t xml:space="preserve"> 无。</w:t>
      </w:r>
    </w:p>
    <w:p>
      <w:pPr>
        <w:autoSpaceDE w:val="0"/>
        <w:autoSpaceDN w:val="0"/>
        <w:spacing w:before="96" w:line="300" w:lineRule="auto"/>
        <w:ind w:right="-20"/>
        <w:jc w:val="left"/>
        <w:rPr>
          <w:rFonts w:ascii="宋体" w:hAnsi="宋体" w:cs="宋体"/>
          <w:b/>
          <w:color w:val="auto"/>
          <w:szCs w:val="21"/>
        </w:rPr>
      </w:pPr>
      <w:r>
        <w:rPr>
          <w:rFonts w:hint="eastAsia" w:ascii="宋体" w:hAnsi="宋体" w:cs="宋体"/>
          <w:b/>
          <w:color w:val="auto"/>
          <w:szCs w:val="21"/>
        </w:rPr>
        <w:t>32．保险</w:t>
      </w:r>
    </w:p>
    <w:p>
      <w:pPr>
        <w:autoSpaceDE w:val="0"/>
        <w:autoSpaceDN w:val="0"/>
        <w:spacing w:before="96" w:line="300" w:lineRule="auto"/>
        <w:ind w:firstLine="420" w:firstLineChars="200"/>
        <w:jc w:val="left"/>
        <w:rPr>
          <w:rFonts w:ascii="宋体" w:hAnsi="宋体" w:cs="宋体"/>
          <w:color w:val="auto"/>
          <w:szCs w:val="21"/>
        </w:rPr>
      </w:pPr>
      <w:r>
        <w:rPr>
          <w:rFonts w:hint="eastAsia" w:ascii="宋体" w:hAnsi="宋体" w:cs="宋体"/>
          <w:color w:val="auto"/>
          <w:szCs w:val="21"/>
        </w:rPr>
        <w:t>32.1 发包人委托承包人办理保险事项有：</w:t>
      </w:r>
    </w:p>
    <w:p>
      <w:pPr>
        <w:autoSpaceDE w:val="0"/>
        <w:autoSpaceDN w:val="0"/>
        <w:spacing w:before="96" w:line="300" w:lineRule="auto"/>
        <w:ind w:firstLine="420" w:firstLineChars="200"/>
        <w:jc w:val="left"/>
        <w:rPr>
          <w:rFonts w:ascii="宋体" w:hAnsi="宋体" w:cs="宋体"/>
          <w:color w:val="auto"/>
          <w:szCs w:val="21"/>
        </w:rPr>
      </w:pPr>
      <w:r>
        <w:rPr>
          <w:rFonts w:hint="eastAsia" w:ascii="宋体" w:hAnsi="宋体" w:cs="宋体"/>
          <w:color w:val="auto"/>
          <w:szCs w:val="21"/>
        </w:rPr>
        <w:t>■ 合同通用条款第32.1款的第（1）项；</w:t>
      </w:r>
    </w:p>
    <w:p>
      <w:pPr>
        <w:autoSpaceDE w:val="0"/>
        <w:autoSpaceDN w:val="0"/>
        <w:spacing w:before="96" w:line="300" w:lineRule="auto"/>
        <w:ind w:firstLine="420" w:firstLineChars="200"/>
        <w:jc w:val="left"/>
        <w:rPr>
          <w:rFonts w:ascii="宋体" w:hAnsi="宋体" w:cs="宋体"/>
          <w:color w:val="auto"/>
          <w:szCs w:val="21"/>
        </w:rPr>
      </w:pPr>
      <w:r>
        <w:rPr>
          <w:rFonts w:hint="eastAsia" w:ascii="宋体" w:hAnsi="宋体" w:cs="宋体"/>
          <w:color w:val="auto"/>
          <w:szCs w:val="21"/>
        </w:rPr>
        <w:t>■ 合同通用条款第32.1款的第（2）项；</w:t>
      </w:r>
    </w:p>
    <w:p>
      <w:pPr>
        <w:autoSpaceDE w:val="0"/>
        <w:autoSpaceDN w:val="0"/>
        <w:spacing w:before="96" w:line="300" w:lineRule="auto"/>
        <w:ind w:firstLine="420" w:firstLineChars="200"/>
        <w:jc w:val="left"/>
        <w:rPr>
          <w:rFonts w:ascii="宋体" w:hAnsi="宋体" w:cs="宋体"/>
          <w:color w:val="auto"/>
          <w:szCs w:val="21"/>
        </w:rPr>
      </w:pPr>
      <w:r>
        <w:rPr>
          <w:rFonts w:hint="eastAsia" w:ascii="宋体" w:hAnsi="宋体" w:cs="宋体"/>
          <w:color w:val="auto"/>
          <w:szCs w:val="21"/>
        </w:rPr>
        <w:t>■ 合同通用条款第32.1款的第（3）项；</w:t>
      </w:r>
    </w:p>
    <w:p>
      <w:pPr>
        <w:autoSpaceDE w:val="0"/>
        <w:autoSpaceDN w:val="0"/>
        <w:spacing w:before="96" w:line="300" w:lineRule="auto"/>
        <w:ind w:firstLine="420" w:firstLineChars="200"/>
        <w:jc w:val="left"/>
        <w:rPr>
          <w:rFonts w:ascii="宋体" w:hAnsi="宋体" w:cs="宋体"/>
          <w:color w:val="auto"/>
          <w:szCs w:val="21"/>
        </w:rPr>
      </w:pPr>
      <w:r>
        <w:rPr>
          <w:rFonts w:hint="eastAsia" w:ascii="宋体" w:hAnsi="宋体" w:cs="宋体"/>
          <w:bCs/>
          <w:color w:val="auto"/>
          <w:szCs w:val="21"/>
        </w:rPr>
        <w:t>□</w:t>
      </w:r>
      <w:r>
        <w:rPr>
          <w:rFonts w:hint="eastAsia" w:ascii="宋体" w:hAnsi="宋体" w:cs="宋体"/>
          <w:color w:val="auto"/>
          <w:szCs w:val="21"/>
        </w:rPr>
        <w:t xml:space="preserve"> 合同通用条款第32.1款的第（4）项。</w:t>
      </w:r>
    </w:p>
    <w:p>
      <w:pPr>
        <w:autoSpaceDE w:val="0"/>
        <w:autoSpaceDN w:val="0"/>
        <w:spacing w:before="96" w:line="300" w:lineRule="auto"/>
        <w:ind w:firstLine="420" w:firstLineChars="200"/>
        <w:jc w:val="left"/>
        <w:rPr>
          <w:rFonts w:ascii="宋体" w:hAnsi="宋体" w:cs="宋体"/>
          <w:bCs/>
          <w:color w:val="auto"/>
          <w:szCs w:val="21"/>
        </w:rPr>
      </w:pPr>
      <w:r>
        <w:rPr>
          <w:rFonts w:hint="eastAsia" w:ascii="宋体" w:hAnsi="宋体" w:cs="宋体"/>
          <w:bCs/>
          <w:color w:val="auto"/>
          <w:szCs w:val="21"/>
        </w:rPr>
        <w:t>32.8 担保内容、保险金、保险期限和责任等事项的约定：</w:t>
      </w:r>
      <w:r>
        <w:rPr>
          <w:rFonts w:hint="eastAsia" w:ascii="宋体" w:hAnsi="宋体" w:cs="宋体"/>
          <w:bCs/>
          <w:color w:val="auto"/>
          <w:szCs w:val="21"/>
          <w:u w:val="single"/>
        </w:rPr>
        <w:t>按合同通用条款第32.1款的第（1）、（2）、（3）项所列投保内容投保；保险费用由承包人承担并包含在合同总价款内，承包人必须在开工前把投保单送发包人备案，否则不得开工，工期不予顺延。</w:t>
      </w:r>
    </w:p>
    <w:p>
      <w:pPr>
        <w:autoSpaceDE w:val="0"/>
        <w:autoSpaceDN w:val="0"/>
        <w:spacing w:before="96" w:line="300" w:lineRule="auto"/>
        <w:ind w:right="-20"/>
        <w:jc w:val="left"/>
        <w:rPr>
          <w:rFonts w:ascii="宋体" w:hAnsi="宋体" w:cs="宋体"/>
          <w:b/>
          <w:color w:val="auto"/>
          <w:szCs w:val="21"/>
        </w:rPr>
      </w:pPr>
      <w:r>
        <w:rPr>
          <w:rFonts w:hint="eastAsia" w:ascii="宋体" w:hAnsi="宋体" w:cs="宋体"/>
          <w:b/>
          <w:color w:val="auto"/>
          <w:szCs w:val="21"/>
        </w:rPr>
        <w:t>33．进度计划和报告</w:t>
      </w:r>
    </w:p>
    <w:p>
      <w:pPr>
        <w:autoSpaceDE w:val="0"/>
        <w:autoSpaceDN w:val="0"/>
        <w:spacing w:before="96" w:line="300" w:lineRule="auto"/>
        <w:ind w:firstLine="420" w:firstLineChars="200"/>
        <w:jc w:val="left"/>
        <w:rPr>
          <w:rFonts w:ascii="宋体" w:hAnsi="宋体" w:cs="宋体"/>
          <w:bCs/>
          <w:color w:val="auto"/>
          <w:szCs w:val="21"/>
          <w:u w:val="single"/>
        </w:rPr>
      </w:pPr>
      <w:r>
        <w:rPr>
          <w:rFonts w:hint="eastAsia" w:ascii="宋体" w:hAnsi="宋体" w:cs="宋体"/>
          <w:bCs/>
          <w:color w:val="auto"/>
          <w:szCs w:val="21"/>
        </w:rPr>
        <w:t>33.3 承包人编制施工进度报告和修订进度计划的约定：</w:t>
      </w:r>
      <w:r>
        <w:rPr>
          <w:rFonts w:hint="eastAsia" w:ascii="宋体" w:hAnsi="宋体" w:cs="宋体"/>
          <w:bCs/>
          <w:color w:val="auto"/>
          <w:szCs w:val="21"/>
          <w:u w:val="single"/>
        </w:rPr>
        <w:t>按通用条款约定。</w:t>
      </w:r>
    </w:p>
    <w:p>
      <w:pPr>
        <w:autoSpaceDE w:val="0"/>
        <w:autoSpaceDN w:val="0"/>
        <w:spacing w:before="96" w:line="300" w:lineRule="auto"/>
        <w:ind w:right="-20"/>
        <w:jc w:val="left"/>
        <w:rPr>
          <w:rFonts w:ascii="宋体" w:hAnsi="宋体" w:cs="宋体"/>
          <w:b/>
          <w:color w:val="auto"/>
          <w:szCs w:val="21"/>
        </w:rPr>
      </w:pPr>
      <w:r>
        <w:rPr>
          <w:rFonts w:hint="eastAsia" w:ascii="宋体" w:hAnsi="宋体" w:cs="宋体"/>
          <w:b/>
          <w:color w:val="auto"/>
          <w:szCs w:val="21"/>
        </w:rPr>
        <w:t>34．开工</w:t>
      </w:r>
    </w:p>
    <w:p>
      <w:pPr>
        <w:tabs>
          <w:tab w:val="left" w:pos="1240"/>
          <w:tab w:val="left" w:pos="5080"/>
        </w:tabs>
        <w:autoSpaceDE w:val="0"/>
        <w:autoSpaceDN w:val="0"/>
        <w:spacing w:before="96" w:line="300" w:lineRule="auto"/>
        <w:ind w:firstLine="420" w:firstLineChars="200"/>
        <w:jc w:val="left"/>
        <w:rPr>
          <w:rFonts w:ascii="宋体" w:hAnsi="宋体" w:cs="宋体"/>
          <w:bCs/>
          <w:color w:val="auto"/>
          <w:szCs w:val="21"/>
        </w:rPr>
      </w:pPr>
      <w:r>
        <w:rPr>
          <w:rFonts w:hint="eastAsia" w:ascii="宋体" w:hAnsi="宋体" w:cs="宋体"/>
          <w:bCs/>
          <w:color w:val="auto"/>
          <w:szCs w:val="21"/>
        </w:rPr>
        <w:t>34.2 监理工程师在本合同签订后的（</w:t>
      </w:r>
      <w:r>
        <w:rPr>
          <w:rFonts w:hint="eastAsia" w:ascii="宋体" w:hAnsi="宋体" w:cs="宋体"/>
          <w:bCs/>
          <w:color w:val="auto"/>
          <w:szCs w:val="21"/>
        </w:rPr>
        <w:tab/>
      </w:r>
      <w:r>
        <w:rPr>
          <w:rFonts w:hint="eastAsia" w:ascii="宋体" w:hAnsi="宋体" w:cs="宋体"/>
          <w:bCs/>
          <w:color w:val="auto"/>
          <w:szCs w:val="21"/>
        </w:rPr>
        <w:t>）内签发开工令。</w:t>
      </w:r>
    </w:p>
    <w:p>
      <w:pPr>
        <w:autoSpaceDE w:val="0"/>
        <w:autoSpaceDN w:val="0"/>
        <w:spacing w:before="96" w:line="300" w:lineRule="auto"/>
        <w:ind w:firstLine="420" w:firstLineChars="200"/>
        <w:jc w:val="left"/>
        <w:rPr>
          <w:rFonts w:ascii="宋体" w:hAnsi="宋体" w:cs="宋体"/>
          <w:bCs/>
          <w:color w:val="auto"/>
          <w:szCs w:val="21"/>
        </w:rPr>
      </w:pPr>
      <w:r>
        <w:rPr>
          <w:rFonts w:hint="eastAsia" w:ascii="宋体" w:hAnsi="宋体" w:cs="宋体"/>
          <w:bCs/>
          <w:color w:val="auto"/>
          <w:szCs w:val="21"/>
        </w:rPr>
        <w:t>□ 按合同通用条款规定的 42 天。</w:t>
      </w:r>
    </w:p>
    <w:p>
      <w:pPr>
        <w:tabs>
          <w:tab w:val="left" w:pos="1240"/>
        </w:tabs>
        <w:autoSpaceDE w:val="0"/>
        <w:autoSpaceDN w:val="0"/>
        <w:spacing w:before="96" w:line="300" w:lineRule="auto"/>
        <w:ind w:firstLine="420" w:firstLineChars="200"/>
        <w:jc w:val="left"/>
        <w:rPr>
          <w:rFonts w:ascii="宋体" w:hAnsi="宋体" w:cs="宋体"/>
          <w:bCs/>
          <w:color w:val="auto"/>
          <w:szCs w:val="21"/>
          <w:u w:val="single"/>
        </w:rPr>
      </w:pPr>
      <w:r>
        <w:rPr>
          <w:rFonts w:hint="eastAsia" w:ascii="宋体" w:hAnsi="宋体" w:cs="宋体"/>
          <w:bCs/>
          <w:color w:val="auto"/>
          <w:szCs w:val="21"/>
        </w:rPr>
        <w:t>■ 另作约定：</w:t>
      </w:r>
      <w:r>
        <w:rPr>
          <w:rFonts w:hint="eastAsia" w:ascii="宋体" w:hAnsi="宋体" w:cs="宋体"/>
          <w:bCs/>
          <w:color w:val="auto"/>
          <w:szCs w:val="21"/>
          <w:u w:val="single"/>
        </w:rPr>
        <w:t xml:space="preserve"> 承包人应在签订本合同后的7天内，向监理工程师提交开工申请书，并附上表明已做好开工准备的有关资料。在具备法规规定的开工条件后，监理工程师应在3天内报发包人批准后向承包人发出开工令。</w:t>
      </w:r>
      <w:r>
        <w:rPr>
          <w:rFonts w:hint="eastAsia" w:ascii="宋体" w:hAnsi="宋体" w:cs="宋体"/>
          <w:color w:val="auto"/>
          <w:kern w:val="0"/>
          <w:szCs w:val="21"/>
          <w:u w:val="single"/>
        </w:rPr>
        <w:t>承包人应在接到开工令后的3天内开工，若在签订本合同后第15天承包人仍不具备开工条件的，发包人有权立即解除合同，没收承包人的履约担保金，并且承包人需向发包人赔偿因此而造成的一切损失。</w:t>
      </w:r>
    </w:p>
    <w:p>
      <w:pPr>
        <w:autoSpaceDE w:val="0"/>
        <w:autoSpaceDN w:val="0"/>
        <w:spacing w:before="96" w:line="300" w:lineRule="auto"/>
        <w:ind w:right="-20"/>
        <w:jc w:val="left"/>
        <w:rPr>
          <w:rFonts w:ascii="宋体" w:hAnsi="宋体" w:cs="宋体"/>
          <w:b/>
          <w:color w:val="auto"/>
          <w:szCs w:val="21"/>
        </w:rPr>
      </w:pPr>
      <w:r>
        <w:rPr>
          <w:rFonts w:hint="eastAsia" w:ascii="宋体" w:hAnsi="宋体" w:cs="宋体"/>
          <w:b/>
          <w:color w:val="auto"/>
          <w:szCs w:val="21"/>
        </w:rPr>
        <w:t>35．暂停施工和复工</w:t>
      </w:r>
    </w:p>
    <w:p>
      <w:pPr>
        <w:autoSpaceDE w:val="0"/>
        <w:autoSpaceDN w:val="0"/>
        <w:spacing w:before="96" w:line="300" w:lineRule="auto"/>
        <w:ind w:firstLine="420" w:firstLineChars="200"/>
        <w:jc w:val="left"/>
        <w:rPr>
          <w:rFonts w:ascii="宋体" w:hAnsi="宋体" w:cs="宋体"/>
          <w:bCs/>
          <w:color w:val="auto"/>
          <w:szCs w:val="21"/>
        </w:rPr>
      </w:pPr>
      <w:r>
        <w:rPr>
          <w:rFonts w:hint="eastAsia" w:ascii="宋体" w:hAnsi="宋体" w:cs="宋体"/>
          <w:bCs/>
          <w:color w:val="auto"/>
          <w:szCs w:val="21"/>
        </w:rPr>
        <w:t>35.1 为了保证工程质量安全，凡出现下列情况之一（不限于此）的，总监理工程师有权下达停工令，责令承包人停工整改，由此造成的损失由承包人自行负责，造成工期延误的承包人按约定承担违约责任。</w:t>
      </w:r>
    </w:p>
    <w:p>
      <w:pPr>
        <w:autoSpaceDE w:val="0"/>
        <w:autoSpaceDN w:val="0"/>
        <w:spacing w:before="96" w:line="300" w:lineRule="auto"/>
        <w:ind w:firstLine="420" w:firstLineChars="200"/>
        <w:jc w:val="left"/>
        <w:rPr>
          <w:rFonts w:ascii="宋体" w:hAnsi="宋体" w:cs="宋体"/>
          <w:bCs/>
          <w:color w:val="auto"/>
          <w:szCs w:val="21"/>
        </w:rPr>
      </w:pPr>
      <w:r>
        <w:rPr>
          <w:rFonts w:hint="eastAsia" w:ascii="宋体" w:hAnsi="宋体" w:cs="宋体"/>
          <w:bCs/>
          <w:color w:val="auto"/>
          <w:szCs w:val="21"/>
        </w:rPr>
        <w:t>(1)拒绝监理单位管理；</w:t>
      </w:r>
    </w:p>
    <w:p>
      <w:pPr>
        <w:autoSpaceDE w:val="0"/>
        <w:autoSpaceDN w:val="0"/>
        <w:spacing w:before="96" w:line="300" w:lineRule="auto"/>
        <w:ind w:firstLine="420" w:firstLineChars="200"/>
        <w:jc w:val="left"/>
        <w:rPr>
          <w:rFonts w:ascii="宋体" w:hAnsi="宋体" w:cs="宋体"/>
          <w:bCs/>
          <w:color w:val="auto"/>
          <w:szCs w:val="21"/>
        </w:rPr>
      </w:pPr>
      <w:r>
        <w:rPr>
          <w:rFonts w:hint="eastAsia" w:ascii="宋体" w:hAnsi="宋体" w:cs="宋体"/>
          <w:bCs/>
          <w:color w:val="auto"/>
          <w:szCs w:val="21"/>
        </w:rPr>
        <w:t>(2)施工组织设计（方案）未获总监理工程师批准而进行施工；</w:t>
      </w:r>
    </w:p>
    <w:p>
      <w:pPr>
        <w:autoSpaceDE w:val="0"/>
        <w:autoSpaceDN w:val="0"/>
        <w:spacing w:before="96" w:line="300" w:lineRule="auto"/>
        <w:ind w:firstLine="420" w:firstLineChars="200"/>
        <w:jc w:val="left"/>
        <w:rPr>
          <w:rFonts w:ascii="宋体" w:hAnsi="宋体" w:cs="宋体"/>
          <w:bCs/>
          <w:color w:val="auto"/>
          <w:szCs w:val="21"/>
        </w:rPr>
      </w:pPr>
      <w:r>
        <w:rPr>
          <w:rFonts w:hint="eastAsia" w:ascii="宋体" w:hAnsi="宋体" w:cs="宋体"/>
          <w:bCs/>
          <w:color w:val="auto"/>
          <w:szCs w:val="21"/>
        </w:rPr>
        <w:t>(3)未经监理单位检验而进行下一道工序作业者；</w:t>
      </w:r>
    </w:p>
    <w:p>
      <w:pPr>
        <w:autoSpaceDE w:val="0"/>
        <w:autoSpaceDN w:val="0"/>
        <w:spacing w:before="96" w:line="300" w:lineRule="auto"/>
        <w:ind w:firstLine="420" w:firstLineChars="200"/>
        <w:jc w:val="left"/>
        <w:rPr>
          <w:rFonts w:ascii="宋体" w:hAnsi="宋体" w:cs="宋体"/>
          <w:bCs/>
          <w:color w:val="auto"/>
          <w:szCs w:val="21"/>
        </w:rPr>
      </w:pPr>
      <w:r>
        <w:rPr>
          <w:rFonts w:hint="eastAsia" w:ascii="宋体" w:hAnsi="宋体" w:cs="宋体"/>
          <w:bCs/>
          <w:color w:val="auto"/>
          <w:szCs w:val="21"/>
        </w:rPr>
        <w:t>(4)擅自采用未经监理单位及发包人认可或批准的材料的，或者使用的原材料、构配件不合格或未经检查确认的，或者擅自采用未经认可的代用材料的；</w:t>
      </w:r>
    </w:p>
    <w:p>
      <w:pPr>
        <w:autoSpaceDE w:val="0"/>
        <w:autoSpaceDN w:val="0"/>
        <w:spacing w:before="96" w:line="300" w:lineRule="auto"/>
        <w:ind w:firstLine="420" w:firstLineChars="200"/>
        <w:jc w:val="left"/>
        <w:rPr>
          <w:rFonts w:ascii="宋体" w:hAnsi="宋体" w:cs="宋体"/>
          <w:bCs/>
          <w:color w:val="auto"/>
          <w:szCs w:val="21"/>
        </w:rPr>
      </w:pPr>
      <w:r>
        <w:rPr>
          <w:rFonts w:hint="eastAsia" w:ascii="宋体" w:hAnsi="宋体" w:cs="宋体"/>
          <w:bCs/>
          <w:color w:val="auto"/>
          <w:szCs w:val="21"/>
        </w:rPr>
        <w:t>(5)擅自变更设计图纸的要求；</w:t>
      </w:r>
    </w:p>
    <w:p>
      <w:pPr>
        <w:autoSpaceDE w:val="0"/>
        <w:autoSpaceDN w:val="0"/>
        <w:spacing w:before="96" w:line="300" w:lineRule="auto"/>
        <w:ind w:firstLine="420" w:firstLineChars="200"/>
        <w:jc w:val="left"/>
        <w:rPr>
          <w:rFonts w:ascii="宋体" w:hAnsi="宋体" w:cs="宋体"/>
          <w:bCs/>
          <w:color w:val="auto"/>
          <w:szCs w:val="21"/>
        </w:rPr>
      </w:pPr>
      <w:r>
        <w:rPr>
          <w:rFonts w:hint="eastAsia" w:ascii="宋体" w:hAnsi="宋体" w:cs="宋体"/>
          <w:bCs/>
          <w:color w:val="auto"/>
          <w:szCs w:val="21"/>
        </w:rPr>
        <w:t>(6)转包工程；</w:t>
      </w:r>
    </w:p>
    <w:p>
      <w:pPr>
        <w:autoSpaceDE w:val="0"/>
        <w:autoSpaceDN w:val="0"/>
        <w:spacing w:before="96" w:line="300" w:lineRule="auto"/>
        <w:ind w:firstLine="420" w:firstLineChars="200"/>
        <w:jc w:val="left"/>
        <w:rPr>
          <w:rFonts w:ascii="宋体" w:hAnsi="宋体" w:cs="宋体"/>
          <w:bCs/>
          <w:color w:val="auto"/>
          <w:szCs w:val="21"/>
        </w:rPr>
      </w:pPr>
      <w:r>
        <w:rPr>
          <w:rFonts w:hint="eastAsia" w:ascii="宋体" w:hAnsi="宋体" w:cs="宋体"/>
          <w:bCs/>
          <w:color w:val="auto"/>
          <w:szCs w:val="21"/>
        </w:rPr>
        <w:t>(7)擅自让未经总监理工程师批准的分包单位进场作业；</w:t>
      </w:r>
    </w:p>
    <w:p>
      <w:pPr>
        <w:autoSpaceDE w:val="0"/>
        <w:autoSpaceDN w:val="0"/>
        <w:spacing w:before="96" w:line="300" w:lineRule="auto"/>
        <w:ind w:firstLine="420" w:firstLineChars="200"/>
        <w:jc w:val="left"/>
        <w:rPr>
          <w:rFonts w:ascii="宋体" w:hAnsi="宋体" w:cs="宋体"/>
          <w:bCs/>
          <w:color w:val="auto"/>
          <w:szCs w:val="21"/>
        </w:rPr>
      </w:pPr>
      <w:r>
        <w:rPr>
          <w:rFonts w:hint="eastAsia" w:ascii="宋体" w:hAnsi="宋体" w:cs="宋体"/>
          <w:bCs/>
          <w:color w:val="auto"/>
          <w:szCs w:val="21"/>
        </w:rPr>
        <w:t>(8)存在安全隐患，未按监理单位要求及时进行整改；</w:t>
      </w:r>
    </w:p>
    <w:p>
      <w:pPr>
        <w:autoSpaceDE w:val="0"/>
        <w:autoSpaceDN w:val="0"/>
        <w:spacing w:before="96" w:line="300" w:lineRule="auto"/>
        <w:ind w:firstLine="420" w:firstLineChars="200"/>
        <w:jc w:val="left"/>
        <w:rPr>
          <w:rFonts w:ascii="宋体" w:hAnsi="宋体" w:cs="宋体"/>
          <w:bCs/>
          <w:color w:val="auto"/>
          <w:szCs w:val="21"/>
        </w:rPr>
      </w:pPr>
      <w:r>
        <w:rPr>
          <w:rFonts w:hint="eastAsia" w:ascii="宋体" w:hAnsi="宋体" w:cs="宋体"/>
          <w:bCs/>
          <w:color w:val="auto"/>
          <w:szCs w:val="21"/>
        </w:rPr>
        <w:t>(9)未按双方约定的资料上报要求上报所需资料的。</w:t>
      </w:r>
    </w:p>
    <w:p>
      <w:pPr>
        <w:autoSpaceDE w:val="0"/>
        <w:autoSpaceDN w:val="0"/>
        <w:spacing w:before="96" w:line="300" w:lineRule="auto"/>
        <w:ind w:firstLine="420" w:firstLineChars="200"/>
        <w:jc w:val="left"/>
        <w:rPr>
          <w:rFonts w:ascii="宋体" w:hAnsi="宋体" w:cs="宋体"/>
          <w:bCs/>
          <w:color w:val="auto"/>
          <w:szCs w:val="21"/>
        </w:rPr>
      </w:pPr>
      <w:r>
        <w:rPr>
          <w:rFonts w:hint="eastAsia" w:ascii="宋体" w:hAnsi="宋体" w:cs="宋体"/>
          <w:bCs/>
          <w:color w:val="auto"/>
          <w:szCs w:val="21"/>
        </w:rPr>
        <w:t>35.4 因发包人原因引起的暂停施工造成工期延误的，承包人有权要求顺延工期，但费用不作补偿。</w:t>
      </w:r>
    </w:p>
    <w:p>
      <w:pPr>
        <w:autoSpaceDE w:val="0"/>
        <w:autoSpaceDN w:val="0"/>
        <w:spacing w:before="96" w:line="300" w:lineRule="auto"/>
        <w:ind w:firstLine="420" w:firstLineChars="200"/>
        <w:jc w:val="left"/>
        <w:rPr>
          <w:rFonts w:ascii="宋体" w:hAnsi="宋体" w:cs="宋体"/>
          <w:bCs/>
          <w:color w:val="auto"/>
          <w:szCs w:val="21"/>
        </w:rPr>
      </w:pPr>
      <w:r>
        <w:rPr>
          <w:rFonts w:hint="eastAsia" w:ascii="宋体" w:hAnsi="宋体" w:cs="宋体"/>
          <w:bCs/>
          <w:color w:val="auto"/>
          <w:szCs w:val="21"/>
        </w:rPr>
        <w:t>因承包人下列原因引起的暂停施工，增加的费用和（或）延误的工期由承包人承担：</w:t>
      </w:r>
    </w:p>
    <w:p>
      <w:pPr>
        <w:autoSpaceDE w:val="0"/>
        <w:autoSpaceDN w:val="0"/>
        <w:spacing w:before="96" w:line="300" w:lineRule="auto"/>
        <w:ind w:firstLine="420" w:firstLineChars="200"/>
        <w:jc w:val="left"/>
        <w:rPr>
          <w:rFonts w:ascii="宋体" w:hAnsi="宋体" w:cs="宋体"/>
          <w:bCs/>
          <w:color w:val="auto"/>
          <w:szCs w:val="21"/>
        </w:rPr>
      </w:pPr>
      <w:r>
        <w:rPr>
          <w:rFonts w:hint="eastAsia" w:ascii="宋体" w:hAnsi="宋体" w:cs="宋体"/>
          <w:bCs/>
          <w:color w:val="auto"/>
          <w:szCs w:val="21"/>
        </w:rPr>
        <w:t>(1)工作失误或违约造成的；</w:t>
      </w:r>
    </w:p>
    <w:p>
      <w:pPr>
        <w:autoSpaceDE w:val="0"/>
        <w:autoSpaceDN w:val="0"/>
        <w:spacing w:before="96" w:line="300" w:lineRule="auto"/>
        <w:ind w:firstLine="420" w:firstLineChars="200"/>
        <w:jc w:val="left"/>
        <w:rPr>
          <w:rFonts w:ascii="宋体" w:hAnsi="宋体" w:cs="宋体"/>
          <w:bCs/>
          <w:color w:val="auto"/>
          <w:szCs w:val="21"/>
        </w:rPr>
      </w:pPr>
      <w:r>
        <w:rPr>
          <w:rFonts w:hint="eastAsia" w:ascii="宋体" w:hAnsi="宋体" w:cs="宋体"/>
          <w:bCs/>
          <w:color w:val="auto"/>
          <w:szCs w:val="21"/>
        </w:rPr>
        <w:t>(2)为合同工程合理施工和安全保障所必需的；</w:t>
      </w:r>
    </w:p>
    <w:p>
      <w:pPr>
        <w:autoSpaceDE w:val="0"/>
        <w:autoSpaceDN w:val="0"/>
        <w:spacing w:before="96" w:line="300" w:lineRule="auto"/>
        <w:ind w:firstLine="420" w:firstLineChars="200"/>
        <w:jc w:val="left"/>
        <w:rPr>
          <w:rFonts w:ascii="宋体" w:hAnsi="宋体" w:cs="宋体"/>
          <w:bCs/>
          <w:color w:val="auto"/>
          <w:szCs w:val="21"/>
        </w:rPr>
      </w:pPr>
      <w:r>
        <w:rPr>
          <w:rFonts w:hint="eastAsia" w:ascii="宋体" w:hAnsi="宋体" w:cs="宋体"/>
          <w:bCs/>
          <w:color w:val="auto"/>
          <w:szCs w:val="21"/>
        </w:rPr>
        <w:t>(3)施工现场气候条件（除不可抗力停工外）导致的；</w:t>
      </w:r>
    </w:p>
    <w:p>
      <w:pPr>
        <w:autoSpaceDE w:val="0"/>
        <w:autoSpaceDN w:val="0"/>
        <w:spacing w:before="96" w:line="300" w:lineRule="auto"/>
        <w:ind w:firstLine="420" w:firstLineChars="200"/>
        <w:jc w:val="left"/>
        <w:rPr>
          <w:rFonts w:ascii="宋体" w:hAnsi="宋体" w:cs="宋体"/>
          <w:bCs/>
          <w:color w:val="auto"/>
          <w:szCs w:val="21"/>
        </w:rPr>
      </w:pPr>
      <w:r>
        <w:rPr>
          <w:rFonts w:hint="eastAsia" w:ascii="宋体" w:hAnsi="宋体" w:cs="宋体"/>
          <w:bCs/>
          <w:color w:val="auto"/>
          <w:szCs w:val="21"/>
        </w:rPr>
        <w:t>(4)擅自停工的；</w:t>
      </w:r>
    </w:p>
    <w:p>
      <w:pPr>
        <w:autoSpaceDE w:val="0"/>
        <w:autoSpaceDN w:val="0"/>
        <w:spacing w:before="96" w:line="300" w:lineRule="auto"/>
        <w:ind w:firstLine="420" w:firstLineChars="200"/>
        <w:jc w:val="left"/>
        <w:rPr>
          <w:rFonts w:ascii="宋体" w:hAnsi="宋体" w:cs="宋体"/>
          <w:bCs/>
          <w:color w:val="auto"/>
          <w:szCs w:val="21"/>
        </w:rPr>
      </w:pPr>
      <w:r>
        <w:rPr>
          <w:rFonts w:hint="eastAsia" w:ascii="宋体" w:hAnsi="宋体" w:cs="宋体"/>
          <w:bCs/>
          <w:color w:val="auto"/>
          <w:szCs w:val="21"/>
        </w:rPr>
        <w:t>(5)专用条款约定的其他原因情形。</w:t>
      </w:r>
    </w:p>
    <w:p>
      <w:pPr>
        <w:autoSpaceDE w:val="0"/>
        <w:autoSpaceDN w:val="0"/>
        <w:spacing w:before="96" w:line="300" w:lineRule="auto"/>
        <w:ind w:firstLine="420" w:firstLineChars="200"/>
        <w:jc w:val="left"/>
        <w:rPr>
          <w:rFonts w:ascii="宋体" w:hAnsi="宋体" w:cs="宋体"/>
          <w:bCs/>
          <w:color w:val="auto"/>
          <w:szCs w:val="21"/>
        </w:rPr>
      </w:pPr>
      <w:r>
        <w:rPr>
          <w:rFonts w:hint="eastAsia" w:ascii="宋体" w:hAnsi="宋体" w:cs="宋体"/>
          <w:color w:val="auto"/>
          <w:kern w:val="0"/>
          <w:szCs w:val="21"/>
        </w:rPr>
        <w:t>承包人原因造成暂停施工的其他原因：</w:t>
      </w:r>
      <w:r>
        <w:rPr>
          <w:rFonts w:hint="eastAsia" w:ascii="宋体" w:hAnsi="宋体" w:cs="宋体"/>
          <w:color w:val="auto"/>
          <w:kern w:val="0"/>
          <w:szCs w:val="21"/>
          <w:u w:val="single"/>
        </w:rPr>
        <w:t xml:space="preserve"> 由于政府部门基于包括但不限于政府部门举行的特殊活动等原因引起的工程停工，承包人的服务期顺延，发包人和承包人各自承担损失，施工报酬不因此增加，承包人也不得因此向委托人主张任何赔偿或其他法律责任。</w:t>
      </w:r>
    </w:p>
    <w:p>
      <w:pPr>
        <w:autoSpaceDE w:val="0"/>
        <w:autoSpaceDN w:val="0"/>
        <w:spacing w:before="96" w:line="300" w:lineRule="auto"/>
        <w:ind w:right="-20"/>
        <w:jc w:val="left"/>
        <w:rPr>
          <w:rFonts w:ascii="宋体" w:hAnsi="宋体" w:cs="宋体"/>
          <w:b/>
          <w:color w:val="auto"/>
          <w:szCs w:val="21"/>
        </w:rPr>
      </w:pPr>
      <w:r>
        <w:rPr>
          <w:rFonts w:hint="eastAsia" w:ascii="宋体" w:hAnsi="宋体" w:cs="宋体"/>
          <w:b/>
          <w:color w:val="auto"/>
          <w:szCs w:val="21"/>
        </w:rPr>
        <w:t>36．工期及工期延误</w:t>
      </w:r>
    </w:p>
    <w:p>
      <w:pPr>
        <w:autoSpaceDE w:val="0"/>
        <w:autoSpaceDN w:val="0"/>
        <w:spacing w:before="96" w:line="300" w:lineRule="auto"/>
        <w:ind w:firstLine="420" w:firstLineChars="200"/>
        <w:jc w:val="left"/>
        <w:rPr>
          <w:rFonts w:ascii="宋体" w:hAnsi="宋体" w:cs="宋体"/>
          <w:bCs/>
          <w:color w:val="auto"/>
          <w:szCs w:val="21"/>
        </w:rPr>
      </w:pPr>
      <w:r>
        <w:rPr>
          <w:rFonts w:hint="eastAsia" w:ascii="宋体" w:hAnsi="宋体" w:cs="宋体"/>
          <w:bCs/>
          <w:color w:val="auto"/>
          <w:szCs w:val="21"/>
        </w:rPr>
        <w:t>36.1 合同工程的工期约定为（  ）日历天。</w:t>
      </w:r>
    </w:p>
    <w:p>
      <w:pPr>
        <w:spacing w:before="96" w:line="300" w:lineRule="auto"/>
        <w:ind w:firstLine="420" w:firstLineChars="200"/>
        <w:jc w:val="left"/>
        <w:rPr>
          <w:rFonts w:ascii="宋体" w:hAnsi="宋体" w:cs="宋体"/>
          <w:bCs/>
          <w:color w:val="auto"/>
          <w:szCs w:val="21"/>
        </w:rPr>
      </w:pPr>
      <w:r>
        <w:rPr>
          <w:rFonts w:hint="eastAsia" w:ascii="宋体" w:hAnsi="宋体" w:cs="宋体"/>
          <w:bCs/>
          <w:color w:val="auto"/>
          <w:szCs w:val="21"/>
        </w:rPr>
        <w:t>(1)（工程名称）单位工程的工期约定为天。</w:t>
      </w:r>
    </w:p>
    <w:p>
      <w:pPr>
        <w:tabs>
          <w:tab w:val="left" w:pos="1240"/>
          <w:tab w:val="left" w:pos="5080"/>
        </w:tabs>
        <w:autoSpaceDE w:val="0"/>
        <w:autoSpaceDN w:val="0"/>
        <w:spacing w:before="96" w:line="300" w:lineRule="auto"/>
        <w:ind w:firstLine="420" w:firstLineChars="200"/>
        <w:jc w:val="left"/>
        <w:rPr>
          <w:rFonts w:ascii="宋体" w:hAnsi="宋体" w:cs="宋体"/>
          <w:bCs/>
          <w:color w:val="auto"/>
          <w:szCs w:val="21"/>
        </w:rPr>
      </w:pPr>
      <w:r>
        <w:rPr>
          <w:rFonts w:hint="eastAsia" w:ascii="宋体" w:hAnsi="宋体" w:cs="宋体"/>
          <w:bCs/>
          <w:color w:val="auto"/>
          <w:szCs w:val="21"/>
        </w:rPr>
        <w:t>(2)（工程名称）单位工程的工期约定为天。</w:t>
      </w:r>
    </w:p>
    <w:p>
      <w:pPr>
        <w:autoSpaceDE w:val="0"/>
        <w:autoSpaceDN w:val="0"/>
        <w:spacing w:before="96" w:line="300" w:lineRule="auto"/>
        <w:ind w:firstLine="420" w:firstLineChars="200"/>
        <w:jc w:val="left"/>
        <w:rPr>
          <w:rFonts w:ascii="宋体" w:hAnsi="宋体" w:cs="宋体"/>
          <w:bCs/>
          <w:color w:val="auto"/>
          <w:szCs w:val="21"/>
        </w:rPr>
      </w:pPr>
      <w:r>
        <w:rPr>
          <w:rFonts w:hint="eastAsia" w:ascii="宋体" w:hAnsi="宋体" w:cs="宋体"/>
          <w:bCs/>
          <w:color w:val="auto"/>
          <w:szCs w:val="21"/>
        </w:rPr>
        <w:t xml:space="preserve">36.3 合同履行期间，由于下列原因造成工期延误的，承包人有权要求发包人顺延工期，但费用不作补偿。本款发生顺延的工期，由承包人提出，经监理工程师核实后由合同双方当事人协商确定；协商不能达成一致的，由监理工程师暂定，通知承包人并抄报发包人。构成争议的，由合同双方当事人按照第86条规定处理。 </w:t>
      </w:r>
    </w:p>
    <w:p>
      <w:pPr>
        <w:autoSpaceDE w:val="0"/>
        <w:autoSpaceDN w:val="0"/>
        <w:spacing w:before="96" w:line="300" w:lineRule="auto"/>
        <w:ind w:firstLine="420" w:firstLineChars="200"/>
        <w:jc w:val="left"/>
        <w:rPr>
          <w:rFonts w:ascii="宋体" w:hAnsi="宋体" w:cs="宋体"/>
          <w:bCs/>
          <w:color w:val="auto"/>
          <w:szCs w:val="21"/>
        </w:rPr>
      </w:pPr>
      <w:r>
        <w:rPr>
          <w:rFonts w:hint="eastAsia" w:ascii="宋体" w:hAnsi="宋体" w:cs="宋体"/>
          <w:bCs/>
          <w:color w:val="auto"/>
          <w:szCs w:val="21"/>
        </w:rPr>
        <w:t>(1)发包人未能按照专用条款的约定提供施工设计图纸及其它开工条件；</w:t>
      </w:r>
    </w:p>
    <w:p>
      <w:pPr>
        <w:autoSpaceDE w:val="0"/>
        <w:autoSpaceDN w:val="0"/>
        <w:spacing w:before="96" w:line="300" w:lineRule="auto"/>
        <w:ind w:firstLine="420" w:firstLineChars="200"/>
        <w:jc w:val="left"/>
        <w:rPr>
          <w:rFonts w:ascii="宋体" w:hAnsi="宋体" w:cs="宋体"/>
          <w:bCs/>
          <w:color w:val="auto"/>
          <w:szCs w:val="21"/>
        </w:rPr>
      </w:pPr>
      <w:r>
        <w:rPr>
          <w:rFonts w:hint="eastAsia" w:ascii="宋体" w:hAnsi="宋体" w:cs="宋体"/>
          <w:bCs/>
          <w:color w:val="auto"/>
          <w:szCs w:val="21"/>
        </w:rPr>
        <w:t>(2)发包人未能按照专用条款约定的时间支付工程预付款、安全文明施工费和进度款；</w:t>
      </w:r>
    </w:p>
    <w:p>
      <w:pPr>
        <w:autoSpaceDE w:val="0"/>
        <w:autoSpaceDN w:val="0"/>
        <w:spacing w:before="96" w:line="300" w:lineRule="auto"/>
        <w:ind w:firstLine="420" w:firstLineChars="200"/>
        <w:jc w:val="left"/>
        <w:rPr>
          <w:rFonts w:ascii="宋体" w:hAnsi="宋体" w:cs="宋体"/>
          <w:bCs/>
          <w:color w:val="auto"/>
          <w:szCs w:val="21"/>
        </w:rPr>
      </w:pPr>
      <w:r>
        <w:rPr>
          <w:rFonts w:hint="eastAsia" w:ascii="宋体" w:hAnsi="宋体" w:cs="宋体"/>
          <w:bCs/>
          <w:color w:val="auto"/>
          <w:szCs w:val="21"/>
        </w:rPr>
        <w:t>(3)发包人代表或施工现场发包人雇用的其他人员造成的人为因素；</w:t>
      </w:r>
    </w:p>
    <w:p>
      <w:pPr>
        <w:autoSpaceDE w:val="0"/>
        <w:autoSpaceDN w:val="0"/>
        <w:spacing w:before="96" w:line="300" w:lineRule="auto"/>
        <w:ind w:firstLine="420" w:firstLineChars="200"/>
        <w:jc w:val="left"/>
        <w:rPr>
          <w:rFonts w:ascii="宋体" w:hAnsi="宋体" w:cs="宋体"/>
          <w:bCs/>
          <w:color w:val="auto"/>
          <w:szCs w:val="21"/>
        </w:rPr>
      </w:pPr>
      <w:r>
        <w:rPr>
          <w:rFonts w:hint="eastAsia" w:ascii="宋体" w:hAnsi="宋体" w:cs="宋体"/>
          <w:bCs/>
          <w:color w:val="auto"/>
          <w:szCs w:val="21"/>
        </w:rPr>
        <w:t>(4)监理工程师未按照合同约定及时提供所需指令、回复等；</w:t>
      </w:r>
    </w:p>
    <w:p>
      <w:pPr>
        <w:autoSpaceDE w:val="0"/>
        <w:autoSpaceDN w:val="0"/>
        <w:spacing w:before="96" w:line="300" w:lineRule="auto"/>
        <w:ind w:firstLine="420" w:firstLineChars="200"/>
        <w:jc w:val="left"/>
        <w:rPr>
          <w:rFonts w:ascii="宋体" w:hAnsi="宋体" w:cs="宋体"/>
          <w:bCs/>
          <w:color w:val="auto"/>
          <w:szCs w:val="21"/>
        </w:rPr>
      </w:pPr>
      <w:r>
        <w:rPr>
          <w:rFonts w:hint="eastAsia" w:ascii="宋体" w:hAnsi="宋体" w:cs="宋体"/>
          <w:bCs/>
          <w:color w:val="auto"/>
          <w:szCs w:val="21"/>
        </w:rPr>
        <w:t>(5)工程变更（含增加合同工作内容、改变合同的任何一项工作等）；</w:t>
      </w:r>
    </w:p>
    <w:p>
      <w:pPr>
        <w:autoSpaceDE w:val="0"/>
        <w:autoSpaceDN w:val="0"/>
        <w:spacing w:before="96" w:line="300" w:lineRule="auto"/>
        <w:ind w:firstLine="420" w:firstLineChars="200"/>
        <w:jc w:val="left"/>
        <w:rPr>
          <w:rFonts w:ascii="宋体" w:hAnsi="宋体" w:cs="宋体"/>
          <w:bCs/>
          <w:color w:val="auto"/>
          <w:szCs w:val="21"/>
        </w:rPr>
      </w:pPr>
      <w:r>
        <w:rPr>
          <w:rFonts w:hint="eastAsia" w:ascii="宋体" w:hAnsi="宋体" w:cs="宋体"/>
          <w:bCs/>
          <w:color w:val="auto"/>
          <w:szCs w:val="21"/>
        </w:rPr>
        <w:t>(6)工程量增加；</w:t>
      </w:r>
    </w:p>
    <w:p>
      <w:pPr>
        <w:autoSpaceDE w:val="0"/>
        <w:autoSpaceDN w:val="0"/>
        <w:spacing w:before="96" w:line="300" w:lineRule="auto"/>
        <w:ind w:firstLine="420" w:firstLineChars="200"/>
        <w:jc w:val="left"/>
        <w:rPr>
          <w:rFonts w:ascii="宋体" w:hAnsi="宋体" w:cs="宋体"/>
          <w:bCs/>
          <w:color w:val="auto"/>
          <w:szCs w:val="21"/>
        </w:rPr>
      </w:pPr>
      <w:r>
        <w:rPr>
          <w:rFonts w:hint="eastAsia" w:ascii="宋体" w:hAnsi="宋体" w:cs="宋体"/>
          <w:bCs/>
          <w:color w:val="auto"/>
          <w:szCs w:val="21"/>
        </w:rPr>
        <w:t>(7)一周内非承包人原因停水、停电、停气造成停工累计超过8小时；</w:t>
      </w:r>
    </w:p>
    <w:p>
      <w:pPr>
        <w:autoSpaceDE w:val="0"/>
        <w:autoSpaceDN w:val="0"/>
        <w:spacing w:before="96" w:line="300" w:lineRule="auto"/>
        <w:ind w:firstLine="420" w:firstLineChars="200"/>
        <w:jc w:val="left"/>
        <w:rPr>
          <w:rFonts w:ascii="宋体" w:hAnsi="宋体" w:cs="宋体"/>
          <w:bCs/>
          <w:color w:val="auto"/>
          <w:szCs w:val="21"/>
        </w:rPr>
      </w:pPr>
      <w:r>
        <w:rPr>
          <w:rFonts w:hint="eastAsia" w:ascii="宋体" w:hAnsi="宋体" w:cs="宋体"/>
          <w:bCs/>
          <w:color w:val="auto"/>
          <w:szCs w:val="21"/>
        </w:rPr>
        <w:t>(8)不可抗力；</w:t>
      </w:r>
    </w:p>
    <w:p>
      <w:pPr>
        <w:autoSpaceDE w:val="0"/>
        <w:autoSpaceDN w:val="0"/>
        <w:spacing w:before="96" w:line="300" w:lineRule="auto"/>
        <w:ind w:firstLine="420" w:firstLineChars="200"/>
        <w:jc w:val="left"/>
        <w:rPr>
          <w:rFonts w:ascii="宋体" w:hAnsi="宋体" w:cs="宋体"/>
          <w:bCs/>
          <w:color w:val="auto"/>
          <w:szCs w:val="21"/>
        </w:rPr>
      </w:pPr>
      <w:r>
        <w:rPr>
          <w:rFonts w:hint="eastAsia" w:ascii="宋体" w:hAnsi="宋体" w:cs="宋体"/>
          <w:bCs/>
          <w:color w:val="auto"/>
          <w:szCs w:val="21"/>
        </w:rPr>
        <w:t>(9)发包人风险事件；</w:t>
      </w:r>
    </w:p>
    <w:p>
      <w:pPr>
        <w:autoSpaceDE w:val="0"/>
        <w:autoSpaceDN w:val="0"/>
        <w:spacing w:before="96" w:line="300" w:lineRule="auto"/>
        <w:ind w:firstLine="420" w:firstLineChars="200"/>
        <w:jc w:val="left"/>
        <w:rPr>
          <w:rFonts w:ascii="宋体" w:hAnsi="宋体" w:cs="宋体"/>
          <w:bCs/>
          <w:color w:val="auto"/>
          <w:szCs w:val="21"/>
        </w:rPr>
      </w:pPr>
      <w:r>
        <w:rPr>
          <w:rFonts w:hint="eastAsia" w:ascii="宋体" w:hAnsi="宋体" w:cs="宋体"/>
          <w:bCs/>
          <w:color w:val="auto"/>
          <w:szCs w:val="21"/>
        </w:rPr>
        <w:t>(10)因发包人原因导致的暂停施工；</w:t>
      </w:r>
    </w:p>
    <w:p>
      <w:pPr>
        <w:autoSpaceDE w:val="0"/>
        <w:autoSpaceDN w:val="0"/>
        <w:spacing w:before="96" w:line="300" w:lineRule="auto"/>
        <w:ind w:firstLine="420" w:firstLineChars="200"/>
        <w:jc w:val="left"/>
        <w:rPr>
          <w:rFonts w:ascii="宋体" w:hAnsi="宋体" w:cs="宋体"/>
          <w:bCs/>
          <w:color w:val="auto"/>
          <w:szCs w:val="21"/>
        </w:rPr>
      </w:pPr>
      <w:r>
        <w:rPr>
          <w:rFonts w:hint="eastAsia" w:ascii="宋体" w:hAnsi="宋体" w:cs="宋体"/>
          <w:bCs/>
          <w:color w:val="auto"/>
          <w:szCs w:val="21"/>
        </w:rPr>
        <w:t>(11)非承包人失误、违约，以及监理工程师同意的工期顺延。</w:t>
      </w:r>
    </w:p>
    <w:p>
      <w:pPr>
        <w:autoSpaceDE w:val="0"/>
        <w:autoSpaceDN w:val="0"/>
        <w:spacing w:before="96" w:line="300" w:lineRule="auto"/>
        <w:ind w:firstLine="420" w:firstLineChars="200"/>
        <w:jc w:val="left"/>
        <w:rPr>
          <w:rFonts w:ascii="宋体" w:hAnsi="宋体" w:cs="宋体"/>
          <w:bCs/>
          <w:color w:val="auto"/>
          <w:szCs w:val="21"/>
        </w:rPr>
      </w:pPr>
      <w:r>
        <w:rPr>
          <w:rFonts w:hint="eastAsia" w:ascii="宋体" w:hAnsi="宋体" w:cs="宋体"/>
          <w:bCs/>
          <w:color w:val="auto"/>
          <w:szCs w:val="21"/>
        </w:rPr>
        <w:t>(12)发包人造成工期延误的其他原因。补充：</w:t>
      </w:r>
    </w:p>
    <w:p>
      <w:pPr>
        <w:autoSpaceDE w:val="0"/>
        <w:autoSpaceDN w:val="0"/>
        <w:spacing w:before="96" w:line="300" w:lineRule="auto"/>
        <w:ind w:firstLine="420" w:firstLineChars="200"/>
        <w:jc w:val="left"/>
        <w:rPr>
          <w:rFonts w:ascii="宋体" w:hAnsi="宋体" w:cs="宋体"/>
          <w:bCs/>
          <w:color w:val="auto"/>
          <w:szCs w:val="21"/>
        </w:rPr>
      </w:pPr>
      <w:r>
        <w:rPr>
          <w:rFonts w:hint="eastAsia" w:ascii="宋体" w:hAnsi="宋体" w:cs="宋体"/>
          <w:bCs/>
          <w:color w:val="auto"/>
          <w:szCs w:val="21"/>
        </w:rPr>
        <w:t>注：如果受影响的工程不是处在工程进度网络计划的关键线路上，发包人不会顺延工期，且不作补偿。</w:t>
      </w:r>
    </w:p>
    <w:p>
      <w:pPr>
        <w:autoSpaceDE w:val="0"/>
        <w:autoSpaceDN w:val="0"/>
        <w:spacing w:before="96" w:line="300" w:lineRule="auto"/>
        <w:ind w:firstLine="420" w:firstLineChars="200"/>
        <w:jc w:val="left"/>
        <w:rPr>
          <w:rFonts w:ascii="宋体" w:hAnsi="宋体" w:cs="宋体"/>
          <w:bCs/>
          <w:color w:val="auto"/>
          <w:szCs w:val="21"/>
        </w:rPr>
      </w:pPr>
      <w:r>
        <w:rPr>
          <w:rFonts w:hint="eastAsia" w:ascii="宋体" w:hAnsi="宋体" w:cs="宋体"/>
          <w:bCs/>
          <w:color w:val="auto"/>
          <w:szCs w:val="21"/>
        </w:rPr>
        <w:t>36.7 监理工程师应在收到承包人按照第36.4款和第36.5款（发生时）规定提交（最终）工期顺延报告和详细资料后的28天内，按照第36.3款规定予以核实，或要求承包人进一步补充顺延工期的理由。合同双方当事人一旦协商确定顺延的工期，将作为调整工期的依据，但费用不作补偿。</w:t>
      </w:r>
    </w:p>
    <w:p>
      <w:pPr>
        <w:autoSpaceDE w:val="0"/>
        <w:autoSpaceDN w:val="0"/>
        <w:spacing w:before="96" w:line="300" w:lineRule="auto"/>
        <w:ind w:firstLine="420" w:firstLineChars="200"/>
        <w:jc w:val="left"/>
        <w:rPr>
          <w:rFonts w:ascii="宋体" w:hAnsi="宋体" w:cs="宋体"/>
          <w:bCs/>
          <w:color w:val="auto"/>
          <w:szCs w:val="21"/>
        </w:rPr>
      </w:pPr>
      <w:r>
        <w:rPr>
          <w:rFonts w:hint="eastAsia" w:ascii="宋体" w:hAnsi="宋体" w:cs="宋体"/>
          <w:bCs/>
          <w:color w:val="auto"/>
          <w:szCs w:val="21"/>
        </w:rPr>
        <w:t>如果监理工程师在收到上述报告和资料后的28天内未予核实也未对承包人作出进一步要求，则视为监理工程师已认可承包人上述报告中提出的顺延工期天数。</w:t>
      </w:r>
    </w:p>
    <w:p>
      <w:pPr>
        <w:autoSpaceDE w:val="0"/>
        <w:autoSpaceDN w:val="0"/>
        <w:spacing w:before="96" w:line="300" w:lineRule="auto"/>
        <w:ind w:right="-20"/>
        <w:jc w:val="left"/>
        <w:rPr>
          <w:rFonts w:ascii="宋体" w:hAnsi="宋体" w:cs="宋体"/>
          <w:b/>
          <w:color w:val="auto"/>
          <w:szCs w:val="21"/>
        </w:rPr>
      </w:pPr>
      <w:r>
        <w:rPr>
          <w:rFonts w:hint="eastAsia" w:ascii="宋体" w:hAnsi="宋体" w:cs="宋体"/>
          <w:b/>
          <w:color w:val="auto"/>
          <w:szCs w:val="21"/>
        </w:rPr>
        <w:t>38．竣工日期</w:t>
      </w:r>
    </w:p>
    <w:p>
      <w:pPr>
        <w:tabs>
          <w:tab w:val="left" w:pos="1240"/>
        </w:tabs>
        <w:autoSpaceDE w:val="0"/>
        <w:autoSpaceDN w:val="0"/>
        <w:spacing w:before="96" w:line="300" w:lineRule="auto"/>
        <w:ind w:firstLine="420" w:firstLineChars="200"/>
        <w:jc w:val="left"/>
        <w:rPr>
          <w:rFonts w:ascii="宋体" w:hAnsi="宋体" w:cs="宋体"/>
          <w:bCs/>
          <w:color w:val="auto"/>
          <w:szCs w:val="21"/>
        </w:rPr>
      </w:pPr>
      <w:r>
        <w:rPr>
          <w:rFonts w:hint="eastAsia" w:ascii="宋体" w:hAnsi="宋体" w:cs="宋体"/>
          <w:bCs/>
          <w:color w:val="auto"/>
          <w:szCs w:val="21"/>
        </w:rPr>
        <w:t>38.1 计划竣工日期：</w:t>
      </w:r>
      <w:r>
        <w:rPr>
          <w:rFonts w:hint="eastAsia" w:ascii="宋体" w:hAnsi="宋体" w:cs="宋体"/>
          <w:bCs/>
          <w:color w:val="auto"/>
          <w:szCs w:val="21"/>
          <w:u w:val="single"/>
        </w:rPr>
        <w:t xml:space="preserve">              。</w:t>
      </w:r>
    </w:p>
    <w:p>
      <w:pPr>
        <w:autoSpaceDE w:val="0"/>
        <w:autoSpaceDN w:val="0"/>
        <w:spacing w:before="96" w:line="300" w:lineRule="auto"/>
        <w:ind w:right="-20"/>
        <w:jc w:val="left"/>
        <w:rPr>
          <w:rFonts w:ascii="宋体" w:hAnsi="宋体" w:cs="宋体"/>
          <w:b/>
          <w:color w:val="auto"/>
          <w:szCs w:val="21"/>
        </w:rPr>
      </w:pPr>
      <w:r>
        <w:rPr>
          <w:rFonts w:hint="eastAsia" w:ascii="宋体" w:hAnsi="宋体" w:cs="宋体"/>
          <w:b/>
          <w:color w:val="auto"/>
          <w:szCs w:val="21"/>
        </w:rPr>
        <w:t>42．质量标准</w:t>
      </w:r>
    </w:p>
    <w:p>
      <w:pPr>
        <w:spacing w:before="96" w:line="300" w:lineRule="auto"/>
        <w:ind w:firstLine="420" w:firstLineChars="200"/>
        <w:jc w:val="left"/>
        <w:rPr>
          <w:rFonts w:ascii="宋体" w:hAnsi="宋体" w:cs="宋体"/>
          <w:color w:val="auto"/>
          <w:szCs w:val="21"/>
        </w:rPr>
      </w:pPr>
      <w:r>
        <w:rPr>
          <w:rFonts w:hint="eastAsia" w:ascii="宋体" w:hAnsi="宋体" w:cs="宋体"/>
          <w:color w:val="auto"/>
          <w:szCs w:val="21"/>
        </w:rPr>
        <w:t>42.1 约定的工程质量标准</w:t>
      </w:r>
    </w:p>
    <w:p>
      <w:pPr>
        <w:spacing w:before="96" w:line="300" w:lineRule="auto"/>
        <w:ind w:firstLine="420" w:firstLineChars="200"/>
        <w:jc w:val="left"/>
        <w:rPr>
          <w:rFonts w:ascii="宋体" w:hAnsi="宋体" w:cs="宋体"/>
          <w:color w:val="auto"/>
          <w:szCs w:val="21"/>
          <w:u w:val="single"/>
        </w:rPr>
      </w:pPr>
      <w:r>
        <w:rPr>
          <w:rFonts w:hint="eastAsia" w:ascii="宋体" w:hAnsi="宋体" w:cs="宋体"/>
          <w:color w:val="auto"/>
          <w:szCs w:val="21"/>
        </w:rPr>
        <w:t>(1) 合同工程质量标准：</w:t>
      </w:r>
      <w:r>
        <w:rPr>
          <w:rFonts w:hint="eastAsia" w:ascii="宋体" w:hAnsi="宋体" w:cs="宋体"/>
          <w:color w:val="auto"/>
          <w:szCs w:val="21"/>
          <w:u w:val="single"/>
        </w:rPr>
        <w:t xml:space="preserve"> 达到合格等级。</w:t>
      </w:r>
    </w:p>
    <w:p>
      <w:pPr>
        <w:spacing w:before="96" w:line="300" w:lineRule="auto"/>
        <w:ind w:firstLine="420" w:firstLineChars="200"/>
        <w:jc w:val="left"/>
        <w:rPr>
          <w:rFonts w:ascii="宋体" w:hAnsi="宋体" w:cs="宋体"/>
          <w:color w:val="auto"/>
          <w:szCs w:val="21"/>
          <w:u w:val="single"/>
        </w:rPr>
      </w:pPr>
      <w:r>
        <w:rPr>
          <w:rFonts w:hint="eastAsia" w:ascii="宋体" w:hAnsi="宋体" w:cs="宋体"/>
          <w:color w:val="auto"/>
          <w:szCs w:val="21"/>
        </w:rPr>
        <w:t>(2) 工程质量验收标准：</w:t>
      </w:r>
      <w:r>
        <w:rPr>
          <w:rFonts w:hint="eastAsia" w:ascii="宋体" w:hAnsi="宋体" w:cs="宋体"/>
          <w:color w:val="auto"/>
          <w:szCs w:val="21"/>
          <w:u w:val="single"/>
        </w:rPr>
        <w:t>按照国家或行业现行有关工程质量验收标准执行。</w:t>
      </w:r>
    </w:p>
    <w:p>
      <w:pPr>
        <w:autoSpaceDE w:val="0"/>
        <w:autoSpaceDN w:val="0"/>
        <w:spacing w:before="96" w:line="300" w:lineRule="auto"/>
        <w:ind w:right="-20"/>
        <w:jc w:val="left"/>
        <w:rPr>
          <w:rFonts w:ascii="宋体" w:hAnsi="宋体" w:cs="宋体"/>
          <w:b/>
          <w:color w:val="auto"/>
          <w:szCs w:val="21"/>
        </w:rPr>
      </w:pPr>
      <w:r>
        <w:rPr>
          <w:rFonts w:hint="eastAsia" w:ascii="宋体" w:hAnsi="宋体" w:cs="宋体"/>
          <w:b/>
          <w:color w:val="auto"/>
          <w:szCs w:val="21"/>
        </w:rPr>
        <w:t>45．安全文明施工</w:t>
      </w:r>
    </w:p>
    <w:p>
      <w:pPr>
        <w:spacing w:before="96" w:line="300" w:lineRule="auto"/>
        <w:ind w:firstLine="420" w:firstLineChars="200"/>
        <w:jc w:val="left"/>
        <w:rPr>
          <w:rFonts w:ascii="宋体" w:hAnsi="宋体" w:cs="宋体"/>
          <w:color w:val="auto"/>
          <w:szCs w:val="21"/>
        </w:rPr>
      </w:pPr>
      <w:r>
        <w:rPr>
          <w:rFonts w:hint="eastAsia" w:ascii="宋体" w:hAnsi="宋体" w:cs="宋体"/>
          <w:color w:val="auto"/>
          <w:szCs w:val="21"/>
        </w:rPr>
        <w:t>45.1 安全文明施工的内容：</w:t>
      </w:r>
    </w:p>
    <w:p>
      <w:pPr>
        <w:spacing w:before="96" w:line="300" w:lineRule="auto"/>
        <w:ind w:firstLine="420" w:firstLineChars="200"/>
        <w:jc w:val="left"/>
        <w:rPr>
          <w:rFonts w:ascii="宋体" w:hAnsi="宋体" w:cs="宋体"/>
          <w:color w:val="auto"/>
          <w:szCs w:val="21"/>
          <w:u w:val="single"/>
        </w:rPr>
      </w:pPr>
      <w:r>
        <w:rPr>
          <w:rFonts w:hint="eastAsia" w:ascii="宋体" w:hAnsi="宋体" w:cs="宋体"/>
          <w:color w:val="auto"/>
          <w:szCs w:val="21"/>
          <w:u w:val="single"/>
        </w:rPr>
        <w:t>承包人应执行《建筑施工安全检查标准》（JGJ59-99）和《广州市建设现场文明施工管理办法》（穗建筑[1999]175号）的规定、《关于规范建筑施工安全管理标准的通知》穗建筑[2005]652号及现行的省、市关于安全文明施工的相关规定。</w:t>
      </w:r>
    </w:p>
    <w:p>
      <w:pPr>
        <w:spacing w:before="96" w:line="300" w:lineRule="auto"/>
        <w:ind w:firstLine="420" w:firstLineChars="200"/>
        <w:jc w:val="left"/>
        <w:rPr>
          <w:rFonts w:ascii="宋体" w:hAnsi="宋体" w:cs="宋体"/>
          <w:color w:val="auto"/>
          <w:szCs w:val="21"/>
          <w:u w:val="single"/>
        </w:rPr>
      </w:pPr>
      <w:r>
        <w:rPr>
          <w:rFonts w:hint="eastAsia" w:ascii="宋体" w:hAnsi="宋体" w:cs="宋体"/>
          <w:color w:val="auto"/>
          <w:szCs w:val="21"/>
          <w:u w:val="single"/>
        </w:rPr>
        <w:t>(1)施工场地的占用与管理</w:t>
      </w:r>
    </w:p>
    <w:p>
      <w:pPr>
        <w:spacing w:before="96" w:line="300" w:lineRule="auto"/>
        <w:ind w:firstLine="420" w:firstLineChars="200"/>
        <w:jc w:val="left"/>
        <w:rPr>
          <w:rFonts w:ascii="宋体" w:hAnsi="宋体" w:cs="宋体"/>
          <w:color w:val="auto"/>
          <w:szCs w:val="21"/>
          <w:u w:val="single"/>
        </w:rPr>
      </w:pPr>
      <w:r>
        <w:rPr>
          <w:rFonts w:hint="eastAsia" w:ascii="宋体" w:hAnsi="宋体" w:cs="宋体"/>
          <w:color w:val="auto"/>
          <w:szCs w:val="21"/>
          <w:u w:val="single"/>
        </w:rPr>
        <w:t>(1.1)在工程实施期间，施工场地一经移交给承包人，承包人即对施工场地负有全过程、全面的管理责任，必须对施工场地范围内的治安秩序、安全保卫、环境卫生以及周围房屋、市政设施等负全责，对施工场地范围内的交通道路、用水、用电、场地内的施工协调负责。承包人需对其施工场地布置、人员的管理、交通组织制订详细的方案，并配合房建施工工作，对施工时段做出合理安排，必须采用全封闭施工方案，确保不对周边环境、道路、行人和相邻施工现场造成不利影响，不得干扰周围居民的正常生活。</w:t>
      </w:r>
    </w:p>
    <w:p>
      <w:pPr>
        <w:spacing w:before="96" w:line="300" w:lineRule="auto"/>
        <w:ind w:firstLine="420" w:firstLineChars="200"/>
        <w:jc w:val="left"/>
        <w:rPr>
          <w:rFonts w:ascii="宋体" w:hAnsi="宋体" w:cs="宋体"/>
          <w:color w:val="auto"/>
          <w:szCs w:val="21"/>
          <w:u w:val="single"/>
        </w:rPr>
      </w:pPr>
      <w:r>
        <w:rPr>
          <w:rFonts w:hint="eastAsia" w:ascii="宋体" w:hAnsi="宋体" w:cs="宋体"/>
          <w:color w:val="auto"/>
          <w:szCs w:val="21"/>
          <w:u w:val="single"/>
        </w:rPr>
        <w:t>(1.2)承包人必须在工程竣工初验后30天内或发包人规定的时间内（发包人将提前通知承包人），无条件清退所有施工场地。拒不清退的，发包人除向承包人收取租金（租金为每天1.0元/m2）外，还有权暂停计价支付、工程结算、工程验收等工作，并由承包人承担由此而产生的一切后果（包括发包人因此而被第三方索赔所产生的损失）。</w:t>
      </w:r>
    </w:p>
    <w:p>
      <w:pPr>
        <w:spacing w:before="96" w:line="300" w:lineRule="auto"/>
        <w:ind w:firstLine="420" w:firstLineChars="200"/>
        <w:jc w:val="left"/>
        <w:rPr>
          <w:rFonts w:ascii="宋体" w:hAnsi="宋体" w:cs="宋体"/>
          <w:color w:val="auto"/>
          <w:szCs w:val="21"/>
          <w:u w:val="single"/>
        </w:rPr>
      </w:pPr>
      <w:r>
        <w:rPr>
          <w:rFonts w:hint="eastAsia" w:ascii="宋体" w:hAnsi="宋体" w:cs="宋体"/>
          <w:color w:val="auto"/>
          <w:szCs w:val="21"/>
          <w:u w:val="single"/>
        </w:rPr>
        <w:t>(1.3)承包人必须服从发包人执法检查和处罚，并按照检查结果进行整改。</w:t>
      </w:r>
    </w:p>
    <w:p>
      <w:pPr>
        <w:spacing w:before="96" w:line="300" w:lineRule="auto"/>
        <w:ind w:firstLine="420" w:firstLineChars="200"/>
        <w:jc w:val="left"/>
        <w:rPr>
          <w:rFonts w:ascii="宋体" w:hAnsi="宋体" w:cs="宋体"/>
          <w:color w:val="auto"/>
          <w:szCs w:val="21"/>
          <w:u w:val="single"/>
        </w:rPr>
      </w:pPr>
      <w:r>
        <w:rPr>
          <w:rFonts w:hint="eastAsia" w:ascii="宋体" w:hAnsi="宋体" w:cs="宋体"/>
          <w:color w:val="auto"/>
          <w:szCs w:val="21"/>
          <w:u w:val="single"/>
        </w:rPr>
        <w:t>(2)安全施工与检查</w:t>
      </w:r>
    </w:p>
    <w:p>
      <w:pPr>
        <w:spacing w:before="96" w:line="300" w:lineRule="auto"/>
        <w:ind w:firstLine="420" w:firstLineChars="200"/>
        <w:jc w:val="left"/>
        <w:rPr>
          <w:rFonts w:ascii="宋体" w:hAnsi="宋体" w:cs="宋体"/>
          <w:color w:val="auto"/>
          <w:szCs w:val="21"/>
          <w:u w:val="single"/>
        </w:rPr>
      </w:pPr>
      <w:r>
        <w:rPr>
          <w:rFonts w:hint="eastAsia" w:ascii="宋体" w:hAnsi="宋体" w:cs="宋体"/>
          <w:color w:val="auto"/>
          <w:szCs w:val="21"/>
          <w:u w:val="single"/>
        </w:rPr>
        <w:t>(2.1)安全施工措施</w:t>
      </w:r>
    </w:p>
    <w:p>
      <w:pPr>
        <w:spacing w:before="96" w:line="300" w:lineRule="auto"/>
        <w:ind w:firstLine="420" w:firstLineChars="200"/>
        <w:jc w:val="left"/>
        <w:rPr>
          <w:rFonts w:ascii="宋体" w:hAnsi="宋体" w:cs="宋体"/>
          <w:color w:val="auto"/>
          <w:szCs w:val="21"/>
          <w:u w:val="single"/>
        </w:rPr>
      </w:pPr>
      <w:r>
        <w:rPr>
          <w:rFonts w:hint="eastAsia" w:ascii="宋体" w:hAnsi="宋体" w:cs="宋体"/>
          <w:color w:val="auto"/>
          <w:szCs w:val="21"/>
          <w:u w:val="single"/>
        </w:rPr>
        <w:t>(2.1.1)承包人应建立健全建筑施工安全生产组织机构和安全保证体系，落实安全生产责任制，按照工程建设安全生产的有关管理规定，采取相应措施，负责现场全部作业的安全，并对此承担全部责任。</w:t>
      </w:r>
    </w:p>
    <w:p>
      <w:pPr>
        <w:spacing w:before="96" w:line="300" w:lineRule="auto"/>
        <w:ind w:firstLine="420" w:firstLineChars="200"/>
        <w:jc w:val="left"/>
        <w:rPr>
          <w:rFonts w:ascii="宋体" w:hAnsi="宋体" w:cs="宋体"/>
          <w:color w:val="auto"/>
          <w:szCs w:val="21"/>
          <w:u w:val="single"/>
        </w:rPr>
      </w:pPr>
      <w:r>
        <w:rPr>
          <w:rFonts w:hint="eastAsia" w:ascii="宋体" w:hAnsi="宋体" w:cs="宋体"/>
          <w:color w:val="auto"/>
          <w:szCs w:val="21"/>
          <w:u w:val="single"/>
        </w:rPr>
        <w:t>(2.1.2)承包人在施工中必须加强对自身及各专业分包单位在安全施工方面的检查、监督管理；若被发现存在严重安全隐患的，按照本合同条款约定承担违约责任。</w:t>
      </w:r>
    </w:p>
    <w:p>
      <w:pPr>
        <w:spacing w:before="96" w:line="300" w:lineRule="auto"/>
        <w:ind w:firstLine="420" w:firstLineChars="200"/>
        <w:jc w:val="left"/>
        <w:rPr>
          <w:rFonts w:ascii="宋体" w:hAnsi="宋体" w:cs="宋体"/>
          <w:color w:val="auto"/>
          <w:szCs w:val="21"/>
          <w:u w:val="single"/>
        </w:rPr>
      </w:pPr>
      <w:r>
        <w:rPr>
          <w:rFonts w:hint="eastAsia" w:ascii="宋体" w:hAnsi="宋体" w:cs="宋体"/>
          <w:color w:val="auto"/>
          <w:szCs w:val="21"/>
          <w:u w:val="single"/>
        </w:rPr>
        <w:t>(3)安全防护</w:t>
      </w:r>
    </w:p>
    <w:p>
      <w:pPr>
        <w:spacing w:before="96" w:line="300" w:lineRule="auto"/>
        <w:ind w:firstLine="420" w:firstLineChars="200"/>
        <w:jc w:val="left"/>
        <w:rPr>
          <w:rFonts w:ascii="宋体" w:hAnsi="宋体" w:cs="宋体"/>
          <w:color w:val="auto"/>
          <w:szCs w:val="21"/>
          <w:u w:val="single"/>
        </w:rPr>
      </w:pPr>
      <w:r>
        <w:rPr>
          <w:rFonts w:hint="eastAsia" w:ascii="宋体" w:hAnsi="宋体" w:cs="宋体"/>
          <w:color w:val="auto"/>
          <w:szCs w:val="21"/>
          <w:u w:val="single"/>
        </w:rPr>
        <w:t>(3.1)安全防护措施费用</w:t>
      </w:r>
    </w:p>
    <w:p>
      <w:pPr>
        <w:spacing w:before="96" w:line="300" w:lineRule="auto"/>
        <w:ind w:firstLine="420" w:firstLineChars="200"/>
        <w:jc w:val="left"/>
        <w:rPr>
          <w:rFonts w:ascii="宋体" w:hAnsi="宋体" w:cs="宋体"/>
          <w:color w:val="auto"/>
          <w:szCs w:val="21"/>
          <w:u w:val="single"/>
        </w:rPr>
      </w:pPr>
      <w:r>
        <w:rPr>
          <w:rFonts w:hint="eastAsia" w:ascii="宋体" w:hAnsi="宋体" w:cs="宋体"/>
          <w:color w:val="auto"/>
          <w:szCs w:val="21"/>
          <w:u w:val="single"/>
        </w:rPr>
        <w:t>本工程的所有安全防护措施费用已包含在合同价款之中。</w:t>
      </w:r>
    </w:p>
    <w:p>
      <w:pPr>
        <w:spacing w:before="96" w:line="300" w:lineRule="auto"/>
        <w:ind w:firstLine="420" w:firstLineChars="200"/>
        <w:jc w:val="left"/>
        <w:rPr>
          <w:rFonts w:ascii="宋体" w:hAnsi="宋体" w:cs="宋体"/>
          <w:color w:val="auto"/>
          <w:szCs w:val="21"/>
          <w:u w:val="single"/>
        </w:rPr>
      </w:pPr>
      <w:r>
        <w:rPr>
          <w:rFonts w:hint="eastAsia" w:ascii="宋体" w:hAnsi="宋体" w:cs="宋体"/>
          <w:color w:val="auto"/>
          <w:szCs w:val="21"/>
          <w:u w:val="single"/>
        </w:rPr>
        <w:t>(3.2)安全防护措施</w:t>
      </w:r>
    </w:p>
    <w:p>
      <w:pPr>
        <w:spacing w:before="96" w:line="300" w:lineRule="auto"/>
        <w:ind w:firstLine="420" w:firstLineChars="200"/>
        <w:jc w:val="left"/>
        <w:rPr>
          <w:rFonts w:ascii="宋体" w:hAnsi="宋体" w:cs="宋体"/>
          <w:color w:val="auto"/>
          <w:szCs w:val="21"/>
          <w:u w:val="single"/>
        </w:rPr>
      </w:pPr>
      <w:r>
        <w:rPr>
          <w:rFonts w:hint="eastAsia" w:ascii="宋体" w:hAnsi="宋体" w:cs="宋体"/>
          <w:color w:val="auto"/>
          <w:szCs w:val="21"/>
          <w:u w:val="single"/>
        </w:rPr>
        <w:t>承包人采取严格的安全防护措施，在工程的施工、完工及修补缺陷的整个过程中，都应当做到：</w:t>
      </w:r>
    </w:p>
    <w:p>
      <w:pPr>
        <w:spacing w:before="96" w:line="300" w:lineRule="auto"/>
        <w:ind w:firstLine="420" w:firstLineChars="200"/>
        <w:jc w:val="left"/>
        <w:rPr>
          <w:rFonts w:ascii="宋体" w:hAnsi="宋体" w:cs="宋体"/>
          <w:color w:val="auto"/>
          <w:szCs w:val="21"/>
          <w:u w:val="single"/>
        </w:rPr>
      </w:pPr>
      <w:r>
        <w:rPr>
          <w:rFonts w:hint="eastAsia" w:ascii="宋体" w:hAnsi="宋体" w:cs="宋体"/>
          <w:color w:val="auto"/>
          <w:szCs w:val="21"/>
          <w:u w:val="single"/>
        </w:rPr>
        <w:t>(3.2.1)全面关照所有留在现场上的人员的安全，保护其管辖范围内的现场以及尚未完工的和发包人尚未占用的工程处于有条不紊和良好的状态。</w:t>
      </w:r>
    </w:p>
    <w:p>
      <w:pPr>
        <w:spacing w:before="96" w:line="300" w:lineRule="auto"/>
        <w:ind w:firstLine="420" w:firstLineChars="200"/>
        <w:jc w:val="left"/>
        <w:rPr>
          <w:rFonts w:ascii="宋体" w:hAnsi="宋体" w:cs="宋体"/>
          <w:color w:val="auto"/>
          <w:szCs w:val="21"/>
          <w:u w:val="single"/>
        </w:rPr>
      </w:pPr>
      <w:r>
        <w:rPr>
          <w:rFonts w:hint="eastAsia" w:ascii="宋体" w:hAnsi="宋体" w:cs="宋体"/>
          <w:color w:val="auto"/>
          <w:szCs w:val="21"/>
          <w:u w:val="single"/>
        </w:rPr>
        <w:t>(3.2.2)在需要的时间和地点，根据总监理工程师、发包人或者当地政府的要求，自费提供和维持所有的照明灯光、护板、围墙、栅栏、警告信号标志和值班人员，对工程进行保护和为公众提供安全和方便。</w:t>
      </w:r>
    </w:p>
    <w:p>
      <w:pPr>
        <w:spacing w:before="96" w:line="300" w:lineRule="auto"/>
        <w:ind w:firstLine="420" w:firstLineChars="200"/>
        <w:jc w:val="left"/>
        <w:rPr>
          <w:rFonts w:ascii="宋体" w:hAnsi="宋体" w:cs="宋体"/>
          <w:color w:val="auto"/>
          <w:szCs w:val="21"/>
          <w:u w:val="single"/>
        </w:rPr>
      </w:pPr>
      <w:r>
        <w:rPr>
          <w:rFonts w:hint="eastAsia" w:ascii="宋体" w:hAnsi="宋体" w:cs="宋体"/>
          <w:color w:val="auto"/>
          <w:szCs w:val="21"/>
          <w:u w:val="single"/>
        </w:rPr>
        <w:t>(3.2.3)承包人应自费采取适当措施，确保其工作人员和劳务人员的身体健康，遵照当地卫生部门的要求保证在施工的全过程中，在工地、宿舍和工棚，备有医疗人员、急救设施、药品和治疗室等，并为预防传染病和一切必要的福利、卫生要求作出安排，建立“疾病应急小组”，制订应急措施。若出现任何重大或恶性传染性的疾病（如：非典型性肺炎、甲型流感H1N1）时，承包人必须遵守并执行省、市卫生部门为处理和控制上述传染病而制定的规章、命令和要求，迅速向发包人和广州市疾病控制中心报告。</w:t>
      </w:r>
    </w:p>
    <w:p>
      <w:pPr>
        <w:spacing w:before="96" w:line="300" w:lineRule="auto"/>
        <w:ind w:firstLine="420" w:firstLineChars="200"/>
        <w:jc w:val="left"/>
        <w:rPr>
          <w:rFonts w:ascii="宋体" w:hAnsi="宋体" w:cs="宋体"/>
          <w:color w:val="auto"/>
          <w:szCs w:val="21"/>
          <w:u w:val="single"/>
        </w:rPr>
      </w:pPr>
      <w:r>
        <w:rPr>
          <w:rFonts w:hint="eastAsia" w:ascii="宋体" w:hAnsi="宋体" w:cs="宋体"/>
          <w:color w:val="auto"/>
          <w:szCs w:val="21"/>
          <w:u w:val="single"/>
        </w:rPr>
        <w:t>(4)事故处理</w:t>
      </w:r>
    </w:p>
    <w:p>
      <w:pPr>
        <w:spacing w:before="96" w:line="300" w:lineRule="auto"/>
        <w:ind w:firstLine="420" w:firstLineChars="200"/>
        <w:jc w:val="left"/>
        <w:rPr>
          <w:rFonts w:ascii="宋体" w:hAnsi="宋体" w:cs="宋体"/>
          <w:color w:val="auto"/>
          <w:szCs w:val="21"/>
          <w:u w:val="single"/>
        </w:rPr>
      </w:pPr>
      <w:r>
        <w:rPr>
          <w:rFonts w:hint="eastAsia" w:ascii="宋体" w:hAnsi="宋体" w:cs="宋体"/>
          <w:color w:val="auto"/>
          <w:szCs w:val="21"/>
          <w:u w:val="single"/>
        </w:rPr>
        <w:t>(4.1 )因承包人责任过失造成工程质量安全事故的，除按照国家规定由行政主管部门给予承包人处罚外，承包人还应负责赔偿发包人损失，并承担违约责任。</w:t>
      </w:r>
    </w:p>
    <w:p>
      <w:pPr>
        <w:spacing w:before="96" w:line="300" w:lineRule="auto"/>
        <w:ind w:firstLine="420" w:firstLineChars="200"/>
        <w:jc w:val="left"/>
        <w:rPr>
          <w:rFonts w:ascii="宋体" w:hAnsi="宋体" w:cs="宋体"/>
          <w:color w:val="auto"/>
          <w:szCs w:val="21"/>
          <w:u w:val="single"/>
        </w:rPr>
      </w:pPr>
      <w:r>
        <w:rPr>
          <w:rFonts w:hint="eastAsia" w:ascii="宋体" w:hAnsi="宋体" w:cs="宋体"/>
          <w:color w:val="auto"/>
          <w:szCs w:val="21"/>
          <w:u w:val="single"/>
        </w:rPr>
        <w:t>(4.2)承包人应保证发包人免于受到或承担应由承包人负责的因承包人现场施工所引起的或与之有关的索赔、诉讼以及其他开支；若有证据证实发包人因此发生了索赔、诉讼以及其他开支，承包人必须在接到发包人通知后二天内据实补偿发包人因此所受到的损失。</w:t>
      </w:r>
    </w:p>
    <w:p>
      <w:pPr>
        <w:spacing w:before="96" w:line="300" w:lineRule="auto"/>
        <w:ind w:firstLine="420" w:firstLineChars="200"/>
        <w:jc w:val="left"/>
        <w:rPr>
          <w:rFonts w:ascii="宋体" w:hAnsi="宋体" w:cs="宋体"/>
          <w:color w:val="auto"/>
          <w:szCs w:val="21"/>
          <w:u w:val="single"/>
        </w:rPr>
      </w:pPr>
      <w:r>
        <w:rPr>
          <w:rFonts w:hint="eastAsia" w:ascii="宋体" w:hAnsi="宋体" w:cs="宋体"/>
          <w:color w:val="auto"/>
          <w:szCs w:val="21"/>
          <w:u w:val="single"/>
        </w:rPr>
        <w:t>(5)文明施工与环境保护</w:t>
      </w:r>
    </w:p>
    <w:p>
      <w:pPr>
        <w:spacing w:before="96" w:line="300" w:lineRule="auto"/>
        <w:ind w:firstLine="420" w:firstLineChars="200"/>
        <w:jc w:val="left"/>
        <w:rPr>
          <w:rFonts w:ascii="宋体" w:hAnsi="宋体" w:cs="宋体"/>
          <w:color w:val="auto"/>
          <w:szCs w:val="21"/>
          <w:u w:val="single"/>
        </w:rPr>
      </w:pPr>
      <w:r>
        <w:rPr>
          <w:rFonts w:hint="eastAsia" w:ascii="宋体" w:hAnsi="宋体" w:cs="宋体"/>
          <w:color w:val="auto"/>
          <w:szCs w:val="21"/>
          <w:u w:val="single"/>
        </w:rPr>
        <w:t>(5.1)承包人必须严格按照《广州市建设工程现场文明施工管理办法》（穗建筑[1999]175号）及广州市对现场文明施工的其它管理规定在施工组织设计中专章编制文明施工措施，将投标时承诺的文明施工措施落实到位。</w:t>
      </w:r>
    </w:p>
    <w:p>
      <w:pPr>
        <w:spacing w:before="96" w:line="300" w:lineRule="auto"/>
        <w:ind w:firstLine="420" w:firstLineChars="200"/>
        <w:jc w:val="left"/>
        <w:rPr>
          <w:rFonts w:ascii="宋体" w:hAnsi="宋体" w:cs="宋体"/>
          <w:color w:val="auto"/>
          <w:szCs w:val="21"/>
          <w:u w:val="single"/>
        </w:rPr>
      </w:pPr>
      <w:r>
        <w:rPr>
          <w:rFonts w:hint="eastAsia" w:ascii="宋体" w:hAnsi="宋体" w:cs="宋体"/>
          <w:color w:val="auto"/>
          <w:szCs w:val="21"/>
          <w:u w:val="single"/>
        </w:rPr>
        <w:t>承包人不落实文明施工措施的，按照约定承担违约责任。</w:t>
      </w:r>
    </w:p>
    <w:p>
      <w:pPr>
        <w:spacing w:before="96" w:line="300" w:lineRule="auto"/>
        <w:ind w:firstLine="420" w:firstLineChars="200"/>
        <w:jc w:val="left"/>
        <w:rPr>
          <w:rFonts w:ascii="宋体" w:hAnsi="宋体" w:cs="宋体"/>
          <w:color w:val="auto"/>
          <w:szCs w:val="21"/>
          <w:u w:val="single"/>
        </w:rPr>
      </w:pPr>
      <w:r>
        <w:rPr>
          <w:rFonts w:hint="eastAsia" w:ascii="宋体" w:hAnsi="宋体" w:cs="宋体"/>
          <w:color w:val="auto"/>
          <w:szCs w:val="21"/>
          <w:u w:val="single"/>
        </w:rPr>
        <w:t>(5.2)承包人应在进入现场前提交一式六份施工期间的环境保护方案，经监理工程师批准后实施。环境保护方案必须包括：施工现场所必须的照明灯光、暗室通风、护板、围护、栅栏、警告标志和值班人员名单，以及建筑垃圾、施工和生活污水、噪音、粉尘的处理排放。方案在实施过程中所采用的材料、设备等应使监理工程师和发包人满意。</w:t>
      </w:r>
    </w:p>
    <w:p>
      <w:pPr>
        <w:spacing w:before="96" w:line="300" w:lineRule="auto"/>
        <w:ind w:firstLine="420" w:firstLineChars="200"/>
        <w:jc w:val="left"/>
        <w:rPr>
          <w:rFonts w:ascii="宋体" w:hAnsi="宋体" w:cs="宋体"/>
          <w:color w:val="auto"/>
          <w:szCs w:val="21"/>
          <w:u w:val="single"/>
        </w:rPr>
      </w:pPr>
      <w:r>
        <w:rPr>
          <w:rFonts w:hint="eastAsia" w:ascii="宋体" w:hAnsi="宋体" w:cs="宋体"/>
          <w:color w:val="auto"/>
          <w:szCs w:val="21"/>
          <w:u w:val="single"/>
        </w:rPr>
        <w:t>对于承包人施工过程中造成的环境污染问题，经发包人或者监理工程师指出后，承包人未能在24小时之内采取整治措施，或者所采取的整治措施未有效消除污染的，发包人可以自行或者委托他人代为整治，由此所产生的一切损失、费用均由承包人承担。</w:t>
      </w:r>
    </w:p>
    <w:p>
      <w:pPr>
        <w:spacing w:before="96" w:line="300" w:lineRule="auto"/>
        <w:ind w:firstLine="420" w:firstLineChars="200"/>
        <w:jc w:val="left"/>
        <w:rPr>
          <w:rFonts w:ascii="宋体" w:hAnsi="宋体" w:cs="宋体"/>
          <w:color w:val="auto"/>
          <w:szCs w:val="21"/>
          <w:u w:val="single"/>
        </w:rPr>
      </w:pPr>
      <w:r>
        <w:rPr>
          <w:rFonts w:hint="eastAsia" w:ascii="宋体" w:hAnsi="宋体" w:cs="宋体"/>
          <w:color w:val="auto"/>
          <w:szCs w:val="21"/>
          <w:u w:val="single"/>
        </w:rPr>
        <w:t>对于专业分包单位在施工过程中造成的环境污染（包括文明施工混乱），承包人必须配合发包人及监理单位，督促该分包单位立即采取整治措施，如果分包单位不服从承包人的整治要求，承包人必须自行组织及时完成环境污染的整治工作并向监理工程师及发包人书面汇报其过程及效果，由此产生的费用经监理工程师及发包人审核确认，从该分包单位的工程款项中扣除，由发包人将该笔款项支付给承包人。而由于承包人管理督促不力或漠视不理，以致分包单位未能及时整治或不进行整治而造成的一切损失，承包人必须承担相应的违约责任。</w:t>
      </w:r>
    </w:p>
    <w:p>
      <w:pPr>
        <w:spacing w:before="96" w:line="300" w:lineRule="auto"/>
        <w:ind w:firstLine="420" w:firstLineChars="200"/>
        <w:jc w:val="left"/>
        <w:rPr>
          <w:rFonts w:ascii="宋体" w:hAnsi="宋体" w:cs="宋体"/>
          <w:color w:val="auto"/>
          <w:szCs w:val="21"/>
        </w:rPr>
      </w:pPr>
      <w:r>
        <w:rPr>
          <w:rFonts w:hint="eastAsia" w:ascii="宋体" w:hAnsi="宋体" w:cs="宋体"/>
          <w:color w:val="auto"/>
          <w:szCs w:val="21"/>
        </w:rPr>
        <w:t>45.5 治安管理：</w:t>
      </w:r>
    </w:p>
    <w:p>
      <w:pPr>
        <w:spacing w:before="96" w:line="30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 按通用条款的规定。</w:t>
      </w:r>
    </w:p>
    <w:p>
      <w:pPr>
        <w:spacing w:before="96" w:line="30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 另作约定：</w:t>
      </w:r>
    </w:p>
    <w:p>
      <w:pPr>
        <w:autoSpaceDE w:val="0"/>
        <w:autoSpaceDN w:val="0"/>
        <w:spacing w:before="96" w:line="300" w:lineRule="auto"/>
        <w:ind w:right="-20"/>
        <w:jc w:val="left"/>
        <w:rPr>
          <w:rFonts w:ascii="宋体" w:hAnsi="宋体" w:cs="宋体"/>
          <w:b/>
          <w:color w:val="auto"/>
          <w:szCs w:val="21"/>
        </w:rPr>
      </w:pPr>
      <w:r>
        <w:rPr>
          <w:rFonts w:hint="eastAsia" w:ascii="宋体" w:hAnsi="宋体" w:cs="宋体"/>
          <w:b/>
          <w:color w:val="auto"/>
          <w:szCs w:val="21"/>
        </w:rPr>
        <w:t>46．测量放线</w:t>
      </w:r>
    </w:p>
    <w:p>
      <w:pPr>
        <w:spacing w:before="96" w:line="300" w:lineRule="auto"/>
        <w:ind w:firstLine="420" w:firstLineChars="200"/>
        <w:jc w:val="left"/>
        <w:outlineLvl w:val="0"/>
        <w:rPr>
          <w:rFonts w:ascii="宋体" w:hAnsi="宋体" w:cs="宋体"/>
          <w:color w:val="auto"/>
          <w:kern w:val="0"/>
          <w:szCs w:val="21"/>
        </w:rPr>
      </w:pPr>
      <w:bookmarkStart w:id="302" w:name="_Toc416853056"/>
      <w:r>
        <w:rPr>
          <w:rFonts w:hint="eastAsia" w:ascii="宋体" w:hAnsi="宋体" w:cs="宋体"/>
          <w:color w:val="auto"/>
          <w:kern w:val="0"/>
          <w:szCs w:val="21"/>
        </w:rPr>
        <w:t>46.1 承包人提交施工控制网资料的时间：</w:t>
      </w:r>
      <w:r>
        <w:rPr>
          <w:rFonts w:hint="eastAsia" w:ascii="宋体" w:hAnsi="宋体" w:cs="宋体"/>
          <w:color w:val="auto"/>
          <w:kern w:val="0"/>
          <w:szCs w:val="21"/>
          <w:u w:val="single"/>
        </w:rPr>
        <w:t xml:space="preserve"> 监理工程师提供基础资料后的7天内。</w:t>
      </w:r>
      <w:bookmarkEnd w:id="302"/>
    </w:p>
    <w:p>
      <w:pPr>
        <w:autoSpaceDE w:val="0"/>
        <w:autoSpaceDN w:val="0"/>
        <w:spacing w:before="96" w:line="300" w:lineRule="auto"/>
        <w:ind w:firstLine="420" w:firstLineChars="200"/>
        <w:jc w:val="left"/>
        <w:rPr>
          <w:rFonts w:ascii="宋体" w:hAnsi="宋体" w:cs="宋体"/>
          <w:bCs/>
          <w:color w:val="auto"/>
          <w:szCs w:val="21"/>
        </w:rPr>
      </w:pPr>
      <w:r>
        <w:rPr>
          <w:rFonts w:hint="eastAsia" w:ascii="宋体" w:hAnsi="宋体" w:cs="宋体"/>
          <w:color w:val="auto"/>
          <w:kern w:val="0"/>
          <w:szCs w:val="21"/>
        </w:rPr>
        <w:t>46.4 测量放线误差的约定：</w:t>
      </w:r>
      <w:r>
        <w:rPr>
          <w:rFonts w:hint="eastAsia" w:ascii="宋体" w:hAnsi="宋体" w:cs="宋体"/>
          <w:color w:val="auto"/>
          <w:kern w:val="0"/>
          <w:szCs w:val="21"/>
          <w:u w:val="single"/>
        </w:rPr>
        <w:t xml:space="preserve"> 按有关规范规定。</w:t>
      </w:r>
    </w:p>
    <w:p>
      <w:pPr>
        <w:autoSpaceDE w:val="0"/>
        <w:autoSpaceDN w:val="0"/>
        <w:spacing w:before="96" w:line="300" w:lineRule="auto"/>
        <w:ind w:left="101" w:right="-20"/>
        <w:jc w:val="left"/>
        <w:rPr>
          <w:rFonts w:ascii="宋体" w:hAnsi="宋体" w:cs="宋体"/>
          <w:b/>
          <w:color w:val="auto"/>
          <w:szCs w:val="21"/>
        </w:rPr>
      </w:pPr>
      <w:r>
        <w:rPr>
          <w:rFonts w:hint="eastAsia" w:ascii="宋体" w:hAnsi="宋体" w:cs="宋体"/>
          <w:b/>
          <w:color w:val="auto"/>
          <w:szCs w:val="21"/>
        </w:rPr>
        <w:t>48．发包人供应材料和工程设备</w:t>
      </w:r>
    </w:p>
    <w:p>
      <w:pPr>
        <w:spacing w:before="96" w:line="300" w:lineRule="auto"/>
        <w:ind w:firstLine="420" w:firstLineChars="200"/>
        <w:jc w:val="left"/>
        <w:outlineLvl w:val="0"/>
        <w:rPr>
          <w:rFonts w:ascii="宋体" w:hAnsi="宋体" w:cs="宋体"/>
          <w:color w:val="auto"/>
          <w:kern w:val="0"/>
          <w:szCs w:val="21"/>
        </w:rPr>
      </w:pPr>
      <w:r>
        <w:rPr>
          <w:rFonts w:hint="eastAsia" w:ascii="宋体" w:hAnsi="宋体" w:cs="宋体"/>
          <w:color w:val="auto"/>
          <w:kern w:val="0"/>
          <w:szCs w:val="21"/>
        </w:rPr>
        <w:t>48.1 发包人是否供应材料设备</w:t>
      </w:r>
    </w:p>
    <w:p>
      <w:pPr>
        <w:spacing w:before="96" w:line="300" w:lineRule="auto"/>
        <w:ind w:firstLine="420" w:firstLineChars="200"/>
        <w:jc w:val="left"/>
        <w:outlineLvl w:val="0"/>
        <w:rPr>
          <w:rFonts w:ascii="宋体" w:hAnsi="宋体" w:cs="宋体"/>
          <w:color w:val="auto"/>
          <w:kern w:val="0"/>
          <w:szCs w:val="21"/>
        </w:rPr>
      </w:pPr>
      <w:r>
        <w:rPr>
          <w:rFonts w:hint="eastAsia" w:ascii="宋体" w:hAnsi="宋体" w:cs="宋体"/>
          <w:color w:val="auto"/>
          <w:kern w:val="0"/>
          <w:szCs w:val="21"/>
        </w:rPr>
        <w:t>■发包人不供应材料和工程设备，本条不适用。</w:t>
      </w:r>
    </w:p>
    <w:p>
      <w:pPr>
        <w:spacing w:before="96" w:line="300" w:lineRule="auto"/>
        <w:ind w:firstLine="420" w:firstLineChars="200"/>
        <w:jc w:val="left"/>
        <w:outlineLvl w:val="0"/>
        <w:rPr>
          <w:rFonts w:ascii="宋体" w:hAnsi="宋体" w:cs="宋体"/>
          <w:color w:val="auto"/>
          <w:kern w:val="0"/>
          <w:szCs w:val="21"/>
        </w:rPr>
      </w:pPr>
      <w:r>
        <w:rPr>
          <w:rFonts w:hint="eastAsia" w:ascii="宋体" w:hAnsi="宋体" w:cs="宋体"/>
          <w:color w:val="auto"/>
          <w:kern w:val="0"/>
          <w:szCs w:val="21"/>
        </w:rPr>
        <w:t>□发包人供应材料和工程设备的，约定“发包人供应材料设备一览表”，作为本合同的附件。</w:t>
      </w:r>
    </w:p>
    <w:p>
      <w:pPr>
        <w:spacing w:before="96" w:line="300" w:lineRule="auto"/>
        <w:ind w:firstLine="420" w:firstLineChars="200"/>
        <w:jc w:val="left"/>
        <w:outlineLvl w:val="0"/>
        <w:rPr>
          <w:rFonts w:ascii="宋体" w:hAnsi="宋体" w:cs="宋体"/>
          <w:color w:val="auto"/>
          <w:kern w:val="0"/>
          <w:szCs w:val="21"/>
        </w:rPr>
      </w:pPr>
      <w:r>
        <w:rPr>
          <w:rFonts w:hint="eastAsia" w:ascii="宋体" w:hAnsi="宋体" w:cs="宋体"/>
          <w:color w:val="auto"/>
          <w:kern w:val="0"/>
          <w:szCs w:val="21"/>
        </w:rPr>
        <w:t>48.8发包人供应材料和工程设备的合同工程结算方式：</w:t>
      </w:r>
      <w:r>
        <w:rPr>
          <w:rFonts w:hint="eastAsia" w:ascii="宋体" w:hAnsi="宋体" w:cs="宋体"/>
          <w:color w:val="auto"/>
          <w:kern w:val="0"/>
          <w:szCs w:val="21"/>
          <w:u w:val="single"/>
        </w:rPr>
        <w:t xml:space="preserve"> 无。</w:t>
      </w:r>
    </w:p>
    <w:p>
      <w:pPr>
        <w:autoSpaceDE w:val="0"/>
        <w:autoSpaceDN w:val="0"/>
        <w:spacing w:before="96" w:line="300" w:lineRule="auto"/>
        <w:ind w:left="101" w:right="-20"/>
        <w:jc w:val="left"/>
        <w:rPr>
          <w:rFonts w:ascii="宋体" w:hAnsi="宋体" w:cs="宋体"/>
          <w:b/>
          <w:bCs/>
          <w:color w:val="auto"/>
          <w:kern w:val="0"/>
          <w:szCs w:val="21"/>
        </w:rPr>
      </w:pPr>
      <w:r>
        <w:rPr>
          <w:rFonts w:hint="eastAsia" w:ascii="宋体" w:hAnsi="宋体" w:cs="宋体"/>
          <w:b/>
          <w:bCs/>
          <w:color w:val="auto"/>
          <w:kern w:val="0"/>
          <w:szCs w:val="21"/>
        </w:rPr>
        <w:t>49. 承包人采购材料和工程设备</w:t>
      </w:r>
    </w:p>
    <w:p>
      <w:pPr>
        <w:spacing w:before="96" w:line="300" w:lineRule="auto"/>
        <w:ind w:firstLine="420" w:firstLineChars="200"/>
        <w:jc w:val="left"/>
        <w:outlineLvl w:val="0"/>
        <w:rPr>
          <w:rFonts w:ascii="宋体" w:hAnsi="宋体" w:cs="宋体"/>
          <w:color w:val="auto"/>
          <w:kern w:val="0"/>
          <w:szCs w:val="21"/>
        </w:rPr>
      </w:pPr>
      <w:r>
        <w:rPr>
          <w:rFonts w:hint="eastAsia" w:ascii="宋体" w:hAnsi="宋体" w:cs="宋体"/>
          <w:color w:val="auto"/>
          <w:kern w:val="0"/>
          <w:szCs w:val="21"/>
        </w:rPr>
        <w:t>49.1 承包人采购材料和工程设备</w:t>
      </w:r>
    </w:p>
    <w:p>
      <w:pPr>
        <w:spacing w:before="96" w:line="300" w:lineRule="auto"/>
        <w:ind w:firstLine="420" w:firstLineChars="200"/>
        <w:jc w:val="left"/>
        <w:outlineLvl w:val="0"/>
        <w:rPr>
          <w:rFonts w:ascii="宋体" w:hAnsi="宋体" w:cs="宋体"/>
          <w:color w:val="auto"/>
          <w:kern w:val="0"/>
          <w:szCs w:val="21"/>
        </w:rPr>
      </w:pPr>
      <w:r>
        <w:rPr>
          <w:rFonts w:hint="eastAsia" w:ascii="宋体" w:hAnsi="宋体" w:cs="宋体"/>
          <w:color w:val="auto"/>
          <w:kern w:val="0"/>
          <w:szCs w:val="21"/>
        </w:rPr>
        <w:t>■ 按通用条款规定，由承包人负责运输和保管。</w:t>
      </w:r>
    </w:p>
    <w:p>
      <w:pPr>
        <w:spacing w:before="96" w:line="300" w:lineRule="auto"/>
        <w:ind w:firstLine="420" w:firstLineChars="200"/>
        <w:jc w:val="left"/>
        <w:outlineLvl w:val="0"/>
        <w:rPr>
          <w:rFonts w:ascii="宋体" w:hAnsi="宋体" w:cs="宋体"/>
          <w:color w:val="auto"/>
          <w:kern w:val="0"/>
          <w:szCs w:val="21"/>
        </w:rPr>
      </w:pPr>
      <w:r>
        <w:rPr>
          <w:rFonts w:hint="eastAsia" w:ascii="宋体" w:hAnsi="宋体" w:cs="宋体"/>
          <w:color w:val="auto"/>
          <w:kern w:val="0"/>
          <w:szCs w:val="21"/>
        </w:rPr>
        <w:t>□ 另作约定：</w:t>
      </w:r>
    </w:p>
    <w:p>
      <w:pPr>
        <w:spacing w:before="96" w:line="300" w:lineRule="auto"/>
        <w:ind w:firstLine="420" w:firstLineChars="200"/>
        <w:jc w:val="left"/>
        <w:outlineLvl w:val="0"/>
        <w:rPr>
          <w:rFonts w:ascii="宋体" w:hAnsi="宋体" w:cs="宋体"/>
          <w:color w:val="auto"/>
          <w:szCs w:val="21"/>
          <w:u w:val="single"/>
        </w:rPr>
      </w:pPr>
      <w:r>
        <w:rPr>
          <w:rFonts w:hint="eastAsia" w:ascii="宋体" w:hAnsi="宋体" w:cs="宋体"/>
          <w:bCs/>
          <w:color w:val="auto"/>
          <w:szCs w:val="21"/>
        </w:rPr>
        <w:t>49.2 承包人供货要求：属于承包人自行采购的主要材料、设备进场以前，承包人必须向监理工程师提交生产厂商出具的质量合格证书和承包人检验合格证书，证明材料、设备质量符合本合同技术规范的规定，以供监理工程师批准。</w:t>
      </w:r>
      <w:r>
        <w:rPr>
          <w:rFonts w:hint="eastAsia" w:ascii="宋体" w:hAnsi="宋体" w:cs="宋体"/>
          <w:color w:val="auto"/>
          <w:szCs w:val="21"/>
          <w:u w:val="single"/>
        </w:rPr>
        <w:t>承包人供应材料(设备)看样定板程序及时间：</w:t>
      </w:r>
    </w:p>
    <w:p>
      <w:pPr>
        <w:spacing w:before="96" w:line="300" w:lineRule="auto"/>
        <w:ind w:firstLine="420" w:firstLineChars="200"/>
        <w:jc w:val="left"/>
        <w:outlineLvl w:val="0"/>
        <w:rPr>
          <w:rFonts w:ascii="宋体" w:hAnsi="宋体" w:cs="宋体"/>
          <w:bCs/>
          <w:color w:val="auto"/>
          <w:szCs w:val="21"/>
          <w:u w:val="single"/>
        </w:rPr>
      </w:pPr>
      <w:r>
        <w:rPr>
          <w:rFonts w:hint="eastAsia" w:ascii="宋体" w:hAnsi="宋体" w:cs="宋体"/>
          <w:bCs/>
          <w:color w:val="auto"/>
          <w:szCs w:val="21"/>
          <w:u w:val="single"/>
        </w:rPr>
        <w:t>(1)申报：承包人供应材料(设备)看样定板申报原则上由承包人根据设计图纸要求，招标文件提出的质量档次，推荐三到五家同档次的合格供应商及合格产品。承包人应在使用前尽早成批次向监理工程师申报。</w:t>
      </w:r>
    </w:p>
    <w:p>
      <w:pPr>
        <w:spacing w:before="96" w:line="300" w:lineRule="auto"/>
        <w:ind w:firstLine="420" w:firstLineChars="200"/>
        <w:jc w:val="left"/>
        <w:outlineLvl w:val="0"/>
        <w:rPr>
          <w:rFonts w:ascii="宋体" w:hAnsi="宋体" w:cs="宋体"/>
          <w:bCs/>
          <w:color w:val="auto"/>
          <w:szCs w:val="21"/>
          <w:u w:val="single"/>
        </w:rPr>
      </w:pPr>
      <w:r>
        <w:rPr>
          <w:rFonts w:hint="eastAsia" w:ascii="宋体" w:hAnsi="宋体" w:cs="宋体"/>
          <w:bCs/>
          <w:color w:val="auto"/>
          <w:szCs w:val="21"/>
          <w:u w:val="single"/>
        </w:rPr>
        <w:t>(2)申报资料：</w:t>
      </w:r>
      <w:r>
        <w:rPr>
          <w:rFonts w:hint="eastAsia" w:ascii="宋体" w:hAnsi="宋体" w:cs="宋体"/>
          <w:bCs/>
          <w:color w:val="auto"/>
          <w:szCs w:val="21"/>
          <w:u w:val="single"/>
        </w:rPr>
        <w:tab/>
      </w:r>
    </w:p>
    <w:p>
      <w:pPr>
        <w:spacing w:before="96" w:line="300" w:lineRule="auto"/>
        <w:ind w:firstLine="420" w:firstLineChars="200"/>
        <w:jc w:val="left"/>
        <w:outlineLvl w:val="0"/>
        <w:rPr>
          <w:rFonts w:ascii="宋体" w:hAnsi="宋体" w:cs="宋体"/>
          <w:bCs/>
          <w:color w:val="auto"/>
          <w:szCs w:val="21"/>
          <w:u w:val="single"/>
        </w:rPr>
      </w:pPr>
      <w:r>
        <w:rPr>
          <w:rFonts w:hint="eastAsia" w:ascii="宋体" w:hAnsi="宋体" w:cs="宋体"/>
          <w:bCs/>
          <w:color w:val="auto"/>
          <w:szCs w:val="21"/>
          <w:u w:val="single"/>
        </w:rPr>
        <w:t>1)材料样板(份数按发包人要求定)；</w:t>
      </w:r>
    </w:p>
    <w:p>
      <w:pPr>
        <w:spacing w:before="96" w:line="300" w:lineRule="auto"/>
        <w:ind w:firstLine="420" w:firstLineChars="200"/>
        <w:jc w:val="left"/>
        <w:outlineLvl w:val="0"/>
        <w:rPr>
          <w:rFonts w:ascii="宋体" w:hAnsi="宋体" w:cs="宋体"/>
          <w:bCs/>
          <w:color w:val="auto"/>
          <w:szCs w:val="21"/>
          <w:u w:val="single"/>
        </w:rPr>
      </w:pPr>
      <w:r>
        <w:rPr>
          <w:rFonts w:hint="eastAsia" w:ascii="宋体" w:hAnsi="宋体" w:cs="宋体"/>
          <w:bCs/>
          <w:color w:val="auto"/>
          <w:szCs w:val="21"/>
          <w:u w:val="single"/>
        </w:rPr>
        <w:t>2)各材料（设备）需提供供应商资料；</w:t>
      </w:r>
    </w:p>
    <w:p>
      <w:pPr>
        <w:spacing w:before="96" w:line="300" w:lineRule="auto"/>
        <w:ind w:firstLine="420" w:firstLineChars="200"/>
        <w:jc w:val="left"/>
        <w:outlineLvl w:val="0"/>
        <w:rPr>
          <w:rFonts w:ascii="宋体" w:hAnsi="宋体" w:cs="宋体"/>
          <w:bCs/>
          <w:color w:val="auto"/>
          <w:szCs w:val="21"/>
          <w:u w:val="single"/>
        </w:rPr>
      </w:pPr>
      <w:r>
        <w:rPr>
          <w:rFonts w:hint="eastAsia" w:ascii="宋体" w:hAnsi="宋体" w:cs="宋体"/>
          <w:bCs/>
          <w:color w:val="auto"/>
          <w:szCs w:val="21"/>
          <w:u w:val="single"/>
        </w:rPr>
        <w:t>3)营业执照（复印件）；</w:t>
      </w:r>
    </w:p>
    <w:p>
      <w:pPr>
        <w:spacing w:before="96" w:line="300" w:lineRule="auto"/>
        <w:ind w:firstLine="420" w:firstLineChars="200"/>
        <w:jc w:val="left"/>
        <w:outlineLvl w:val="0"/>
        <w:rPr>
          <w:rFonts w:ascii="宋体" w:hAnsi="宋体" w:cs="宋体"/>
          <w:bCs/>
          <w:color w:val="auto"/>
          <w:szCs w:val="21"/>
          <w:u w:val="single"/>
        </w:rPr>
      </w:pPr>
      <w:r>
        <w:rPr>
          <w:rFonts w:hint="eastAsia" w:ascii="宋体" w:hAnsi="宋体" w:cs="宋体"/>
          <w:bCs/>
          <w:color w:val="auto"/>
          <w:szCs w:val="21"/>
          <w:u w:val="single"/>
        </w:rPr>
        <w:t>4)税务登记证（复印件）；</w:t>
      </w:r>
    </w:p>
    <w:p>
      <w:pPr>
        <w:spacing w:before="96" w:line="300" w:lineRule="auto"/>
        <w:ind w:firstLine="420" w:firstLineChars="200"/>
        <w:jc w:val="left"/>
        <w:outlineLvl w:val="0"/>
        <w:rPr>
          <w:rFonts w:ascii="宋体" w:hAnsi="宋体" w:cs="宋体"/>
          <w:bCs/>
          <w:color w:val="auto"/>
          <w:szCs w:val="21"/>
          <w:u w:val="single"/>
        </w:rPr>
      </w:pPr>
      <w:r>
        <w:rPr>
          <w:rFonts w:hint="eastAsia" w:ascii="宋体" w:hAnsi="宋体" w:cs="宋体"/>
          <w:bCs/>
          <w:color w:val="auto"/>
          <w:szCs w:val="21"/>
          <w:u w:val="single"/>
        </w:rPr>
        <w:t>5)产品名目、技术、质量标准（含规格、型号、参数、颜色、功能等）；</w:t>
      </w:r>
    </w:p>
    <w:p>
      <w:pPr>
        <w:spacing w:before="96" w:line="300" w:lineRule="auto"/>
        <w:ind w:firstLine="420" w:firstLineChars="200"/>
        <w:jc w:val="left"/>
        <w:outlineLvl w:val="0"/>
        <w:rPr>
          <w:rFonts w:ascii="宋体" w:hAnsi="宋体" w:cs="宋体"/>
          <w:bCs/>
          <w:color w:val="auto"/>
          <w:szCs w:val="21"/>
          <w:u w:val="single"/>
        </w:rPr>
      </w:pPr>
      <w:r>
        <w:rPr>
          <w:rFonts w:hint="eastAsia" w:ascii="宋体" w:hAnsi="宋体" w:cs="宋体"/>
          <w:bCs/>
          <w:color w:val="auto"/>
          <w:szCs w:val="21"/>
          <w:u w:val="single"/>
        </w:rPr>
        <w:t>6)产品质量检测报告（CMA认证机构质检报告）及出厂合格证（复印件）；</w:t>
      </w:r>
    </w:p>
    <w:p>
      <w:pPr>
        <w:spacing w:before="96" w:line="300" w:lineRule="auto"/>
        <w:ind w:firstLine="420" w:firstLineChars="200"/>
        <w:jc w:val="left"/>
        <w:outlineLvl w:val="0"/>
        <w:rPr>
          <w:rFonts w:ascii="宋体" w:hAnsi="宋体" w:cs="宋体"/>
          <w:bCs/>
          <w:color w:val="auto"/>
          <w:szCs w:val="21"/>
          <w:u w:val="single"/>
        </w:rPr>
      </w:pPr>
      <w:r>
        <w:rPr>
          <w:rFonts w:hint="eastAsia" w:ascii="宋体" w:hAnsi="宋体" w:cs="宋体"/>
          <w:bCs/>
          <w:color w:val="auto"/>
          <w:szCs w:val="21"/>
          <w:u w:val="single"/>
        </w:rPr>
        <w:t>7)国家环保产品认证证书及相关检测报告（复印件，必要时提供原件）；</w:t>
      </w:r>
    </w:p>
    <w:p>
      <w:pPr>
        <w:spacing w:before="96" w:line="300" w:lineRule="auto"/>
        <w:ind w:firstLine="420" w:firstLineChars="200"/>
        <w:jc w:val="left"/>
        <w:outlineLvl w:val="0"/>
        <w:rPr>
          <w:rFonts w:ascii="宋体" w:hAnsi="宋体" w:cs="宋体"/>
          <w:bCs/>
          <w:color w:val="auto"/>
          <w:szCs w:val="21"/>
          <w:u w:val="single"/>
        </w:rPr>
      </w:pPr>
      <w:r>
        <w:rPr>
          <w:rFonts w:hint="eastAsia" w:ascii="宋体" w:hAnsi="宋体" w:cs="宋体"/>
          <w:bCs/>
          <w:color w:val="auto"/>
          <w:szCs w:val="21"/>
          <w:u w:val="single"/>
        </w:rPr>
        <w:t>8)使用说明、安装指导、调试、服务承诺及供货保证措施；</w:t>
      </w:r>
    </w:p>
    <w:p>
      <w:pPr>
        <w:spacing w:before="96" w:line="300" w:lineRule="auto"/>
        <w:ind w:firstLine="420" w:firstLineChars="200"/>
        <w:jc w:val="left"/>
        <w:outlineLvl w:val="0"/>
        <w:rPr>
          <w:rFonts w:ascii="宋体" w:hAnsi="宋体" w:cs="宋体"/>
          <w:bCs/>
          <w:color w:val="auto"/>
          <w:szCs w:val="21"/>
          <w:u w:val="single"/>
        </w:rPr>
      </w:pPr>
      <w:r>
        <w:rPr>
          <w:rFonts w:hint="eastAsia" w:ascii="宋体" w:hAnsi="宋体" w:cs="宋体"/>
          <w:bCs/>
          <w:color w:val="auto"/>
          <w:szCs w:val="21"/>
          <w:u w:val="single"/>
        </w:rPr>
        <w:t>(3)初审：初审由监理工程师主持，初审参与单位有承包人、监理工程师及发包人驻场代表。主要任务是初步对承包人申报的供应商进行符合性及强制性标准审查。初审自收到申报表5天内完成，初审完成后由监理工程师将申报资料及初审意见汇总后向发包人报审。</w:t>
      </w:r>
    </w:p>
    <w:p>
      <w:pPr>
        <w:spacing w:before="96" w:line="300" w:lineRule="auto"/>
        <w:ind w:firstLine="420" w:firstLineChars="200"/>
        <w:jc w:val="left"/>
        <w:outlineLvl w:val="0"/>
        <w:rPr>
          <w:rFonts w:ascii="宋体" w:hAnsi="宋体" w:cs="宋体"/>
          <w:bCs/>
          <w:color w:val="auto"/>
          <w:szCs w:val="21"/>
          <w:u w:val="single"/>
        </w:rPr>
      </w:pPr>
      <w:r>
        <w:rPr>
          <w:rFonts w:hint="eastAsia" w:ascii="宋体" w:hAnsi="宋体" w:cs="宋体"/>
          <w:bCs/>
          <w:color w:val="auto"/>
          <w:szCs w:val="21"/>
          <w:u w:val="single"/>
        </w:rPr>
        <w:t>1)凡不符合第42.1（1）、（2）条者，均不能推荐为合格供应商；</w:t>
      </w:r>
    </w:p>
    <w:p>
      <w:pPr>
        <w:spacing w:before="96" w:line="300" w:lineRule="auto"/>
        <w:ind w:firstLine="420" w:firstLineChars="200"/>
        <w:jc w:val="left"/>
        <w:outlineLvl w:val="0"/>
        <w:rPr>
          <w:rFonts w:ascii="宋体" w:hAnsi="宋体" w:cs="宋体"/>
          <w:bCs/>
          <w:color w:val="auto"/>
          <w:szCs w:val="21"/>
          <w:u w:val="single"/>
        </w:rPr>
      </w:pPr>
      <w:r>
        <w:rPr>
          <w:rFonts w:hint="eastAsia" w:ascii="宋体" w:hAnsi="宋体" w:cs="宋体"/>
          <w:bCs/>
          <w:color w:val="auto"/>
          <w:szCs w:val="21"/>
          <w:u w:val="single"/>
        </w:rPr>
        <w:t>2)拟购材料不符合设计的质量技术标准或不符合合格产品条件的，均不能推荐为合格产品；</w:t>
      </w:r>
    </w:p>
    <w:p>
      <w:pPr>
        <w:spacing w:before="96" w:line="300" w:lineRule="auto"/>
        <w:ind w:firstLine="420" w:firstLineChars="200"/>
        <w:jc w:val="left"/>
        <w:outlineLvl w:val="0"/>
        <w:rPr>
          <w:rFonts w:ascii="宋体" w:hAnsi="宋体" w:cs="宋体"/>
          <w:bCs/>
          <w:color w:val="auto"/>
          <w:szCs w:val="21"/>
          <w:u w:val="single"/>
        </w:rPr>
      </w:pPr>
      <w:r>
        <w:rPr>
          <w:rFonts w:hint="eastAsia" w:ascii="宋体" w:hAnsi="宋体" w:cs="宋体"/>
          <w:bCs/>
          <w:color w:val="auto"/>
          <w:szCs w:val="21"/>
          <w:u w:val="single"/>
        </w:rPr>
        <w:t>(4)看样定板：看样定板由发包人组织。发包人收到监理工程师的报审资料后，对提交的供应商及产品进行确认、封板工作，必要时可根据需要组织设计、专家等有关人员参加，重要的装饰装修材料（设备）原则上应进行考察、市场调查。对影响工程质量、造价较大及影响外部景观的一类材料，由发包人最终确定。看样定板工作原则上自收到初审资料后10天内完成。</w:t>
      </w:r>
    </w:p>
    <w:p>
      <w:pPr>
        <w:spacing w:before="96" w:line="300" w:lineRule="auto"/>
        <w:ind w:firstLine="420" w:firstLineChars="200"/>
        <w:jc w:val="left"/>
        <w:outlineLvl w:val="0"/>
        <w:rPr>
          <w:rFonts w:ascii="宋体" w:hAnsi="宋体" w:cs="宋体"/>
          <w:bCs/>
          <w:color w:val="auto"/>
          <w:szCs w:val="21"/>
          <w:u w:val="single"/>
        </w:rPr>
      </w:pPr>
      <w:r>
        <w:rPr>
          <w:rFonts w:hint="eastAsia" w:ascii="宋体" w:hAnsi="宋体" w:cs="宋体"/>
          <w:bCs/>
          <w:color w:val="auto"/>
          <w:szCs w:val="21"/>
          <w:u w:val="single"/>
        </w:rPr>
        <w:t>(5)备案：经确定为合格供应商及合格产品的材料（设备）的样板由发包人进行封板，作为承包人采购进货及验收的依据。申报资料作为原始资料由发包人归档。</w:t>
      </w:r>
    </w:p>
    <w:p>
      <w:pPr>
        <w:spacing w:before="96" w:line="300" w:lineRule="auto"/>
        <w:ind w:firstLine="420" w:firstLineChars="200"/>
        <w:jc w:val="left"/>
        <w:outlineLvl w:val="0"/>
        <w:rPr>
          <w:rFonts w:ascii="宋体" w:hAnsi="宋体" w:cs="宋体"/>
          <w:bCs/>
          <w:color w:val="auto"/>
          <w:szCs w:val="21"/>
          <w:u w:val="single"/>
        </w:rPr>
      </w:pPr>
      <w:r>
        <w:rPr>
          <w:rFonts w:hint="eastAsia" w:ascii="宋体" w:hAnsi="宋体" w:cs="宋体"/>
          <w:bCs/>
          <w:color w:val="auto"/>
          <w:szCs w:val="21"/>
          <w:u w:val="single"/>
        </w:rPr>
        <w:t>(6)质量与检查：</w:t>
      </w:r>
    </w:p>
    <w:p>
      <w:pPr>
        <w:spacing w:before="96" w:line="300" w:lineRule="auto"/>
        <w:ind w:firstLine="420" w:firstLineChars="200"/>
        <w:jc w:val="left"/>
        <w:outlineLvl w:val="0"/>
        <w:rPr>
          <w:rFonts w:ascii="宋体" w:hAnsi="宋体" w:cs="宋体"/>
          <w:bCs/>
          <w:color w:val="auto"/>
          <w:szCs w:val="21"/>
          <w:u w:val="single"/>
        </w:rPr>
      </w:pPr>
      <w:r>
        <w:rPr>
          <w:rFonts w:hint="eastAsia" w:ascii="宋体" w:hAnsi="宋体" w:cs="宋体"/>
          <w:bCs/>
          <w:color w:val="auto"/>
          <w:szCs w:val="21"/>
          <w:u w:val="single"/>
        </w:rPr>
        <w:t>1)承包人每次材料进场，必须按监理规范要求报监理工程师验收按规定抽样送检；</w:t>
      </w:r>
    </w:p>
    <w:p>
      <w:pPr>
        <w:spacing w:before="96" w:line="300" w:lineRule="auto"/>
        <w:ind w:firstLine="420" w:firstLineChars="200"/>
        <w:jc w:val="left"/>
        <w:outlineLvl w:val="0"/>
        <w:rPr>
          <w:rFonts w:ascii="宋体" w:hAnsi="宋体" w:cs="宋体"/>
          <w:bCs/>
          <w:color w:val="auto"/>
          <w:szCs w:val="21"/>
          <w:u w:val="single"/>
        </w:rPr>
      </w:pPr>
      <w:r>
        <w:rPr>
          <w:rFonts w:hint="eastAsia" w:ascii="宋体" w:hAnsi="宋体" w:cs="宋体"/>
          <w:bCs/>
          <w:color w:val="auto"/>
          <w:szCs w:val="21"/>
          <w:u w:val="single"/>
        </w:rPr>
        <w:t>2)发包人保留委托有资质的独立第三方对材料进行检测的权利；</w:t>
      </w:r>
    </w:p>
    <w:p>
      <w:pPr>
        <w:spacing w:before="96" w:line="300" w:lineRule="auto"/>
        <w:ind w:firstLine="420" w:firstLineChars="200"/>
        <w:jc w:val="left"/>
        <w:outlineLvl w:val="0"/>
        <w:rPr>
          <w:rFonts w:ascii="宋体" w:hAnsi="宋体" w:cs="宋体"/>
          <w:bCs/>
          <w:color w:val="auto"/>
          <w:szCs w:val="21"/>
        </w:rPr>
      </w:pPr>
      <w:r>
        <w:rPr>
          <w:rFonts w:hint="eastAsia" w:ascii="宋体" w:hAnsi="宋体" w:cs="宋体"/>
          <w:bCs/>
          <w:color w:val="auto"/>
          <w:szCs w:val="21"/>
          <w:u w:val="single"/>
        </w:rPr>
        <w:t>3)未经检测合格的产品不准使用于工程上，否则必须无条件拆除并承担相应责任；</w:t>
      </w:r>
    </w:p>
    <w:p>
      <w:pPr>
        <w:tabs>
          <w:tab w:val="left" w:pos="1240"/>
        </w:tabs>
        <w:autoSpaceDE w:val="0"/>
        <w:autoSpaceDN w:val="0"/>
        <w:spacing w:before="96" w:line="300" w:lineRule="auto"/>
        <w:ind w:firstLine="420" w:firstLineChars="200"/>
        <w:jc w:val="left"/>
        <w:rPr>
          <w:rFonts w:ascii="宋体" w:hAnsi="宋体" w:cs="宋体"/>
          <w:bCs/>
          <w:color w:val="auto"/>
          <w:szCs w:val="21"/>
          <w:u w:val="single"/>
        </w:rPr>
      </w:pPr>
      <w:r>
        <w:rPr>
          <w:rFonts w:hint="eastAsia" w:ascii="宋体" w:hAnsi="宋体" w:cs="宋体"/>
          <w:bCs/>
          <w:color w:val="auto"/>
          <w:szCs w:val="21"/>
        </w:rPr>
        <w:t>49.8 发包人依法指定的生产厂家和供应商：</w:t>
      </w:r>
      <w:r>
        <w:rPr>
          <w:rFonts w:hint="eastAsia" w:ascii="宋体" w:hAnsi="宋体" w:cs="宋体"/>
          <w:bCs/>
          <w:color w:val="auto"/>
          <w:szCs w:val="21"/>
          <w:u w:val="single"/>
        </w:rPr>
        <w:t xml:space="preserve"> 无。</w:t>
      </w:r>
    </w:p>
    <w:p>
      <w:pPr>
        <w:tabs>
          <w:tab w:val="left" w:pos="1240"/>
        </w:tabs>
        <w:autoSpaceDE w:val="0"/>
        <w:autoSpaceDN w:val="0"/>
        <w:spacing w:before="96" w:line="300" w:lineRule="auto"/>
        <w:ind w:firstLine="420" w:firstLineChars="200"/>
        <w:jc w:val="left"/>
        <w:rPr>
          <w:rFonts w:ascii="宋体" w:hAnsi="宋体" w:cs="宋体"/>
          <w:color w:val="auto"/>
          <w:kern w:val="0"/>
          <w:szCs w:val="21"/>
        </w:rPr>
      </w:pPr>
      <w:r>
        <w:rPr>
          <w:rFonts w:hint="eastAsia" w:ascii="宋体" w:hAnsi="宋体" w:cs="宋体"/>
          <w:bCs/>
          <w:color w:val="auto"/>
          <w:szCs w:val="21"/>
        </w:rPr>
        <w:t xml:space="preserve">49.9 </w:t>
      </w:r>
      <w:r>
        <w:rPr>
          <w:rFonts w:hint="eastAsia" w:ascii="宋体" w:hAnsi="宋体" w:cs="宋体"/>
          <w:color w:val="auto"/>
          <w:kern w:val="0"/>
          <w:szCs w:val="21"/>
        </w:rPr>
        <w:t>在使用前需经发包人和监理单位确认后方可实施，否则发包人有权不认可。</w:t>
      </w:r>
    </w:p>
    <w:p>
      <w:pPr>
        <w:spacing w:before="96" w:line="300" w:lineRule="auto"/>
        <w:ind w:firstLine="420" w:firstLineChars="200"/>
        <w:jc w:val="left"/>
        <w:rPr>
          <w:rFonts w:ascii="宋体" w:hAnsi="宋体" w:cs="宋体"/>
          <w:bCs/>
          <w:color w:val="auto"/>
          <w:szCs w:val="21"/>
        </w:rPr>
      </w:pPr>
      <w:r>
        <w:rPr>
          <w:rFonts w:hint="eastAsia" w:ascii="宋体" w:hAnsi="宋体" w:cs="宋体"/>
          <w:color w:val="auto"/>
          <w:kern w:val="0"/>
          <w:szCs w:val="21"/>
        </w:rPr>
        <w:t>本项目所使用的材料、设备其质量档次应不低于或相当于招标文件要求的品牌厂家的质量档次（未提及的材料按国产中档产品执行），本项目各计价品牌产品均要求为正厂优等品，不同颜色或型号的价差属投标风险范围由承包单位自行考虑。凡承包人不按规定注明选用材料品牌和规格的,在施工过程中由招标人指定适合本工程使用的品牌和规格，相关投标单价不予调整。</w:t>
      </w:r>
    </w:p>
    <w:p>
      <w:pPr>
        <w:spacing w:before="96" w:line="300" w:lineRule="auto"/>
        <w:ind w:firstLine="105" w:firstLineChars="50"/>
        <w:jc w:val="left"/>
        <w:outlineLvl w:val="0"/>
        <w:rPr>
          <w:rFonts w:ascii="宋体" w:hAnsi="宋体" w:cs="宋体"/>
          <w:b/>
          <w:bCs/>
          <w:color w:val="auto"/>
          <w:kern w:val="0"/>
          <w:szCs w:val="21"/>
        </w:rPr>
      </w:pPr>
      <w:bookmarkStart w:id="303" w:name="_Toc416853057"/>
      <w:r>
        <w:rPr>
          <w:rFonts w:hint="eastAsia" w:ascii="宋体" w:hAnsi="宋体" w:cs="宋体"/>
          <w:b/>
          <w:bCs/>
          <w:color w:val="auto"/>
          <w:kern w:val="0"/>
          <w:szCs w:val="21"/>
        </w:rPr>
        <w:t>50. 材料和工程设备的检验试验</w:t>
      </w:r>
      <w:bookmarkEnd w:id="303"/>
    </w:p>
    <w:p>
      <w:pPr>
        <w:spacing w:before="96" w:line="300" w:lineRule="auto"/>
        <w:ind w:right="210" w:rightChars="100" w:firstLine="420" w:firstLineChars="200"/>
        <w:jc w:val="left"/>
        <w:outlineLvl w:val="0"/>
        <w:rPr>
          <w:rFonts w:ascii="宋体" w:hAnsi="宋体" w:cs="宋体"/>
          <w:color w:val="auto"/>
          <w:kern w:val="0"/>
          <w:szCs w:val="21"/>
        </w:rPr>
      </w:pPr>
      <w:bookmarkStart w:id="304" w:name="_Toc416853058"/>
      <w:r>
        <w:rPr>
          <w:rFonts w:hint="eastAsia" w:ascii="宋体" w:hAnsi="宋体" w:cs="宋体"/>
          <w:color w:val="auto"/>
          <w:kern w:val="0"/>
          <w:szCs w:val="21"/>
        </w:rPr>
        <w:t>50.2 见证取样检验试验的材料和工程设备</w:t>
      </w:r>
      <w:bookmarkEnd w:id="304"/>
    </w:p>
    <w:p>
      <w:pPr>
        <w:spacing w:before="96" w:line="300" w:lineRule="auto"/>
        <w:ind w:right="210" w:rightChars="100" w:firstLine="420" w:firstLineChars="200"/>
        <w:jc w:val="left"/>
        <w:rPr>
          <w:rFonts w:ascii="宋体" w:hAnsi="宋体" w:cs="宋体"/>
          <w:color w:val="auto"/>
          <w:kern w:val="0"/>
          <w:szCs w:val="21"/>
        </w:rPr>
      </w:pPr>
      <w:r>
        <w:rPr>
          <w:rFonts w:hint="eastAsia" w:ascii="宋体" w:hAnsi="宋体" w:cs="宋体"/>
          <w:color w:val="auto"/>
          <w:kern w:val="0"/>
          <w:szCs w:val="21"/>
        </w:rPr>
        <w:t>(1)种类：</w:t>
      </w:r>
      <w:r>
        <w:rPr>
          <w:rFonts w:hint="eastAsia" w:ascii="宋体" w:hAnsi="宋体" w:cs="宋体"/>
          <w:color w:val="auto"/>
          <w:kern w:val="0"/>
          <w:szCs w:val="21"/>
          <w:u w:val="single"/>
        </w:rPr>
        <w:t xml:space="preserve"> 按通用条款规定。</w:t>
      </w:r>
    </w:p>
    <w:p>
      <w:pPr>
        <w:autoSpaceDE w:val="0"/>
        <w:autoSpaceDN w:val="0"/>
        <w:spacing w:before="96" w:line="300" w:lineRule="auto"/>
        <w:ind w:right="210" w:rightChars="100" w:firstLine="420" w:firstLineChars="200"/>
        <w:jc w:val="left"/>
        <w:rPr>
          <w:rFonts w:ascii="宋体" w:hAnsi="宋体" w:cs="宋体"/>
          <w:bCs/>
          <w:color w:val="auto"/>
          <w:szCs w:val="21"/>
        </w:rPr>
      </w:pPr>
      <w:r>
        <w:rPr>
          <w:rFonts w:hint="eastAsia" w:ascii="宋体" w:hAnsi="宋体" w:cs="宋体"/>
          <w:color w:val="auto"/>
          <w:kern w:val="0"/>
          <w:szCs w:val="21"/>
        </w:rPr>
        <w:t>(2)检测机构：</w:t>
      </w:r>
      <w:r>
        <w:rPr>
          <w:rFonts w:hint="eastAsia" w:ascii="宋体" w:hAnsi="宋体" w:cs="宋体"/>
          <w:color w:val="auto"/>
          <w:kern w:val="0"/>
          <w:szCs w:val="21"/>
          <w:u w:val="single"/>
        </w:rPr>
        <w:t xml:space="preserve"> 按通用条款规定。</w:t>
      </w:r>
    </w:p>
    <w:p>
      <w:pPr>
        <w:spacing w:line="300" w:lineRule="auto"/>
        <w:ind w:firstLine="105" w:firstLineChars="50"/>
        <w:jc w:val="left"/>
        <w:rPr>
          <w:rFonts w:ascii="宋体" w:hAnsi="宋体" w:cs="宋体"/>
          <w:color w:val="auto"/>
          <w:szCs w:val="21"/>
        </w:rPr>
      </w:pPr>
      <w:r>
        <w:rPr>
          <w:rFonts w:hint="eastAsia" w:ascii="宋体" w:hAnsi="宋体" w:cs="宋体"/>
          <w:b/>
          <w:bCs/>
          <w:color w:val="auto"/>
          <w:szCs w:val="21"/>
        </w:rPr>
        <w:t>51. 施工设备和临时设施</w:t>
      </w:r>
    </w:p>
    <w:p>
      <w:pPr>
        <w:spacing w:line="300" w:lineRule="auto"/>
        <w:ind w:firstLine="420" w:firstLineChars="200"/>
        <w:jc w:val="left"/>
        <w:rPr>
          <w:rFonts w:ascii="宋体" w:hAnsi="宋体" w:cs="宋体"/>
          <w:color w:val="auto"/>
          <w:szCs w:val="21"/>
        </w:rPr>
      </w:pPr>
      <w:r>
        <w:rPr>
          <w:rFonts w:hint="eastAsia" w:ascii="宋体" w:hAnsi="宋体" w:cs="宋体"/>
          <w:color w:val="auto"/>
          <w:szCs w:val="21"/>
        </w:rPr>
        <w:t>51.1 承包人配置施工设备和临时设施</w:t>
      </w:r>
    </w:p>
    <w:p>
      <w:pPr>
        <w:spacing w:line="300" w:lineRule="auto"/>
        <w:ind w:firstLine="420" w:firstLineChars="200"/>
        <w:jc w:val="left"/>
        <w:rPr>
          <w:rFonts w:ascii="宋体" w:hAnsi="宋体" w:cs="宋体"/>
          <w:color w:val="auto"/>
          <w:kern w:val="0"/>
          <w:szCs w:val="21"/>
        </w:rPr>
      </w:pPr>
      <w:r>
        <w:rPr>
          <w:rFonts w:hint="eastAsia" w:ascii="宋体" w:hAnsi="宋体" w:cs="宋体"/>
          <w:bCs/>
          <w:color w:val="auto"/>
          <w:szCs w:val="21"/>
        </w:rPr>
        <w:t>■</w:t>
      </w:r>
      <w:r>
        <w:rPr>
          <w:rFonts w:hint="eastAsia" w:ascii="宋体" w:hAnsi="宋体" w:cs="宋体"/>
          <w:color w:val="auto"/>
          <w:kern w:val="0"/>
          <w:szCs w:val="21"/>
        </w:rPr>
        <w:t xml:space="preserve"> 按通用条款规定，承包人承担修建临时设施的费用。</w:t>
      </w:r>
    </w:p>
    <w:p>
      <w:pPr>
        <w:spacing w:line="30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 另作约定：</w:t>
      </w:r>
    </w:p>
    <w:p>
      <w:pPr>
        <w:autoSpaceDE w:val="0"/>
        <w:autoSpaceDN w:val="0"/>
        <w:spacing w:before="96" w:line="300" w:lineRule="auto"/>
        <w:ind w:firstLine="420" w:firstLineChars="200"/>
        <w:jc w:val="left"/>
        <w:rPr>
          <w:rFonts w:ascii="宋体" w:hAnsi="宋体" w:cs="宋体"/>
          <w:bCs/>
          <w:color w:val="auto"/>
          <w:szCs w:val="21"/>
        </w:rPr>
      </w:pPr>
      <w:r>
        <w:rPr>
          <w:rFonts w:hint="eastAsia" w:ascii="宋体" w:hAnsi="宋体" w:cs="宋体"/>
          <w:color w:val="auto"/>
          <w:kern w:val="0"/>
          <w:szCs w:val="21"/>
        </w:rPr>
        <w:t>51.2 发包人提供的施工设备和临时设施：</w:t>
      </w:r>
      <w:r>
        <w:rPr>
          <w:rFonts w:hint="eastAsia" w:ascii="宋体" w:hAnsi="宋体" w:cs="宋体"/>
          <w:color w:val="auto"/>
          <w:kern w:val="0"/>
          <w:szCs w:val="21"/>
          <w:u w:val="single"/>
        </w:rPr>
        <w:t xml:space="preserve">      /    </w:t>
      </w:r>
    </w:p>
    <w:p>
      <w:pPr>
        <w:autoSpaceDE w:val="0"/>
        <w:autoSpaceDN w:val="0"/>
        <w:spacing w:before="96" w:line="300" w:lineRule="auto"/>
        <w:ind w:left="101" w:right="-20"/>
        <w:jc w:val="left"/>
        <w:rPr>
          <w:rFonts w:ascii="宋体" w:hAnsi="宋体" w:cs="宋体"/>
          <w:b/>
          <w:color w:val="auto"/>
          <w:szCs w:val="21"/>
        </w:rPr>
      </w:pPr>
      <w:r>
        <w:rPr>
          <w:rFonts w:hint="eastAsia" w:ascii="宋体" w:hAnsi="宋体" w:cs="宋体"/>
          <w:b/>
          <w:color w:val="auto"/>
          <w:szCs w:val="21"/>
        </w:rPr>
        <w:t>53．隐蔽工程和中间验收</w:t>
      </w:r>
    </w:p>
    <w:p>
      <w:pPr>
        <w:autoSpaceDE w:val="0"/>
        <w:autoSpaceDN w:val="0"/>
        <w:spacing w:before="96" w:line="30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53.1 中间验收的部位有：</w:t>
      </w:r>
      <w:r>
        <w:rPr>
          <w:rFonts w:hint="eastAsia" w:ascii="宋体" w:hAnsi="宋体" w:cs="宋体"/>
          <w:color w:val="auto"/>
          <w:kern w:val="0"/>
          <w:szCs w:val="21"/>
          <w:u w:val="single"/>
        </w:rPr>
        <w:t xml:space="preserve"> 按工程验收规定。</w:t>
      </w:r>
    </w:p>
    <w:p>
      <w:pPr>
        <w:autoSpaceDE w:val="0"/>
        <w:autoSpaceDN w:val="0"/>
        <w:spacing w:before="96" w:line="30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53.2 隐蔽工程在隐蔽前，必须经承包人质检人员进行三级验收、签字确认，然后提前24小时书面通知监理工程师会同验收，验收合格后签字确认，才能隐蔽和进行下一道工序的作业。监理工程师在接到通知后24小时内派出人员进行验收，否则承包人可自行验收并填写隐蔽工程验收记录，进行隐蔽作业，监理工程师应予承认。凡不按上述程序办理，无承包人质检人员验收签字确认的资料或无书面通知监理工程师会同验收的，监理工程师可拒绝验收签认；凡无通知发包人验收签认的工程，或监理工程师合法拒绝签认的工程，若承包人擅自隐蔽的，工程师将视该部分工程为不合格，并拒绝拨付该部分工程进度款，监理工程师也不得颁发下续工序的施工令，由此发生的一切责任全部由承包人负责。</w:t>
      </w:r>
    </w:p>
    <w:p>
      <w:pPr>
        <w:autoSpaceDE w:val="0"/>
        <w:autoSpaceDN w:val="0"/>
        <w:spacing w:before="96" w:line="30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53.4 承包人应对隐蔽工程进行拍摄或照相或留存样本，保证监理工程师、发包人能充分检查和测量覆盖或隐蔽的工程，并将结果保存作为日后检查之用，否则后果由承包人承担。</w:t>
      </w:r>
    </w:p>
    <w:p>
      <w:pPr>
        <w:autoSpaceDE w:val="0"/>
        <w:autoSpaceDN w:val="0"/>
        <w:spacing w:before="96" w:line="300" w:lineRule="auto"/>
        <w:ind w:right="-20"/>
        <w:jc w:val="left"/>
        <w:rPr>
          <w:rFonts w:ascii="宋体" w:hAnsi="宋体" w:cs="宋体"/>
          <w:b/>
          <w:color w:val="auto"/>
          <w:szCs w:val="21"/>
        </w:rPr>
      </w:pPr>
      <w:r>
        <w:rPr>
          <w:rFonts w:hint="eastAsia" w:ascii="宋体" w:hAnsi="宋体" w:cs="宋体"/>
          <w:b/>
          <w:color w:val="auto"/>
          <w:szCs w:val="21"/>
        </w:rPr>
        <w:t>55．工程试车</w:t>
      </w:r>
    </w:p>
    <w:p>
      <w:pPr>
        <w:autoSpaceDE w:val="0"/>
        <w:autoSpaceDN w:val="0"/>
        <w:spacing w:before="96" w:line="30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55.1 是否需要试车</w:t>
      </w:r>
    </w:p>
    <w:p>
      <w:pPr>
        <w:autoSpaceDE w:val="0"/>
        <w:autoSpaceDN w:val="0"/>
        <w:spacing w:before="96" w:line="30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■不需要试车的，本条不适用。</w:t>
      </w:r>
    </w:p>
    <w:p>
      <w:pPr>
        <w:autoSpaceDE w:val="0"/>
        <w:autoSpaceDN w:val="0"/>
        <w:spacing w:before="96" w:line="30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□需要试车的，试车的内容和要求：</w:t>
      </w:r>
    </w:p>
    <w:p>
      <w:pPr>
        <w:autoSpaceDE w:val="0"/>
        <w:autoSpaceDN w:val="0"/>
        <w:spacing w:before="96" w:line="300" w:lineRule="auto"/>
        <w:ind w:right="-23"/>
        <w:jc w:val="left"/>
        <w:rPr>
          <w:rFonts w:ascii="宋体" w:hAnsi="宋体" w:cs="宋体"/>
          <w:b/>
          <w:color w:val="auto"/>
          <w:szCs w:val="21"/>
        </w:rPr>
      </w:pPr>
      <w:r>
        <w:rPr>
          <w:rFonts w:hint="eastAsia" w:ascii="宋体" w:hAnsi="宋体" w:cs="宋体"/>
          <w:b/>
          <w:color w:val="auto"/>
          <w:szCs w:val="21"/>
        </w:rPr>
        <w:t>56．工程变更</w:t>
      </w:r>
    </w:p>
    <w:p>
      <w:pPr>
        <w:autoSpaceDE w:val="0"/>
        <w:autoSpaceDN w:val="0"/>
        <w:spacing w:before="96" w:line="300" w:lineRule="auto"/>
        <w:ind w:firstLine="420" w:firstLineChars="200"/>
        <w:jc w:val="left"/>
        <w:rPr>
          <w:rFonts w:ascii="宋体" w:hAnsi="宋体" w:cs="宋体"/>
          <w:color w:val="auto"/>
          <w:kern w:val="0"/>
          <w:szCs w:val="21"/>
        </w:rPr>
      </w:pPr>
      <w:bookmarkStart w:id="305" w:name="_Toc416853059"/>
      <w:r>
        <w:rPr>
          <w:rFonts w:hint="eastAsia" w:ascii="宋体" w:hAnsi="宋体" w:cs="宋体"/>
          <w:color w:val="auto"/>
          <w:kern w:val="0"/>
          <w:szCs w:val="21"/>
        </w:rPr>
        <w:t>56.4 承包人提出工程变更建议</w:t>
      </w:r>
      <w:bookmarkEnd w:id="305"/>
    </w:p>
    <w:p>
      <w:pPr>
        <w:autoSpaceDE w:val="0"/>
        <w:autoSpaceDN w:val="0"/>
        <w:spacing w:before="96" w:line="300" w:lineRule="auto"/>
        <w:ind w:firstLine="420" w:firstLineChars="200"/>
        <w:jc w:val="left"/>
        <w:rPr>
          <w:rFonts w:ascii="宋体" w:hAnsi="宋体" w:cs="宋体"/>
          <w:color w:val="auto"/>
          <w:kern w:val="0"/>
          <w:szCs w:val="21"/>
        </w:rPr>
      </w:pPr>
      <w:bookmarkStart w:id="306" w:name="_Toc416853060"/>
      <w:r>
        <w:rPr>
          <w:rFonts w:hint="eastAsia" w:ascii="宋体" w:hAnsi="宋体" w:cs="宋体"/>
          <w:color w:val="auto"/>
          <w:kern w:val="0"/>
          <w:szCs w:val="21"/>
        </w:rPr>
        <w:t>发包人采纳承包人建议带来利益的计奖方法：</w:t>
      </w:r>
      <w:r>
        <w:rPr>
          <w:rFonts w:hint="eastAsia" w:ascii="宋体" w:hAnsi="宋体" w:cs="宋体"/>
          <w:color w:val="auto"/>
          <w:kern w:val="0"/>
          <w:szCs w:val="21"/>
          <w:u w:val="single"/>
        </w:rPr>
        <w:t xml:space="preserve"> 无。</w:t>
      </w:r>
      <w:bookmarkEnd w:id="306"/>
    </w:p>
    <w:p>
      <w:pPr>
        <w:autoSpaceDE w:val="0"/>
        <w:autoSpaceDN w:val="0"/>
        <w:spacing w:before="96" w:line="300" w:lineRule="auto"/>
        <w:ind w:right="-20"/>
        <w:jc w:val="left"/>
        <w:rPr>
          <w:rFonts w:ascii="宋体" w:hAnsi="宋体" w:cs="宋体"/>
          <w:b/>
          <w:color w:val="auto"/>
          <w:szCs w:val="21"/>
        </w:rPr>
      </w:pPr>
      <w:r>
        <w:rPr>
          <w:rFonts w:hint="eastAsia" w:ascii="宋体" w:hAnsi="宋体" w:cs="宋体"/>
          <w:b/>
          <w:color w:val="auto"/>
          <w:szCs w:val="21"/>
        </w:rPr>
        <w:t>58．竣工验收</w:t>
      </w:r>
    </w:p>
    <w:p>
      <w:pPr>
        <w:autoSpaceDE w:val="0"/>
        <w:autoSpaceDN w:val="0"/>
        <w:spacing w:before="96" w:line="300" w:lineRule="auto"/>
        <w:ind w:firstLine="420" w:firstLineChars="200"/>
        <w:jc w:val="left"/>
        <w:rPr>
          <w:rFonts w:ascii="宋体" w:hAnsi="宋体" w:cs="宋体"/>
          <w:color w:val="auto"/>
          <w:kern w:val="0"/>
          <w:szCs w:val="21"/>
        </w:rPr>
      </w:pPr>
      <w:bookmarkStart w:id="307" w:name="_Toc416853061"/>
      <w:r>
        <w:rPr>
          <w:rFonts w:hint="eastAsia" w:ascii="宋体" w:hAnsi="宋体" w:cs="宋体"/>
          <w:color w:val="auto"/>
          <w:kern w:val="0"/>
          <w:szCs w:val="21"/>
        </w:rPr>
        <w:t>58.1 竣工验收标准</w:t>
      </w:r>
      <w:bookmarkEnd w:id="307"/>
    </w:p>
    <w:p>
      <w:pPr>
        <w:spacing w:before="96" w:line="300" w:lineRule="auto"/>
        <w:ind w:firstLine="420" w:firstLineChars="200"/>
        <w:jc w:val="left"/>
        <w:outlineLvl w:val="0"/>
        <w:rPr>
          <w:rFonts w:ascii="宋体" w:hAnsi="宋体" w:cs="宋体"/>
          <w:color w:val="auto"/>
          <w:szCs w:val="21"/>
          <w:u w:val="single"/>
        </w:rPr>
      </w:pPr>
      <w:bookmarkStart w:id="308" w:name="_Toc416853062"/>
      <w:r>
        <w:rPr>
          <w:rFonts w:hint="eastAsia" w:ascii="宋体" w:hAnsi="宋体" w:cs="宋体"/>
          <w:color w:val="auto"/>
          <w:kern w:val="0"/>
          <w:szCs w:val="21"/>
        </w:rPr>
        <w:t>合同工程竣工验收标准：</w:t>
      </w:r>
      <w:r>
        <w:rPr>
          <w:rFonts w:hint="eastAsia" w:ascii="宋体" w:hAnsi="宋体" w:cs="宋体"/>
          <w:color w:val="auto"/>
          <w:szCs w:val="21"/>
          <w:u w:val="single"/>
        </w:rPr>
        <w:t>按照国家或行业现行的质量验收标准执行。</w:t>
      </w:r>
      <w:bookmarkEnd w:id="308"/>
    </w:p>
    <w:p>
      <w:pPr>
        <w:tabs>
          <w:tab w:val="left" w:pos="0"/>
        </w:tabs>
        <w:spacing w:before="96" w:line="300" w:lineRule="auto"/>
        <w:ind w:firstLine="420" w:firstLineChars="200"/>
        <w:jc w:val="left"/>
        <w:rPr>
          <w:rFonts w:ascii="宋体" w:hAnsi="宋体" w:cs="宋体"/>
          <w:color w:val="auto"/>
          <w:kern w:val="0"/>
          <w:szCs w:val="21"/>
        </w:rPr>
      </w:pPr>
      <w:r>
        <w:rPr>
          <w:rFonts w:hint="eastAsia" w:ascii="宋体" w:hAnsi="宋体" w:cs="宋体"/>
          <w:color w:val="auto"/>
          <w:szCs w:val="21"/>
        </w:rPr>
        <w:t>58.2（2）</w:t>
      </w:r>
      <w:r>
        <w:rPr>
          <w:rFonts w:hint="eastAsia" w:ascii="宋体" w:hAnsi="宋体" w:cs="宋体"/>
          <w:color w:val="auto"/>
          <w:kern w:val="0"/>
          <w:szCs w:val="21"/>
        </w:rPr>
        <w:t>经监理人对工程质量进行评估，提出《工程质量评估报告》，经总监理工程师签署意见和监理人法定代表人审核签名并加盖公章后，在计划竣工验收10个工作日前报送发包人。</w:t>
      </w:r>
    </w:p>
    <w:p>
      <w:pPr>
        <w:tabs>
          <w:tab w:val="left" w:pos="0"/>
        </w:tabs>
        <w:spacing w:before="96" w:line="300" w:lineRule="auto"/>
        <w:ind w:firstLine="420" w:firstLineChars="200"/>
        <w:jc w:val="left"/>
        <w:rPr>
          <w:rFonts w:ascii="宋体" w:hAnsi="宋体" w:cs="宋体"/>
          <w:color w:val="auto"/>
          <w:szCs w:val="21"/>
        </w:rPr>
      </w:pPr>
      <w:r>
        <w:rPr>
          <w:rFonts w:hint="eastAsia" w:ascii="宋体" w:hAnsi="宋体" w:cs="宋体"/>
          <w:color w:val="auto"/>
          <w:kern w:val="0"/>
          <w:szCs w:val="21"/>
        </w:rPr>
        <w:t xml:space="preserve">58.3 </w:t>
      </w:r>
      <w:r>
        <w:rPr>
          <w:rFonts w:hint="eastAsia" w:ascii="宋体" w:hAnsi="宋体" w:cs="宋体"/>
          <w:color w:val="auto"/>
          <w:szCs w:val="21"/>
        </w:rPr>
        <w:t xml:space="preserve">发包人对符合竣工验收要求的工程，组织、勘察、设计、施工、监理等单位和其他有关方面的专家组成验收组，制定验收方案。并在计划竣工验收15个工作日前将验收组成员名单、验收方案连同工程技术资料和《工程竣工验收条件审核表》提交质监机构检查，并按原计划如期进行验收。对不符合验收条件的，发出整改通知书，待整改完毕后，再行验收。 </w:t>
      </w:r>
    </w:p>
    <w:p>
      <w:pPr>
        <w:tabs>
          <w:tab w:val="left" w:pos="0"/>
        </w:tabs>
        <w:spacing w:before="96" w:line="300" w:lineRule="auto"/>
        <w:ind w:firstLine="420" w:firstLineChars="200"/>
        <w:jc w:val="left"/>
        <w:rPr>
          <w:rFonts w:ascii="宋体" w:hAnsi="宋体" w:cs="宋体"/>
          <w:color w:val="auto"/>
          <w:szCs w:val="21"/>
        </w:rPr>
      </w:pPr>
      <w:r>
        <w:rPr>
          <w:rFonts w:hint="eastAsia" w:ascii="宋体" w:hAnsi="宋体" w:cs="宋体"/>
          <w:color w:val="auto"/>
          <w:szCs w:val="21"/>
        </w:rPr>
        <w:t>承包人在竣工验收后十个工作天内向发包人提供完整竣工验收资料4套、安全文明施工管理竣工资料4套（按《广东省建筑施工安全管理资料统一用表》要求编制），竣工验收报告4份、竣工图纸4套、竣工图电子文件光盘2套。竣工验收资料须按工程档案管理的有关要求编制成册，制作费用已包含在合同总价款内。</w:t>
      </w:r>
    </w:p>
    <w:p>
      <w:pPr>
        <w:spacing w:before="96" w:line="300" w:lineRule="auto"/>
        <w:ind w:firstLine="420" w:firstLineChars="200"/>
        <w:jc w:val="left"/>
        <w:outlineLvl w:val="0"/>
        <w:rPr>
          <w:rFonts w:ascii="宋体" w:hAnsi="宋体" w:cs="宋体"/>
          <w:color w:val="auto"/>
          <w:kern w:val="0"/>
          <w:szCs w:val="21"/>
        </w:rPr>
      </w:pPr>
      <w:bookmarkStart w:id="309" w:name="_Toc416853063"/>
      <w:r>
        <w:rPr>
          <w:rFonts w:hint="eastAsia" w:ascii="宋体" w:hAnsi="宋体" w:cs="宋体"/>
          <w:color w:val="auto"/>
          <w:kern w:val="0"/>
          <w:szCs w:val="21"/>
        </w:rPr>
        <w:t>58.8 单位工程和工程部位验收</w:t>
      </w:r>
      <w:bookmarkEnd w:id="309"/>
    </w:p>
    <w:p>
      <w:pPr>
        <w:spacing w:before="96" w:line="30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 合同工程无单位工程、无工程部位提前验收的，本款不适用。</w:t>
      </w:r>
    </w:p>
    <w:p>
      <w:pPr>
        <w:spacing w:before="96" w:line="30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 合同工程单位工程或工程部位需提前验收的，各单位工程或工程部位的名称、竣工验收时间和范围如下：</w:t>
      </w:r>
    </w:p>
    <w:p>
      <w:pPr>
        <w:spacing w:before="96" w:line="300" w:lineRule="auto"/>
        <w:ind w:firstLine="420" w:firstLineChars="200"/>
        <w:jc w:val="left"/>
        <w:rPr>
          <w:rFonts w:ascii="宋体" w:hAnsi="宋体" w:cs="宋体"/>
          <w:color w:val="auto"/>
          <w:kern w:val="0"/>
          <w:szCs w:val="21"/>
          <w:u w:val="single"/>
        </w:rPr>
      </w:pPr>
      <w:r>
        <w:rPr>
          <w:rFonts w:hint="eastAsia" w:ascii="宋体" w:hAnsi="宋体" w:cs="宋体"/>
          <w:color w:val="auto"/>
          <w:kern w:val="0"/>
          <w:szCs w:val="21"/>
        </w:rPr>
        <w:t>(1)（名称）工程或部位，竣工验收时间为，其范围包括：</w:t>
      </w:r>
    </w:p>
    <w:p>
      <w:pPr>
        <w:spacing w:before="96" w:line="30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(2)（名称）工程或部位，竣工验收时间为，其范围包括：</w:t>
      </w:r>
    </w:p>
    <w:p>
      <w:pPr>
        <w:spacing w:before="96" w:line="300" w:lineRule="auto"/>
        <w:ind w:firstLine="420" w:firstLineChars="200"/>
        <w:jc w:val="left"/>
        <w:outlineLvl w:val="0"/>
        <w:rPr>
          <w:rFonts w:ascii="宋体" w:hAnsi="宋体" w:cs="宋体"/>
          <w:color w:val="auto"/>
          <w:kern w:val="0"/>
          <w:szCs w:val="21"/>
        </w:rPr>
      </w:pPr>
      <w:bookmarkStart w:id="310" w:name="_Toc416853064"/>
      <w:r>
        <w:rPr>
          <w:rFonts w:hint="eastAsia" w:ascii="宋体" w:hAnsi="宋体" w:cs="宋体"/>
          <w:color w:val="auto"/>
          <w:kern w:val="0"/>
          <w:szCs w:val="21"/>
        </w:rPr>
        <w:t>58.9 施工期运行</w:t>
      </w:r>
      <w:bookmarkEnd w:id="310"/>
    </w:p>
    <w:p>
      <w:pPr>
        <w:spacing w:before="96" w:line="30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 合同工程无单位工程、无工程部位在施工期运行的，本款不适用。</w:t>
      </w:r>
    </w:p>
    <w:p>
      <w:pPr>
        <w:spacing w:before="96" w:line="30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 合同工程单位工程或工程部位需在施工期运行的，各单位工程或工程部位的名称、运行时间如下：</w:t>
      </w:r>
    </w:p>
    <w:p>
      <w:pPr>
        <w:spacing w:before="96" w:line="30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(1)（名称）工程或部位，运行时间为；</w:t>
      </w:r>
    </w:p>
    <w:p>
      <w:pPr>
        <w:spacing w:before="96" w:line="30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(2) （名称）工程或部位，运行时间为。</w:t>
      </w:r>
    </w:p>
    <w:p>
      <w:pPr>
        <w:spacing w:before="96" w:line="300" w:lineRule="auto"/>
        <w:ind w:firstLine="420" w:firstLineChars="200"/>
        <w:jc w:val="left"/>
        <w:outlineLvl w:val="0"/>
        <w:rPr>
          <w:rFonts w:ascii="宋体" w:hAnsi="宋体" w:cs="宋体"/>
          <w:color w:val="auto"/>
          <w:kern w:val="0"/>
          <w:szCs w:val="21"/>
        </w:rPr>
      </w:pPr>
      <w:bookmarkStart w:id="311" w:name="_Toc416853065"/>
      <w:r>
        <w:rPr>
          <w:rFonts w:hint="eastAsia" w:ascii="宋体" w:hAnsi="宋体" w:cs="宋体"/>
          <w:color w:val="auto"/>
          <w:kern w:val="0"/>
          <w:szCs w:val="21"/>
        </w:rPr>
        <w:t>58.10 竣工清场</w:t>
      </w:r>
      <w:bookmarkEnd w:id="311"/>
    </w:p>
    <w:p>
      <w:pPr>
        <w:spacing w:before="96" w:line="30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 按通用条款规定。</w:t>
      </w:r>
    </w:p>
    <w:p>
      <w:pPr>
        <w:spacing w:before="96" w:line="30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 xml:space="preserve">□ 另作约定： </w:t>
      </w:r>
    </w:p>
    <w:p>
      <w:pPr>
        <w:spacing w:before="96" w:line="300" w:lineRule="auto"/>
        <w:ind w:firstLine="420" w:firstLineChars="200"/>
        <w:jc w:val="left"/>
        <w:outlineLvl w:val="0"/>
        <w:rPr>
          <w:rFonts w:ascii="宋体" w:hAnsi="宋体" w:cs="宋体"/>
          <w:color w:val="auto"/>
          <w:kern w:val="0"/>
          <w:szCs w:val="21"/>
        </w:rPr>
      </w:pPr>
      <w:bookmarkStart w:id="312" w:name="_Toc416853066"/>
      <w:r>
        <w:rPr>
          <w:rFonts w:hint="eastAsia" w:ascii="宋体" w:hAnsi="宋体" w:cs="宋体"/>
          <w:color w:val="auto"/>
          <w:kern w:val="0"/>
          <w:szCs w:val="21"/>
        </w:rPr>
        <w:t>58.11 施工队伍的撤离</w:t>
      </w:r>
      <w:bookmarkEnd w:id="312"/>
    </w:p>
    <w:p>
      <w:pPr>
        <w:spacing w:before="96" w:line="30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 按通用条款规定，承包人的人员和施工设备全部撤离施工现场。</w:t>
      </w:r>
    </w:p>
    <w:p>
      <w:pPr>
        <w:spacing w:before="96" w:line="30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 另作约定：</w:t>
      </w:r>
    </w:p>
    <w:p>
      <w:pPr>
        <w:autoSpaceDE w:val="0"/>
        <w:autoSpaceDN w:val="0"/>
        <w:spacing w:before="96" w:line="300" w:lineRule="auto"/>
        <w:ind w:right="-20"/>
        <w:jc w:val="left"/>
        <w:rPr>
          <w:rFonts w:ascii="宋体" w:hAnsi="宋体" w:cs="宋体"/>
          <w:b/>
          <w:color w:val="auto"/>
          <w:szCs w:val="21"/>
        </w:rPr>
      </w:pPr>
      <w:r>
        <w:rPr>
          <w:rFonts w:hint="eastAsia" w:ascii="宋体" w:hAnsi="宋体" w:cs="宋体"/>
          <w:b/>
          <w:color w:val="auto"/>
          <w:szCs w:val="21"/>
        </w:rPr>
        <w:t>59．缺陷责任与质量保修</w:t>
      </w:r>
    </w:p>
    <w:p>
      <w:pPr>
        <w:spacing w:before="96" w:line="30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59.1 缺陷责任期计算</w:t>
      </w:r>
    </w:p>
    <w:p>
      <w:pPr>
        <w:spacing w:before="96" w:line="30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缺陷责任期：</w:t>
      </w:r>
      <w:r>
        <w:rPr>
          <w:rFonts w:hint="eastAsia" w:ascii="宋体" w:hAnsi="宋体" w:cs="宋体"/>
          <w:color w:val="auto"/>
          <w:kern w:val="0"/>
          <w:szCs w:val="21"/>
          <w:u w:val="single"/>
        </w:rPr>
        <w:t xml:space="preserve">  2年  </w:t>
      </w:r>
    </w:p>
    <w:p>
      <w:pPr>
        <w:spacing w:before="96" w:line="30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59.8 质量保修期计算</w:t>
      </w:r>
    </w:p>
    <w:p>
      <w:pPr>
        <w:spacing w:before="96" w:line="30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质量保修期：</w:t>
      </w:r>
      <w:r>
        <w:rPr>
          <w:rFonts w:hint="eastAsia" w:ascii="宋体" w:hAnsi="宋体" w:cs="宋体"/>
          <w:color w:val="auto"/>
          <w:kern w:val="0"/>
          <w:szCs w:val="21"/>
          <w:u w:val="single"/>
        </w:rPr>
        <w:t xml:space="preserve"> 按质量保修书规定执行。</w:t>
      </w:r>
    </w:p>
    <w:p>
      <w:pPr>
        <w:spacing w:before="96" w:line="300" w:lineRule="auto"/>
        <w:jc w:val="left"/>
        <w:rPr>
          <w:rFonts w:ascii="宋体" w:hAnsi="宋体" w:cs="宋体"/>
          <w:b/>
          <w:bCs/>
          <w:color w:val="auto"/>
          <w:kern w:val="0"/>
          <w:szCs w:val="21"/>
        </w:rPr>
      </w:pPr>
      <w:r>
        <w:rPr>
          <w:rFonts w:hint="eastAsia" w:ascii="宋体" w:hAnsi="宋体" w:cs="宋体"/>
          <w:b/>
          <w:bCs/>
          <w:color w:val="auto"/>
          <w:kern w:val="0"/>
          <w:szCs w:val="21"/>
        </w:rPr>
        <w:t>60．资金计划和安排</w:t>
      </w:r>
    </w:p>
    <w:p>
      <w:pPr>
        <w:spacing w:before="96" w:line="30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60.2 本款不适用。</w:t>
      </w:r>
    </w:p>
    <w:p>
      <w:pPr>
        <w:spacing w:before="96" w:line="300" w:lineRule="auto"/>
        <w:jc w:val="left"/>
        <w:rPr>
          <w:rFonts w:ascii="宋体" w:hAnsi="宋体" w:cs="宋体"/>
          <w:b/>
          <w:bCs/>
          <w:color w:val="auto"/>
          <w:kern w:val="0"/>
          <w:szCs w:val="21"/>
        </w:rPr>
      </w:pPr>
      <w:r>
        <w:rPr>
          <w:rFonts w:hint="eastAsia" w:ascii="宋体" w:hAnsi="宋体" w:cs="宋体"/>
          <w:b/>
          <w:bCs/>
          <w:color w:val="auto"/>
          <w:kern w:val="0"/>
          <w:szCs w:val="21"/>
        </w:rPr>
        <w:t>61. 工程量</w:t>
      </w:r>
    </w:p>
    <w:p>
      <w:pPr>
        <w:spacing w:before="96" w:line="30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61.1 清单工程量包括的工作内容</w:t>
      </w:r>
    </w:p>
    <w:p>
      <w:pPr>
        <w:spacing w:before="96" w:line="30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 按通用条款规定。</w:t>
      </w:r>
    </w:p>
    <w:p>
      <w:pPr>
        <w:spacing w:before="96" w:line="300" w:lineRule="auto"/>
        <w:ind w:firstLine="420" w:firstLineChars="200"/>
        <w:jc w:val="left"/>
        <w:rPr>
          <w:rFonts w:ascii="宋体" w:hAnsi="宋体" w:cs="宋体"/>
          <w:bCs/>
          <w:color w:val="auto"/>
          <w:szCs w:val="21"/>
        </w:rPr>
      </w:pPr>
      <w:r>
        <w:rPr>
          <w:rFonts w:hint="eastAsia" w:ascii="宋体" w:hAnsi="宋体" w:cs="宋体"/>
          <w:color w:val="auto"/>
          <w:kern w:val="0"/>
          <w:szCs w:val="21"/>
        </w:rPr>
        <w:t>□ 另作约定：</w:t>
      </w:r>
    </w:p>
    <w:p>
      <w:pPr>
        <w:spacing w:before="96" w:line="300" w:lineRule="auto"/>
        <w:jc w:val="left"/>
        <w:rPr>
          <w:rFonts w:ascii="宋体" w:hAnsi="宋体" w:cs="宋体"/>
          <w:b/>
          <w:bCs/>
          <w:color w:val="auto"/>
          <w:kern w:val="0"/>
          <w:szCs w:val="21"/>
        </w:rPr>
      </w:pPr>
      <w:r>
        <w:rPr>
          <w:rFonts w:hint="eastAsia" w:ascii="宋体" w:hAnsi="宋体" w:cs="宋体"/>
          <w:b/>
          <w:bCs/>
          <w:color w:val="auto"/>
          <w:kern w:val="0"/>
          <w:szCs w:val="21"/>
        </w:rPr>
        <w:t>63．暂列金额</w:t>
      </w:r>
    </w:p>
    <w:p>
      <w:pPr>
        <w:tabs>
          <w:tab w:val="left" w:pos="1240"/>
          <w:tab w:val="left" w:pos="5680"/>
        </w:tabs>
        <w:autoSpaceDE w:val="0"/>
        <w:autoSpaceDN w:val="0"/>
        <w:spacing w:before="96" w:line="300" w:lineRule="auto"/>
        <w:ind w:firstLine="420" w:firstLineChars="200"/>
        <w:jc w:val="left"/>
        <w:rPr>
          <w:rFonts w:ascii="宋体" w:hAnsi="宋体" w:cs="宋体"/>
          <w:bCs/>
          <w:color w:val="auto"/>
          <w:szCs w:val="21"/>
        </w:rPr>
      </w:pPr>
      <w:r>
        <w:rPr>
          <w:rFonts w:hint="eastAsia" w:ascii="宋体" w:hAnsi="宋体" w:cs="宋体"/>
          <w:bCs/>
          <w:color w:val="auto"/>
          <w:szCs w:val="21"/>
        </w:rPr>
        <w:t>63.1 合同工程的暂列金额为：</w:t>
      </w:r>
      <w:r>
        <w:rPr>
          <w:rFonts w:hint="eastAsia" w:ascii="宋体" w:hAnsi="宋体" w:cs="宋体"/>
          <w:bCs/>
          <w:color w:val="auto"/>
          <w:szCs w:val="21"/>
          <w:u w:val="single"/>
        </w:rPr>
        <w:t xml:space="preserve">          </w:t>
      </w:r>
      <w:r>
        <w:rPr>
          <w:rFonts w:hint="eastAsia" w:ascii="宋体" w:hAnsi="宋体" w:cs="宋体"/>
          <w:bCs/>
          <w:color w:val="auto"/>
          <w:szCs w:val="21"/>
        </w:rPr>
        <w:t>元。</w:t>
      </w:r>
    </w:p>
    <w:p>
      <w:pPr>
        <w:spacing w:before="96" w:line="300" w:lineRule="auto"/>
        <w:jc w:val="left"/>
        <w:rPr>
          <w:rFonts w:ascii="宋体" w:hAnsi="宋体" w:cs="宋体"/>
          <w:b/>
          <w:bCs/>
          <w:color w:val="auto"/>
          <w:kern w:val="0"/>
          <w:szCs w:val="21"/>
        </w:rPr>
      </w:pPr>
      <w:r>
        <w:rPr>
          <w:rFonts w:hint="eastAsia" w:ascii="宋体" w:hAnsi="宋体" w:cs="宋体"/>
          <w:b/>
          <w:bCs/>
          <w:color w:val="auto"/>
          <w:kern w:val="0"/>
          <w:szCs w:val="21"/>
        </w:rPr>
        <w:t>65．暂估价</w:t>
      </w:r>
    </w:p>
    <w:p>
      <w:pPr>
        <w:spacing w:before="96" w:line="300" w:lineRule="auto"/>
        <w:ind w:firstLine="420" w:firstLineChars="200"/>
        <w:jc w:val="left"/>
        <w:outlineLvl w:val="0"/>
        <w:rPr>
          <w:rFonts w:ascii="宋体" w:hAnsi="宋体" w:cs="宋体"/>
          <w:color w:val="auto"/>
          <w:kern w:val="0"/>
          <w:szCs w:val="21"/>
        </w:rPr>
      </w:pPr>
      <w:bookmarkStart w:id="313" w:name="_Toc416853067"/>
      <w:r>
        <w:rPr>
          <w:rFonts w:hint="eastAsia" w:ascii="宋体" w:hAnsi="宋体" w:cs="宋体"/>
          <w:color w:val="auto"/>
          <w:kern w:val="0"/>
          <w:szCs w:val="21"/>
        </w:rPr>
        <w:t>65.1 招标暂估价项目</w:t>
      </w:r>
      <w:bookmarkEnd w:id="313"/>
    </w:p>
    <w:p>
      <w:pPr>
        <w:spacing w:before="96" w:line="30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必须招标暂估价项目合同双方当事人的权利、义务</w:t>
      </w:r>
    </w:p>
    <w:p>
      <w:pPr>
        <w:spacing w:before="96" w:line="30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 材料、工程设备：</w:t>
      </w:r>
    </w:p>
    <w:p>
      <w:pPr>
        <w:spacing w:before="96" w:line="30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 专业工程：</w:t>
      </w:r>
      <w:r>
        <w:rPr>
          <w:rFonts w:hint="eastAsia" w:ascii="宋体" w:hAnsi="宋体" w:cs="宋体"/>
          <w:color w:val="auto"/>
          <w:kern w:val="0"/>
          <w:szCs w:val="21"/>
          <w:u w:val="single"/>
        </w:rPr>
        <w:t xml:space="preserve">        /                     </w:t>
      </w:r>
    </w:p>
    <w:p>
      <w:pPr>
        <w:spacing w:before="96" w:line="30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65.3 非招标专业工程款的确定</w:t>
      </w:r>
    </w:p>
    <w:p>
      <w:pPr>
        <w:spacing w:before="96" w:line="30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 按通用条款规定，由造价工程师与分包人确定。</w:t>
      </w:r>
    </w:p>
    <w:p>
      <w:pPr>
        <w:spacing w:before="96" w:line="30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 另作约定：</w:t>
      </w:r>
    </w:p>
    <w:p>
      <w:pPr>
        <w:autoSpaceDE w:val="0"/>
        <w:autoSpaceDN w:val="0"/>
        <w:spacing w:before="96" w:line="300" w:lineRule="auto"/>
        <w:ind w:right="-20"/>
        <w:jc w:val="left"/>
        <w:rPr>
          <w:rFonts w:ascii="宋体" w:hAnsi="宋体" w:cs="宋体"/>
          <w:bCs/>
          <w:color w:val="auto"/>
          <w:szCs w:val="21"/>
        </w:rPr>
      </w:pPr>
      <w:r>
        <w:rPr>
          <w:rFonts w:hint="eastAsia" w:ascii="宋体" w:hAnsi="宋体" w:cs="宋体"/>
          <w:b/>
          <w:color w:val="auto"/>
          <w:szCs w:val="21"/>
        </w:rPr>
        <w:t>66．提前竣工奖与误期赔偿费</w:t>
      </w:r>
    </w:p>
    <w:p>
      <w:pPr>
        <w:spacing w:before="96" w:line="300" w:lineRule="auto"/>
        <w:ind w:firstLine="420" w:firstLineChars="200"/>
        <w:jc w:val="left"/>
        <w:rPr>
          <w:rFonts w:ascii="宋体" w:hAnsi="宋体" w:cs="宋体"/>
          <w:color w:val="auto"/>
          <w:kern w:val="0"/>
          <w:szCs w:val="21"/>
        </w:rPr>
      </w:pPr>
      <w:bookmarkStart w:id="314" w:name="_Toc416853068"/>
      <w:r>
        <w:rPr>
          <w:rFonts w:hint="eastAsia" w:ascii="宋体" w:hAnsi="宋体" w:cs="宋体"/>
          <w:color w:val="auto"/>
          <w:kern w:val="0"/>
          <w:szCs w:val="21"/>
        </w:rPr>
        <w:t>66.1 提前竣工奖</w:t>
      </w:r>
      <w:bookmarkEnd w:id="314"/>
    </w:p>
    <w:p>
      <w:pPr>
        <w:spacing w:before="96" w:line="30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(1) 提起竣工奖额度</w:t>
      </w:r>
    </w:p>
    <w:p>
      <w:pPr>
        <w:spacing w:before="96" w:line="30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 没约定提前竣工奖的，本款不适用。</w:t>
      </w:r>
    </w:p>
    <w:p>
      <w:pPr>
        <w:spacing w:before="96" w:line="30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 约定提前竣工奖的，每日历天应奖额度为    元。</w:t>
      </w:r>
    </w:p>
    <w:p>
      <w:pPr>
        <w:spacing w:before="96" w:line="30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(2) 提前竣工奖的最高限额</w:t>
      </w:r>
    </w:p>
    <w:p>
      <w:pPr>
        <w:spacing w:before="96" w:line="30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 按通用条款规定为合同价款的5%，即元。</w:t>
      </w:r>
    </w:p>
    <w:p>
      <w:pPr>
        <w:spacing w:before="96" w:line="300" w:lineRule="auto"/>
        <w:ind w:firstLine="420" w:firstLineChars="200"/>
        <w:jc w:val="left"/>
        <w:rPr>
          <w:rFonts w:ascii="宋体" w:hAnsi="宋体" w:cs="宋体"/>
          <w:color w:val="auto"/>
          <w:kern w:val="0"/>
          <w:szCs w:val="21"/>
          <w:u w:val="single"/>
        </w:rPr>
      </w:pPr>
      <w:r>
        <w:rPr>
          <w:rFonts w:hint="eastAsia" w:ascii="宋体" w:hAnsi="宋体" w:cs="宋体"/>
          <w:color w:val="auto"/>
          <w:kern w:val="0"/>
          <w:szCs w:val="21"/>
        </w:rPr>
        <w:t>■ 另作约定：</w:t>
      </w:r>
      <w:r>
        <w:rPr>
          <w:rFonts w:hint="eastAsia" w:ascii="宋体" w:hAnsi="宋体" w:cs="宋体"/>
          <w:color w:val="auto"/>
          <w:kern w:val="0"/>
          <w:szCs w:val="21"/>
          <w:u w:val="single"/>
        </w:rPr>
        <w:t>不设提前竣工奖。</w:t>
      </w:r>
    </w:p>
    <w:p>
      <w:pPr>
        <w:spacing w:before="96" w:line="30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66.2 误期赔偿费</w:t>
      </w:r>
    </w:p>
    <w:p>
      <w:pPr>
        <w:spacing w:before="96" w:line="30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如果承包人由于自身的原因，未能按合同规定的工期完成合同工程，承包人必须向发包人支付误期赔偿费，时间从合同规定的竣工日期起至实际竣工日期止(即实际工期-合同工期=延长工期)，按天计算，若拖延工期在10天内（含10天），每天赔偿中标合同价的0.2%，超过10天，每天赔偿中标合同价的0.3%，误期赔偿费最高限额为合同价的5%，因承包人原因累计拖延工期超过20天的，发包人可以解除合同并追究承包人相关责任。误期赔偿费列入竣工结算文件中，在结算款中扣除。</w:t>
      </w:r>
    </w:p>
    <w:p>
      <w:pPr>
        <w:spacing w:before="96" w:line="30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若由于重大变更使得工程量发生变化，发包人有权根据实际情况相应调整合同工期。</w:t>
      </w:r>
    </w:p>
    <w:p>
      <w:pPr>
        <w:spacing w:before="96" w:line="300" w:lineRule="auto"/>
        <w:jc w:val="left"/>
        <w:outlineLvl w:val="0"/>
        <w:rPr>
          <w:rFonts w:ascii="宋体" w:hAnsi="宋体" w:cs="宋体"/>
          <w:b/>
          <w:bCs/>
          <w:color w:val="auto"/>
          <w:kern w:val="0"/>
          <w:szCs w:val="21"/>
        </w:rPr>
      </w:pPr>
      <w:bookmarkStart w:id="315" w:name="_Toc416853069"/>
      <w:r>
        <w:rPr>
          <w:rFonts w:hint="eastAsia" w:ascii="宋体" w:hAnsi="宋体" w:cs="宋体"/>
          <w:b/>
          <w:bCs/>
          <w:color w:val="auto"/>
          <w:kern w:val="0"/>
          <w:szCs w:val="21"/>
        </w:rPr>
        <w:t>67. 工程优质费</w:t>
      </w:r>
      <w:bookmarkEnd w:id="315"/>
    </w:p>
    <w:p>
      <w:pPr>
        <w:spacing w:before="96" w:line="30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67.1 工程优质费的计算方法</w:t>
      </w:r>
    </w:p>
    <w:p>
      <w:pPr>
        <w:spacing w:before="96" w:line="30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 没约定工程优质费的，本款不适用。</w:t>
      </w:r>
    </w:p>
    <w:p>
      <w:pPr>
        <w:spacing w:before="96" w:line="30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 约定工程优质费的，其计算方法：</w:t>
      </w:r>
    </w:p>
    <w:p>
      <w:pPr>
        <w:spacing w:before="96" w:line="30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67.2 工程优质费的计算额度：</w:t>
      </w:r>
    </w:p>
    <w:p>
      <w:pPr>
        <w:spacing w:before="96" w:line="30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 按通用条款规定计算。</w:t>
      </w:r>
    </w:p>
    <w:p>
      <w:pPr>
        <w:spacing w:before="96" w:line="30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 另作约定（合同工程同时获得下列多个奖项的，只按最高奖项的额度计算）：</w:t>
      </w:r>
    </w:p>
    <w:p>
      <w:pPr>
        <w:spacing w:before="96" w:line="30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国家级质量奖，合同价款的</w:t>
      </w:r>
      <w:r>
        <w:rPr>
          <w:rFonts w:hint="eastAsia" w:ascii="宋体" w:hAnsi="宋体" w:cs="宋体"/>
          <w:color w:val="auto"/>
          <w:kern w:val="0"/>
          <w:szCs w:val="21"/>
          <w:u w:val="single"/>
        </w:rPr>
        <w:t xml:space="preserve"> 0 </w:t>
      </w:r>
      <w:r>
        <w:rPr>
          <w:rFonts w:hint="eastAsia" w:ascii="宋体" w:hAnsi="宋体" w:cs="宋体"/>
          <w:color w:val="auto"/>
          <w:kern w:val="0"/>
          <w:szCs w:val="21"/>
        </w:rPr>
        <w:t>%；</w:t>
      </w:r>
    </w:p>
    <w:p>
      <w:pPr>
        <w:spacing w:before="96" w:line="30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省级质量奖，合同价款的</w:t>
      </w:r>
      <w:r>
        <w:rPr>
          <w:rFonts w:hint="eastAsia" w:ascii="宋体" w:hAnsi="宋体" w:cs="宋体"/>
          <w:color w:val="auto"/>
          <w:kern w:val="0"/>
          <w:szCs w:val="21"/>
          <w:u w:val="single"/>
        </w:rPr>
        <w:t xml:space="preserve"> 0 </w:t>
      </w:r>
      <w:r>
        <w:rPr>
          <w:rFonts w:hint="eastAsia" w:ascii="宋体" w:hAnsi="宋体" w:cs="宋体"/>
          <w:color w:val="auto"/>
          <w:kern w:val="0"/>
          <w:szCs w:val="21"/>
        </w:rPr>
        <w:t>%；</w:t>
      </w:r>
    </w:p>
    <w:p>
      <w:pPr>
        <w:spacing w:before="96" w:line="30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市级质量奖，合同价款的</w:t>
      </w:r>
      <w:r>
        <w:rPr>
          <w:rFonts w:hint="eastAsia" w:ascii="宋体" w:hAnsi="宋体" w:cs="宋体"/>
          <w:color w:val="auto"/>
          <w:kern w:val="0"/>
          <w:szCs w:val="21"/>
          <w:u w:val="single"/>
        </w:rPr>
        <w:t xml:space="preserve"> 0 </w:t>
      </w:r>
      <w:r>
        <w:rPr>
          <w:rFonts w:hint="eastAsia" w:ascii="宋体" w:hAnsi="宋体" w:cs="宋体"/>
          <w:color w:val="auto"/>
          <w:kern w:val="0"/>
          <w:szCs w:val="21"/>
        </w:rPr>
        <w:t>%。</w:t>
      </w:r>
    </w:p>
    <w:p>
      <w:pPr>
        <w:spacing w:before="96" w:line="300" w:lineRule="auto"/>
        <w:jc w:val="left"/>
        <w:outlineLvl w:val="0"/>
        <w:rPr>
          <w:rFonts w:ascii="宋体" w:hAnsi="宋体" w:cs="宋体"/>
          <w:b/>
          <w:bCs/>
          <w:color w:val="auto"/>
          <w:kern w:val="0"/>
          <w:szCs w:val="21"/>
        </w:rPr>
      </w:pPr>
      <w:bookmarkStart w:id="316" w:name="_Toc416853070"/>
      <w:r>
        <w:rPr>
          <w:rFonts w:hint="eastAsia" w:ascii="宋体" w:hAnsi="宋体" w:cs="宋体"/>
          <w:b/>
          <w:bCs/>
          <w:color w:val="auto"/>
          <w:kern w:val="0"/>
          <w:szCs w:val="21"/>
        </w:rPr>
        <w:t>68. 合同价款的约定与调整</w:t>
      </w:r>
      <w:bookmarkEnd w:id="316"/>
    </w:p>
    <w:p>
      <w:pPr>
        <w:spacing w:before="96" w:line="30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68.2 合同价款的调整事件</w:t>
      </w:r>
    </w:p>
    <w:p>
      <w:pPr>
        <w:spacing w:before="96" w:line="30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 按通用条款规定的调整事件。</w:t>
      </w:r>
    </w:p>
    <w:p>
      <w:pPr>
        <w:spacing w:before="96" w:line="300" w:lineRule="auto"/>
        <w:ind w:firstLine="420" w:firstLineChars="200"/>
        <w:jc w:val="left"/>
        <w:rPr>
          <w:rFonts w:ascii="宋体" w:hAnsi="宋体" w:cs="宋体"/>
          <w:color w:val="auto"/>
          <w:szCs w:val="21"/>
          <w:u w:val="single"/>
        </w:rPr>
      </w:pPr>
      <w:r>
        <w:rPr>
          <w:rFonts w:hint="eastAsia" w:ascii="宋体" w:hAnsi="宋体" w:cs="宋体"/>
          <w:color w:val="auto"/>
          <w:kern w:val="0"/>
          <w:szCs w:val="21"/>
        </w:rPr>
        <w:t>■ 另作约定：</w:t>
      </w:r>
      <w:r>
        <w:rPr>
          <w:rFonts w:hint="eastAsia" w:ascii="宋体" w:hAnsi="宋体" w:cs="宋体"/>
          <w:color w:val="auto"/>
          <w:kern w:val="0"/>
          <w:szCs w:val="21"/>
          <w:u w:val="single"/>
        </w:rPr>
        <w:t>合同总价包括了完成本工程招标范围内的所有工程的费用，包括但不限于在以下费用：承包人进、退场费，施工准备费用，临时用地费用(包含超出清单部分)、赶工措施费、施工报建费用、施工期间的交通安全设施费用、周边道路及现场由于施工改道所发生的交通疏导维护等费用，工程保险费，工程施工和修补缺陷的全部（含临时工程和设施）费用，完工后清场费用，缺陷责任期的保修以及编制竣工文件等费用，同时还包括了税金、保险。除以下四项调整事件可调整合同价款外，在施工过程中，承包人必须按施工承包合同、设计图纸以及技术规范的要求包干完成所有工程内容。调整事件只包括：①工程量的偏差；②工程变更事件；③现场签证事件；④费用索赔事件。</w:t>
      </w:r>
    </w:p>
    <w:p>
      <w:pPr>
        <w:autoSpaceDE w:val="0"/>
        <w:autoSpaceDN w:val="0"/>
        <w:spacing w:before="96" w:line="300" w:lineRule="auto"/>
        <w:ind w:right="-20"/>
        <w:jc w:val="left"/>
        <w:rPr>
          <w:rFonts w:ascii="宋体" w:hAnsi="宋体" w:cs="宋体"/>
          <w:b/>
          <w:bCs/>
          <w:color w:val="auto"/>
          <w:kern w:val="0"/>
          <w:szCs w:val="21"/>
        </w:rPr>
      </w:pPr>
      <w:r>
        <w:rPr>
          <w:rFonts w:hint="eastAsia" w:ascii="宋体" w:hAnsi="宋体" w:cs="宋体"/>
          <w:b/>
          <w:bCs/>
          <w:color w:val="auto"/>
          <w:kern w:val="0"/>
          <w:szCs w:val="21"/>
        </w:rPr>
        <w:t>70. 项目特征描述不符事件</w:t>
      </w:r>
    </w:p>
    <w:p>
      <w:pPr>
        <w:spacing w:before="96" w:line="30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70.1 合同双方当事人约定：承包人认可本项目清单工程量，以及工程量清单已包含招标图纸中的全部工程内容。承包人不得以项目特征描述不准确、不全面、与实际施工要求不相符合为由提出调整合同价款。</w:t>
      </w:r>
    </w:p>
    <w:p>
      <w:pPr>
        <w:spacing w:before="96" w:line="30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70.2 本款不适用。</w:t>
      </w:r>
    </w:p>
    <w:p>
      <w:pPr>
        <w:spacing w:before="96" w:line="30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70.3 本款不适用。</w:t>
      </w:r>
    </w:p>
    <w:p>
      <w:pPr>
        <w:autoSpaceDE w:val="0"/>
        <w:autoSpaceDN w:val="0"/>
        <w:spacing w:before="96" w:line="300" w:lineRule="auto"/>
        <w:ind w:right="-20"/>
        <w:jc w:val="left"/>
        <w:rPr>
          <w:rFonts w:ascii="宋体" w:hAnsi="宋体" w:cs="宋体"/>
          <w:color w:val="auto"/>
          <w:kern w:val="0"/>
          <w:szCs w:val="21"/>
        </w:rPr>
      </w:pPr>
      <w:r>
        <w:rPr>
          <w:rFonts w:hint="eastAsia" w:ascii="宋体" w:hAnsi="宋体" w:cs="宋体"/>
          <w:b/>
          <w:bCs/>
          <w:color w:val="auto"/>
          <w:kern w:val="0"/>
          <w:szCs w:val="21"/>
        </w:rPr>
        <w:t>71. 分部分项工程量清单缺项漏项事件</w:t>
      </w:r>
    </w:p>
    <w:p>
      <w:pPr>
        <w:spacing w:before="96" w:line="30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71.1 合同双方当事人约定：承包人应在投标时仔细核对施工图与工程量清单，如工程量清单出现漏算、错算或少算的情况，以施工图为准，在招标答疑期间提出异议。</w:t>
      </w:r>
    </w:p>
    <w:p>
      <w:pPr>
        <w:spacing w:before="96" w:line="30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71.2 本款不适用。</w:t>
      </w:r>
    </w:p>
    <w:p>
      <w:pPr>
        <w:spacing w:before="96" w:line="30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72.3 本款不适用。</w:t>
      </w:r>
    </w:p>
    <w:p>
      <w:pPr>
        <w:autoSpaceDE w:val="0"/>
        <w:autoSpaceDN w:val="0"/>
        <w:spacing w:before="96" w:line="300" w:lineRule="auto"/>
        <w:ind w:right="-20"/>
        <w:jc w:val="left"/>
        <w:rPr>
          <w:rFonts w:ascii="宋体" w:hAnsi="宋体" w:cs="宋体"/>
          <w:b/>
          <w:bCs/>
          <w:color w:val="auto"/>
          <w:kern w:val="0"/>
          <w:szCs w:val="21"/>
        </w:rPr>
      </w:pPr>
      <w:r>
        <w:rPr>
          <w:rFonts w:hint="eastAsia" w:ascii="宋体" w:hAnsi="宋体" w:cs="宋体"/>
          <w:b/>
          <w:bCs/>
          <w:color w:val="auto"/>
          <w:kern w:val="0"/>
          <w:szCs w:val="21"/>
        </w:rPr>
        <w:t>72．工程变更事件</w:t>
      </w:r>
    </w:p>
    <w:p>
      <w:pPr>
        <w:spacing w:before="96" w:line="300" w:lineRule="auto"/>
        <w:ind w:firstLine="420" w:firstLineChars="200"/>
        <w:jc w:val="left"/>
        <w:outlineLvl w:val="0"/>
        <w:rPr>
          <w:rFonts w:ascii="宋体" w:hAnsi="宋体" w:cs="宋体"/>
          <w:color w:val="auto"/>
          <w:kern w:val="0"/>
          <w:szCs w:val="21"/>
        </w:rPr>
      </w:pPr>
      <w:r>
        <w:rPr>
          <w:rFonts w:hint="eastAsia" w:ascii="宋体" w:hAnsi="宋体" w:cs="宋体"/>
          <w:color w:val="auto"/>
          <w:kern w:val="0"/>
          <w:szCs w:val="21"/>
        </w:rPr>
        <w:t>72.2 严格控制工程变更，确需变更的，必须经监理人和发包人同意确认后实施；对于无法在竣工图上反映的变更内容，变更工程完成后的十天内，现场签证单须交发包人、监理人确认；变更手续按发包人的工程变更管理办法审批，增加或减少工程量按以下办法确定价格：</w:t>
      </w:r>
    </w:p>
    <w:p>
      <w:pPr>
        <w:spacing w:before="96" w:line="300" w:lineRule="auto"/>
        <w:ind w:firstLine="420" w:firstLineChars="200"/>
        <w:jc w:val="left"/>
        <w:outlineLvl w:val="0"/>
        <w:rPr>
          <w:rFonts w:ascii="宋体" w:hAnsi="宋体" w:cs="宋体"/>
          <w:color w:val="auto"/>
          <w:kern w:val="0"/>
          <w:szCs w:val="21"/>
        </w:rPr>
      </w:pPr>
      <w:r>
        <w:rPr>
          <w:rFonts w:hint="eastAsia" w:ascii="宋体" w:hAnsi="宋体" w:cs="宋体"/>
          <w:color w:val="auto"/>
          <w:kern w:val="0"/>
          <w:szCs w:val="21"/>
        </w:rPr>
        <w:t>(1)中标的工程量清单中已有相同项目的、适用的综合单价，则沿用。</w:t>
      </w:r>
    </w:p>
    <w:p>
      <w:pPr>
        <w:spacing w:before="96" w:line="300" w:lineRule="auto"/>
        <w:ind w:firstLine="420" w:firstLineChars="200"/>
        <w:jc w:val="left"/>
        <w:outlineLvl w:val="0"/>
        <w:rPr>
          <w:rFonts w:ascii="宋体" w:hAnsi="宋体" w:cs="宋体"/>
          <w:color w:val="auto"/>
          <w:kern w:val="0"/>
          <w:szCs w:val="21"/>
        </w:rPr>
      </w:pPr>
      <w:r>
        <w:rPr>
          <w:rFonts w:hint="eastAsia" w:ascii="宋体" w:hAnsi="宋体" w:cs="宋体"/>
          <w:color w:val="auto"/>
          <w:kern w:val="0"/>
          <w:szCs w:val="21"/>
        </w:rPr>
        <w:t>(2)</w:t>
      </w:r>
      <w:r>
        <w:rPr>
          <w:rFonts w:hint="eastAsia" w:ascii="宋体" w:hAnsi="宋体" w:cs="宋体"/>
          <w:color w:val="auto"/>
          <w:szCs w:val="21"/>
        </w:rPr>
        <w:t xml:space="preserve"> </w:t>
      </w:r>
      <w:r>
        <w:rPr>
          <w:rFonts w:hint="eastAsia" w:ascii="宋体" w:hAnsi="宋体" w:cs="宋体"/>
          <w:color w:val="auto"/>
          <w:kern w:val="0"/>
          <w:szCs w:val="21"/>
        </w:rPr>
        <w:t>中标的响应文件工程量清单中已有类似项目的综合单价，则按类似项目的综合单价对相应子目、消耗量、单价等进行调整换算，原管理费、利润水平不变。如中标的响应文件工程量清单中类似项目的综合单价有两个以上，则由招标人按消耗量最少、管理费和利润取费最低的优先顺序选择类似项目综合单价进行换算。如换算时出现类似项目中没有的材料单价，按广州市造价管理站同期《广州地区建设工程常用材料税前综合价格》计算，《广州地区建设工程常用材料税前综合价格》没有的材料单价，凭承包人提交的有效发票经甲方、监理工程师按市场价原则审核后确认的材料单价计算。</w:t>
      </w:r>
    </w:p>
    <w:p>
      <w:pPr>
        <w:autoSpaceDE w:val="0"/>
        <w:autoSpaceDN w:val="0"/>
        <w:adjustRightInd w:val="0"/>
        <w:snapToGrid w:val="0"/>
        <w:spacing w:line="360" w:lineRule="auto"/>
        <w:ind w:firstLine="420" w:firstLineChars="200"/>
        <w:jc w:val="left"/>
        <w:rPr>
          <w:rFonts w:ascii="宋体" w:hAnsi="宋体" w:cs="宋体"/>
          <w:color w:val="auto"/>
          <w:szCs w:val="21"/>
        </w:rPr>
      </w:pPr>
      <w:r>
        <w:rPr>
          <w:rFonts w:hint="eastAsia" w:ascii="宋体" w:hAnsi="宋体" w:cs="宋体"/>
          <w:color w:val="auto"/>
          <w:kern w:val="0"/>
          <w:szCs w:val="21"/>
        </w:rPr>
        <w:t>(3) 新增项目（含变更部分）在中标的投标工程量清单内没有相同或类似项目的，综合单价按广州市建委颁布的现行有关定额、广州市建设工程造价管理站公布的施工同期材料价格信息计算，建筑工程部分按《广东省建设工程计价通则2010》、《广东省建筑、装饰工程工程量清单计价指引2010》和《广东省建筑与装饰工程综合定额2010》，安装工程部分按《广东省安装、市政、园林绿化工程工程量清单计价指引》和《广东省安装工程综合定额2010》，其他工程按省、市建委颁发的现行执行定额计算。材料单价中，主材价格按广州市建设工程造价管理站发布的施工同期的《广州地区建设工程常用材料税前综合价格》中的材料综合价格部分计算，《广州地区建设工程常用材料税前综合价格》材料综合价格没有的主材价格，凭承包人提交的有效发票经监理及甲方按市场价原则审核后确认的材料单价进行补差计算，综合单价所含利润标准按18%计算，措施项目费不另计算。新增项目（含变更部分）下浮率按投标下浮率（投标下浮率=（招标最高控制价-中标价）÷招标最高控制价×100%）作总价下浮计算，当下浮率不足8%时，下浮率按8%计算</w:t>
      </w:r>
      <w:r>
        <w:rPr>
          <w:rFonts w:hint="eastAsia" w:ascii="宋体" w:hAnsi="宋体" w:cs="宋体"/>
          <w:color w:val="auto"/>
          <w:szCs w:val="21"/>
        </w:rPr>
        <w:t>，但双方已经办理过定价手续的清单项目或主材所涉及费用不再参与下浮。没有上述计价依据的工程项目，由发包方和承包方协商。</w:t>
      </w:r>
    </w:p>
    <w:p>
      <w:pPr>
        <w:spacing w:before="96" w:line="300" w:lineRule="auto"/>
        <w:ind w:firstLine="420" w:firstLineChars="200"/>
        <w:jc w:val="left"/>
        <w:outlineLvl w:val="0"/>
        <w:rPr>
          <w:rFonts w:ascii="宋体" w:hAnsi="宋体" w:cs="宋体"/>
          <w:color w:val="auto"/>
          <w:kern w:val="0"/>
          <w:szCs w:val="21"/>
        </w:rPr>
      </w:pPr>
      <w:r>
        <w:rPr>
          <w:rFonts w:hint="eastAsia" w:ascii="宋体" w:hAnsi="宋体" w:cs="宋体"/>
          <w:color w:val="auto"/>
          <w:kern w:val="0"/>
          <w:szCs w:val="21"/>
        </w:rPr>
        <w:t>（4）当变更引起增减工程造价超过中标合同价10%时，双方须按上述计价原则签订补充合同，并作为进度款支付的依据。</w:t>
      </w:r>
    </w:p>
    <w:p>
      <w:pPr>
        <w:spacing w:before="96" w:line="300" w:lineRule="auto"/>
        <w:ind w:firstLine="420" w:firstLineChars="200"/>
        <w:jc w:val="left"/>
        <w:outlineLvl w:val="0"/>
        <w:rPr>
          <w:rFonts w:ascii="宋体" w:hAnsi="宋体" w:cs="宋体"/>
          <w:color w:val="auto"/>
          <w:kern w:val="0"/>
          <w:szCs w:val="21"/>
        </w:rPr>
      </w:pPr>
      <w:r>
        <w:rPr>
          <w:rFonts w:hint="eastAsia" w:ascii="宋体" w:hAnsi="宋体" w:cs="宋体"/>
          <w:color w:val="auto"/>
          <w:kern w:val="0"/>
          <w:szCs w:val="21"/>
        </w:rPr>
        <w:t>72.3工程变更引起措施项目发生变化的，凡可计算工程量的措施项目费，按照实际发生变化的措施项目的工程量乘以第72.2款规定的单价或合价调整。</w:t>
      </w:r>
    </w:p>
    <w:p>
      <w:pPr>
        <w:spacing w:before="96" w:line="300" w:lineRule="auto"/>
        <w:ind w:firstLine="420" w:firstLineChars="200"/>
        <w:jc w:val="left"/>
        <w:outlineLvl w:val="0"/>
        <w:rPr>
          <w:rFonts w:ascii="宋体" w:hAnsi="宋体" w:cs="宋体"/>
          <w:color w:val="auto"/>
          <w:kern w:val="0"/>
          <w:szCs w:val="21"/>
        </w:rPr>
      </w:pPr>
      <w:bookmarkStart w:id="317" w:name="_Toc416853071"/>
      <w:r>
        <w:rPr>
          <w:rFonts w:hint="eastAsia" w:ascii="宋体" w:hAnsi="宋体" w:cs="宋体"/>
          <w:color w:val="auto"/>
          <w:kern w:val="0"/>
          <w:szCs w:val="21"/>
        </w:rPr>
        <w:t>72.4 调整承包人报价偏差的方法</w:t>
      </w:r>
      <w:bookmarkEnd w:id="317"/>
    </w:p>
    <w:p>
      <w:pPr>
        <w:spacing w:before="96" w:line="30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 通用条款的规定调整。</w:t>
      </w:r>
    </w:p>
    <w:p>
      <w:pPr>
        <w:spacing w:before="96" w:line="300" w:lineRule="auto"/>
        <w:ind w:firstLine="420" w:firstLineChars="200"/>
        <w:jc w:val="left"/>
        <w:rPr>
          <w:rFonts w:ascii="宋体" w:hAnsi="宋体" w:cs="宋体"/>
          <w:color w:val="auto"/>
          <w:kern w:val="0"/>
          <w:szCs w:val="21"/>
          <w:u w:val="single"/>
        </w:rPr>
      </w:pPr>
      <w:r>
        <w:rPr>
          <w:rFonts w:hint="eastAsia" w:ascii="宋体" w:hAnsi="宋体" w:cs="宋体"/>
          <w:color w:val="auto"/>
          <w:kern w:val="0"/>
          <w:szCs w:val="21"/>
        </w:rPr>
        <w:t>■ 按照下列方法调整：</w:t>
      </w:r>
      <w:r>
        <w:rPr>
          <w:rFonts w:hint="eastAsia" w:ascii="宋体" w:hAnsi="宋体" w:cs="宋体"/>
          <w:color w:val="auto"/>
          <w:szCs w:val="21"/>
          <w:u w:val="single"/>
        </w:rPr>
        <w:t>承包人投标时所报任何分部分项工程量清单项目的综合单价高于套用建设主管部门规定的相关专业定额价格30%以上时，发包人将认定该部分综合单价为恶意高价，在工程结算时，该部分项目的综合单价将按照本合同专用条款第72.2（3）“中标的工程量清单中没有适用或类似的”处理办法进行更正。</w:t>
      </w:r>
    </w:p>
    <w:p>
      <w:pPr>
        <w:autoSpaceDE w:val="0"/>
        <w:autoSpaceDN w:val="0"/>
        <w:spacing w:before="96" w:line="300" w:lineRule="auto"/>
        <w:ind w:firstLine="420" w:firstLineChars="200"/>
        <w:jc w:val="left"/>
        <w:rPr>
          <w:rFonts w:ascii="宋体" w:hAnsi="宋体" w:cs="宋体"/>
          <w:color w:val="auto"/>
          <w:szCs w:val="21"/>
        </w:rPr>
      </w:pPr>
      <w:r>
        <w:rPr>
          <w:rFonts w:hint="eastAsia" w:ascii="宋体" w:hAnsi="宋体" w:cs="宋体"/>
          <w:bCs/>
          <w:color w:val="auto"/>
          <w:szCs w:val="21"/>
        </w:rPr>
        <w:t xml:space="preserve">72.5 </w:t>
      </w:r>
      <w:r>
        <w:rPr>
          <w:rFonts w:hint="eastAsia" w:ascii="宋体" w:hAnsi="宋体" w:cs="宋体"/>
          <w:color w:val="auto"/>
          <w:szCs w:val="21"/>
        </w:rPr>
        <w:t>删减工作或工程的补偿</w:t>
      </w:r>
    </w:p>
    <w:p>
      <w:pPr>
        <w:autoSpaceDE w:val="0"/>
        <w:autoSpaceDN w:val="0"/>
        <w:spacing w:before="96" w:line="300" w:lineRule="auto"/>
        <w:ind w:firstLine="420" w:firstLineChars="200"/>
        <w:jc w:val="left"/>
        <w:rPr>
          <w:rFonts w:ascii="宋体" w:hAnsi="宋体" w:cs="宋体"/>
          <w:bCs/>
          <w:color w:val="auto"/>
          <w:szCs w:val="21"/>
        </w:rPr>
      </w:pPr>
      <w:r>
        <w:rPr>
          <w:rFonts w:hint="eastAsia" w:ascii="宋体" w:hAnsi="宋体" w:cs="宋体"/>
          <w:color w:val="auto"/>
          <w:szCs w:val="21"/>
        </w:rPr>
        <w:t>发包人有权删减合同中的任何原定工作或工程，相应的合同价款对应减少，承包人不得以此提出费用索赔。</w:t>
      </w:r>
    </w:p>
    <w:p>
      <w:pPr>
        <w:autoSpaceDE w:val="0"/>
        <w:autoSpaceDN w:val="0"/>
        <w:spacing w:before="96" w:line="300" w:lineRule="auto"/>
        <w:ind w:right="-20"/>
        <w:jc w:val="left"/>
        <w:rPr>
          <w:rFonts w:ascii="宋体" w:hAnsi="宋体" w:cs="宋体"/>
          <w:b/>
          <w:color w:val="auto"/>
          <w:szCs w:val="21"/>
        </w:rPr>
      </w:pPr>
      <w:r>
        <w:rPr>
          <w:rFonts w:hint="eastAsia" w:ascii="宋体" w:hAnsi="宋体" w:cs="宋体"/>
          <w:b/>
          <w:color w:val="auto"/>
          <w:szCs w:val="21"/>
        </w:rPr>
        <w:t>73．工程量的偏差事件</w:t>
      </w:r>
    </w:p>
    <w:p>
      <w:pPr>
        <w:autoSpaceDE w:val="0"/>
        <w:autoSpaceDN w:val="0"/>
        <w:spacing w:before="96" w:line="300" w:lineRule="auto"/>
        <w:ind w:firstLine="420" w:firstLineChars="200"/>
        <w:jc w:val="left"/>
        <w:rPr>
          <w:rFonts w:ascii="宋体" w:hAnsi="宋体" w:cs="宋体"/>
          <w:color w:val="auto"/>
          <w:szCs w:val="21"/>
        </w:rPr>
      </w:pPr>
      <w:r>
        <w:rPr>
          <w:rFonts w:hint="eastAsia" w:ascii="宋体" w:hAnsi="宋体" w:cs="宋体"/>
          <w:color w:val="auto"/>
          <w:szCs w:val="21"/>
        </w:rPr>
        <w:t>73.2工程量的偏差，导致分部分项工程费结算价调整的方法：</w:t>
      </w:r>
    </w:p>
    <w:p>
      <w:pPr>
        <w:autoSpaceDE w:val="0"/>
        <w:autoSpaceDN w:val="0"/>
        <w:spacing w:before="96" w:line="300" w:lineRule="auto"/>
        <w:ind w:firstLine="420" w:firstLineChars="200"/>
        <w:jc w:val="left"/>
        <w:rPr>
          <w:rFonts w:ascii="宋体" w:hAnsi="宋体" w:cs="宋体"/>
          <w:color w:val="auto"/>
          <w:szCs w:val="21"/>
        </w:rPr>
      </w:pPr>
      <w:r>
        <w:rPr>
          <w:rFonts w:hint="eastAsia" w:ascii="宋体" w:hAnsi="宋体" w:cs="宋体"/>
          <w:color w:val="auto"/>
          <w:szCs w:val="21"/>
        </w:rPr>
        <w:t>□ 按合同通用条款的规定调整。</w:t>
      </w:r>
    </w:p>
    <w:p>
      <w:pPr>
        <w:spacing w:line="360" w:lineRule="auto"/>
        <w:jc w:val="left"/>
        <w:rPr>
          <w:rFonts w:ascii="宋体" w:hAnsi="宋体" w:cs="宋体"/>
          <w:bCs/>
          <w:color w:val="auto"/>
          <w:szCs w:val="21"/>
        </w:rPr>
      </w:pPr>
      <w:r>
        <w:rPr>
          <w:rFonts w:hint="eastAsia" w:ascii="宋体" w:hAnsi="宋体" w:cs="宋体"/>
          <w:bCs/>
          <w:color w:val="auto"/>
          <w:szCs w:val="21"/>
        </w:rPr>
        <w:t>■ 按以下方法调整：</w:t>
      </w:r>
    </w:p>
    <w:p>
      <w:pPr>
        <w:spacing w:line="360" w:lineRule="auto"/>
        <w:jc w:val="left"/>
        <w:rPr>
          <w:rFonts w:ascii="宋体" w:hAnsi="宋体" w:cs="宋体"/>
          <w:color w:val="auto"/>
          <w:kern w:val="0"/>
          <w:szCs w:val="21"/>
          <w:u w:val="single"/>
        </w:rPr>
      </w:pPr>
      <w:r>
        <w:rPr>
          <w:rFonts w:hint="eastAsia" w:ascii="宋体" w:hAnsi="宋体" w:cs="宋体"/>
          <w:color w:val="auto"/>
          <w:szCs w:val="21"/>
          <w:u w:val="single"/>
        </w:rPr>
        <w:t>对于任一分部分项工程量清单项目，如因清单计量不准或设计变更、方案调整等原因导致工程量偏差超过15%，则超过15%部分的综合单价</w:t>
      </w:r>
      <w:r>
        <w:rPr>
          <w:rFonts w:hint="eastAsia" w:ascii="宋体" w:hAnsi="宋体" w:cs="宋体"/>
          <w:color w:val="auto"/>
          <w:kern w:val="0"/>
          <w:szCs w:val="21"/>
          <w:u w:val="single"/>
        </w:rPr>
        <w:t>按照下列规定调整结算分部分项工程费：</w:t>
      </w:r>
    </w:p>
    <w:p>
      <w:pPr>
        <w:autoSpaceDE w:val="0"/>
        <w:autoSpaceDN w:val="0"/>
        <w:adjustRightInd w:val="0"/>
        <w:spacing w:before="38"/>
        <w:ind w:left="29" w:right="-20"/>
        <w:jc w:val="left"/>
        <w:rPr>
          <w:rFonts w:ascii="宋体" w:hAnsi="宋体" w:cs="宋体"/>
          <w:color w:val="auto"/>
          <w:kern w:val="0"/>
          <w:szCs w:val="21"/>
          <w:u w:val="single"/>
        </w:rPr>
      </w:pPr>
      <w:r>
        <w:rPr>
          <w:rFonts w:hint="eastAsia" w:ascii="宋体" w:hAnsi="宋体" w:cs="宋体"/>
          <w:color w:val="auto"/>
          <w:kern w:val="0"/>
          <w:szCs w:val="21"/>
          <w:u w:val="single"/>
        </w:rPr>
        <w:fldChar w:fldCharType="begin"/>
      </w:r>
      <w:r>
        <w:rPr>
          <w:rFonts w:hint="eastAsia" w:ascii="宋体" w:hAnsi="宋体" w:cs="宋体"/>
          <w:color w:val="auto"/>
          <w:kern w:val="0"/>
          <w:szCs w:val="21"/>
          <w:u w:val="single"/>
        </w:rPr>
        <w:instrText xml:space="preserve">= 1 \* GB3</w:instrText>
      </w:r>
      <w:r>
        <w:rPr>
          <w:rFonts w:hint="eastAsia" w:ascii="宋体" w:hAnsi="宋体" w:cs="宋体"/>
          <w:color w:val="auto"/>
          <w:kern w:val="0"/>
          <w:szCs w:val="21"/>
          <w:u w:val="single"/>
        </w:rPr>
        <w:fldChar w:fldCharType="separate"/>
      </w:r>
      <w:r>
        <w:rPr>
          <w:rFonts w:hint="eastAsia" w:ascii="宋体" w:hAnsi="宋体" w:cs="宋体"/>
          <w:color w:val="auto"/>
          <w:kern w:val="0"/>
          <w:szCs w:val="21"/>
          <w:u w:val="single"/>
        </w:rPr>
        <w:t>①</w:t>
      </w:r>
      <w:r>
        <w:rPr>
          <w:rFonts w:hint="eastAsia" w:ascii="宋体" w:hAnsi="宋体" w:cs="宋体"/>
          <w:color w:val="auto"/>
          <w:kern w:val="0"/>
          <w:szCs w:val="21"/>
          <w:u w:val="single"/>
        </w:rPr>
        <w:fldChar w:fldCharType="end"/>
      </w:r>
      <w:r>
        <w:rPr>
          <w:rFonts w:hint="eastAsia" w:ascii="宋体" w:hAnsi="宋体" w:cs="宋体"/>
          <w:color w:val="auto"/>
          <w:kern w:val="0"/>
          <w:szCs w:val="21"/>
          <w:u w:val="single"/>
        </w:rPr>
        <w:t>当</w:t>
      </w:r>
      <w:r>
        <w:rPr>
          <w:rFonts w:hint="eastAsia" w:ascii="宋体" w:hAnsi="宋体" w:cs="宋体"/>
          <w:i/>
          <w:iCs/>
          <w:color w:val="auto"/>
          <w:spacing w:val="-1"/>
          <w:kern w:val="0"/>
          <w:szCs w:val="21"/>
          <w:u w:val="single"/>
        </w:rPr>
        <w:t>Q</w:t>
      </w:r>
      <w:r>
        <w:rPr>
          <w:rFonts w:hint="eastAsia" w:ascii="宋体" w:hAnsi="宋体" w:cs="宋体"/>
          <w:i/>
          <w:iCs/>
          <w:color w:val="auto"/>
          <w:spacing w:val="1"/>
          <w:kern w:val="0"/>
          <w:position w:val="-3"/>
          <w:szCs w:val="21"/>
          <w:u w:val="single"/>
        </w:rPr>
        <w:t>1</w:t>
      </w:r>
      <w:r>
        <w:rPr>
          <w:rFonts w:hint="eastAsia" w:ascii="宋体" w:hAnsi="宋体" w:cs="宋体"/>
          <w:color w:val="auto"/>
          <w:kern w:val="0"/>
          <w:szCs w:val="21"/>
          <w:u w:val="single"/>
        </w:rPr>
        <w:t>﹥1.15</w:t>
      </w:r>
      <w:r>
        <w:rPr>
          <w:rFonts w:hint="eastAsia" w:ascii="宋体" w:hAnsi="宋体" w:cs="宋体"/>
          <w:i/>
          <w:iCs/>
          <w:color w:val="auto"/>
          <w:spacing w:val="-1"/>
          <w:kern w:val="0"/>
          <w:szCs w:val="21"/>
          <w:u w:val="single"/>
        </w:rPr>
        <w:t>Q</w:t>
      </w:r>
      <w:r>
        <w:rPr>
          <w:rFonts w:hint="eastAsia" w:ascii="宋体" w:hAnsi="宋体" w:cs="宋体"/>
          <w:i/>
          <w:iCs/>
          <w:color w:val="auto"/>
          <w:spacing w:val="1"/>
          <w:kern w:val="0"/>
          <w:position w:val="-3"/>
          <w:szCs w:val="21"/>
          <w:u w:val="single"/>
        </w:rPr>
        <w:t>0</w:t>
      </w:r>
      <w:r>
        <w:rPr>
          <w:rFonts w:hint="eastAsia" w:ascii="宋体" w:hAnsi="宋体" w:cs="宋体"/>
          <w:color w:val="auto"/>
          <w:kern w:val="0"/>
          <w:szCs w:val="21"/>
          <w:u w:val="single"/>
        </w:rPr>
        <w:t>时，S</w:t>
      </w:r>
      <w:r>
        <w:rPr>
          <w:rFonts w:hint="eastAsia" w:ascii="宋体" w:hAnsi="宋体" w:cs="宋体"/>
          <w:i/>
          <w:iCs/>
          <w:color w:val="auto"/>
          <w:kern w:val="0"/>
          <w:szCs w:val="21"/>
          <w:u w:val="single"/>
        </w:rPr>
        <w:t>=</w:t>
      </w:r>
      <w:r>
        <w:rPr>
          <w:rFonts w:hint="eastAsia" w:ascii="宋体" w:hAnsi="宋体" w:cs="宋体"/>
          <w:color w:val="auto"/>
          <w:kern w:val="0"/>
          <w:szCs w:val="21"/>
          <w:u w:val="single"/>
        </w:rPr>
        <w:t>1.15</w:t>
      </w:r>
      <w:r>
        <w:rPr>
          <w:rFonts w:hint="eastAsia" w:ascii="宋体" w:hAnsi="宋体" w:cs="宋体"/>
          <w:i/>
          <w:iCs/>
          <w:color w:val="auto"/>
          <w:spacing w:val="-1"/>
          <w:kern w:val="0"/>
          <w:szCs w:val="21"/>
          <w:u w:val="single"/>
        </w:rPr>
        <w:t>Q</w:t>
      </w:r>
      <w:r>
        <w:rPr>
          <w:rFonts w:hint="eastAsia" w:ascii="宋体" w:hAnsi="宋体" w:cs="宋体"/>
          <w:i/>
          <w:iCs/>
          <w:color w:val="auto"/>
          <w:spacing w:val="1"/>
          <w:kern w:val="0"/>
          <w:position w:val="-3"/>
          <w:szCs w:val="21"/>
          <w:u w:val="single"/>
        </w:rPr>
        <w:t>0</w:t>
      </w:r>
      <w:r>
        <w:rPr>
          <w:rFonts w:hint="eastAsia" w:ascii="宋体" w:hAnsi="宋体" w:cs="宋体"/>
          <w:color w:val="auto"/>
          <w:kern w:val="0"/>
          <w:szCs w:val="21"/>
          <w:u w:val="single"/>
        </w:rPr>
        <w:t>×</w:t>
      </w:r>
      <w:r>
        <w:rPr>
          <w:rFonts w:hint="eastAsia" w:ascii="宋体" w:hAnsi="宋体" w:cs="宋体"/>
          <w:i/>
          <w:iCs/>
          <w:color w:val="auto"/>
          <w:kern w:val="0"/>
          <w:szCs w:val="21"/>
          <w:u w:val="single"/>
        </w:rPr>
        <w:t>P</w:t>
      </w:r>
      <w:r>
        <w:rPr>
          <w:rFonts w:hint="eastAsia" w:ascii="宋体" w:hAnsi="宋体" w:cs="宋体"/>
          <w:i/>
          <w:iCs/>
          <w:color w:val="auto"/>
          <w:spacing w:val="1"/>
          <w:kern w:val="0"/>
          <w:position w:val="-3"/>
          <w:szCs w:val="21"/>
          <w:u w:val="single"/>
        </w:rPr>
        <w:t>0</w:t>
      </w:r>
      <w:r>
        <w:rPr>
          <w:rFonts w:hint="eastAsia" w:ascii="宋体" w:hAnsi="宋体" w:cs="宋体"/>
          <w:i/>
          <w:iCs/>
          <w:color w:val="auto"/>
          <w:kern w:val="0"/>
          <w:szCs w:val="21"/>
          <w:u w:val="single"/>
        </w:rPr>
        <w:t>+</w:t>
      </w:r>
      <w:r>
        <w:rPr>
          <w:rFonts w:hint="eastAsia" w:ascii="宋体" w:hAnsi="宋体" w:cs="宋体"/>
          <w:color w:val="auto"/>
          <w:kern w:val="0"/>
          <w:szCs w:val="21"/>
          <w:u w:val="single"/>
        </w:rPr>
        <w:t>（</w:t>
      </w:r>
      <w:r>
        <w:rPr>
          <w:rFonts w:hint="eastAsia" w:ascii="宋体" w:hAnsi="宋体" w:cs="宋体"/>
          <w:i/>
          <w:iCs/>
          <w:color w:val="auto"/>
          <w:spacing w:val="-1"/>
          <w:kern w:val="0"/>
          <w:szCs w:val="21"/>
          <w:u w:val="single"/>
        </w:rPr>
        <w:t>Q</w:t>
      </w:r>
      <w:r>
        <w:rPr>
          <w:rFonts w:hint="eastAsia" w:ascii="宋体" w:hAnsi="宋体" w:cs="宋体"/>
          <w:i/>
          <w:iCs/>
          <w:color w:val="auto"/>
          <w:spacing w:val="1"/>
          <w:kern w:val="0"/>
          <w:position w:val="-3"/>
          <w:szCs w:val="21"/>
          <w:u w:val="single"/>
        </w:rPr>
        <w:t>1</w:t>
      </w:r>
      <w:r>
        <w:rPr>
          <w:rFonts w:hint="eastAsia" w:ascii="宋体" w:hAnsi="宋体" w:cs="宋体"/>
          <w:i/>
          <w:iCs/>
          <w:color w:val="auto"/>
          <w:spacing w:val="-1"/>
          <w:kern w:val="0"/>
          <w:szCs w:val="21"/>
          <w:u w:val="single"/>
        </w:rPr>
        <w:t>-</w:t>
      </w:r>
      <w:r>
        <w:rPr>
          <w:rFonts w:hint="eastAsia" w:ascii="宋体" w:hAnsi="宋体" w:cs="宋体"/>
          <w:color w:val="auto"/>
          <w:kern w:val="0"/>
          <w:szCs w:val="21"/>
          <w:u w:val="single"/>
        </w:rPr>
        <w:t>1.15</w:t>
      </w:r>
      <w:r>
        <w:rPr>
          <w:rFonts w:hint="eastAsia" w:ascii="宋体" w:hAnsi="宋体" w:cs="宋体"/>
          <w:i/>
          <w:iCs/>
          <w:color w:val="auto"/>
          <w:spacing w:val="-1"/>
          <w:kern w:val="0"/>
          <w:szCs w:val="21"/>
          <w:u w:val="single"/>
        </w:rPr>
        <w:t>Q</w:t>
      </w:r>
      <w:r>
        <w:rPr>
          <w:rFonts w:hint="eastAsia" w:ascii="宋体" w:hAnsi="宋体" w:cs="宋体"/>
          <w:i/>
          <w:iCs/>
          <w:color w:val="auto"/>
          <w:spacing w:val="1"/>
          <w:kern w:val="0"/>
          <w:position w:val="-3"/>
          <w:szCs w:val="21"/>
          <w:u w:val="single"/>
        </w:rPr>
        <w:t>0</w:t>
      </w:r>
      <w:r>
        <w:rPr>
          <w:rFonts w:hint="eastAsia" w:ascii="宋体" w:hAnsi="宋体" w:cs="宋体"/>
          <w:color w:val="auto"/>
          <w:kern w:val="0"/>
          <w:szCs w:val="21"/>
          <w:u w:val="single"/>
        </w:rPr>
        <w:t>）×</w:t>
      </w:r>
      <w:r>
        <w:rPr>
          <w:rFonts w:hint="eastAsia" w:ascii="宋体" w:hAnsi="宋体" w:cs="宋体"/>
          <w:i/>
          <w:iCs/>
          <w:color w:val="auto"/>
          <w:kern w:val="0"/>
          <w:szCs w:val="21"/>
          <w:u w:val="single"/>
        </w:rPr>
        <w:t>P</w:t>
      </w:r>
      <w:r>
        <w:rPr>
          <w:rFonts w:hint="eastAsia" w:ascii="宋体" w:hAnsi="宋体" w:cs="宋体"/>
          <w:i/>
          <w:iCs/>
          <w:color w:val="auto"/>
          <w:kern w:val="0"/>
          <w:position w:val="-3"/>
          <w:szCs w:val="21"/>
          <w:u w:val="single"/>
        </w:rPr>
        <w:t>1,其中</w:t>
      </w:r>
      <w:r>
        <w:rPr>
          <w:rFonts w:hint="eastAsia" w:ascii="宋体" w:hAnsi="宋体" w:cs="宋体"/>
          <w:i/>
          <w:iCs/>
          <w:color w:val="auto"/>
          <w:kern w:val="0"/>
          <w:szCs w:val="21"/>
          <w:u w:val="single"/>
        </w:rPr>
        <w:t>P</w:t>
      </w:r>
      <w:r>
        <w:rPr>
          <w:rFonts w:hint="eastAsia" w:ascii="宋体" w:hAnsi="宋体" w:cs="宋体"/>
          <w:i/>
          <w:iCs/>
          <w:color w:val="auto"/>
          <w:kern w:val="0"/>
          <w:position w:val="-3"/>
          <w:szCs w:val="21"/>
          <w:u w:val="single"/>
        </w:rPr>
        <w:t>1=0.9</w:t>
      </w:r>
      <w:r>
        <w:rPr>
          <w:rFonts w:hint="eastAsia" w:ascii="宋体" w:hAnsi="宋体" w:cs="宋体"/>
          <w:i/>
          <w:iCs/>
          <w:color w:val="auto"/>
          <w:kern w:val="0"/>
          <w:szCs w:val="21"/>
          <w:u w:val="single"/>
        </w:rPr>
        <w:t xml:space="preserve"> P</w:t>
      </w:r>
      <w:r>
        <w:rPr>
          <w:rFonts w:hint="eastAsia" w:ascii="宋体" w:hAnsi="宋体" w:cs="宋体"/>
          <w:i/>
          <w:iCs/>
          <w:color w:val="auto"/>
          <w:spacing w:val="1"/>
          <w:kern w:val="0"/>
          <w:position w:val="-3"/>
          <w:szCs w:val="21"/>
          <w:u w:val="single"/>
        </w:rPr>
        <w:t>0</w:t>
      </w:r>
    </w:p>
    <w:p>
      <w:pPr>
        <w:autoSpaceDE w:val="0"/>
        <w:autoSpaceDN w:val="0"/>
        <w:adjustRightInd w:val="0"/>
        <w:spacing w:before="68"/>
        <w:ind w:right="-20"/>
        <w:jc w:val="left"/>
        <w:rPr>
          <w:rFonts w:ascii="宋体" w:hAnsi="宋体" w:cs="宋体"/>
          <w:color w:val="auto"/>
          <w:kern w:val="0"/>
          <w:szCs w:val="21"/>
          <w:u w:val="single"/>
        </w:rPr>
      </w:pPr>
      <w:r>
        <w:rPr>
          <w:rFonts w:hint="eastAsia" w:ascii="宋体" w:hAnsi="宋体" w:cs="宋体"/>
          <w:color w:val="auto"/>
          <w:kern w:val="0"/>
          <w:szCs w:val="21"/>
          <w:u w:val="single"/>
        </w:rPr>
        <w:fldChar w:fldCharType="begin"/>
      </w:r>
      <w:r>
        <w:rPr>
          <w:rFonts w:hint="eastAsia" w:ascii="宋体" w:hAnsi="宋体" w:cs="宋体"/>
          <w:color w:val="auto"/>
          <w:kern w:val="0"/>
          <w:szCs w:val="21"/>
          <w:u w:val="single"/>
        </w:rPr>
        <w:instrText xml:space="preserve">= 2 \* GB3</w:instrText>
      </w:r>
      <w:r>
        <w:rPr>
          <w:rFonts w:hint="eastAsia" w:ascii="宋体" w:hAnsi="宋体" w:cs="宋体"/>
          <w:color w:val="auto"/>
          <w:kern w:val="0"/>
          <w:szCs w:val="21"/>
          <w:u w:val="single"/>
        </w:rPr>
        <w:fldChar w:fldCharType="separate"/>
      </w:r>
      <w:r>
        <w:rPr>
          <w:rFonts w:hint="eastAsia" w:ascii="宋体" w:hAnsi="宋体" w:cs="宋体"/>
          <w:color w:val="auto"/>
          <w:kern w:val="0"/>
          <w:szCs w:val="21"/>
          <w:u w:val="single"/>
        </w:rPr>
        <w:t>②</w:t>
      </w:r>
      <w:r>
        <w:rPr>
          <w:rFonts w:hint="eastAsia" w:ascii="宋体" w:hAnsi="宋体" w:cs="宋体"/>
          <w:color w:val="auto"/>
          <w:kern w:val="0"/>
          <w:szCs w:val="21"/>
          <w:u w:val="single"/>
        </w:rPr>
        <w:fldChar w:fldCharType="end"/>
      </w:r>
      <w:r>
        <w:rPr>
          <w:rFonts w:hint="eastAsia" w:ascii="宋体" w:hAnsi="宋体" w:cs="宋体"/>
          <w:color w:val="auto"/>
          <w:kern w:val="0"/>
          <w:szCs w:val="21"/>
          <w:u w:val="single"/>
        </w:rPr>
        <w:t>当</w:t>
      </w:r>
      <w:r>
        <w:rPr>
          <w:rFonts w:hint="eastAsia" w:ascii="宋体" w:hAnsi="宋体" w:cs="宋体"/>
          <w:i/>
          <w:iCs/>
          <w:color w:val="auto"/>
          <w:spacing w:val="-1"/>
          <w:kern w:val="0"/>
          <w:szCs w:val="21"/>
          <w:u w:val="single"/>
        </w:rPr>
        <w:t>Q</w:t>
      </w:r>
      <w:r>
        <w:rPr>
          <w:rFonts w:hint="eastAsia" w:ascii="宋体" w:hAnsi="宋体" w:cs="宋体"/>
          <w:i/>
          <w:iCs/>
          <w:color w:val="auto"/>
          <w:spacing w:val="1"/>
          <w:kern w:val="0"/>
          <w:position w:val="-3"/>
          <w:szCs w:val="21"/>
          <w:u w:val="single"/>
        </w:rPr>
        <w:t>1</w:t>
      </w:r>
      <w:r>
        <w:rPr>
          <w:rFonts w:hint="eastAsia" w:ascii="宋体" w:hAnsi="宋体" w:cs="宋体"/>
          <w:color w:val="auto"/>
          <w:kern w:val="0"/>
          <w:szCs w:val="21"/>
          <w:u w:val="single"/>
        </w:rPr>
        <w:t>﹤0.85</w:t>
      </w:r>
      <w:r>
        <w:rPr>
          <w:rFonts w:hint="eastAsia" w:ascii="宋体" w:hAnsi="宋体" w:cs="宋体"/>
          <w:i/>
          <w:iCs/>
          <w:color w:val="auto"/>
          <w:spacing w:val="-1"/>
          <w:kern w:val="0"/>
          <w:szCs w:val="21"/>
          <w:u w:val="single"/>
        </w:rPr>
        <w:t>Q</w:t>
      </w:r>
      <w:r>
        <w:rPr>
          <w:rFonts w:hint="eastAsia" w:ascii="宋体" w:hAnsi="宋体" w:cs="宋体"/>
          <w:color w:val="auto"/>
          <w:spacing w:val="1"/>
          <w:kern w:val="0"/>
          <w:position w:val="-3"/>
          <w:szCs w:val="21"/>
          <w:u w:val="single"/>
        </w:rPr>
        <w:t>0</w:t>
      </w:r>
      <w:r>
        <w:rPr>
          <w:rFonts w:hint="eastAsia" w:ascii="宋体" w:hAnsi="宋体" w:cs="宋体"/>
          <w:color w:val="auto"/>
          <w:kern w:val="0"/>
          <w:szCs w:val="21"/>
          <w:u w:val="single"/>
        </w:rPr>
        <w:t>时，S</w:t>
      </w:r>
      <w:r>
        <w:rPr>
          <w:rFonts w:hint="eastAsia" w:ascii="宋体" w:hAnsi="宋体" w:cs="宋体"/>
          <w:i/>
          <w:iCs/>
          <w:color w:val="auto"/>
          <w:kern w:val="0"/>
          <w:szCs w:val="21"/>
          <w:u w:val="single"/>
        </w:rPr>
        <w:t>=</w:t>
      </w:r>
      <w:r>
        <w:rPr>
          <w:rFonts w:hint="eastAsia" w:ascii="宋体" w:hAnsi="宋体" w:cs="宋体"/>
          <w:i/>
          <w:iCs/>
          <w:color w:val="auto"/>
          <w:spacing w:val="-1"/>
          <w:kern w:val="0"/>
          <w:szCs w:val="21"/>
          <w:u w:val="single"/>
        </w:rPr>
        <w:t>Q</w:t>
      </w:r>
      <w:r>
        <w:rPr>
          <w:rFonts w:hint="eastAsia" w:ascii="宋体" w:hAnsi="宋体" w:cs="宋体"/>
          <w:i/>
          <w:iCs/>
          <w:color w:val="auto"/>
          <w:spacing w:val="1"/>
          <w:kern w:val="0"/>
          <w:position w:val="-3"/>
          <w:szCs w:val="21"/>
          <w:u w:val="single"/>
        </w:rPr>
        <w:t>1</w:t>
      </w:r>
      <w:r>
        <w:rPr>
          <w:rFonts w:hint="eastAsia" w:ascii="宋体" w:hAnsi="宋体" w:cs="宋体"/>
          <w:color w:val="auto"/>
          <w:kern w:val="0"/>
          <w:szCs w:val="21"/>
          <w:u w:val="single"/>
        </w:rPr>
        <w:t>×</w:t>
      </w:r>
      <w:r>
        <w:rPr>
          <w:rFonts w:hint="eastAsia" w:ascii="宋体" w:hAnsi="宋体" w:cs="宋体"/>
          <w:i/>
          <w:iCs/>
          <w:color w:val="auto"/>
          <w:kern w:val="0"/>
          <w:szCs w:val="21"/>
          <w:u w:val="single"/>
        </w:rPr>
        <w:t>P</w:t>
      </w:r>
      <w:r>
        <w:rPr>
          <w:rFonts w:hint="eastAsia" w:ascii="宋体" w:hAnsi="宋体" w:cs="宋体"/>
          <w:i/>
          <w:iCs/>
          <w:color w:val="auto"/>
          <w:spacing w:val="1"/>
          <w:kern w:val="0"/>
          <w:position w:val="-3"/>
          <w:szCs w:val="21"/>
          <w:u w:val="single"/>
        </w:rPr>
        <w:t>0</w:t>
      </w:r>
      <w:r>
        <w:rPr>
          <w:rFonts w:hint="eastAsia" w:ascii="宋体" w:hAnsi="宋体" w:cs="宋体"/>
          <w:i/>
          <w:iCs/>
          <w:color w:val="auto"/>
          <w:kern w:val="0"/>
          <w:szCs w:val="21"/>
          <w:u w:val="single"/>
        </w:rPr>
        <w:t xml:space="preserve">= </w:t>
      </w:r>
      <w:r>
        <w:rPr>
          <w:rFonts w:hint="eastAsia" w:ascii="宋体" w:hAnsi="宋体" w:cs="宋体"/>
          <w:i/>
          <w:iCs/>
          <w:color w:val="auto"/>
          <w:spacing w:val="-1"/>
          <w:kern w:val="0"/>
          <w:szCs w:val="21"/>
          <w:u w:val="single"/>
        </w:rPr>
        <w:t>Q</w:t>
      </w:r>
      <w:r>
        <w:rPr>
          <w:rFonts w:hint="eastAsia" w:ascii="宋体" w:hAnsi="宋体" w:cs="宋体"/>
          <w:i/>
          <w:iCs/>
          <w:color w:val="auto"/>
          <w:spacing w:val="1"/>
          <w:kern w:val="0"/>
          <w:position w:val="-3"/>
          <w:szCs w:val="21"/>
          <w:u w:val="single"/>
        </w:rPr>
        <w:t>1</w:t>
      </w:r>
      <w:r>
        <w:rPr>
          <w:rFonts w:hint="eastAsia" w:ascii="宋体" w:hAnsi="宋体" w:cs="宋体"/>
          <w:color w:val="auto"/>
          <w:kern w:val="0"/>
          <w:szCs w:val="21"/>
          <w:u w:val="single"/>
        </w:rPr>
        <w:t>×</w:t>
      </w:r>
      <w:r>
        <w:rPr>
          <w:rFonts w:hint="eastAsia" w:ascii="宋体" w:hAnsi="宋体" w:cs="宋体"/>
          <w:i/>
          <w:iCs/>
          <w:color w:val="auto"/>
          <w:kern w:val="0"/>
          <w:szCs w:val="21"/>
          <w:u w:val="single"/>
        </w:rPr>
        <w:t>P</w:t>
      </w:r>
      <w:r>
        <w:rPr>
          <w:rFonts w:hint="eastAsia" w:ascii="宋体" w:hAnsi="宋体" w:cs="宋体"/>
          <w:i/>
          <w:iCs/>
          <w:color w:val="auto"/>
          <w:kern w:val="0"/>
          <w:position w:val="-3"/>
          <w:szCs w:val="21"/>
          <w:u w:val="single"/>
        </w:rPr>
        <w:t>1, 其中</w:t>
      </w:r>
      <w:r>
        <w:rPr>
          <w:rFonts w:hint="eastAsia" w:ascii="宋体" w:hAnsi="宋体" w:cs="宋体"/>
          <w:i/>
          <w:iCs/>
          <w:color w:val="auto"/>
          <w:kern w:val="0"/>
          <w:szCs w:val="21"/>
          <w:u w:val="single"/>
        </w:rPr>
        <w:t>P</w:t>
      </w:r>
      <w:r>
        <w:rPr>
          <w:rFonts w:hint="eastAsia" w:ascii="宋体" w:hAnsi="宋体" w:cs="宋体"/>
          <w:i/>
          <w:iCs/>
          <w:color w:val="auto"/>
          <w:kern w:val="0"/>
          <w:position w:val="-3"/>
          <w:szCs w:val="21"/>
          <w:u w:val="single"/>
        </w:rPr>
        <w:t>0=</w:t>
      </w:r>
      <w:r>
        <w:rPr>
          <w:rFonts w:hint="eastAsia" w:ascii="宋体" w:hAnsi="宋体" w:cs="宋体"/>
          <w:i/>
          <w:iCs/>
          <w:color w:val="auto"/>
          <w:kern w:val="0"/>
          <w:szCs w:val="21"/>
          <w:u w:val="single"/>
        </w:rPr>
        <w:t>P</w:t>
      </w:r>
      <w:r>
        <w:rPr>
          <w:rFonts w:hint="eastAsia" w:ascii="宋体" w:hAnsi="宋体" w:cs="宋体"/>
          <w:i/>
          <w:iCs/>
          <w:color w:val="auto"/>
          <w:spacing w:val="1"/>
          <w:kern w:val="0"/>
          <w:position w:val="-3"/>
          <w:szCs w:val="21"/>
          <w:u w:val="single"/>
        </w:rPr>
        <w:t>1</w:t>
      </w:r>
    </w:p>
    <w:p>
      <w:pPr>
        <w:spacing w:line="360" w:lineRule="auto"/>
        <w:jc w:val="left"/>
        <w:rPr>
          <w:rFonts w:ascii="宋体" w:hAnsi="宋体" w:cs="宋体"/>
          <w:color w:val="auto"/>
          <w:kern w:val="0"/>
          <w:szCs w:val="21"/>
          <w:u w:val="single"/>
        </w:rPr>
      </w:pPr>
      <w:r>
        <w:rPr>
          <w:rFonts w:hint="eastAsia" w:ascii="宋体" w:hAnsi="宋体" w:cs="宋体"/>
          <w:color w:val="auto"/>
          <w:kern w:val="0"/>
          <w:szCs w:val="21"/>
          <w:u w:val="single"/>
        </w:rPr>
        <w:t xml:space="preserve">式中   </w:t>
      </w:r>
      <w:r>
        <w:rPr>
          <w:rFonts w:hint="eastAsia" w:ascii="宋体" w:hAnsi="宋体" w:cs="宋体"/>
          <w:i/>
          <w:iCs/>
          <w:color w:val="auto"/>
          <w:kern w:val="0"/>
          <w:szCs w:val="21"/>
          <w:u w:val="single"/>
        </w:rPr>
        <w:t>S</w:t>
      </w:r>
      <w:r>
        <w:rPr>
          <w:rFonts w:hint="eastAsia" w:ascii="宋体" w:hAnsi="宋体" w:cs="宋体"/>
          <w:color w:val="auto"/>
          <w:kern w:val="0"/>
          <w:szCs w:val="21"/>
          <w:u w:val="single"/>
        </w:rPr>
        <w:t>——调整后的某一分部分项工程费结算价；</w:t>
      </w:r>
    </w:p>
    <w:p>
      <w:pPr>
        <w:spacing w:line="360" w:lineRule="auto"/>
        <w:jc w:val="left"/>
        <w:rPr>
          <w:rFonts w:ascii="宋体" w:hAnsi="宋体" w:cs="宋体"/>
          <w:color w:val="auto"/>
          <w:kern w:val="0"/>
          <w:szCs w:val="21"/>
          <w:u w:val="single"/>
        </w:rPr>
      </w:pPr>
      <w:r>
        <w:rPr>
          <w:rFonts w:hint="eastAsia" w:ascii="宋体" w:hAnsi="宋体" w:cs="宋体"/>
          <w:i/>
          <w:iCs/>
          <w:color w:val="auto"/>
          <w:spacing w:val="-1"/>
          <w:kern w:val="0"/>
          <w:szCs w:val="21"/>
          <w:u w:val="single"/>
        </w:rPr>
        <w:t>Q</w:t>
      </w:r>
      <w:r>
        <w:rPr>
          <w:rFonts w:hint="eastAsia" w:ascii="宋体" w:hAnsi="宋体" w:cs="宋体"/>
          <w:i/>
          <w:iCs/>
          <w:color w:val="auto"/>
          <w:spacing w:val="1"/>
          <w:kern w:val="0"/>
          <w:position w:val="-3"/>
          <w:szCs w:val="21"/>
          <w:u w:val="single"/>
        </w:rPr>
        <w:t>1</w:t>
      </w:r>
      <w:r>
        <w:rPr>
          <w:rFonts w:hint="eastAsia" w:ascii="宋体" w:hAnsi="宋体" w:cs="宋体"/>
          <w:color w:val="auto"/>
          <w:kern w:val="0"/>
          <w:szCs w:val="21"/>
          <w:u w:val="single"/>
        </w:rPr>
        <w:t>——最终完成的工程量；</w:t>
      </w:r>
    </w:p>
    <w:p>
      <w:pPr>
        <w:spacing w:line="360" w:lineRule="auto"/>
        <w:jc w:val="left"/>
        <w:rPr>
          <w:rFonts w:ascii="宋体" w:hAnsi="宋体" w:cs="宋体"/>
          <w:color w:val="auto"/>
          <w:kern w:val="0"/>
          <w:szCs w:val="21"/>
          <w:u w:val="single"/>
        </w:rPr>
      </w:pPr>
      <w:r>
        <w:rPr>
          <w:rFonts w:hint="eastAsia" w:ascii="宋体" w:hAnsi="宋体" w:cs="宋体"/>
          <w:i/>
          <w:iCs/>
          <w:color w:val="auto"/>
          <w:spacing w:val="-1"/>
          <w:kern w:val="0"/>
          <w:szCs w:val="21"/>
          <w:u w:val="single"/>
        </w:rPr>
        <w:t>Q</w:t>
      </w:r>
      <w:r>
        <w:rPr>
          <w:rFonts w:hint="eastAsia" w:ascii="宋体" w:hAnsi="宋体" w:cs="宋体"/>
          <w:i/>
          <w:iCs/>
          <w:color w:val="auto"/>
          <w:spacing w:val="1"/>
          <w:kern w:val="0"/>
          <w:position w:val="-3"/>
          <w:szCs w:val="21"/>
          <w:u w:val="single"/>
        </w:rPr>
        <w:t>0</w:t>
      </w:r>
      <w:r>
        <w:rPr>
          <w:rFonts w:hint="eastAsia" w:ascii="宋体" w:hAnsi="宋体" w:cs="宋体"/>
          <w:color w:val="auto"/>
          <w:kern w:val="0"/>
          <w:szCs w:val="21"/>
          <w:u w:val="single"/>
        </w:rPr>
        <w:t>——工程量清单中开列的工程量；</w:t>
      </w:r>
    </w:p>
    <w:p>
      <w:pPr>
        <w:spacing w:line="360" w:lineRule="auto"/>
        <w:jc w:val="left"/>
        <w:rPr>
          <w:rFonts w:ascii="宋体" w:hAnsi="宋体" w:cs="宋体"/>
          <w:color w:val="auto"/>
          <w:kern w:val="0"/>
          <w:szCs w:val="21"/>
          <w:u w:val="single"/>
        </w:rPr>
      </w:pPr>
      <w:r>
        <w:rPr>
          <w:rFonts w:hint="eastAsia" w:ascii="宋体" w:hAnsi="宋体" w:cs="宋体"/>
          <w:i/>
          <w:iCs/>
          <w:color w:val="auto"/>
          <w:kern w:val="0"/>
          <w:szCs w:val="21"/>
          <w:u w:val="single"/>
        </w:rPr>
        <w:t>P</w:t>
      </w:r>
      <w:r>
        <w:rPr>
          <w:rFonts w:hint="eastAsia" w:ascii="宋体" w:hAnsi="宋体" w:cs="宋体"/>
          <w:i/>
          <w:iCs/>
          <w:color w:val="auto"/>
          <w:spacing w:val="1"/>
          <w:kern w:val="0"/>
          <w:position w:val="-3"/>
          <w:szCs w:val="21"/>
          <w:u w:val="single"/>
        </w:rPr>
        <w:t>1</w:t>
      </w:r>
      <w:r>
        <w:rPr>
          <w:rFonts w:hint="eastAsia" w:ascii="宋体" w:hAnsi="宋体" w:cs="宋体"/>
          <w:color w:val="auto"/>
          <w:kern w:val="0"/>
          <w:szCs w:val="21"/>
          <w:u w:val="single"/>
        </w:rPr>
        <w:t>——按照最终完成工程量重新调整后的综合单价；</w:t>
      </w:r>
    </w:p>
    <w:p>
      <w:pPr>
        <w:spacing w:line="360" w:lineRule="auto"/>
        <w:jc w:val="left"/>
        <w:rPr>
          <w:rFonts w:ascii="宋体" w:hAnsi="宋体" w:cs="宋体"/>
          <w:color w:val="auto"/>
          <w:szCs w:val="21"/>
          <w:u w:val="single"/>
        </w:rPr>
      </w:pPr>
      <w:r>
        <w:rPr>
          <w:rFonts w:hint="eastAsia" w:ascii="宋体" w:hAnsi="宋体" w:cs="宋体"/>
          <w:i/>
          <w:iCs/>
          <w:color w:val="auto"/>
          <w:kern w:val="0"/>
          <w:szCs w:val="21"/>
          <w:u w:val="single"/>
        </w:rPr>
        <w:t>P</w:t>
      </w:r>
      <w:r>
        <w:rPr>
          <w:rFonts w:hint="eastAsia" w:ascii="宋体" w:hAnsi="宋体" w:cs="宋体"/>
          <w:i/>
          <w:iCs/>
          <w:color w:val="auto"/>
          <w:spacing w:val="1"/>
          <w:kern w:val="0"/>
          <w:position w:val="-3"/>
          <w:szCs w:val="21"/>
          <w:u w:val="single"/>
        </w:rPr>
        <w:t>0</w:t>
      </w:r>
      <w:r>
        <w:rPr>
          <w:rFonts w:hint="eastAsia" w:ascii="宋体" w:hAnsi="宋体" w:cs="宋体"/>
          <w:color w:val="auto"/>
          <w:kern w:val="0"/>
          <w:szCs w:val="21"/>
          <w:u w:val="single"/>
        </w:rPr>
        <w:t>——承包人在工程量清单中填报的综合单价。</w:t>
      </w:r>
    </w:p>
    <w:p>
      <w:pPr>
        <w:tabs>
          <w:tab w:val="left" w:pos="1240"/>
        </w:tabs>
        <w:autoSpaceDE w:val="0"/>
        <w:autoSpaceDN w:val="0"/>
        <w:spacing w:before="96" w:line="300" w:lineRule="auto"/>
        <w:ind w:firstLine="420" w:firstLineChars="200"/>
        <w:jc w:val="left"/>
        <w:rPr>
          <w:rFonts w:ascii="宋体" w:hAnsi="宋体" w:cs="宋体"/>
          <w:bCs/>
          <w:color w:val="auto"/>
          <w:szCs w:val="21"/>
        </w:rPr>
      </w:pPr>
      <w:r>
        <w:rPr>
          <w:rFonts w:hint="eastAsia" w:ascii="宋体" w:hAnsi="宋体" w:cs="宋体"/>
          <w:bCs/>
          <w:color w:val="auto"/>
          <w:szCs w:val="21"/>
        </w:rPr>
        <w:t>73.3工程量的偏差，导致措施项目费调整的方法：</w:t>
      </w:r>
    </w:p>
    <w:p>
      <w:pPr>
        <w:autoSpaceDE w:val="0"/>
        <w:autoSpaceDN w:val="0"/>
        <w:spacing w:before="96" w:line="300" w:lineRule="auto"/>
        <w:ind w:firstLine="420" w:firstLineChars="200"/>
        <w:jc w:val="left"/>
        <w:rPr>
          <w:rFonts w:ascii="宋体" w:hAnsi="宋体" w:cs="宋体"/>
          <w:bCs/>
          <w:color w:val="auto"/>
          <w:szCs w:val="21"/>
        </w:rPr>
      </w:pPr>
      <w:r>
        <w:rPr>
          <w:rFonts w:hint="eastAsia" w:ascii="宋体" w:hAnsi="宋体" w:cs="宋体"/>
          <w:bCs/>
          <w:color w:val="auto"/>
          <w:szCs w:val="21"/>
        </w:rPr>
        <w:t>□ 按合同通用条款的规定调整。</w:t>
      </w:r>
    </w:p>
    <w:p>
      <w:pPr>
        <w:autoSpaceDE w:val="0"/>
        <w:autoSpaceDN w:val="0"/>
        <w:spacing w:before="96" w:line="300" w:lineRule="auto"/>
        <w:ind w:firstLine="420" w:firstLineChars="200"/>
        <w:jc w:val="left"/>
        <w:rPr>
          <w:rFonts w:ascii="宋体" w:hAnsi="宋体" w:cs="宋体"/>
          <w:bCs/>
          <w:color w:val="auto"/>
          <w:szCs w:val="21"/>
          <w:u w:val="single"/>
        </w:rPr>
      </w:pPr>
      <w:r>
        <w:rPr>
          <w:rFonts w:hint="eastAsia" w:ascii="宋体" w:hAnsi="宋体" w:cs="宋体"/>
          <w:bCs/>
          <w:color w:val="auto"/>
          <w:szCs w:val="21"/>
        </w:rPr>
        <w:t>■ 按以下方法调整：</w:t>
      </w:r>
      <w:r>
        <w:rPr>
          <w:rFonts w:hint="eastAsia" w:ascii="宋体" w:hAnsi="宋体" w:cs="宋体"/>
          <w:bCs/>
          <w:color w:val="auto"/>
          <w:szCs w:val="21"/>
          <w:u w:val="single"/>
        </w:rPr>
        <w:t xml:space="preserve"> 不作调整。</w:t>
      </w:r>
    </w:p>
    <w:p>
      <w:pPr>
        <w:autoSpaceDE w:val="0"/>
        <w:autoSpaceDN w:val="0"/>
        <w:spacing w:before="96" w:line="300" w:lineRule="auto"/>
        <w:ind w:right="-20"/>
        <w:jc w:val="left"/>
        <w:rPr>
          <w:rFonts w:ascii="宋体" w:hAnsi="宋体" w:cs="宋体"/>
          <w:b/>
          <w:color w:val="auto"/>
          <w:szCs w:val="21"/>
        </w:rPr>
      </w:pPr>
      <w:r>
        <w:rPr>
          <w:rFonts w:hint="eastAsia" w:ascii="宋体" w:hAnsi="宋体" w:cs="宋体"/>
          <w:b/>
          <w:color w:val="auto"/>
          <w:szCs w:val="21"/>
        </w:rPr>
        <w:t>75．现场签证事件</w:t>
      </w:r>
    </w:p>
    <w:p>
      <w:pPr>
        <w:autoSpaceDE w:val="0"/>
        <w:autoSpaceDN w:val="0"/>
        <w:spacing w:before="96" w:line="300" w:lineRule="auto"/>
        <w:ind w:firstLine="420" w:firstLineChars="200"/>
        <w:jc w:val="left"/>
        <w:rPr>
          <w:rFonts w:ascii="宋体" w:hAnsi="宋体" w:cs="宋体"/>
          <w:bCs/>
          <w:color w:val="auto"/>
          <w:szCs w:val="21"/>
        </w:rPr>
      </w:pPr>
      <w:bookmarkStart w:id="318" w:name="_Toc416853072"/>
      <w:r>
        <w:rPr>
          <w:rFonts w:hint="eastAsia" w:ascii="宋体" w:hAnsi="宋体" w:cs="宋体"/>
          <w:bCs/>
          <w:color w:val="auto"/>
          <w:szCs w:val="21"/>
        </w:rPr>
        <w:t>75.3 现场签证报告的确认</w:t>
      </w:r>
      <w:bookmarkEnd w:id="318"/>
    </w:p>
    <w:p>
      <w:pPr>
        <w:autoSpaceDE w:val="0"/>
        <w:autoSpaceDN w:val="0"/>
        <w:spacing w:before="96" w:line="300" w:lineRule="auto"/>
        <w:ind w:firstLine="420" w:firstLineChars="200"/>
        <w:jc w:val="left"/>
        <w:rPr>
          <w:rFonts w:ascii="宋体" w:hAnsi="宋体" w:cs="宋体"/>
          <w:bCs/>
          <w:color w:val="auto"/>
          <w:szCs w:val="21"/>
        </w:rPr>
      </w:pPr>
      <w:r>
        <w:rPr>
          <w:rFonts w:hint="eastAsia" w:ascii="宋体" w:hAnsi="宋体" w:cs="宋体"/>
          <w:bCs/>
          <w:color w:val="auto"/>
          <w:szCs w:val="21"/>
        </w:rPr>
        <w:t>提交现场签证报告的时间：</w:t>
      </w:r>
    </w:p>
    <w:p>
      <w:pPr>
        <w:autoSpaceDE w:val="0"/>
        <w:autoSpaceDN w:val="0"/>
        <w:spacing w:before="96" w:line="300" w:lineRule="auto"/>
        <w:ind w:firstLine="420" w:firstLineChars="200"/>
        <w:jc w:val="left"/>
        <w:rPr>
          <w:rFonts w:ascii="宋体" w:hAnsi="宋体" w:cs="宋体"/>
          <w:bCs/>
          <w:color w:val="auto"/>
          <w:szCs w:val="21"/>
        </w:rPr>
      </w:pPr>
      <w:r>
        <w:rPr>
          <w:rFonts w:hint="eastAsia" w:ascii="宋体" w:hAnsi="宋体" w:cs="宋体"/>
          <w:bCs/>
          <w:color w:val="auto"/>
          <w:szCs w:val="21"/>
        </w:rPr>
        <w:t>■ 按通用条款的规定的时间提交。</w:t>
      </w:r>
    </w:p>
    <w:p>
      <w:pPr>
        <w:autoSpaceDE w:val="0"/>
        <w:autoSpaceDN w:val="0"/>
        <w:spacing w:before="96" w:line="30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 另作约定：</w:t>
      </w:r>
    </w:p>
    <w:p>
      <w:pPr>
        <w:autoSpaceDE w:val="0"/>
        <w:autoSpaceDN w:val="0"/>
        <w:spacing w:before="96" w:line="300" w:lineRule="auto"/>
        <w:ind w:right="-20"/>
        <w:jc w:val="left"/>
        <w:rPr>
          <w:rFonts w:ascii="宋体" w:hAnsi="宋体" w:cs="宋体"/>
          <w:b/>
          <w:color w:val="auto"/>
          <w:szCs w:val="21"/>
        </w:rPr>
      </w:pPr>
      <w:r>
        <w:rPr>
          <w:rFonts w:hint="eastAsia" w:ascii="宋体" w:hAnsi="宋体" w:cs="宋体"/>
          <w:b/>
          <w:color w:val="auto"/>
          <w:szCs w:val="21"/>
        </w:rPr>
        <w:t>76．物价涨落事件</w:t>
      </w:r>
    </w:p>
    <w:p>
      <w:pPr>
        <w:autoSpaceDE w:val="0"/>
        <w:autoSpaceDN w:val="0"/>
        <w:spacing w:before="96" w:line="300" w:lineRule="auto"/>
        <w:ind w:firstLine="420" w:firstLineChars="200"/>
        <w:jc w:val="left"/>
        <w:rPr>
          <w:rFonts w:ascii="宋体" w:hAnsi="宋体" w:cs="宋体"/>
          <w:bCs/>
          <w:color w:val="auto"/>
          <w:szCs w:val="21"/>
        </w:rPr>
      </w:pPr>
      <w:r>
        <w:rPr>
          <w:rFonts w:hint="eastAsia" w:ascii="宋体" w:hAnsi="宋体" w:cs="宋体"/>
          <w:bCs/>
          <w:color w:val="auto"/>
          <w:szCs w:val="21"/>
        </w:rPr>
        <w:t>76.1 投标材料、人工、机械台班等均不予调整价差。</w:t>
      </w:r>
    </w:p>
    <w:p>
      <w:pPr>
        <w:autoSpaceDE w:val="0"/>
        <w:autoSpaceDN w:val="0"/>
        <w:spacing w:before="96" w:line="300" w:lineRule="auto"/>
        <w:ind w:firstLine="420" w:firstLineChars="200"/>
        <w:jc w:val="left"/>
        <w:rPr>
          <w:rFonts w:ascii="宋体" w:hAnsi="宋体" w:cs="宋体"/>
          <w:bCs/>
          <w:color w:val="auto"/>
          <w:szCs w:val="21"/>
        </w:rPr>
      </w:pPr>
      <w:r>
        <w:rPr>
          <w:rFonts w:hint="eastAsia" w:ascii="宋体" w:hAnsi="宋体" w:cs="宋体"/>
          <w:bCs/>
          <w:color w:val="auto"/>
          <w:szCs w:val="21"/>
        </w:rPr>
        <w:t>76.2 本款不适用</w:t>
      </w:r>
    </w:p>
    <w:p>
      <w:pPr>
        <w:autoSpaceDE w:val="0"/>
        <w:autoSpaceDN w:val="0"/>
        <w:spacing w:before="96" w:line="300" w:lineRule="auto"/>
        <w:ind w:firstLine="420" w:firstLineChars="200"/>
        <w:jc w:val="left"/>
        <w:rPr>
          <w:rFonts w:ascii="宋体" w:hAnsi="宋体" w:cs="宋体"/>
          <w:bCs/>
          <w:color w:val="auto"/>
          <w:szCs w:val="21"/>
        </w:rPr>
      </w:pPr>
      <w:r>
        <w:rPr>
          <w:rFonts w:hint="eastAsia" w:ascii="宋体" w:hAnsi="宋体" w:cs="宋体"/>
          <w:bCs/>
          <w:color w:val="auto"/>
          <w:szCs w:val="21"/>
        </w:rPr>
        <w:t>76.3 本款不适用。</w:t>
      </w:r>
    </w:p>
    <w:p>
      <w:pPr>
        <w:autoSpaceDE w:val="0"/>
        <w:autoSpaceDN w:val="0"/>
        <w:spacing w:before="96" w:line="300" w:lineRule="auto"/>
        <w:ind w:firstLine="420" w:firstLineChars="200"/>
        <w:jc w:val="left"/>
        <w:rPr>
          <w:rFonts w:ascii="宋体" w:hAnsi="宋体" w:cs="宋体"/>
          <w:bCs/>
          <w:color w:val="auto"/>
          <w:szCs w:val="21"/>
        </w:rPr>
      </w:pPr>
      <w:r>
        <w:rPr>
          <w:rFonts w:hint="eastAsia" w:ascii="宋体" w:hAnsi="宋体" w:cs="宋体"/>
          <w:bCs/>
          <w:color w:val="auto"/>
          <w:szCs w:val="21"/>
        </w:rPr>
        <w:t>76.4 本款不适用</w:t>
      </w:r>
    </w:p>
    <w:p>
      <w:pPr>
        <w:autoSpaceDE w:val="0"/>
        <w:autoSpaceDN w:val="0"/>
        <w:spacing w:before="96" w:line="300" w:lineRule="auto"/>
        <w:ind w:firstLine="420" w:firstLineChars="200"/>
        <w:jc w:val="left"/>
        <w:rPr>
          <w:rFonts w:ascii="宋体" w:hAnsi="宋体" w:cs="宋体"/>
          <w:bCs/>
          <w:color w:val="auto"/>
          <w:szCs w:val="21"/>
        </w:rPr>
      </w:pPr>
      <w:r>
        <w:rPr>
          <w:rFonts w:hint="eastAsia" w:ascii="宋体" w:hAnsi="宋体" w:cs="宋体"/>
          <w:bCs/>
          <w:color w:val="auto"/>
          <w:szCs w:val="21"/>
        </w:rPr>
        <w:t>76.5 本款不适用。</w:t>
      </w:r>
    </w:p>
    <w:p>
      <w:pPr>
        <w:autoSpaceDE w:val="0"/>
        <w:autoSpaceDN w:val="0"/>
        <w:spacing w:before="96" w:line="300" w:lineRule="auto"/>
        <w:ind w:firstLine="420" w:firstLineChars="200"/>
        <w:jc w:val="left"/>
        <w:rPr>
          <w:rFonts w:ascii="宋体" w:hAnsi="宋体" w:cs="宋体"/>
          <w:bCs/>
          <w:color w:val="auto"/>
          <w:szCs w:val="21"/>
        </w:rPr>
      </w:pPr>
      <w:r>
        <w:rPr>
          <w:rFonts w:hint="eastAsia" w:ascii="宋体" w:hAnsi="宋体" w:cs="宋体"/>
          <w:bCs/>
          <w:color w:val="auto"/>
          <w:szCs w:val="21"/>
        </w:rPr>
        <w:t>76.6 本款不适用</w:t>
      </w:r>
    </w:p>
    <w:p>
      <w:pPr>
        <w:autoSpaceDE w:val="0"/>
        <w:autoSpaceDN w:val="0"/>
        <w:spacing w:before="96" w:line="300" w:lineRule="auto"/>
        <w:ind w:right="-20"/>
        <w:jc w:val="left"/>
        <w:rPr>
          <w:rFonts w:ascii="宋体" w:hAnsi="宋体" w:cs="宋体"/>
          <w:bCs/>
          <w:color w:val="auto"/>
          <w:szCs w:val="21"/>
        </w:rPr>
      </w:pPr>
      <w:r>
        <w:rPr>
          <w:rFonts w:hint="eastAsia" w:ascii="宋体" w:hAnsi="宋体" w:cs="宋体"/>
          <w:b/>
          <w:color w:val="auto"/>
          <w:szCs w:val="21"/>
        </w:rPr>
        <w:t>78．支付事项</w:t>
      </w:r>
    </w:p>
    <w:p>
      <w:pPr>
        <w:autoSpaceDE w:val="0"/>
        <w:autoSpaceDN w:val="0"/>
        <w:spacing w:before="96" w:line="300" w:lineRule="auto"/>
        <w:ind w:firstLine="420" w:firstLineChars="200"/>
        <w:jc w:val="left"/>
        <w:rPr>
          <w:rFonts w:ascii="宋体" w:hAnsi="宋体" w:cs="宋体"/>
          <w:bCs/>
          <w:color w:val="auto"/>
          <w:szCs w:val="21"/>
        </w:rPr>
      </w:pPr>
      <w:r>
        <w:rPr>
          <w:rFonts w:hint="eastAsia" w:ascii="宋体" w:hAnsi="宋体" w:cs="宋体"/>
          <w:bCs/>
          <w:color w:val="auto"/>
          <w:szCs w:val="21"/>
        </w:rPr>
        <w:t>78.2 计算利息的利率</w:t>
      </w:r>
    </w:p>
    <w:p>
      <w:pPr>
        <w:autoSpaceDE w:val="0"/>
        <w:autoSpaceDN w:val="0"/>
        <w:spacing w:before="96" w:line="300" w:lineRule="auto"/>
        <w:ind w:firstLine="420" w:firstLineChars="200"/>
        <w:jc w:val="left"/>
        <w:rPr>
          <w:rFonts w:ascii="宋体" w:hAnsi="宋体" w:cs="宋体"/>
          <w:bCs/>
          <w:color w:val="auto"/>
          <w:szCs w:val="21"/>
        </w:rPr>
      </w:pPr>
      <w:r>
        <w:rPr>
          <w:rFonts w:hint="eastAsia" w:ascii="宋体" w:hAnsi="宋体" w:cs="宋体"/>
          <w:bCs/>
          <w:color w:val="auto"/>
          <w:szCs w:val="21"/>
        </w:rPr>
        <w:t>□按照中国人民银行发布的同期同类贷款利率。</w:t>
      </w:r>
    </w:p>
    <w:p>
      <w:pPr>
        <w:autoSpaceDE w:val="0"/>
        <w:autoSpaceDN w:val="0"/>
        <w:spacing w:before="96" w:line="300" w:lineRule="auto"/>
        <w:ind w:firstLine="420" w:firstLineChars="200"/>
        <w:jc w:val="left"/>
        <w:rPr>
          <w:rFonts w:ascii="宋体" w:hAnsi="宋体" w:cs="宋体"/>
          <w:color w:val="auto"/>
          <w:kern w:val="0"/>
          <w:szCs w:val="21"/>
          <w:u w:val="single"/>
        </w:rPr>
      </w:pPr>
      <w:r>
        <w:rPr>
          <w:rFonts w:hint="eastAsia" w:ascii="宋体" w:hAnsi="宋体" w:cs="宋体"/>
          <w:bCs/>
          <w:color w:val="auto"/>
          <w:szCs w:val="21"/>
        </w:rPr>
        <w:t>■</w:t>
      </w:r>
      <w:r>
        <w:rPr>
          <w:rFonts w:hint="eastAsia" w:ascii="宋体" w:hAnsi="宋体" w:cs="宋体"/>
          <w:color w:val="auto"/>
          <w:kern w:val="0"/>
          <w:szCs w:val="21"/>
        </w:rPr>
        <w:t>另作约定：</w:t>
      </w:r>
      <w:r>
        <w:rPr>
          <w:rFonts w:hint="eastAsia" w:ascii="宋体" w:hAnsi="宋体" w:cs="宋体"/>
          <w:color w:val="auto"/>
          <w:kern w:val="0"/>
          <w:szCs w:val="21"/>
          <w:u w:val="single"/>
        </w:rPr>
        <w:t xml:space="preserve"> 不计算利息。 </w:t>
      </w:r>
    </w:p>
    <w:p>
      <w:pPr>
        <w:autoSpaceDE w:val="0"/>
        <w:autoSpaceDN w:val="0"/>
        <w:spacing w:before="96" w:line="300" w:lineRule="auto"/>
        <w:ind w:firstLine="420" w:firstLineChars="200"/>
        <w:jc w:val="left"/>
        <w:rPr>
          <w:rFonts w:ascii="宋体" w:hAnsi="宋体" w:cs="宋体"/>
          <w:bCs/>
          <w:color w:val="auto"/>
          <w:szCs w:val="21"/>
        </w:rPr>
      </w:pPr>
      <w:r>
        <w:rPr>
          <w:rFonts w:hint="eastAsia" w:ascii="宋体" w:hAnsi="宋体" w:cs="宋体"/>
          <w:bCs/>
          <w:color w:val="auto"/>
          <w:szCs w:val="21"/>
        </w:rPr>
        <w:t>78.5 本项目的付款时间是指发包人向政府财政支付部门提出付款申请的时间，不含其审核和支付的时间，承包人不得因财政部门审批和支付工程进度款滞后而提出任何索赔。</w:t>
      </w:r>
    </w:p>
    <w:p>
      <w:pPr>
        <w:autoSpaceDE w:val="0"/>
        <w:autoSpaceDN w:val="0"/>
        <w:spacing w:before="96" w:line="300" w:lineRule="auto"/>
        <w:ind w:right="-20" w:firstLine="482"/>
        <w:jc w:val="left"/>
        <w:rPr>
          <w:rFonts w:ascii="宋体" w:hAnsi="宋体" w:cs="宋体"/>
          <w:b/>
          <w:color w:val="auto"/>
          <w:szCs w:val="21"/>
        </w:rPr>
      </w:pPr>
      <w:r>
        <w:rPr>
          <w:rFonts w:hint="eastAsia" w:ascii="宋体" w:hAnsi="宋体" w:cs="宋体"/>
          <w:b/>
          <w:color w:val="auto"/>
          <w:szCs w:val="21"/>
        </w:rPr>
        <w:t>79．预付款</w:t>
      </w:r>
    </w:p>
    <w:p>
      <w:pPr>
        <w:autoSpaceDE w:val="0"/>
        <w:autoSpaceDN w:val="0"/>
        <w:spacing w:before="96" w:line="300" w:lineRule="auto"/>
        <w:ind w:firstLine="420" w:firstLineChars="200"/>
        <w:jc w:val="left"/>
        <w:rPr>
          <w:rFonts w:ascii="宋体" w:hAnsi="宋体" w:cs="宋体"/>
          <w:bCs/>
          <w:color w:val="auto"/>
          <w:szCs w:val="21"/>
        </w:rPr>
      </w:pPr>
      <w:bookmarkStart w:id="319" w:name="_Toc416853073"/>
      <w:r>
        <w:rPr>
          <w:rFonts w:hint="eastAsia" w:ascii="宋体" w:hAnsi="宋体" w:cs="宋体"/>
          <w:bCs/>
          <w:color w:val="auto"/>
          <w:szCs w:val="21"/>
        </w:rPr>
        <w:t>79.1 预付款的约定及管理</w:t>
      </w:r>
      <w:bookmarkEnd w:id="319"/>
    </w:p>
    <w:p>
      <w:pPr>
        <w:autoSpaceDE w:val="0"/>
        <w:autoSpaceDN w:val="0"/>
        <w:spacing w:before="96" w:line="300" w:lineRule="auto"/>
        <w:ind w:firstLine="420" w:firstLineChars="200"/>
        <w:jc w:val="left"/>
        <w:rPr>
          <w:rFonts w:ascii="宋体" w:hAnsi="宋体" w:cs="宋体"/>
          <w:bCs/>
          <w:color w:val="auto"/>
          <w:szCs w:val="21"/>
        </w:rPr>
      </w:pPr>
      <w:r>
        <w:rPr>
          <w:rFonts w:hint="eastAsia" w:ascii="宋体" w:hAnsi="宋体" w:cs="宋体"/>
          <w:bCs/>
          <w:color w:val="auto"/>
          <w:szCs w:val="21"/>
        </w:rPr>
        <w:t>(1) 预付款的约定</w:t>
      </w:r>
    </w:p>
    <w:p>
      <w:pPr>
        <w:autoSpaceDE w:val="0"/>
        <w:autoSpaceDN w:val="0"/>
        <w:spacing w:before="96" w:line="300" w:lineRule="auto"/>
        <w:ind w:firstLine="420" w:firstLineChars="200"/>
        <w:jc w:val="left"/>
        <w:rPr>
          <w:rFonts w:ascii="宋体" w:hAnsi="宋体" w:cs="宋体"/>
          <w:bCs/>
          <w:color w:val="auto"/>
          <w:szCs w:val="21"/>
        </w:rPr>
      </w:pPr>
      <w:r>
        <w:rPr>
          <w:rFonts w:hint="eastAsia" w:ascii="宋体" w:hAnsi="宋体" w:cs="宋体"/>
          <w:bCs/>
          <w:color w:val="auto"/>
          <w:szCs w:val="21"/>
        </w:rPr>
        <w:t>□ 没约定预付款的，本条不适用。</w:t>
      </w:r>
    </w:p>
    <w:p>
      <w:pPr>
        <w:spacing w:before="96" w:line="300" w:lineRule="auto"/>
        <w:ind w:firstLine="420" w:firstLineChars="200"/>
        <w:jc w:val="left"/>
        <w:rPr>
          <w:rFonts w:ascii="宋体" w:hAnsi="宋体" w:cs="宋体"/>
          <w:color w:val="auto"/>
          <w:kern w:val="0"/>
          <w:szCs w:val="21"/>
        </w:rPr>
      </w:pPr>
      <w:r>
        <w:rPr>
          <w:rFonts w:hint="eastAsia" w:ascii="宋体" w:hAnsi="宋体" w:cs="宋体"/>
          <w:bCs/>
          <w:color w:val="auto"/>
          <w:szCs w:val="21"/>
        </w:rPr>
        <w:t>■</w:t>
      </w:r>
      <w:r>
        <w:rPr>
          <w:rFonts w:hint="eastAsia" w:ascii="宋体" w:hAnsi="宋体" w:cs="宋体"/>
          <w:color w:val="auto"/>
          <w:kern w:val="0"/>
          <w:szCs w:val="21"/>
        </w:rPr>
        <w:t xml:space="preserve"> 约定预付款的，预付款的金额为</w:t>
      </w:r>
      <w:r>
        <w:rPr>
          <w:rFonts w:hint="eastAsia" w:ascii="宋体" w:hAnsi="宋体" w:cs="宋体"/>
          <w:color w:val="auto"/>
          <w:kern w:val="0"/>
          <w:szCs w:val="21"/>
          <w:u w:val="single"/>
        </w:rPr>
        <w:t xml:space="preserve">合同价款扣除本工程暂列金及安全防护文明施工措施费后的30% </w:t>
      </w:r>
      <w:r>
        <w:rPr>
          <w:rFonts w:hint="eastAsia" w:ascii="宋体" w:hAnsi="宋体" w:cs="宋体"/>
          <w:color w:val="auto"/>
          <w:kern w:val="0"/>
          <w:szCs w:val="21"/>
        </w:rPr>
        <w:t>，其支付办法和抵扣方式，按本条有关专用条款的约定。</w:t>
      </w:r>
    </w:p>
    <w:p>
      <w:pPr>
        <w:spacing w:before="96" w:line="30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(2) 预付款的最高限额</w:t>
      </w:r>
    </w:p>
    <w:p>
      <w:pPr>
        <w:spacing w:before="96" w:line="300" w:lineRule="auto"/>
        <w:ind w:firstLine="420" w:firstLineChars="200"/>
        <w:jc w:val="left"/>
        <w:rPr>
          <w:rFonts w:ascii="宋体" w:hAnsi="宋体" w:cs="宋体"/>
          <w:color w:val="auto"/>
          <w:kern w:val="0"/>
          <w:szCs w:val="21"/>
        </w:rPr>
      </w:pPr>
      <w:r>
        <w:rPr>
          <w:rFonts w:hint="eastAsia" w:ascii="宋体" w:hAnsi="宋体" w:cs="宋体"/>
          <w:bCs/>
          <w:color w:val="auto"/>
          <w:szCs w:val="21"/>
        </w:rPr>
        <w:t>□</w:t>
      </w:r>
      <w:r>
        <w:rPr>
          <w:rFonts w:hint="eastAsia" w:ascii="宋体" w:hAnsi="宋体" w:cs="宋体"/>
          <w:color w:val="auto"/>
          <w:kern w:val="0"/>
          <w:szCs w:val="21"/>
        </w:rPr>
        <w:t>按通用条款规定为合同价款的30%，即</w:t>
      </w:r>
      <w:r>
        <w:rPr>
          <w:rFonts w:hint="eastAsia" w:ascii="宋体" w:hAnsi="宋体" w:cs="宋体"/>
          <w:color w:val="auto"/>
          <w:kern w:val="0"/>
          <w:szCs w:val="21"/>
          <w:u w:val="single"/>
        </w:rPr>
        <w:t xml:space="preserve">           </w:t>
      </w:r>
      <w:r>
        <w:rPr>
          <w:rFonts w:hint="eastAsia" w:ascii="宋体" w:hAnsi="宋体" w:cs="宋体"/>
          <w:color w:val="auto"/>
          <w:kern w:val="0"/>
          <w:szCs w:val="21"/>
        </w:rPr>
        <w:t>元。</w:t>
      </w:r>
    </w:p>
    <w:p>
      <w:pPr>
        <w:spacing w:before="96" w:line="30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■另作约定：预付款的金额为</w:t>
      </w:r>
      <w:r>
        <w:rPr>
          <w:rFonts w:hint="eastAsia" w:ascii="宋体" w:hAnsi="宋体" w:cs="宋体"/>
          <w:color w:val="auto"/>
          <w:kern w:val="0"/>
          <w:szCs w:val="21"/>
          <w:u w:val="single"/>
        </w:rPr>
        <w:t xml:space="preserve">合同价款扣除本工程暂列金及安全防护文明施工措施费后的30% </w:t>
      </w:r>
      <w:r>
        <w:rPr>
          <w:rFonts w:hint="eastAsia" w:ascii="宋体" w:hAnsi="宋体" w:cs="宋体"/>
          <w:color w:val="auto"/>
          <w:kern w:val="0"/>
          <w:szCs w:val="21"/>
        </w:rPr>
        <w:t>，即</w:t>
      </w:r>
      <w:r>
        <w:rPr>
          <w:rFonts w:hint="eastAsia" w:ascii="宋体" w:hAnsi="宋体" w:cs="宋体"/>
          <w:color w:val="auto"/>
          <w:kern w:val="0"/>
          <w:szCs w:val="21"/>
          <w:u w:val="single"/>
        </w:rPr>
        <w:t xml:space="preserve">              </w:t>
      </w:r>
      <w:r>
        <w:rPr>
          <w:rFonts w:hint="eastAsia" w:ascii="宋体" w:hAnsi="宋体" w:cs="宋体"/>
          <w:color w:val="auto"/>
          <w:kern w:val="0"/>
          <w:szCs w:val="21"/>
        </w:rPr>
        <w:t>元。</w:t>
      </w:r>
    </w:p>
    <w:p>
      <w:pPr>
        <w:spacing w:before="96" w:line="300" w:lineRule="auto"/>
        <w:ind w:firstLine="420" w:firstLineChars="200"/>
        <w:jc w:val="left"/>
        <w:outlineLvl w:val="0"/>
        <w:rPr>
          <w:rFonts w:ascii="宋体" w:hAnsi="宋体" w:cs="宋体"/>
          <w:color w:val="auto"/>
          <w:kern w:val="0"/>
          <w:szCs w:val="21"/>
        </w:rPr>
      </w:pPr>
      <w:bookmarkStart w:id="320" w:name="_Toc416853074"/>
      <w:r>
        <w:rPr>
          <w:rFonts w:hint="eastAsia" w:ascii="宋体" w:hAnsi="宋体" w:cs="宋体"/>
          <w:color w:val="auto"/>
          <w:kern w:val="0"/>
          <w:szCs w:val="21"/>
        </w:rPr>
        <w:t>79.2 提交预付款支付申请期限：</w:t>
      </w:r>
      <w:bookmarkEnd w:id="320"/>
    </w:p>
    <w:p>
      <w:pPr>
        <w:spacing w:before="96" w:line="30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 按承包人在完成本款三项工作后的7天内。</w:t>
      </w:r>
    </w:p>
    <w:p>
      <w:pPr>
        <w:spacing w:before="96" w:line="300" w:lineRule="auto"/>
        <w:ind w:firstLine="420" w:firstLineChars="200"/>
        <w:jc w:val="left"/>
        <w:rPr>
          <w:rFonts w:ascii="宋体" w:hAnsi="宋体" w:cs="宋体"/>
          <w:color w:val="auto"/>
          <w:kern w:val="0"/>
          <w:szCs w:val="21"/>
          <w:u w:val="single"/>
        </w:rPr>
      </w:pPr>
      <w:r>
        <w:rPr>
          <w:rFonts w:hint="eastAsia" w:ascii="宋体" w:hAnsi="宋体" w:cs="宋体"/>
          <w:bCs/>
          <w:color w:val="auto"/>
          <w:szCs w:val="21"/>
        </w:rPr>
        <w:t>■</w:t>
      </w:r>
      <w:r>
        <w:rPr>
          <w:rFonts w:hint="eastAsia" w:ascii="宋体" w:hAnsi="宋体" w:cs="宋体"/>
          <w:color w:val="auto"/>
          <w:kern w:val="0"/>
          <w:szCs w:val="21"/>
        </w:rPr>
        <w:t xml:space="preserve"> 另作约定：</w:t>
      </w:r>
      <w:r>
        <w:rPr>
          <w:rFonts w:hint="eastAsia" w:ascii="宋体" w:hAnsi="宋体" w:cs="宋体"/>
          <w:color w:val="auto"/>
          <w:kern w:val="0"/>
          <w:szCs w:val="21"/>
          <w:u w:val="single"/>
        </w:rPr>
        <w:t xml:space="preserve"> 按承包人在完成本款三项工作，并按响应文件承诺的机械、人员、设备等进场到位且具备开工条件后的7天内支付。  </w:t>
      </w:r>
    </w:p>
    <w:p>
      <w:pPr>
        <w:spacing w:before="96" w:line="30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79.4 预付款抵扣方式</w:t>
      </w:r>
    </w:p>
    <w:p>
      <w:pPr>
        <w:spacing w:before="96" w:line="30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 预付款按照期中应支付工程款的</w:t>
      </w:r>
      <w:r>
        <w:rPr>
          <w:rFonts w:hint="eastAsia" w:ascii="宋体" w:hAnsi="宋体" w:cs="宋体"/>
          <w:color w:val="auto"/>
          <w:kern w:val="0"/>
          <w:szCs w:val="21"/>
          <w:u w:val="single"/>
        </w:rPr>
        <w:t xml:space="preserve">    </w:t>
      </w:r>
      <w:r>
        <w:rPr>
          <w:rFonts w:hint="eastAsia" w:ascii="宋体" w:hAnsi="宋体" w:cs="宋体"/>
          <w:color w:val="auto"/>
          <w:kern w:val="0"/>
          <w:szCs w:val="21"/>
        </w:rPr>
        <w:t>%扣回，直到扣完为止。</w:t>
      </w:r>
    </w:p>
    <w:p>
      <w:pPr>
        <w:tabs>
          <w:tab w:val="left" w:pos="1240"/>
        </w:tabs>
        <w:autoSpaceDE w:val="0"/>
        <w:autoSpaceDN w:val="0"/>
        <w:spacing w:before="96" w:line="300" w:lineRule="auto"/>
        <w:ind w:firstLine="420" w:firstLineChars="200"/>
        <w:jc w:val="left"/>
        <w:rPr>
          <w:rFonts w:ascii="宋体" w:hAnsi="宋体" w:cs="宋体"/>
          <w:bCs/>
          <w:color w:val="auto"/>
          <w:szCs w:val="21"/>
        </w:rPr>
      </w:pPr>
      <w:r>
        <w:rPr>
          <w:rFonts w:hint="eastAsia" w:ascii="宋体" w:hAnsi="宋体" w:cs="宋体"/>
          <w:bCs/>
          <w:color w:val="auto"/>
          <w:szCs w:val="21"/>
        </w:rPr>
        <w:t>■</w:t>
      </w:r>
      <w:r>
        <w:rPr>
          <w:rFonts w:hint="eastAsia" w:ascii="宋体" w:hAnsi="宋体" w:cs="宋体"/>
          <w:color w:val="auto"/>
          <w:kern w:val="0"/>
          <w:szCs w:val="21"/>
        </w:rPr>
        <w:t xml:space="preserve"> 其他方式：</w:t>
      </w:r>
      <w:r>
        <w:rPr>
          <w:rFonts w:hint="eastAsia" w:ascii="宋体" w:hAnsi="宋体" w:cs="宋体"/>
          <w:color w:val="auto"/>
          <w:kern w:val="0"/>
          <w:szCs w:val="21"/>
          <w:u w:val="single"/>
        </w:rPr>
        <w:t xml:space="preserve"> 平均分三次扣回。</w:t>
      </w:r>
    </w:p>
    <w:p>
      <w:pPr>
        <w:autoSpaceDE w:val="0"/>
        <w:autoSpaceDN w:val="0"/>
        <w:spacing w:before="96" w:line="300" w:lineRule="auto"/>
        <w:ind w:right="-20"/>
        <w:jc w:val="left"/>
        <w:rPr>
          <w:rFonts w:ascii="宋体" w:hAnsi="宋体" w:cs="宋体"/>
          <w:b/>
          <w:color w:val="auto"/>
          <w:szCs w:val="21"/>
        </w:rPr>
      </w:pPr>
      <w:r>
        <w:rPr>
          <w:rFonts w:hint="eastAsia" w:ascii="宋体" w:hAnsi="宋体" w:cs="宋体"/>
          <w:b/>
          <w:color w:val="auto"/>
          <w:szCs w:val="21"/>
        </w:rPr>
        <w:t>80．安全文明施工费</w:t>
      </w:r>
    </w:p>
    <w:p>
      <w:pPr>
        <w:spacing w:before="96" w:line="300" w:lineRule="auto"/>
        <w:ind w:firstLine="420" w:firstLineChars="200"/>
        <w:jc w:val="left"/>
        <w:rPr>
          <w:rFonts w:ascii="宋体" w:hAnsi="宋体" w:cs="宋体"/>
          <w:color w:val="auto"/>
          <w:kern w:val="0"/>
          <w:szCs w:val="21"/>
        </w:rPr>
      </w:pPr>
      <w:bookmarkStart w:id="321" w:name="_Toc416853075"/>
      <w:r>
        <w:rPr>
          <w:rFonts w:hint="eastAsia" w:ascii="宋体" w:hAnsi="宋体" w:cs="宋体"/>
          <w:color w:val="auto"/>
          <w:kern w:val="0"/>
          <w:szCs w:val="21"/>
        </w:rPr>
        <w:t>80.1 安全文明施工费的内容、范围和金额</w:t>
      </w:r>
      <w:bookmarkEnd w:id="321"/>
    </w:p>
    <w:p>
      <w:pPr>
        <w:spacing w:before="96" w:line="30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(1) 内容和范围</w:t>
      </w:r>
    </w:p>
    <w:p>
      <w:pPr>
        <w:spacing w:before="96" w:line="30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  按通用条款的规定，以现行广东省统一工程计价依据规定为准。</w:t>
      </w:r>
    </w:p>
    <w:p>
      <w:pPr>
        <w:spacing w:before="96" w:line="30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 另作约定：</w:t>
      </w:r>
    </w:p>
    <w:p>
      <w:pPr>
        <w:spacing w:before="96" w:line="30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(2) 安全文明施工费的总金额为元。</w:t>
      </w:r>
    </w:p>
    <w:p>
      <w:pPr>
        <w:spacing w:before="96" w:line="300" w:lineRule="auto"/>
        <w:ind w:firstLine="420" w:firstLineChars="200"/>
        <w:jc w:val="left"/>
        <w:outlineLvl w:val="0"/>
        <w:rPr>
          <w:rFonts w:ascii="宋体" w:hAnsi="宋体" w:cs="宋体"/>
          <w:color w:val="auto"/>
          <w:kern w:val="0"/>
          <w:szCs w:val="21"/>
        </w:rPr>
      </w:pPr>
      <w:bookmarkStart w:id="322" w:name="_Toc416853076"/>
      <w:r>
        <w:rPr>
          <w:rFonts w:hint="eastAsia" w:ascii="宋体" w:hAnsi="宋体" w:cs="宋体"/>
          <w:color w:val="auto"/>
          <w:kern w:val="0"/>
          <w:szCs w:val="21"/>
        </w:rPr>
        <w:t>80.2 支付申请的提交与核实</w:t>
      </w:r>
      <w:bookmarkEnd w:id="322"/>
    </w:p>
    <w:p>
      <w:pPr>
        <w:spacing w:before="96" w:line="30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  按通用条款的规定。</w:t>
      </w:r>
    </w:p>
    <w:p>
      <w:pPr>
        <w:spacing w:before="96" w:line="30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 另作约定：</w:t>
      </w:r>
    </w:p>
    <w:p>
      <w:pPr>
        <w:spacing w:before="96" w:line="30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80.3 费用支付</w:t>
      </w:r>
    </w:p>
    <w:p>
      <w:pPr>
        <w:spacing w:before="96" w:line="30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安全文明施工费的支付办法和抵扣方式：</w:t>
      </w:r>
    </w:p>
    <w:p>
      <w:pPr>
        <w:spacing w:before="96" w:line="30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 按通用条款的规定。</w:t>
      </w:r>
    </w:p>
    <w:p>
      <w:pPr>
        <w:spacing w:before="96" w:line="30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 另作约定：</w:t>
      </w:r>
      <w:r>
        <w:rPr>
          <w:rFonts w:hint="eastAsia" w:ascii="宋体" w:hAnsi="宋体" w:cs="宋体"/>
          <w:color w:val="auto"/>
          <w:kern w:val="0"/>
          <w:szCs w:val="21"/>
          <w:u w:val="single"/>
        </w:rPr>
        <w:t>工程开工后支付50%，完成工程进度至80%后支付余下的50%。安全文明施工费的划拨应根据发包人和监理单位或安监机构对施工现场安全文明施工检查的结果确定，达到合格的，由监理单位初审，发包人审批后在一周内划拨给工程承包人。承包人不按规定使用安全防护、文明施工措施费或安全文明措施落实不到位，由发包人、监理单位或安监机构责令其改正，若拒不改正的，发包人和监理单位有权停止拨付安全防护、文明施工措施费，并责令承包人停工，由此造成的工期延误的费用由承包人全部承担。</w:t>
      </w:r>
    </w:p>
    <w:p>
      <w:pPr>
        <w:autoSpaceDE w:val="0"/>
        <w:autoSpaceDN w:val="0"/>
        <w:spacing w:before="96" w:line="300" w:lineRule="auto"/>
        <w:ind w:right="-20"/>
        <w:jc w:val="left"/>
        <w:rPr>
          <w:rFonts w:ascii="宋体" w:hAnsi="宋体" w:cs="宋体"/>
          <w:b/>
          <w:color w:val="auto"/>
          <w:szCs w:val="21"/>
        </w:rPr>
      </w:pPr>
      <w:r>
        <w:rPr>
          <w:rFonts w:hint="eastAsia" w:ascii="宋体" w:hAnsi="宋体" w:cs="宋体"/>
          <w:b/>
          <w:color w:val="auto"/>
          <w:szCs w:val="21"/>
        </w:rPr>
        <w:t>81．进度款</w:t>
      </w:r>
    </w:p>
    <w:p>
      <w:pPr>
        <w:spacing w:before="96" w:line="30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81.1 约定支付期限和提交支付申请</w:t>
      </w:r>
    </w:p>
    <w:p>
      <w:pPr>
        <w:tabs>
          <w:tab w:val="left" w:pos="1240"/>
        </w:tabs>
        <w:autoSpaceDE w:val="0"/>
        <w:autoSpaceDN w:val="0"/>
        <w:spacing w:before="96" w:line="300" w:lineRule="auto"/>
        <w:ind w:firstLine="420" w:firstLineChars="200"/>
        <w:jc w:val="left"/>
        <w:rPr>
          <w:rFonts w:ascii="宋体" w:hAnsi="宋体" w:cs="宋体"/>
          <w:bCs/>
          <w:color w:val="auto"/>
          <w:szCs w:val="21"/>
        </w:rPr>
      </w:pPr>
      <w:r>
        <w:rPr>
          <w:rFonts w:hint="eastAsia" w:ascii="宋体" w:hAnsi="宋体" w:cs="宋体"/>
          <w:color w:val="auto"/>
          <w:kern w:val="0"/>
          <w:szCs w:val="21"/>
        </w:rPr>
        <w:t>(1) 支付期限</w:t>
      </w:r>
    </w:p>
    <w:p>
      <w:pPr>
        <w:spacing w:before="96" w:line="300" w:lineRule="auto"/>
        <w:ind w:firstLine="420" w:firstLineChars="200"/>
        <w:jc w:val="left"/>
        <w:rPr>
          <w:rFonts w:ascii="宋体" w:hAnsi="宋体" w:cs="宋体"/>
          <w:color w:val="auto"/>
          <w:kern w:val="0"/>
          <w:position w:val="-3"/>
          <w:szCs w:val="21"/>
          <w:u w:val="single"/>
        </w:rPr>
      </w:pPr>
      <w:r>
        <w:rPr>
          <w:rFonts w:hint="eastAsia" w:ascii="宋体" w:hAnsi="宋体" w:cs="宋体"/>
          <w:bCs/>
          <w:vanish/>
          <w:color w:val="auto"/>
          <w:szCs w:val="21"/>
        </w:rPr>
        <w:t xml:space="preserve"> 括</w:t>
      </w:r>
      <w:r>
        <w:rPr>
          <w:rFonts w:hint="eastAsia" w:ascii="宋体" w:hAnsi="宋体" w:cs="宋体"/>
          <w:bCs/>
          <w:vanish/>
          <w:color w:val="auto"/>
          <w:szCs w:val="21"/>
        </w:rPr>
        <w:pgNum/>
      </w:r>
      <w:r>
        <w:rPr>
          <w:rFonts w:hint="eastAsia" w:ascii="宋体" w:hAnsi="宋体" w:cs="宋体"/>
          <w:bCs/>
          <w:vanish/>
          <w:color w:val="auto"/>
          <w:szCs w:val="21"/>
        </w:rPr>
        <w:pgNum/>
      </w:r>
      <w:r>
        <w:rPr>
          <w:rFonts w:hint="eastAsia" w:ascii="宋体" w:hAnsi="宋体" w:cs="宋体"/>
          <w:bCs/>
          <w:vanish/>
          <w:color w:val="auto"/>
          <w:szCs w:val="21"/>
        </w:rPr>
        <w:pgNum/>
      </w:r>
      <w:r>
        <w:rPr>
          <w:rFonts w:hint="eastAsia" w:ascii="宋体" w:hAnsi="宋体" w:cs="宋体"/>
          <w:bCs/>
          <w:vanish/>
          <w:color w:val="auto"/>
          <w:szCs w:val="21"/>
        </w:rPr>
        <w:pgNum/>
      </w:r>
      <w:r>
        <w:rPr>
          <w:rFonts w:hint="eastAsia" w:ascii="宋体" w:hAnsi="宋体" w:cs="宋体"/>
          <w:bCs/>
          <w:vanish/>
          <w:color w:val="auto"/>
          <w:szCs w:val="21"/>
        </w:rPr>
        <w:pgNum/>
      </w:r>
      <w:r>
        <w:rPr>
          <w:rFonts w:hint="eastAsia" w:ascii="宋体" w:hAnsi="宋体" w:cs="宋体"/>
          <w:bCs/>
          <w:vanish/>
          <w:color w:val="auto"/>
          <w:szCs w:val="21"/>
        </w:rPr>
        <w:pgNum/>
      </w:r>
      <w:r>
        <w:rPr>
          <w:rFonts w:hint="eastAsia" w:ascii="宋体" w:hAnsi="宋体" w:cs="宋体"/>
          <w:bCs/>
          <w:vanish/>
          <w:color w:val="auto"/>
          <w:szCs w:val="21"/>
        </w:rPr>
        <w:pgNum/>
      </w:r>
      <w:r>
        <w:rPr>
          <w:rFonts w:hint="eastAsia" w:ascii="宋体" w:hAnsi="宋体" w:cs="宋体"/>
          <w:bCs/>
          <w:vanish/>
          <w:color w:val="auto"/>
          <w:szCs w:val="21"/>
        </w:rPr>
        <w:pgNum/>
      </w:r>
      <w:r>
        <w:rPr>
          <w:rFonts w:hint="eastAsia" w:ascii="宋体" w:hAnsi="宋体" w:cs="宋体"/>
          <w:bCs/>
          <w:vanish/>
          <w:color w:val="auto"/>
          <w:szCs w:val="21"/>
        </w:rPr>
        <w:pgNum/>
      </w:r>
      <w:r>
        <w:rPr>
          <w:rFonts w:hint="eastAsia" w:ascii="宋体" w:hAnsi="宋体" w:cs="宋体"/>
          <w:bCs/>
          <w:vanish/>
          <w:color w:val="auto"/>
          <w:szCs w:val="21"/>
        </w:rPr>
        <w:pgNum/>
      </w:r>
      <w:r>
        <w:rPr>
          <w:rFonts w:hint="eastAsia" w:ascii="宋体" w:hAnsi="宋体" w:cs="宋体"/>
          <w:bCs/>
          <w:vanish/>
          <w:color w:val="auto"/>
          <w:szCs w:val="21"/>
        </w:rPr>
        <w:pgNum/>
      </w:r>
      <w:r>
        <w:rPr>
          <w:rFonts w:hint="eastAsia" w:ascii="宋体" w:hAnsi="宋体" w:cs="宋体"/>
          <w:bCs/>
          <w:vanish/>
          <w:color w:val="auto"/>
          <w:szCs w:val="21"/>
        </w:rPr>
        <w:pgNum/>
      </w:r>
      <w:r>
        <w:rPr>
          <w:rFonts w:hint="eastAsia" w:ascii="宋体" w:hAnsi="宋体" w:cs="宋体"/>
          <w:bCs/>
          <w:vanish/>
          <w:color w:val="auto"/>
          <w:szCs w:val="21"/>
        </w:rPr>
        <w:pgNum/>
      </w:r>
      <w:r>
        <w:rPr>
          <w:rFonts w:hint="eastAsia" w:ascii="宋体" w:hAnsi="宋体" w:cs="宋体"/>
          <w:bCs/>
          <w:vanish/>
          <w:color w:val="auto"/>
          <w:szCs w:val="21"/>
        </w:rPr>
        <w:pgNum/>
      </w:r>
      <w:r>
        <w:rPr>
          <w:rFonts w:hint="eastAsia" w:ascii="宋体" w:hAnsi="宋体" w:cs="宋体"/>
          <w:bCs/>
          <w:vanish/>
          <w:color w:val="auto"/>
          <w:szCs w:val="21"/>
        </w:rPr>
        <w:pgNum/>
      </w:r>
      <w:r>
        <w:rPr>
          <w:rFonts w:hint="eastAsia" w:ascii="宋体" w:hAnsi="宋体" w:cs="宋体"/>
          <w:bCs/>
          <w:vanish/>
          <w:color w:val="auto"/>
          <w:szCs w:val="21"/>
        </w:rPr>
        <w:pgNum/>
      </w:r>
      <w:r>
        <w:rPr>
          <w:rFonts w:hint="eastAsia" w:ascii="宋体" w:hAnsi="宋体" w:cs="宋体"/>
          <w:bCs/>
          <w:vanish/>
          <w:color w:val="auto"/>
          <w:szCs w:val="21"/>
        </w:rPr>
        <w:pgNum/>
      </w:r>
      <w:r>
        <w:rPr>
          <w:rFonts w:hint="eastAsia" w:ascii="宋体" w:hAnsi="宋体" w:cs="宋体"/>
          <w:bCs/>
          <w:vanish/>
          <w:color w:val="auto"/>
          <w:szCs w:val="21"/>
        </w:rPr>
        <w:pgNum/>
      </w:r>
      <w:r>
        <w:rPr>
          <w:rFonts w:hint="eastAsia" w:ascii="宋体" w:hAnsi="宋体" w:cs="宋体"/>
          <w:bCs/>
          <w:vanish/>
          <w:color w:val="auto"/>
          <w:szCs w:val="21"/>
        </w:rPr>
        <w:pgNum/>
      </w:r>
      <w:r>
        <w:rPr>
          <w:rFonts w:hint="eastAsia" w:ascii="宋体" w:hAnsi="宋体" w:cs="宋体"/>
          <w:bCs/>
          <w:vanish/>
          <w:color w:val="auto"/>
          <w:szCs w:val="21"/>
        </w:rPr>
        <w:pgNum/>
      </w:r>
      <w:r>
        <w:rPr>
          <w:rFonts w:hint="eastAsia" w:ascii="宋体" w:hAnsi="宋体" w:cs="宋体"/>
          <w:bCs/>
          <w:vanish/>
          <w:color w:val="auto"/>
          <w:szCs w:val="21"/>
        </w:rPr>
        <w:pgNum/>
      </w:r>
      <w:r>
        <w:rPr>
          <w:rFonts w:hint="eastAsia" w:ascii="宋体" w:hAnsi="宋体" w:cs="宋体"/>
          <w:bCs/>
          <w:vanish/>
          <w:color w:val="auto"/>
          <w:szCs w:val="21"/>
        </w:rPr>
        <w:pgNum/>
      </w:r>
      <w:r>
        <w:rPr>
          <w:rFonts w:hint="eastAsia" w:ascii="宋体" w:hAnsi="宋体" w:cs="宋体"/>
          <w:bCs/>
          <w:vanish/>
          <w:color w:val="auto"/>
          <w:szCs w:val="21"/>
        </w:rPr>
        <w:pgNum/>
      </w:r>
      <w:r>
        <w:rPr>
          <w:rFonts w:hint="eastAsia" w:ascii="宋体" w:hAnsi="宋体" w:cs="宋体"/>
          <w:bCs/>
          <w:vanish/>
          <w:color w:val="auto"/>
          <w:szCs w:val="21"/>
        </w:rPr>
        <w:pgNum/>
      </w:r>
      <w:r>
        <w:rPr>
          <w:rFonts w:hint="eastAsia" w:ascii="宋体" w:hAnsi="宋体" w:cs="宋体"/>
          <w:bCs/>
          <w:vanish/>
          <w:color w:val="auto"/>
          <w:szCs w:val="21"/>
        </w:rPr>
        <w:pgNum/>
      </w:r>
      <w:r>
        <w:rPr>
          <w:rFonts w:hint="eastAsia" w:ascii="宋体" w:hAnsi="宋体" w:cs="宋体"/>
          <w:bCs/>
          <w:vanish/>
          <w:color w:val="auto"/>
          <w:szCs w:val="21"/>
        </w:rPr>
        <w:pgNum/>
      </w:r>
      <w:r>
        <w:rPr>
          <w:rFonts w:hint="eastAsia" w:ascii="宋体" w:hAnsi="宋体" w:cs="宋体"/>
          <w:bCs/>
          <w:vanish/>
          <w:color w:val="auto"/>
          <w:szCs w:val="21"/>
        </w:rPr>
        <w:pgNum/>
      </w:r>
      <w:r>
        <w:rPr>
          <w:rFonts w:hint="eastAsia" w:ascii="宋体" w:hAnsi="宋体" w:cs="宋体"/>
          <w:bCs/>
          <w:vanish/>
          <w:color w:val="auto"/>
          <w:szCs w:val="21"/>
        </w:rPr>
        <w:pgNum/>
      </w:r>
      <w:r>
        <w:rPr>
          <w:rFonts w:hint="eastAsia" w:ascii="宋体" w:hAnsi="宋体" w:cs="宋体"/>
          <w:bCs/>
          <w:vanish/>
          <w:color w:val="auto"/>
          <w:szCs w:val="21"/>
        </w:rPr>
        <w:pgNum/>
      </w:r>
      <w:r>
        <w:rPr>
          <w:rFonts w:hint="eastAsia" w:ascii="宋体" w:hAnsi="宋体" w:cs="宋体"/>
          <w:bCs/>
          <w:vanish/>
          <w:color w:val="auto"/>
          <w:szCs w:val="21"/>
        </w:rPr>
        <w:pgNum/>
      </w:r>
      <w:r>
        <w:rPr>
          <w:rFonts w:hint="eastAsia" w:ascii="宋体" w:hAnsi="宋体" w:cs="宋体"/>
          <w:bCs/>
          <w:vanish/>
          <w:color w:val="auto"/>
          <w:szCs w:val="21"/>
        </w:rPr>
        <w:pgNum/>
      </w:r>
      <w:r>
        <w:rPr>
          <w:rFonts w:hint="eastAsia" w:ascii="宋体" w:hAnsi="宋体" w:cs="宋体"/>
          <w:bCs/>
          <w:vanish/>
          <w:color w:val="auto"/>
          <w:szCs w:val="21"/>
        </w:rPr>
        <w:pgNum/>
      </w:r>
      <w:r>
        <w:rPr>
          <w:rFonts w:hint="eastAsia" w:ascii="宋体" w:hAnsi="宋体" w:cs="宋体"/>
          <w:bCs/>
          <w:vanish/>
          <w:color w:val="auto"/>
          <w:szCs w:val="21"/>
        </w:rPr>
        <w:pgNum/>
      </w:r>
      <w:r>
        <w:rPr>
          <w:rFonts w:hint="eastAsia" w:ascii="宋体" w:hAnsi="宋体" w:cs="宋体"/>
          <w:bCs/>
          <w:vanish/>
          <w:color w:val="auto"/>
          <w:szCs w:val="21"/>
        </w:rPr>
        <w:pgNum/>
      </w:r>
      <w:r>
        <w:rPr>
          <w:rFonts w:hint="eastAsia" w:ascii="宋体" w:hAnsi="宋体" w:cs="宋体"/>
          <w:bCs/>
          <w:vanish/>
          <w:color w:val="auto"/>
          <w:szCs w:val="21"/>
        </w:rPr>
        <w:pgNum/>
      </w:r>
      <w:r>
        <w:rPr>
          <w:rFonts w:hint="eastAsia" w:ascii="宋体" w:hAnsi="宋体" w:cs="宋体"/>
          <w:bCs/>
          <w:vanish/>
          <w:color w:val="auto"/>
          <w:szCs w:val="21"/>
        </w:rPr>
        <w:pgNum/>
      </w:r>
      <w:r>
        <w:rPr>
          <w:rFonts w:hint="eastAsia" w:ascii="宋体" w:hAnsi="宋体" w:cs="宋体"/>
          <w:bCs/>
          <w:vanish/>
          <w:color w:val="auto"/>
          <w:szCs w:val="21"/>
        </w:rPr>
        <w:pgNum/>
      </w:r>
      <w:r>
        <w:rPr>
          <w:rFonts w:hint="eastAsia" w:ascii="宋体" w:hAnsi="宋体" w:cs="宋体"/>
          <w:bCs/>
          <w:vanish/>
          <w:color w:val="auto"/>
          <w:szCs w:val="21"/>
        </w:rPr>
        <w:pgNum/>
      </w:r>
      <w:r>
        <w:rPr>
          <w:rFonts w:hint="eastAsia" w:ascii="宋体" w:hAnsi="宋体" w:cs="宋体"/>
          <w:bCs/>
          <w:vanish/>
          <w:color w:val="auto"/>
          <w:szCs w:val="21"/>
        </w:rPr>
        <w:pgNum/>
      </w:r>
      <w:r>
        <w:rPr>
          <w:rFonts w:hint="eastAsia" w:ascii="宋体" w:hAnsi="宋体" w:cs="宋体"/>
          <w:bCs/>
          <w:vanish/>
          <w:color w:val="auto"/>
          <w:szCs w:val="21"/>
        </w:rPr>
        <w:pgNum/>
      </w:r>
      <w:r>
        <w:rPr>
          <w:rFonts w:hint="eastAsia" w:ascii="宋体" w:hAnsi="宋体" w:cs="宋体"/>
          <w:bCs/>
          <w:vanish/>
          <w:color w:val="auto"/>
          <w:szCs w:val="21"/>
        </w:rPr>
        <w:pgNum/>
      </w:r>
      <w:r>
        <w:rPr>
          <w:rFonts w:hint="eastAsia" w:ascii="宋体" w:hAnsi="宋体" w:cs="宋体"/>
          <w:bCs/>
          <w:vanish/>
          <w:color w:val="auto"/>
          <w:szCs w:val="21"/>
        </w:rPr>
        <w:pgNum/>
      </w:r>
      <w:r>
        <w:rPr>
          <w:rFonts w:hint="eastAsia" w:ascii="宋体" w:hAnsi="宋体" w:cs="宋体"/>
          <w:bCs/>
          <w:vanish/>
          <w:color w:val="auto"/>
          <w:szCs w:val="21"/>
        </w:rPr>
        <w:pgNum/>
      </w:r>
      <w:r>
        <w:rPr>
          <w:rFonts w:hint="eastAsia" w:ascii="宋体" w:hAnsi="宋体" w:cs="宋体"/>
          <w:bCs/>
          <w:vanish/>
          <w:color w:val="auto"/>
          <w:szCs w:val="21"/>
        </w:rPr>
        <w:pgNum/>
      </w:r>
      <w:r>
        <w:rPr>
          <w:rFonts w:hint="eastAsia" w:ascii="宋体" w:hAnsi="宋体" w:cs="宋体"/>
          <w:bCs/>
          <w:vanish/>
          <w:color w:val="auto"/>
          <w:szCs w:val="21"/>
        </w:rPr>
        <w:pgNum/>
      </w:r>
      <w:r>
        <w:rPr>
          <w:rFonts w:hint="eastAsia" w:ascii="宋体" w:hAnsi="宋体" w:cs="宋体"/>
          <w:bCs/>
          <w:vanish/>
          <w:color w:val="auto"/>
          <w:szCs w:val="21"/>
        </w:rPr>
        <w:pgNum/>
      </w:r>
      <w:r>
        <w:rPr>
          <w:rFonts w:hint="eastAsia" w:ascii="宋体" w:hAnsi="宋体" w:cs="宋体"/>
          <w:bCs/>
          <w:vanish/>
          <w:color w:val="auto"/>
          <w:szCs w:val="21"/>
        </w:rPr>
        <w:pgNum/>
      </w:r>
      <w:r>
        <w:rPr>
          <w:rFonts w:hint="eastAsia" w:ascii="宋体" w:hAnsi="宋体" w:cs="宋体"/>
          <w:bCs/>
          <w:vanish/>
          <w:color w:val="auto"/>
          <w:szCs w:val="21"/>
        </w:rPr>
        <w:pgNum/>
      </w:r>
      <w:r>
        <w:rPr>
          <w:rFonts w:hint="eastAsia" w:ascii="宋体" w:hAnsi="宋体" w:cs="宋体"/>
          <w:bCs/>
          <w:vanish/>
          <w:color w:val="auto"/>
          <w:szCs w:val="21"/>
        </w:rPr>
        <w:pgNum/>
      </w:r>
      <w:r>
        <w:rPr>
          <w:rFonts w:hint="eastAsia" w:ascii="宋体" w:hAnsi="宋体" w:cs="宋体"/>
          <w:bCs/>
          <w:vanish/>
          <w:color w:val="auto"/>
          <w:szCs w:val="21"/>
        </w:rPr>
        <w:pgNum/>
      </w:r>
      <w:r>
        <w:rPr>
          <w:rFonts w:hint="eastAsia" w:ascii="宋体" w:hAnsi="宋体" w:cs="宋体"/>
          <w:bCs/>
          <w:vanish/>
          <w:color w:val="auto"/>
          <w:szCs w:val="21"/>
        </w:rPr>
        <w:pgNum/>
      </w:r>
      <w:r>
        <w:rPr>
          <w:rFonts w:hint="eastAsia" w:ascii="宋体" w:hAnsi="宋体" w:cs="宋体"/>
          <w:bCs/>
          <w:vanish/>
          <w:color w:val="auto"/>
          <w:szCs w:val="21"/>
        </w:rPr>
        <w:pgNum/>
      </w:r>
      <w:r>
        <w:rPr>
          <w:rFonts w:hint="eastAsia" w:ascii="宋体" w:hAnsi="宋体" w:cs="宋体"/>
          <w:bCs/>
          <w:vanish/>
          <w:color w:val="auto"/>
          <w:szCs w:val="21"/>
        </w:rPr>
        <w:pgNum/>
      </w:r>
      <w:r>
        <w:rPr>
          <w:rFonts w:hint="eastAsia" w:ascii="宋体" w:hAnsi="宋体" w:cs="宋体"/>
          <w:bCs/>
          <w:vanish/>
          <w:color w:val="auto"/>
          <w:szCs w:val="21"/>
        </w:rPr>
        <w:pgNum/>
      </w:r>
      <w:r>
        <w:rPr>
          <w:rFonts w:hint="eastAsia" w:ascii="宋体" w:hAnsi="宋体" w:cs="宋体"/>
          <w:bCs/>
          <w:vanish/>
          <w:color w:val="auto"/>
          <w:szCs w:val="21"/>
        </w:rPr>
        <w:pgNum/>
      </w:r>
      <w:r>
        <w:rPr>
          <w:rFonts w:hint="eastAsia" w:ascii="宋体" w:hAnsi="宋体" w:cs="宋体"/>
          <w:bCs/>
          <w:vanish/>
          <w:color w:val="auto"/>
          <w:szCs w:val="21"/>
        </w:rPr>
        <w:pgNum/>
      </w:r>
      <w:r>
        <w:rPr>
          <w:rFonts w:hint="eastAsia" w:ascii="宋体" w:hAnsi="宋体" w:cs="宋体"/>
          <w:bCs/>
          <w:vanish/>
          <w:color w:val="auto"/>
          <w:szCs w:val="21"/>
        </w:rPr>
        <w:pgNum/>
      </w:r>
      <w:r>
        <w:rPr>
          <w:rFonts w:hint="eastAsia" w:ascii="宋体" w:hAnsi="宋体" w:cs="宋体"/>
          <w:bCs/>
          <w:vanish/>
          <w:color w:val="auto"/>
          <w:szCs w:val="21"/>
        </w:rPr>
        <w:pgNum/>
      </w:r>
      <w:r>
        <w:rPr>
          <w:rFonts w:hint="eastAsia" w:ascii="宋体" w:hAnsi="宋体" w:cs="宋体"/>
          <w:bCs/>
          <w:vanish/>
          <w:color w:val="auto"/>
          <w:szCs w:val="21"/>
        </w:rPr>
        <w:pgNum/>
      </w:r>
      <w:r>
        <w:rPr>
          <w:rFonts w:hint="eastAsia" w:ascii="宋体" w:hAnsi="宋体" w:cs="宋体"/>
          <w:bCs/>
          <w:vanish/>
          <w:color w:val="auto"/>
          <w:szCs w:val="21"/>
        </w:rPr>
        <w:pgNum/>
      </w:r>
      <w:r>
        <w:rPr>
          <w:rFonts w:hint="eastAsia" w:ascii="宋体" w:hAnsi="宋体" w:cs="宋体"/>
          <w:bCs/>
          <w:vanish/>
          <w:color w:val="auto"/>
          <w:szCs w:val="21"/>
        </w:rPr>
        <w:pgNum/>
      </w:r>
      <w:r>
        <w:rPr>
          <w:rFonts w:hint="eastAsia" w:ascii="宋体" w:hAnsi="宋体" w:cs="宋体"/>
          <w:bCs/>
          <w:vanish/>
          <w:color w:val="auto"/>
          <w:szCs w:val="21"/>
        </w:rPr>
        <w:pgNum/>
      </w:r>
      <w:r>
        <w:rPr>
          <w:rFonts w:hint="eastAsia" w:ascii="宋体" w:hAnsi="宋体" w:cs="宋体"/>
          <w:bCs/>
          <w:vanish/>
          <w:color w:val="auto"/>
          <w:szCs w:val="21"/>
        </w:rPr>
        <w:pgNum/>
      </w:r>
      <w:r>
        <w:rPr>
          <w:rFonts w:hint="eastAsia" w:ascii="宋体" w:hAnsi="宋体" w:cs="宋体"/>
          <w:bCs/>
          <w:vanish/>
          <w:color w:val="auto"/>
          <w:szCs w:val="21"/>
        </w:rPr>
        <w:pgNum/>
      </w:r>
      <w:r>
        <w:rPr>
          <w:rFonts w:hint="eastAsia" w:ascii="宋体" w:hAnsi="宋体" w:cs="宋体"/>
          <w:bCs/>
          <w:vanish/>
          <w:color w:val="auto"/>
          <w:szCs w:val="21"/>
        </w:rPr>
        <w:pgNum/>
      </w:r>
      <w:r>
        <w:rPr>
          <w:rFonts w:hint="eastAsia" w:ascii="宋体" w:hAnsi="宋体" w:cs="宋体"/>
          <w:bCs/>
          <w:vanish/>
          <w:color w:val="auto"/>
          <w:szCs w:val="21"/>
        </w:rPr>
        <w:pgNum/>
      </w:r>
      <w:r>
        <w:rPr>
          <w:rFonts w:hint="eastAsia" w:ascii="宋体" w:hAnsi="宋体" w:cs="宋体"/>
          <w:bCs/>
          <w:vanish/>
          <w:color w:val="auto"/>
          <w:szCs w:val="21"/>
        </w:rPr>
        <w:pgNum/>
      </w:r>
      <w:r>
        <w:rPr>
          <w:rFonts w:hint="eastAsia" w:ascii="宋体" w:hAnsi="宋体" w:cs="宋体"/>
          <w:bCs/>
          <w:vanish/>
          <w:color w:val="auto"/>
          <w:szCs w:val="21"/>
        </w:rPr>
        <w:pgNum/>
      </w:r>
      <w:r>
        <w:rPr>
          <w:rFonts w:hint="eastAsia" w:ascii="宋体" w:hAnsi="宋体" w:cs="宋体"/>
          <w:bCs/>
          <w:vanish/>
          <w:color w:val="auto"/>
          <w:szCs w:val="21"/>
        </w:rPr>
        <w:pgNum/>
      </w:r>
      <w:r>
        <w:rPr>
          <w:rFonts w:hint="eastAsia" w:ascii="宋体" w:hAnsi="宋体" w:cs="宋体"/>
          <w:bCs/>
          <w:vanish/>
          <w:color w:val="auto"/>
          <w:szCs w:val="21"/>
        </w:rPr>
        <w:pgNum/>
      </w:r>
      <w:r>
        <w:rPr>
          <w:rFonts w:hint="eastAsia" w:ascii="宋体" w:hAnsi="宋体" w:cs="宋体"/>
          <w:bCs/>
          <w:vanish/>
          <w:color w:val="auto"/>
          <w:szCs w:val="21"/>
        </w:rPr>
        <w:pgNum/>
      </w:r>
      <w:r>
        <w:rPr>
          <w:rFonts w:hint="eastAsia" w:ascii="宋体" w:hAnsi="宋体" w:cs="宋体"/>
          <w:bCs/>
          <w:vanish/>
          <w:color w:val="auto"/>
          <w:szCs w:val="21"/>
        </w:rPr>
        <w:pgNum/>
      </w:r>
      <w:r>
        <w:rPr>
          <w:rFonts w:hint="eastAsia" w:ascii="宋体" w:hAnsi="宋体" w:cs="宋体"/>
          <w:bCs/>
          <w:vanish/>
          <w:color w:val="auto"/>
          <w:szCs w:val="21"/>
        </w:rPr>
        <w:pgNum/>
      </w:r>
      <w:r>
        <w:rPr>
          <w:rFonts w:hint="eastAsia" w:ascii="宋体" w:hAnsi="宋体" w:cs="宋体"/>
          <w:bCs/>
          <w:vanish/>
          <w:color w:val="auto"/>
          <w:szCs w:val="21"/>
        </w:rPr>
        <w:pgNum/>
      </w:r>
      <w:r>
        <w:rPr>
          <w:rFonts w:hint="eastAsia" w:ascii="宋体" w:hAnsi="宋体" w:cs="宋体"/>
          <w:bCs/>
          <w:vanish/>
          <w:color w:val="auto"/>
          <w:szCs w:val="21"/>
        </w:rPr>
        <w:pgNum/>
      </w:r>
      <w:r>
        <w:rPr>
          <w:rFonts w:hint="eastAsia" w:ascii="宋体" w:hAnsi="宋体" w:cs="宋体"/>
          <w:bCs/>
          <w:vanish/>
          <w:color w:val="auto"/>
          <w:szCs w:val="21"/>
        </w:rPr>
        <w:pgNum/>
      </w:r>
      <w:r>
        <w:rPr>
          <w:rFonts w:hint="eastAsia" w:ascii="宋体" w:hAnsi="宋体" w:cs="宋体"/>
          <w:bCs/>
          <w:vanish/>
          <w:color w:val="auto"/>
          <w:szCs w:val="21"/>
        </w:rPr>
        <w:pgNum/>
      </w:r>
      <w:r>
        <w:rPr>
          <w:rFonts w:hint="eastAsia" w:ascii="宋体" w:hAnsi="宋体" w:cs="宋体"/>
          <w:bCs/>
          <w:vanish/>
          <w:color w:val="auto"/>
          <w:szCs w:val="21"/>
        </w:rPr>
        <w:pgNum/>
      </w:r>
      <w:r>
        <w:rPr>
          <w:rFonts w:hint="eastAsia" w:ascii="宋体" w:hAnsi="宋体" w:cs="宋体"/>
          <w:bCs/>
          <w:vanish/>
          <w:color w:val="auto"/>
          <w:szCs w:val="21"/>
        </w:rPr>
        <w:pgNum/>
      </w:r>
      <w:r>
        <w:rPr>
          <w:rFonts w:hint="eastAsia" w:ascii="宋体" w:hAnsi="宋体" w:cs="宋体"/>
          <w:bCs/>
          <w:vanish/>
          <w:color w:val="auto"/>
          <w:szCs w:val="21"/>
        </w:rPr>
        <w:pgNum/>
      </w:r>
      <w:r>
        <w:rPr>
          <w:rFonts w:hint="eastAsia" w:ascii="宋体" w:hAnsi="宋体" w:cs="宋体"/>
          <w:bCs/>
          <w:vanish/>
          <w:color w:val="auto"/>
          <w:szCs w:val="21"/>
        </w:rPr>
        <w:pgNum/>
      </w:r>
      <w:r>
        <w:rPr>
          <w:rFonts w:hint="eastAsia" w:ascii="宋体" w:hAnsi="宋体" w:cs="宋体"/>
          <w:bCs/>
          <w:vanish/>
          <w:color w:val="auto"/>
          <w:szCs w:val="21"/>
        </w:rPr>
        <w:pgNum/>
      </w:r>
      <w:r>
        <w:rPr>
          <w:rFonts w:hint="eastAsia" w:ascii="宋体" w:hAnsi="宋体" w:cs="宋体"/>
          <w:bCs/>
          <w:vanish/>
          <w:color w:val="auto"/>
          <w:szCs w:val="21"/>
        </w:rPr>
        <w:pgNum/>
      </w:r>
      <w:r>
        <w:rPr>
          <w:rFonts w:hint="eastAsia" w:ascii="宋体" w:hAnsi="宋体" w:cs="宋体"/>
          <w:bCs/>
          <w:vanish/>
          <w:color w:val="auto"/>
          <w:szCs w:val="21"/>
        </w:rPr>
        <w:pgNum/>
      </w:r>
      <w:r>
        <w:rPr>
          <w:rFonts w:hint="eastAsia" w:ascii="宋体" w:hAnsi="宋体" w:cs="宋体"/>
          <w:bCs/>
          <w:vanish/>
          <w:color w:val="auto"/>
          <w:szCs w:val="21"/>
        </w:rPr>
        <w:pgNum/>
      </w:r>
      <w:r>
        <w:rPr>
          <w:rFonts w:hint="eastAsia" w:ascii="宋体" w:hAnsi="宋体" w:cs="宋体"/>
          <w:bCs/>
          <w:vanish/>
          <w:color w:val="auto"/>
          <w:szCs w:val="21"/>
        </w:rPr>
        <w:pgNum/>
      </w:r>
      <w:r>
        <w:rPr>
          <w:rFonts w:hint="eastAsia" w:ascii="宋体" w:hAnsi="宋体" w:cs="宋体"/>
          <w:bCs/>
          <w:vanish/>
          <w:color w:val="auto"/>
          <w:szCs w:val="21"/>
        </w:rPr>
        <w:pgNum/>
      </w:r>
      <w:r>
        <w:rPr>
          <w:rFonts w:hint="eastAsia" w:ascii="宋体" w:hAnsi="宋体" w:cs="宋体"/>
          <w:bCs/>
          <w:vanish/>
          <w:color w:val="auto"/>
          <w:szCs w:val="21"/>
        </w:rPr>
        <w:pgNum/>
      </w:r>
      <w:r>
        <w:rPr>
          <w:rFonts w:hint="eastAsia" w:ascii="宋体" w:hAnsi="宋体" w:cs="宋体"/>
          <w:bCs/>
          <w:vanish/>
          <w:color w:val="auto"/>
          <w:szCs w:val="21"/>
        </w:rPr>
        <w:pgNum/>
      </w:r>
      <w:r>
        <w:rPr>
          <w:rFonts w:hint="eastAsia" w:ascii="宋体" w:hAnsi="宋体" w:cs="宋体"/>
          <w:bCs/>
          <w:vanish/>
          <w:color w:val="auto"/>
          <w:szCs w:val="21"/>
        </w:rPr>
        <w:pgNum/>
      </w:r>
      <w:r>
        <w:rPr>
          <w:rFonts w:hint="eastAsia" w:ascii="宋体" w:hAnsi="宋体" w:cs="宋体"/>
          <w:bCs/>
          <w:vanish/>
          <w:color w:val="auto"/>
          <w:szCs w:val="21"/>
        </w:rPr>
        <w:pgNum/>
      </w:r>
      <w:r>
        <w:rPr>
          <w:rFonts w:hint="eastAsia" w:ascii="宋体" w:hAnsi="宋体" w:cs="宋体"/>
          <w:bCs/>
          <w:vanish/>
          <w:color w:val="auto"/>
          <w:szCs w:val="21"/>
        </w:rPr>
        <w:pgNum/>
      </w:r>
      <w:r>
        <w:rPr>
          <w:rFonts w:hint="eastAsia" w:ascii="宋体" w:hAnsi="宋体" w:cs="宋体"/>
          <w:bCs/>
          <w:vanish/>
          <w:color w:val="auto"/>
          <w:szCs w:val="21"/>
        </w:rPr>
        <w:pgNum/>
      </w:r>
      <w:r>
        <w:rPr>
          <w:rFonts w:hint="eastAsia" w:ascii="宋体" w:hAnsi="宋体" w:cs="宋体"/>
          <w:bCs/>
          <w:vanish/>
          <w:color w:val="auto"/>
          <w:szCs w:val="21"/>
        </w:rPr>
        <w:pgNum/>
      </w:r>
      <w:r>
        <w:rPr>
          <w:rFonts w:hint="eastAsia" w:ascii="宋体" w:hAnsi="宋体" w:cs="宋体"/>
          <w:bCs/>
          <w:vanish/>
          <w:color w:val="auto"/>
          <w:szCs w:val="21"/>
        </w:rPr>
        <w:pgNum/>
      </w:r>
      <w:r>
        <w:rPr>
          <w:rFonts w:hint="eastAsia" w:ascii="宋体" w:hAnsi="宋体" w:cs="宋体"/>
          <w:bCs/>
          <w:vanish/>
          <w:color w:val="auto"/>
          <w:szCs w:val="21"/>
        </w:rPr>
        <w:pgNum/>
      </w:r>
      <w:r>
        <w:rPr>
          <w:rFonts w:hint="eastAsia" w:ascii="宋体" w:hAnsi="宋体" w:cs="宋体"/>
          <w:bCs/>
          <w:vanish/>
          <w:color w:val="auto"/>
          <w:szCs w:val="21"/>
        </w:rPr>
        <w:pgNum/>
      </w:r>
      <w:r>
        <w:rPr>
          <w:rFonts w:hint="eastAsia" w:ascii="宋体" w:hAnsi="宋体" w:cs="宋体"/>
          <w:bCs/>
          <w:vanish/>
          <w:color w:val="auto"/>
          <w:szCs w:val="21"/>
        </w:rPr>
        <w:pgNum/>
      </w:r>
      <w:r>
        <w:rPr>
          <w:rFonts w:hint="eastAsia" w:ascii="宋体" w:hAnsi="宋体" w:cs="宋体"/>
          <w:bCs/>
          <w:vanish/>
          <w:color w:val="auto"/>
          <w:szCs w:val="21"/>
        </w:rPr>
        <w:pgNum/>
      </w:r>
      <w:r>
        <w:rPr>
          <w:rFonts w:hint="eastAsia" w:ascii="宋体" w:hAnsi="宋体" w:cs="宋体"/>
          <w:bCs/>
          <w:vanish/>
          <w:color w:val="auto"/>
          <w:szCs w:val="21"/>
        </w:rPr>
        <w:pgNum/>
      </w:r>
      <w:r>
        <w:rPr>
          <w:rFonts w:hint="eastAsia" w:ascii="宋体" w:hAnsi="宋体" w:cs="宋体"/>
          <w:bCs/>
          <w:vanish/>
          <w:color w:val="auto"/>
          <w:szCs w:val="21"/>
        </w:rPr>
        <w:pgNum/>
      </w:r>
      <w:r>
        <w:rPr>
          <w:rFonts w:hint="eastAsia" w:ascii="宋体" w:hAnsi="宋体" w:cs="宋体"/>
          <w:bCs/>
          <w:vanish/>
          <w:color w:val="auto"/>
          <w:szCs w:val="21"/>
        </w:rPr>
        <w:pgNum/>
      </w:r>
      <w:r>
        <w:rPr>
          <w:rFonts w:hint="eastAsia" w:ascii="宋体" w:hAnsi="宋体" w:cs="宋体"/>
          <w:bCs/>
          <w:vanish/>
          <w:color w:val="auto"/>
          <w:szCs w:val="21"/>
        </w:rPr>
        <w:pgNum/>
      </w:r>
      <w:r>
        <w:rPr>
          <w:rFonts w:hint="eastAsia" w:ascii="宋体" w:hAnsi="宋体" w:cs="宋体"/>
          <w:bCs/>
          <w:vanish/>
          <w:color w:val="auto"/>
          <w:szCs w:val="21"/>
        </w:rPr>
        <w:pgNum/>
      </w:r>
      <w:r>
        <w:rPr>
          <w:rFonts w:hint="eastAsia" w:ascii="宋体" w:hAnsi="宋体" w:cs="宋体"/>
          <w:bCs/>
          <w:vanish/>
          <w:color w:val="auto"/>
          <w:szCs w:val="21"/>
        </w:rPr>
        <w:pgNum/>
      </w:r>
      <w:r>
        <w:rPr>
          <w:rFonts w:hint="eastAsia" w:ascii="宋体" w:hAnsi="宋体" w:cs="宋体"/>
          <w:bCs/>
          <w:vanish/>
          <w:color w:val="auto"/>
          <w:szCs w:val="21"/>
        </w:rPr>
        <w:pgNum/>
      </w:r>
      <w:r>
        <w:rPr>
          <w:rFonts w:hint="eastAsia" w:ascii="宋体" w:hAnsi="宋体" w:cs="宋体"/>
          <w:bCs/>
          <w:vanish/>
          <w:color w:val="auto"/>
          <w:szCs w:val="21"/>
        </w:rPr>
        <w:pgNum/>
      </w:r>
      <w:r>
        <w:rPr>
          <w:rFonts w:hint="eastAsia" w:ascii="宋体" w:hAnsi="宋体" w:cs="宋体"/>
          <w:bCs/>
          <w:vanish/>
          <w:color w:val="auto"/>
          <w:szCs w:val="21"/>
        </w:rPr>
        <w:pgNum/>
      </w:r>
      <w:r>
        <w:rPr>
          <w:rFonts w:hint="eastAsia" w:ascii="宋体" w:hAnsi="宋体" w:cs="宋体"/>
          <w:bCs/>
          <w:vanish/>
          <w:color w:val="auto"/>
          <w:szCs w:val="21"/>
        </w:rPr>
        <w:pgNum/>
      </w:r>
      <w:r>
        <w:rPr>
          <w:rFonts w:hint="eastAsia" w:ascii="宋体" w:hAnsi="宋体" w:cs="宋体"/>
          <w:bCs/>
          <w:vanish/>
          <w:color w:val="auto"/>
          <w:szCs w:val="21"/>
        </w:rPr>
        <w:pgNum/>
      </w:r>
      <w:r>
        <w:rPr>
          <w:rFonts w:hint="eastAsia" w:ascii="宋体" w:hAnsi="宋体" w:cs="宋体"/>
          <w:bCs/>
          <w:vanish/>
          <w:color w:val="auto"/>
          <w:szCs w:val="21"/>
        </w:rPr>
        <w:pgNum/>
      </w:r>
      <w:r>
        <w:rPr>
          <w:rFonts w:hint="eastAsia" w:ascii="宋体" w:hAnsi="宋体" w:cs="宋体"/>
          <w:bCs/>
          <w:vanish/>
          <w:color w:val="auto"/>
          <w:szCs w:val="21"/>
        </w:rPr>
        <w:pgNum/>
      </w:r>
      <w:r>
        <w:rPr>
          <w:rFonts w:hint="eastAsia" w:ascii="宋体" w:hAnsi="宋体" w:cs="宋体"/>
          <w:bCs/>
          <w:vanish/>
          <w:color w:val="auto"/>
          <w:szCs w:val="21"/>
        </w:rPr>
        <w:pgNum/>
      </w:r>
      <w:r>
        <w:rPr>
          <w:rFonts w:hint="eastAsia" w:ascii="宋体" w:hAnsi="宋体" w:cs="宋体"/>
          <w:bCs/>
          <w:vanish/>
          <w:color w:val="auto"/>
          <w:szCs w:val="21"/>
        </w:rPr>
        <w:pgNum/>
      </w:r>
      <w:r>
        <w:rPr>
          <w:rFonts w:hint="eastAsia" w:ascii="宋体" w:hAnsi="宋体" w:cs="宋体"/>
          <w:bCs/>
          <w:vanish/>
          <w:color w:val="auto"/>
          <w:szCs w:val="21"/>
        </w:rPr>
        <w:pgNum/>
      </w:r>
      <w:r>
        <w:rPr>
          <w:rFonts w:hint="eastAsia" w:ascii="宋体" w:hAnsi="宋体" w:cs="宋体"/>
          <w:bCs/>
          <w:vanish/>
          <w:color w:val="auto"/>
          <w:szCs w:val="21"/>
        </w:rPr>
        <w:pgNum/>
      </w:r>
      <w:r>
        <w:rPr>
          <w:rFonts w:hint="eastAsia" w:ascii="宋体" w:hAnsi="宋体" w:cs="宋体"/>
          <w:bCs/>
          <w:vanish/>
          <w:color w:val="auto"/>
          <w:szCs w:val="21"/>
        </w:rPr>
        <w:pgNum/>
      </w:r>
      <w:r>
        <w:rPr>
          <w:rFonts w:hint="eastAsia" w:ascii="宋体" w:hAnsi="宋体" w:cs="宋体"/>
          <w:bCs/>
          <w:vanish/>
          <w:color w:val="auto"/>
          <w:szCs w:val="21"/>
        </w:rPr>
        <w:pgNum/>
      </w:r>
      <w:r>
        <w:rPr>
          <w:rFonts w:hint="eastAsia" w:ascii="宋体" w:hAnsi="宋体" w:cs="宋体"/>
          <w:bCs/>
          <w:vanish/>
          <w:color w:val="auto"/>
          <w:szCs w:val="21"/>
        </w:rPr>
        <w:pgNum/>
      </w:r>
      <w:r>
        <w:rPr>
          <w:rFonts w:hint="eastAsia" w:ascii="宋体" w:hAnsi="宋体" w:cs="宋体"/>
          <w:bCs/>
          <w:vanish/>
          <w:color w:val="auto"/>
          <w:szCs w:val="21"/>
        </w:rPr>
        <w:pgNum/>
      </w:r>
      <w:r>
        <w:rPr>
          <w:rFonts w:hint="eastAsia" w:ascii="宋体" w:hAnsi="宋体" w:cs="宋体"/>
          <w:bCs/>
          <w:vanish/>
          <w:color w:val="auto"/>
          <w:szCs w:val="21"/>
        </w:rPr>
        <w:pgNum/>
      </w:r>
      <w:r>
        <w:rPr>
          <w:rFonts w:hint="eastAsia" w:ascii="宋体" w:hAnsi="宋体" w:cs="宋体"/>
          <w:bCs/>
          <w:vanish/>
          <w:color w:val="auto"/>
          <w:szCs w:val="21"/>
        </w:rPr>
        <w:pgNum/>
      </w:r>
      <w:r>
        <w:rPr>
          <w:rFonts w:hint="eastAsia" w:ascii="宋体" w:hAnsi="宋体" w:cs="宋体"/>
          <w:bCs/>
          <w:vanish/>
          <w:color w:val="auto"/>
          <w:szCs w:val="21"/>
        </w:rPr>
        <w:pgNum/>
      </w:r>
      <w:r>
        <w:rPr>
          <w:rFonts w:hint="eastAsia" w:ascii="宋体" w:hAnsi="宋体" w:cs="宋体"/>
          <w:bCs/>
          <w:vanish/>
          <w:color w:val="auto"/>
          <w:szCs w:val="21"/>
        </w:rPr>
        <w:pgNum/>
      </w:r>
      <w:r>
        <w:rPr>
          <w:rFonts w:hint="eastAsia" w:ascii="宋体" w:hAnsi="宋体" w:cs="宋体"/>
          <w:bCs/>
          <w:vanish/>
          <w:color w:val="auto"/>
          <w:szCs w:val="21"/>
        </w:rPr>
        <w:pgNum/>
      </w:r>
      <w:r>
        <w:rPr>
          <w:rFonts w:hint="eastAsia" w:ascii="宋体" w:hAnsi="宋体" w:cs="宋体"/>
          <w:bCs/>
          <w:vanish/>
          <w:color w:val="auto"/>
          <w:szCs w:val="21"/>
        </w:rPr>
        <w:pgNum/>
      </w:r>
      <w:r>
        <w:rPr>
          <w:rFonts w:hint="eastAsia" w:ascii="宋体" w:hAnsi="宋体" w:cs="宋体"/>
          <w:bCs/>
          <w:color w:val="auto"/>
          <w:szCs w:val="21"/>
        </w:rPr>
        <w:t>■</w:t>
      </w:r>
      <w:r>
        <w:rPr>
          <w:rFonts w:hint="eastAsia" w:ascii="宋体" w:hAnsi="宋体" w:cs="宋体"/>
          <w:color w:val="auto"/>
          <w:kern w:val="0"/>
          <w:szCs w:val="21"/>
        </w:rPr>
        <w:t xml:space="preserve"> 以月为单位。</w:t>
      </w:r>
    </w:p>
    <w:p>
      <w:pPr>
        <w:spacing w:before="96" w:line="30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 以季度为单位。</w:t>
      </w:r>
    </w:p>
    <w:p>
      <w:pPr>
        <w:spacing w:before="96" w:line="30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 以形象进度为准，具体为：</w:t>
      </w:r>
    </w:p>
    <w:p>
      <w:pPr>
        <w:spacing w:before="96" w:line="30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（1）分部分项工程</w:t>
      </w:r>
    </w:p>
    <w:p>
      <w:pPr>
        <w:spacing w:before="96" w:line="30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A.承包人在当月15日前将上月15日至当月14日实际完成工程量向发包人申报进度款，经监理和发包人审核后，于次月21日前统一拨付以支付；属合同规定的施工范围及内容外的工程，需经发包人审批确认后在同期支付。</w:t>
      </w:r>
    </w:p>
    <w:p>
      <w:pPr>
        <w:spacing w:before="96" w:line="30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B.当期分部分项工程进度款=承包人月度完成实际分部分项工程量价款×85％-当期应扣款；当期应扣款包括按合同约定扣除的工程预付款、劳动保险金、水电费、违约金等其它费用。</w:t>
      </w:r>
    </w:p>
    <w:p>
      <w:pPr>
        <w:spacing w:before="96" w:line="30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2）水、电费扣除：要求承包人安装独立施工用水、电计量表。并按实际用量及发包人出租用水用电价格向发包人缴纳水电费。施工场地内水电管线由承包人根据施工需要自行解决,如供电满足不了施工在满负荷时所需电量，则由承包人根据施工工期要求自行自费解决。</w:t>
      </w:r>
    </w:p>
    <w:p>
      <w:pPr>
        <w:spacing w:before="96" w:line="30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3）安全生产文明施工措施费的支付方式：按广州市穗建筑（2006）199号文执行。每次付款时，在发包人收到承包人支付工程款项申请表和合法工程发票（金额为发包人审定确认的金额），审核批准后14天内支付。</w:t>
      </w:r>
    </w:p>
    <w:p>
      <w:pPr>
        <w:spacing w:before="96" w:line="30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4）当工程款（分部分项工程进度款、措施费进度款及未抵扣的预付款、劳动保险金、违约金等，不包括安全文明生产措施费）累计达合同分部分项工程量清单价款与措施费之和的85％时，暂停支付工程进度款。如果合同变更(含补充合同、协议)造成变更后的合同价款与原合同的合同价款不等的，则在工程竣工结算前累计付款不得超过变更后的所有合同价款的85％。</w:t>
      </w:r>
    </w:p>
    <w:p>
      <w:pPr>
        <w:spacing w:before="96" w:line="300" w:lineRule="auto"/>
        <w:jc w:val="left"/>
        <w:rPr>
          <w:rFonts w:ascii="宋体" w:hAnsi="宋体" w:cs="宋体"/>
          <w:b/>
          <w:color w:val="auto"/>
          <w:kern w:val="0"/>
          <w:szCs w:val="21"/>
        </w:rPr>
      </w:pPr>
      <w:r>
        <w:rPr>
          <w:rFonts w:hint="eastAsia" w:ascii="宋体" w:hAnsi="宋体" w:cs="宋体"/>
          <w:b/>
          <w:color w:val="auto"/>
          <w:kern w:val="0"/>
          <w:szCs w:val="21"/>
        </w:rPr>
        <w:t>82. 竣工结算</w:t>
      </w:r>
    </w:p>
    <w:p>
      <w:pPr>
        <w:spacing w:before="96" w:line="30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82.1 竣工结算的程序和时限：</w:t>
      </w:r>
    </w:p>
    <w:p>
      <w:pPr>
        <w:spacing w:before="96" w:line="30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 按通用条款的规定办理。</w:t>
      </w:r>
    </w:p>
    <w:p>
      <w:pPr>
        <w:spacing w:before="96" w:line="300" w:lineRule="auto"/>
        <w:ind w:firstLine="420" w:firstLineChars="200"/>
        <w:jc w:val="left"/>
        <w:rPr>
          <w:rFonts w:ascii="宋体" w:hAnsi="宋体" w:cs="宋体"/>
          <w:color w:val="auto"/>
          <w:kern w:val="0"/>
          <w:szCs w:val="21"/>
          <w:u w:val="single"/>
        </w:rPr>
      </w:pPr>
      <w:r>
        <w:rPr>
          <w:rFonts w:hint="eastAsia" w:ascii="宋体" w:hAnsi="宋体" w:cs="宋体"/>
          <w:bCs/>
          <w:color w:val="auto"/>
          <w:szCs w:val="21"/>
        </w:rPr>
        <w:t>■</w:t>
      </w:r>
      <w:r>
        <w:rPr>
          <w:rFonts w:hint="eastAsia" w:ascii="宋体" w:hAnsi="宋体" w:cs="宋体"/>
          <w:color w:val="auto"/>
          <w:kern w:val="0"/>
          <w:szCs w:val="21"/>
        </w:rPr>
        <w:t xml:space="preserve"> 另作约定：</w:t>
      </w:r>
      <w:r>
        <w:rPr>
          <w:rFonts w:hint="eastAsia" w:ascii="宋体" w:hAnsi="宋体" w:cs="宋体"/>
          <w:color w:val="auto"/>
          <w:kern w:val="0"/>
          <w:szCs w:val="21"/>
          <w:u w:val="single"/>
        </w:rPr>
        <w:t xml:space="preserve"> 详见专用条款82.3和82.4条规定。</w:t>
      </w:r>
    </w:p>
    <w:p>
      <w:pPr>
        <w:spacing w:before="96" w:line="300" w:lineRule="auto"/>
        <w:ind w:firstLine="420" w:firstLineChars="200"/>
        <w:jc w:val="left"/>
        <w:rPr>
          <w:rFonts w:ascii="宋体" w:hAnsi="宋体" w:cs="宋体"/>
          <w:color w:val="auto"/>
          <w:kern w:val="0"/>
          <w:szCs w:val="21"/>
          <w:u w:val="single"/>
        </w:rPr>
      </w:pPr>
      <w:r>
        <w:rPr>
          <w:rFonts w:hint="eastAsia" w:ascii="宋体" w:hAnsi="宋体" w:cs="宋体"/>
          <w:color w:val="auto"/>
          <w:kern w:val="0"/>
          <w:szCs w:val="21"/>
        </w:rPr>
        <w:t xml:space="preserve">82.3 </w:t>
      </w:r>
      <w:r>
        <w:rPr>
          <w:rFonts w:hint="eastAsia" w:ascii="宋体" w:hAnsi="宋体" w:cs="宋体"/>
          <w:color w:val="auto"/>
          <w:szCs w:val="21"/>
        </w:rPr>
        <w:t>承包人在收到造价工程师提出的核实意见后的28天内，不确认也未提出异议的，视为造价工程师提出的核实意见已被认可。</w:t>
      </w:r>
    </w:p>
    <w:p>
      <w:pPr>
        <w:spacing w:before="96" w:line="30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82.4 造价工程师应在收到承包人按照第82.3款规定再次递交的竣工结算文件后的28天内予以复核，并将复核结果通知承包人、抄报发包人。</w:t>
      </w:r>
    </w:p>
    <w:p>
      <w:pPr>
        <w:spacing w:before="96" w:line="300" w:lineRule="auto"/>
        <w:ind w:firstLine="420" w:firstLineChars="200"/>
        <w:jc w:val="left"/>
        <w:rPr>
          <w:rFonts w:ascii="宋体" w:hAnsi="宋体" w:cs="宋体"/>
          <w:strike/>
          <w:color w:val="auto"/>
          <w:kern w:val="0"/>
          <w:szCs w:val="21"/>
        </w:rPr>
      </w:pPr>
      <w:r>
        <w:rPr>
          <w:rFonts w:hint="eastAsia" w:ascii="宋体" w:hAnsi="宋体" w:cs="宋体"/>
          <w:color w:val="auto"/>
          <w:kern w:val="0"/>
          <w:szCs w:val="21"/>
        </w:rPr>
        <w:t>(1)经复核无误的，将按原核定造价作为结算价。</w:t>
      </w:r>
    </w:p>
    <w:p>
      <w:pPr>
        <w:spacing w:before="96" w:line="30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(2)经复核认为有误的，由造价工程师与合同双方当事人协商解决，或按照第86条规定处理。</w:t>
      </w:r>
    </w:p>
    <w:p>
      <w:pPr>
        <w:spacing w:before="96" w:line="30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82.7承包人报送的结算金额必须真实准确，若承包人报送的结算总金额或结算单项金额超过最终审定金额的8％，则发包人可按照超过部分金额的10％在结算款中扣罚。</w:t>
      </w:r>
    </w:p>
    <w:p>
      <w:pPr>
        <w:spacing w:before="96" w:line="30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82.8承包人投标时所报任何分部分项工程量清单项目的综合单价高于套用建设主管部门规定的相关专业定额价格的30%以上时，发包人有权认为此报价为恶意高价，在工程结算时，该项目的综合单价将按建设主管部门规定的相关专业定额价格进行结算。</w:t>
      </w:r>
    </w:p>
    <w:p>
      <w:pPr>
        <w:spacing w:before="96" w:line="300" w:lineRule="auto"/>
        <w:jc w:val="left"/>
        <w:rPr>
          <w:rFonts w:ascii="宋体" w:hAnsi="宋体" w:cs="宋体"/>
          <w:b/>
          <w:color w:val="auto"/>
          <w:kern w:val="0"/>
          <w:szCs w:val="21"/>
        </w:rPr>
      </w:pPr>
      <w:r>
        <w:rPr>
          <w:rFonts w:hint="eastAsia" w:ascii="宋体" w:hAnsi="宋体" w:cs="宋体"/>
          <w:b/>
          <w:color w:val="auto"/>
          <w:kern w:val="0"/>
          <w:szCs w:val="21"/>
        </w:rPr>
        <w:t>83. 结算款</w:t>
      </w:r>
    </w:p>
    <w:p>
      <w:pPr>
        <w:spacing w:before="96" w:line="30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83.1 提交竣工支付申请</w:t>
      </w:r>
    </w:p>
    <w:p>
      <w:pPr>
        <w:spacing w:before="96" w:line="30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(1) 竣工支付期限</w:t>
      </w:r>
    </w:p>
    <w:p>
      <w:pPr>
        <w:spacing w:before="96" w:line="30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 按通用条款的规定，在造价工程师签发竣工结算支付证书后的28天内。</w:t>
      </w:r>
    </w:p>
    <w:p>
      <w:pPr>
        <w:spacing w:before="96" w:line="300" w:lineRule="auto"/>
        <w:ind w:firstLine="420" w:firstLineChars="200"/>
        <w:jc w:val="left"/>
        <w:rPr>
          <w:rFonts w:ascii="宋体" w:hAnsi="宋体" w:cs="宋体"/>
          <w:color w:val="auto"/>
          <w:kern w:val="0"/>
          <w:szCs w:val="21"/>
        </w:rPr>
      </w:pPr>
      <w:r>
        <w:rPr>
          <w:rFonts w:hint="eastAsia" w:ascii="宋体" w:hAnsi="宋体" w:cs="宋体"/>
          <w:bCs/>
          <w:color w:val="auto"/>
          <w:szCs w:val="21"/>
        </w:rPr>
        <w:t>■</w:t>
      </w:r>
      <w:r>
        <w:rPr>
          <w:rFonts w:hint="eastAsia" w:ascii="宋体" w:hAnsi="宋体" w:cs="宋体"/>
          <w:color w:val="auto"/>
          <w:kern w:val="0"/>
          <w:szCs w:val="21"/>
        </w:rPr>
        <w:t xml:space="preserve"> 另有约定：</w:t>
      </w:r>
      <w:r>
        <w:rPr>
          <w:rFonts w:hint="eastAsia" w:ascii="宋体" w:hAnsi="宋体" w:cs="宋体"/>
          <w:color w:val="auto"/>
          <w:kern w:val="0"/>
          <w:szCs w:val="21"/>
          <w:u w:val="single"/>
        </w:rPr>
        <w:t>在完成竣工结算审核，且承包人按时完成资料整理并完整移交工程竣工档案并提供支付申请及等额合法发票后，发包人在15个工作日内支付至结算造价的95%；留结算款的5%作为质量保证金。质保期满后，发包人收到承包人的支付工程款项申请，经审核后10个工作日内无息支付。在保修期内因施工质量而造成返修，其费用由承包人负责，若承包人在质量保证期内未完全履行缺陷保修义务的，发包人有权扣除质量保证金，并保留进一步索赔的权利</w:t>
      </w:r>
      <w:r>
        <w:rPr>
          <w:rFonts w:hint="eastAsia" w:ascii="宋体" w:hAnsi="宋体" w:cs="宋体"/>
          <w:color w:val="auto"/>
          <w:kern w:val="0"/>
          <w:szCs w:val="21"/>
        </w:rPr>
        <w:t xml:space="preserve">。 </w:t>
      </w:r>
    </w:p>
    <w:p>
      <w:pPr>
        <w:spacing w:before="96" w:line="30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(2) 政府资金投资工程的支付期、支付办法</w:t>
      </w:r>
    </w:p>
    <w:p>
      <w:pPr>
        <w:spacing w:before="96" w:line="30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□按通用条款的规定。</w:t>
      </w:r>
    </w:p>
    <w:p>
      <w:pPr>
        <w:spacing w:before="96" w:line="300" w:lineRule="auto"/>
        <w:ind w:firstLine="420" w:firstLineChars="200"/>
        <w:jc w:val="left"/>
        <w:rPr>
          <w:rFonts w:ascii="宋体" w:hAnsi="宋体" w:cs="宋体"/>
          <w:color w:val="auto"/>
          <w:kern w:val="0"/>
          <w:szCs w:val="21"/>
        </w:rPr>
      </w:pPr>
      <w:r>
        <w:rPr>
          <w:rFonts w:hint="eastAsia" w:ascii="宋体" w:hAnsi="宋体" w:cs="宋体"/>
          <w:bCs/>
          <w:color w:val="auto"/>
          <w:szCs w:val="21"/>
        </w:rPr>
        <w:t>■</w:t>
      </w:r>
      <w:r>
        <w:rPr>
          <w:rFonts w:hint="eastAsia" w:ascii="宋体" w:hAnsi="宋体" w:cs="宋体"/>
          <w:color w:val="auto"/>
          <w:kern w:val="0"/>
          <w:szCs w:val="21"/>
        </w:rPr>
        <w:t>另作约定：</w:t>
      </w:r>
    </w:p>
    <w:p>
      <w:pPr>
        <w:spacing w:before="96" w:line="300" w:lineRule="auto"/>
        <w:ind w:firstLine="420" w:firstLineChars="200"/>
        <w:jc w:val="left"/>
        <w:rPr>
          <w:rFonts w:ascii="宋体" w:hAnsi="宋体" w:cs="宋体"/>
          <w:color w:val="auto"/>
          <w:kern w:val="0"/>
          <w:szCs w:val="21"/>
        </w:rPr>
      </w:pPr>
      <w:r>
        <w:rPr>
          <w:rFonts w:hint="eastAsia" w:ascii="宋体" w:hAnsi="宋体" w:cs="宋体"/>
          <w:color w:val="auto"/>
          <w:kern w:val="0"/>
          <w:szCs w:val="21"/>
          <w:u w:val="single"/>
        </w:rPr>
        <w:t xml:space="preserve">本项目的付款时间是指发包人向政府财政支付部门提出付款申请的时间，不含其审核和支付的时间。 </w:t>
      </w:r>
    </w:p>
    <w:p>
      <w:pPr>
        <w:spacing w:before="96" w:line="300" w:lineRule="auto"/>
        <w:ind w:firstLine="482"/>
        <w:jc w:val="left"/>
        <w:rPr>
          <w:rFonts w:ascii="宋体" w:hAnsi="宋体" w:cs="宋体"/>
          <w:b/>
          <w:color w:val="auto"/>
          <w:kern w:val="0"/>
          <w:szCs w:val="21"/>
        </w:rPr>
      </w:pPr>
      <w:r>
        <w:rPr>
          <w:rFonts w:hint="eastAsia" w:ascii="宋体" w:hAnsi="宋体" w:cs="宋体"/>
          <w:b/>
          <w:color w:val="auto"/>
          <w:kern w:val="0"/>
          <w:szCs w:val="21"/>
        </w:rPr>
        <w:t>84．质量保证金</w:t>
      </w:r>
    </w:p>
    <w:p>
      <w:pPr>
        <w:tabs>
          <w:tab w:val="left" w:pos="1240"/>
        </w:tabs>
        <w:autoSpaceDE w:val="0"/>
        <w:autoSpaceDN w:val="0"/>
        <w:spacing w:before="96" w:line="30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84.2 质量保证金的约定及扣留</w:t>
      </w:r>
    </w:p>
    <w:p>
      <w:pPr>
        <w:autoSpaceDE w:val="0"/>
        <w:autoSpaceDN w:val="0"/>
        <w:spacing w:before="96" w:line="30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(1) 质量保证金的约定</w:t>
      </w:r>
    </w:p>
    <w:p>
      <w:pPr>
        <w:autoSpaceDE w:val="0"/>
        <w:autoSpaceDN w:val="0"/>
        <w:spacing w:before="96" w:line="300" w:lineRule="auto"/>
        <w:ind w:firstLine="420" w:firstLineChars="200"/>
        <w:jc w:val="left"/>
        <w:rPr>
          <w:rFonts w:ascii="宋体" w:hAnsi="宋体" w:cs="宋体"/>
          <w:color w:val="auto"/>
          <w:kern w:val="0"/>
          <w:szCs w:val="21"/>
        </w:rPr>
      </w:pPr>
      <w:r>
        <w:rPr>
          <w:rFonts w:hint="eastAsia" w:ascii="宋体" w:hAnsi="宋体" w:cs="宋体"/>
          <w:bCs/>
          <w:color w:val="auto"/>
          <w:szCs w:val="21"/>
        </w:rPr>
        <w:t xml:space="preserve">□ </w:t>
      </w:r>
      <w:r>
        <w:rPr>
          <w:rFonts w:hint="eastAsia" w:ascii="宋体" w:hAnsi="宋体" w:cs="宋体"/>
          <w:color w:val="auto"/>
          <w:kern w:val="0"/>
          <w:szCs w:val="21"/>
        </w:rPr>
        <w:t>按通用条款规定为合同价款的3%，即</w:t>
      </w:r>
      <w:r>
        <w:rPr>
          <w:rFonts w:hint="eastAsia" w:ascii="宋体" w:hAnsi="宋体" w:cs="宋体"/>
          <w:color w:val="auto"/>
          <w:kern w:val="0"/>
          <w:szCs w:val="21"/>
          <w:u w:val="single"/>
        </w:rPr>
        <w:t xml:space="preserve">        </w:t>
      </w:r>
      <w:r>
        <w:rPr>
          <w:rFonts w:hint="eastAsia" w:ascii="宋体" w:hAnsi="宋体" w:cs="宋体"/>
          <w:color w:val="auto"/>
          <w:kern w:val="0"/>
          <w:szCs w:val="21"/>
        </w:rPr>
        <w:t>元。</w:t>
      </w:r>
    </w:p>
    <w:p>
      <w:pPr>
        <w:tabs>
          <w:tab w:val="left" w:pos="3700"/>
        </w:tabs>
        <w:autoSpaceDE w:val="0"/>
        <w:autoSpaceDN w:val="0"/>
        <w:spacing w:before="96" w:line="300" w:lineRule="auto"/>
        <w:ind w:firstLine="420" w:firstLineChars="200"/>
        <w:jc w:val="left"/>
        <w:rPr>
          <w:rFonts w:ascii="宋体" w:hAnsi="宋体" w:cs="宋体"/>
          <w:color w:val="auto"/>
          <w:kern w:val="0"/>
          <w:szCs w:val="21"/>
        </w:rPr>
      </w:pPr>
      <w:r>
        <w:rPr>
          <w:rFonts w:hint="eastAsia" w:ascii="宋体" w:hAnsi="宋体" w:cs="宋体"/>
          <w:bCs/>
          <w:color w:val="auto"/>
          <w:szCs w:val="21"/>
        </w:rPr>
        <w:t>■</w:t>
      </w:r>
      <w:r>
        <w:rPr>
          <w:rFonts w:hint="eastAsia" w:ascii="宋体" w:hAnsi="宋体" w:cs="宋体"/>
          <w:color w:val="auto"/>
          <w:kern w:val="0"/>
          <w:szCs w:val="21"/>
        </w:rPr>
        <w:t>另有约定：</w:t>
      </w:r>
      <w:r>
        <w:rPr>
          <w:rFonts w:hint="eastAsia" w:ascii="宋体" w:hAnsi="宋体" w:cs="宋体"/>
          <w:color w:val="auto"/>
          <w:kern w:val="0"/>
          <w:szCs w:val="21"/>
          <w:u w:val="single"/>
        </w:rPr>
        <w:t>按结算价款的5%。</w:t>
      </w:r>
    </w:p>
    <w:p>
      <w:pPr>
        <w:autoSpaceDE w:val="0"/>
        <w:autoSpaceDN w:val="0"/>
        <w:spacing w:before="96" w:line="30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(2)  质量保证金的扣留</w:t>
      </w:r>
    </w:p>
    <w:p>
      <w:pPr>
        <w:autoSpaceDE w:val="0"/>
        <w:autoSpaceDN w:val="0"/>
        <w:spacing w:before="96" w:line="300" w:lineRule="auto"/>
        <w:ind w:firstLine="420" w:firstLineChars="200"/>
        <w:jc w:val="left"/>
        <w:rPr>
          <w:rFonts w:ascii="宋体" w:hAnsi="宋体" w:cs="宋体"/>
          <w:color w:val="auto"/>
          <w:kern w:val="0"/>
          <w:szCs w:val="21"/>
        </w:rPr>
      </w:pPr>
      <w:r>
        <w:rPr>
          <w:rFonts w:hint="eastAsia" w:ascii="宋体" w:hAnsi="宋体" w:cs="宋体"/>
          <w:bCs/>
          <w:color w:val="auto"/>
          <w:szCs w:val="21"/>
        </w:rPr>
        <w:t>□</w:t>
      </w:r>
      <w:r>
        <w:rPr>
          <w:rFonts w:hint="eastAsia" w:ascii="宋体" w:hAnsi="宋体" w:cs="宋体"/>
          <w:color w:val="auto"/>
          <w:kern w:val="0"/>
          <w:szCs w:val="21"/>
        </w:rPr>
        <w:t>按通用条款的规定，按每支付期应支付给承包人的进度款和结算款的3%扣留。</w:t>
      </w:r>
    </w:p>
    <w:p>
      <w:pPr>
        <w:autoSpaceDE w:val="0"/>
        <w:autoSpaceDN w:val="0"/>
        <w:spacing w:before="96" w:line="300" w:lineRule="auto"/>
        <w:ind w:firstLine="420" w:firstLineChars="200"/>
        <w:jc w:val="left"/>
        <w:rPr>
          <w:rFonts w:ascii="宋体" w:hAnsi="宋体" w:cs="宋体"/>
          <w:color w:val="auto"/>
          <w:kern w:val="0"/>
          <w:szCs w:val="21"/>
        </w:rPr>
      </w:pPr>
      <w:r>
        <w:rPr>
          <w:rFonts w:hint="eastAsia" w:ascii="宋体" w:hAnsi="宋体" w:cs="宋体"/>
          <w:bCs/>
          <w:color w:val="auto"/>
          <w:szCs w:val="21"/>
        </w:rPr>
        <w:t>■</w:t>
      </w:r>
      <w:r>
        <w:rPr>
          <w:rFonts w:hint="eastAsia" w:ascii="宋体" w:hAnsi="宋体" w:cs="宋体"/>
          <w:color w:val="auto"/>
          <w:kern w:val="0"/>
          <w:szCs w:val="21"/>
        </w:rPr>
        <w:t>另有约定：</w:t>
      </w:r>
      <w:r>
        <w:rPr>
          <w:rFonts w:hint="eastAsia" w:ascii="宋体" w:hAnsi="宋体" w:cs="宋体"/>
          <w:color w:val="auto"/>
          <w:kern w:val="0"/>
          <w:szCs w:val="21"/>
          <w:u w:val="single"/>
        </w:rPr>
        <w:t xml:space="preserve"> 按专用条款83.1执行。</w:t>
      </w:r>
    </w:p>
    <w:p>
      <w:pPr>
        <w:spacing w:before="96" w:line="300" w:lineRule="auto"/>
        <w:jc w:val="left"/>
        <w:rPr>
          <w:rFonts w:ascii="宋体" w:hAnsi="宋体" w:cs="宋体"/>
          <w:b/>
          <w:bCs/>
          <w:color w:val="auto"/>
          <w:kern w:val="0"/>
          <w:szCs w:val="21"/>
        </w:rPr>
      </w:pPr>
      <w:r>
        <w:rPr>
          <w:rFonts w:hint="eastAsia" w:ascii="宋体" w:hAnsi="宋体" w:cs="宋体"/>
          <w:b/>
          <w:bCs/>
          <w:color w:val="auto"/>
          <w:kern w:val="0"/>
          <w:szCs w:val="21"/>
        </w:rPr>
        <w:t>85. 最终清算款</w:t>
      </w:r>
    </w:p>
    <w:p>
      <w:pPr>
        <w:spacing w:before="96" w:line="30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85.1 提交最终清算支付申请</w:t>
      </w:r>
    </w:p>
    <w:p>
      <w:pPr>
        <w:spacing w:before="96" w:line="30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(1) 最终清算支付申请</w:t>
      </w:r>
    </w:p>
    <w:p>
      <w:pPr>
        <w:spacing w:before="96" w:line="30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提交份数：</w:t>
      </w:r>
      <w:r>
        <w:rPr>
          <w:rFonts w:hint="eastAsia" w:ascii="宋体" w:hAnsi="宋体" w:cs="宋体"/>
          <w:color w:val="auto"/>
          <w:kern w:val="0"/>
          <w:szCs w:val="21"/>
          <w:u w:val="single"/>
        </w:rPr>
        <w:t xml:space="preserve">  一式四份。 </w:t>
      </w:r>
    </w:p>
    <w:p>
      <w:pPr>
        <w:spacing w:before="96" w:line="300" w:lineRule="auto"/>
        <w:ind w:firstLine="420" w:firstLineChars="200"/>
        <w:jc w:val="left"/>
        <w:rPr>
          <w:rFonts w:ascii="宋体" w:hAnsi="宋体" w:cs="宋体"/>
          <w:color w:val="auto"/>
          <w:kern w:val="0"/>
          <w:szCs w:val="21"/>
          <w:u w:val="single"/>
        </w:rPr>
      </w:pPr>
      <w:r>
        <w:rPr>
          <w:rFonts w:hint="eastAsia" w:ascii="宋体" w:hAnsi="宋体" w:cs="宋体"/>
          <w:color w:val="auto"/>
          <w:kern w:val="0"/>
          <w:szCs w:val="21"/>
        </w:rPr>
        <w:t>提交期限：</w:t>
      </w:r>
      <w:r>
        <w:rPr>
          <w:rFonts w:hint="eastAsia" w:ascii="宋体" w:hAnsi="宋体" w:cs="宋体"/>
          <w:color w:val="auto"/>
          <w:kern w:val="0"/>
          <w:szCs w:val="21"/>
          <w:u w:val="single"/>
        </w:rPr>
        <w:t xml:space="preserve"> 缺陷责任期终止证书签发后28天内。</w:t>
      </w:r>
    </w:p>
    <w:p>
      <w:pPr>
        <w:spacing w:before="96" w:line="30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(2) 最终清算支付时限</w:t>
      </w:r>
    </w:p>
    <w:p>
      <w:pPr>
        <w:spacing w:before="96" w:line="30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 按通用条款的规定，在造价工程师签发最终清算支付证书后的14天内。</w:t>
      </w:r>
    </w:p>
    <w:p>
      <w:pPr>
        <w:autoSpaceDE w:val="0"/>
        <w:autoSpaceDN w:val="0"/>
        <w:spacing w:before="96" w:line="300" w:lineRule="auto"/>
        <w:ind w:firstLine="420" w:firstLineChars="200"/>
        <w:jc w:val="left"/>
        <w:rPr>
          <w:rFonts w:ascii="宋体" w:hAnsi="宋体" w:cs="宋体"/>
          <w:bCs/>
          <w:color w:val="auto"/>
          <w:szCs w:val="21"/>
        </w:rPr>
      </w:pPr>
      <w:r>
        <w:rPr>
          <w:rFonts w:hint="eastAsia" w:ascii="宋体" w:hAnsi="宋体" w:cs="宋体"/>
          <w:bCs/>
          <w:color w:val="auto"/>
          <w:szCs w:val="21"/>
        </w:rPr>
        <w:t xml:space="preserve">■ </w:t>
      </w:r>
      <w:r>
        <w:rPr>
          <w:rFonts w:hint="eastAsia" w:ascii="宋体" w:hAnsi="宋体" w:cs="宋体"/>
          <w:color w:val="auto"/>
          <w:kern w:val="0"/>
          <w:szCs w:val="21"/>
        </w:rPr>
        <w:t>另有约定：</w:t>
      </w:r>
      <w:r>
        <w:rPr>
          <w:rFonts w:hint="eastAsia" w:ascii="宋体" w:hAnsi="宋体" w:cs="宋体"/>
          <w:color w:val="auto"/>
          <w:kern w:val="0"/>
          <w:szCs w:val="21"/>
          <w:u w:val="single"/>
        </w:rPr>
        <w:t>按专用条款83.1执行。</w:t>
      </w:r>
    </w:p>
    <w:p>
      <w:pPr>
        <w:autoSpaceDE w:val="0"/>
        <w:autoSpaceDN w:val="0"/>
        <w:spacing w:before="96" w:line="300" w:lineRule="auto"/>
        <w:ind w:right="-20"/>
        <w:jc w:val="left"/>
        <w:rPr>
          <w:rFonts w:ascii="宋体" w:hAnsi="宋体" w:cs="宋体"/>
          <w:b/>
          <w:color w:val="auto"/>
          <w:szCs w:val="21"/>
        </w:rPr>
      </w:pPr>
      <w:r>
        <w:rPr>
          <w:rFonts w:hint="eastAsia" w:ascii="宋体" w:hAnsi="宋体" w:cs="宋体"/>
          <w:b/>
          <w:color w:val="auto"/>
          <w:szCs w:val="21"/>
        </w:rPr>
        <w:t>86．合同争议</w:t>
      </w:r>
    </w:p>
    <w:p>
      <w:pPr>
        <w:spacing w:before="96" w:line="30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86.4 调解或认定</w:t>
      </w:r>
    </w:p>
    <w:p>
      <w:pPr>
        <w:spacing w:before="96" w:line="30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争议调解或认定机构：</w:t>
      </w:r>
    </w:p>
    <w:p>
      <w:pPr>
        <w:spacing w:before="96" w:line="300" w:lineRule="auto"/>
        <w:ind w:firstLine="420" w:firstLineChars="200"/>
        <w:jc w:val="left"/>
        <w:rPr>
          <w:rFonts w:ascii="宋体" w:hAnsi="宋体" w:cs="宋体"/>
          <w:color w:val="auto"/>
          <w:kern w:val="0"/>
          <w:szCs w:val="21"/>
        </w:rPr>
      </w:pPr>
      <w:r>
        <w:rPr>
          <w:rFonts w:hint="eastAsia" w:ascii="宋体" w:hAnsi="宋体" w:cs="宋体"/>
          <w:bCs/>
          <w:color w:val="auto"/>
          <w:szCs w:val="21"/>
        </w:rPr>
        <w:t>■</w:t>
      </w:r>
      <w:r>
        <w:rPr>
          <w:rFonts w:hint="eastAsia" w:ascii="宋体" w:hAnsi="宋体" w:cs="宋体"/>
          <w:color w:val="auto"/>
          <w:kern w:val="0"/>
          <w:szCs w:val="21"/>
        </w:rPr>
        <w:t xml:space="preserve"> 按通用条款的规定。</w:t>
      </w:r>
    </w:p>
    <w:p>
      <w:pPr>
        <w:spacing w:before="96" w:line="30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 另有约定：</w:t>
      </w:r>
    </w:p>
    <w:p>
      <w:pPr>
        <w:spacing w:before="96" w:line="30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(1)</w:t>
      </w:r>
    </w:p>
    <w:p>
      <w:pPr>
        <w:spacing w:before="96" w:line="30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(2)</w:t>
      </w:r>
    </w:p>
    <w:p>
      <w:pPr>
        <w:spacing w:before="96" w:line="30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(3)</w:t>
      </w:r>
    </w:p>
    <w:p>
      <w:pPr>
        <w:spacing w:before="96" w:line="30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86.6 仲裁或诉讼</w:t>
      </w:r>
    </w:p>
    <w:p>
      <w:pPr>
        <w:spacing w:before="96" w:line="30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解决争议的最终方式：</w:t>
      </w:r>
    </w:p>
    <w:p>
      <w:pPr>
        <w:spacing w:before="96" w:line="30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 向广州仲裁委员会申请仲裁。</w:t>
      </w:r>
    </w:p>
    <w:p>
      <w:pPr>
        <w:spacing w:before="96" w:line="300" w:lineRule="auto"/>
        <w:ind w:firstLine="420" w:firstLineChars="200"/>
        <w:jc w:val="left"/>
        <w:rPr>
          <w:rFonts w:ascii="宋体" w:hAnsi="宋体" w:cs="宋体"/>
          <w:color w:val="auto"/>
          <w:kern w:val="0"/>
          <w:szCs w:val="21"/>
          <w:u w:val="single"/>
        </w:rPr>
      </w:pPr>
      <w:r>
        <w:rPr>
          <w:rFonts w:hint="eastAsia" w:ascii="宋体" w:hAnsi="宋体" w:cs="宋体"/>
          <w:bCs/>
          <w:color w:val="auto"/>
          <w:szCs w:val="21"/>
        </w:rPr>
        <w:t>■</w:t>
      </w:r>
      <w:r>
        <w:rPr>
          <w:rFonts w:hint="eastAsia" w:ascii="宋体" w:hAnsi="宋体" w:cs="宋体"/>
          <w:color w:val="auto"/>
          <w:kern w:val="0"/>
          <w:szCs w:val="21"/>
          <w:u w:val="single"/>
        </w:rPr>
        <w:t>向广州市天河区人民法院提起诉讼。</w:t>
      </w:r>
    </w:p>
    <w:p>
      <w:pPr>
        <w:tabs>
          <w:tab w:val="left" w:pos="1240"/>
        </w:tabs>
        <w:autoSpaceDE w:val="0"/>
        <w:autoSpaceDN w:val="0"/>
        <w:spacing w:before="96" w:line="300" w:lineRule="auto"/>
        <w:ind w:firstLine="420" w:firstLineChars="200"/>
        <w:jc w:val="left"/>
        <w:rPr>
          <w:rFonts w:ascii="宋体" w:hAnsi="宋体" w:cs="宋体"/>
          <w:bCs/>
          <w:color w:val="auto"/>
          <w:szCs w:val="21"/>
        </w:rPr>
      </w:pPr>
      <w:r>
        <w:rPr>
          <w:rFonts w:hint="eastAsia" w:ascii="宋体" w:hAnsi="宋体" w:cs="宋体"/>
          <w:color w:val="auto"/>
          <w:kern w:val="0"/>
          <w:szCs w:val="21"/>
        </w:rPr>
        <w:t xml:space="preserve">86.7 </w:t>
      </w:r>
      <w:r>
        <w:rPr>
          <w:rFonts w:hint="eastAsia" w:ascii="宋体" w:hAnsi="宋体" w:cs="宋体"/>
          <w:color w:val="auto"/>
          <w:kern w:val="0"/>
          <w:szCs w:val="21"/>
          <w:u w:val="single"/>
        </w:rPr>
        <w:t>本合同在履行时如发生争议，承包人在协商解决过程中不得因此停止施工，否则，发包人为确保工程按时竣工，有权委托其他施工单位进行施工，发生的费用由承包人承担；情况严重时发包人有权终止合同解除本合同和要求承包人先行退场，退场后再进行工程结算。</w:t>
      </w:r>
    </w:p>
    <w:p>
      <w:pPr>
        <w:spacing w:before="96" w:line="300" w:lineRule="auto"/>
        <w:jc w:val="left"/>
        <w:rPr>
          <w:rFonts w:ascii="宋体" w:hAnsi="宋体" w:cs="宋体"/>
          <w:b/>
          <w:color w:val="auto"/>
          <w:kern w:val="0"/>
          <w:szCs w:val="21"/>
        </w:rPr>
      </w:pPr>
      <w:r>
        <w:rPr>
          <w:rFonts w:hint="eastAsia" w:ascii="宋体" w:hAnsi="宋体" w:cs="宋体"/>
          <w:b/>
          <w:color w:val="auto"/>
          <w:kern w:val="0"/>
          <w:szCs w:val="21"/>
        </w:rPr>
        <w:t>91. 保密要求</w:t>
      </w:r>
    </w:p>
    <w:p>
      <w:pPr>
        <w:spacing w:before="96" w:line="30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91.1 提供保密信息的期限：</w:t>
      </w:r>
      <w:r>
        <w:rPr>
          <w:rFonts w:hint="eastAsia" w:ascii="宋体" w:hAnsi="宋体" w:cs="宋体"/>
          <w:color w:val="auto"/>
          <w:kern w:val="0"/>
          <w:szCs w:val="21"/>
          <w:u w:val="single"/>
        </w:rPr>
        <w:t xml:space="preserve">     /     </w:t>
      </w:r>
    </w:p>
    <w:p>
      <w:pPr>
        <w:autoSpaceDE w:val="0"/>
        <w:autoSpaceDN w:val="0"/>
        <w:spacing w:before="96" w:line="300" w:lineRule="auto"/>
        <w:ind w:firstLine="420" w:firstLineChars="200"/>
        <w:jc w:val="left"/>
        <w:rPr>
          <w:rFonts w:ascii="宋体" w:hAnsi="宋体" w:cs="宋体"/>
          <w:bCs/>
          <w:color w:val="auto"/>
          <w:szCs w:val="21"/>
        </w:rPr>
      </w:pPr>
      <w:r>
        <w:rPr>
          <w:rFonts w:hint="eastAsia" w:ascii="宋体" w:hAnsi="宋体" w:cs="宋体"/>
          <w:color w:val="auto"/>
          <w:kern w:val="0"/>
          <w:szCs w:val="21"/>
        </w:rPr>
        <w:t xml:space="preserve">91.5 </w:t>
      </w:r>
      <w:r>
        <w:rPr>
          <w:rFonts w:hint="eastAsia" w:ascii="宋体" w:hAnsi="宋体" w:cs="宋体"/>
          <w:color w:val="auto"/>
          <w:kern w:val="0"/>
          <w:szCs w:val="21"/>
          <w:u w:val="single"/>
        </w:rPr>
        <w:t>承包人未经发包人同意， 不得将本工程图纸转给第三人。工程质量保修期满后，除承包人存档需要的图纸外，应将全部图纸退还给发包人。</w:t>
      </w:r>
    </w:p>
    <w:p>
      <w:pPr>
        <w:spacing w:before="96" w:line="300" w:lineRule="auto"/>
        <w:ind w:firstLine="482"/>
        <w:jc w:val="left"/>
        <w:rPr>
          <w:rFonts w:ascii="宋体" w:hAnsi="宋体" w:cs="宋体"/>
          <w:b/>
          <w:color w:val="auto"/>
          <w:kern w:val="0"/>
          <w:szCs w:val="21"/>
        </w:rPr>
      </w:pPr>
      <w:r>
        <w:rPr>
          <w:rFonts w:hint="eastAsia" w:ascii="宋体" w:hAnsi="宋体" w:cs="宋体"/>
          <w:b/>
          <w:color w:val="auto"/>
          <w:kern w:val="0"/>
          <w:szCs w:val="21"/>
        </w:rPr>
        <w:t>94．合同份数</w:t>
      </w:r>
    </w:p>
    <w:p>
      <w:pPr>
        <w:spacing w:before="96" w:line="30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94.1 约定提供合同文件</w:t>
      </w:r>
    </w:p>
    <w:p>
      <w:pPr>
        <w:spacing w:before="96" w:line="30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提供合同文本：</w:t>
      </w:r>
    </w:p>
    <w:p>
      <w:pPr>
        <w:spacing w:before="96" w:line="300" w:lineRule="auto"/>
        <w:ind w:firstLine="420" w:firstLineChars="200"/>
        <w:jc w:val="left"/>
        <w:rPr>
          <w:rFonts w:ascii="宋体" w:hAnsi="宋体" w:cs="宋体"/>
          <w:color w:val="auto"/>
          <w:kern w:val="0"/>
          <w:szCs w:val="21"/>
        </w:rPr>
      </w:pPr>
      <w:r>
        <w:rPr>
          <w:rFonts w:hint="eastAsia" w:ascii="宋体" w:hAnsi="宋体" w:cs="宋体"/>
          <w:bCs/>
          <w:color w:val="auto"/>
          <w:szCs w:val="21"/>
        </w:rPr>
        <w:t>■</w:t>
      </w:r>
      <w:r>
        <w:rPr>
          <w:rFonts w:hint="eastAsia" w:ascii="宋体" w:hAnsi="宋体" w:cs="宋体"/>
          <w:color w:val="auto"/>
          <w:kern w:val="0"/>
          <w:szCs w:val="21"/>
        </w:rPr>
        <w:t xml:space="preserve"> 按通用条款的规定，由发包人向承包人提供。</w:t>
      </w:r>
    </w:p>
    <w:p>
      <w:pPr>
        <w:spacing w:before="96" w:line="30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 另有约定：</w:t>
      </w:r>
    </w:p>
    <w:p>
      <w:pPr>
        <w:spacing w:before="96" w:line="30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94.2 正副本效力</w:t>
      </w:r>
    </w:p>
    <w:p>
      <w:pPr>
        <w:spacing w:before="96" w:line="30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合同的份数：</w:t>
      </w:r>
    </w:p>
    <w:p>
      <w:pPr>
        <w:spacing w:before="96" w:line="30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正本</w:t>
      </w:r>
      <w:r>
        <w:rPr>
          <w:rFonts w:hint="eastAsia" w:ascii="宋体" w:hAnsi="宋体" w:cs="宋体"/>
          <w:color w:val="auto"/>
          <w:kern w:val="0"/>
          <w:szCs w:val="21"/>
          <w:u w:val="single"/>
        </w:rPr>
        <w:t xml:space="preserve"> 贰 </w:t>
      </w:r>
      <w:r>
        <w:rPr>
          <w:rFonts w:hint="eastAsia" w:ascii="宋体" w:hAnsi="宋体" w:cs="宋体"/>
          <w:color w:val="auto"/>
          <w:kern w:val="0"/>
          <w:szCs w:val="21"/>
        </w:rPr>
        <w:t>份，副本</w:t>
      </w:r>
      <w:r>
        <w:rPr>
          <w:rFonts w:hint="eastAsia" w:ascii="宋体" w:hAnsi="宋体" w:cs="宋体"/>
          <w:color w:val="auto"/>
          <w:kern w:val="0"/>
          <w:szCs w:val="21"/>
          <w:u w:val="single"/>
        </w:rPr>
        <w:t xml:space="preserve"> 肆 </w:t>
      </w:r>
      <w:r>
        <w:rPr>
          <w:rFonts w:hint="eastAsia" w:ascii="宋体" w:hAnsi="宋体" w:cs="宋体"/>
          <w:color w:val="auto"/>
          <w:kern w:val="0"/>
          <w:szCs w:val="21"/>
        </w:rPr>
        <w:t>份。</w:t>
      </w:r>
    </w:p>
    <w:p>
      <w:pPr>
        <w:spacing w:before="96" w:line="30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其中：发包人正本</w:t>
      </w:r>
      <w:r>
        <w:rPr>
          <w:rFonts w:hint="eastAsia" w:ascii="宋体" w:hAnsi="宋体" w:cs="宋体"/>
          <w:color w:val="auto"/>
          <w:kern w:val="0"/>
          <w:szCs w:val="21"/>
          <w:u w:val="single"/>
        </w:rPr>
        <w:t xml:space="preserve"> 壹 </w:t>
      </w:r>
      <w:r>
        <w:rPr>
          <w:rFonts w:hint="eastAsia" w:ascii="宋体" w:hAnsi="宋体" w:cs="宋体"/>
          <w:color w:val="auto"/>
          <w:kern w:val="0"/>
          <w:szCs w:val="21"/>
        </w:rPr>
        <w:t>份，副本</w:t>
      </w:r>
      <w:r>
        <w:rPr>
          <w:rFonts w:hint="eastAsia" w:ascii="宋体" w:hAnsi="宋体" w:cs="宋体"/>
          <w:color w:val="auto"/>
          <w:kern w:val="0"/>
          <w:szCs w:val="21"/>
          <w:u w:val="single"/>
        </w:rPr>
        <w:t xml:space="preserve"> 贰 </w:t>
      </w:r>
      <w:r>
        <w:rPr>
          <w:rFonts w:hint="eastAsia" w:ascii="宋体" w:hAnsi="宋体" w:cs="宋体"/>
          <w:color w:val="auto"/>
          <w:kern w:val="0"/>
          <w:szCs w:val="21"/>
        </w:rPr>
        <w:t>份；</w:t>
      </w:r>
    </w:p>
    <w:p>
      <w:pPr>
        <w:tabs>
          <w:tab w:val="left" w:pos="1240"/>
          <w:tab w:val="left" w:pos="3640"/>
          <w:tab w:val="left" w:pos="6040"/>
          <w:tab w:val="left" w:pos="7960"/>
        </w:tabs>
        <w:autoSpaceDE w:val="0"/>
        <w:autoSpaceDN w:val="0"/>
        <w:spacing w:before="96" w:line="300" w:lineRule="auto"/>
        <w:ind w:firstLine="420" w:firstLineChars="200"/>
        <w:jc w:val="left"/>
        <w:rPr>
          <w:rFonts w:ascii="宋体" w:hAnsi="宋体" w:cs="宋体"/>
          <w:color w:val="auto"/>
          <w:kern w:val="0"/>
          <w:szCs w:val="21"/>
          <w:u w:val="single"/>
        </w:rPr>
      </w:pPr>
      <w:r>
        <w:rPr>
          <w:rFonts w:hint="eastAsia" w:ascii="宋体" w:hAnsi="宋体" w:cs="宋体"/>
          <w:color w:val="auto"/>
          <w:kern w:val="0"/>
          <w:szCs w:val="21"/>
        </w:rPr>
        <w:t>承包人正本</w:t>
      </w:r>
      <w:r>
        <w:rPr>
          <w:rFonts w:hint="eastAsia" w:ascii="宋体" w:hAnsi="宋体" w:cs="宋体"/>
          <w:color w:val="auto"/>
          <w:kern w:val="0"/>
          <w:szCs w:val="21"/>
          <w:u w:val="single"/>
        </w:rPr>
        <w:t xml:space="preserve"> 壹 </w:t>
      </w:r>
      <w:r>
        <w:rPr>
          <w:rFonts w:hint="eastAsia" w:ascii="宋体" w:hAnsi="宋体" w:cs="宋体"/>
          <w:color w:val="auto"/>
          <w:kern w:val="0"/>
          <w:szCs w:val="21"/>
        </w:rPr>
        <w:t>份，副本</w:t>
      </w:r>
      <w:r>
        <w:rPr>
          <w:rFonts w:hint="eastAsia" w:ascii="宋体" w:hAnsi="宋体" w:cs="宋体"/>
          <w:color w:val="auto"/>
          <w:kern w:val="0"/>
          <w:szCs w:val="21"/>
          <w:u w:val="single"/>
        </w:rPr>
        <w:t xml:space="preserve"> 贰 </w:t>
      </w:r>
      <w:r>
        <w:rPr>
          <w:rFonts w:hint="eastAsia" w:ascii="宋体" w:hAnsi="宋体" w:cs="宋体"/>
          <w:color w:val="auto"/>
          <w:kern w:val="0"/>
          <w:szCs w:val="21"/>
        </w:rPr>
        <w:t>份。</w:t>
      </w:r>
    </w:p>
    <w:p>
      <w:pPr>
        <w:spacing w:before="96" w:line="300" w:lineRule="auto"/>
        <w:jc w:val="left"/>
        <w:rPr>
          <w:rFonts w:ascii="宋体" w:hAnsi="宋体" w:cs="宋体"/>
          <w:b/>
          <w:color w:val="auto"/>
          <w:kern w:val="0"/>
          <w:szCs w:val="21"/>
        </w:rPr>
      </w:pPr>
      <w:r>
        <w:rPr>
          <w:rFonts w:hint="eastAsia" w:ascii="宋体" w:hAnsi="宋体" w:cs="宋体"/>
          <w:b/>
          <w:color w:val="auto"/>
          <w:kern w:val="0"/>
          <w:szCs w:val="21"/>
        </w:rPr>
        <w:t>96．补充条款</w:t>
      </w:r>
    </w:p>
    <w:p>
      <w:pPr>
        <w:spacing w:before="96" w:line="30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96.1 承包人应按《广东省建设领域工人工资支付分账管理暂行办法的通知》（粤人社[2015]3号）、《关于印发广州市建设领域工人工资支付分账管理实施细则的通知》（穗建规字〔2017〕10号）中的要求，设立工人工资专用账户，并在每次申请工程进度款时明确工程进度款中所包括人工费金额，发包人将把当期最终核定工程进度款中的人工费转入承包人提供的工人工资专用账户内，以保证专款专用。如因承包人未按规定开立、使用、变更、撤销工人工资支付专用账户导致本工程施工许可证未能如期办理、拖欠或克扣工人工资造成群体性事件或其他不良行为的，由此引起的相关责任全部由承包人承担。</w:t>
      </w:r>
    </w:p>
    <w:p>
      <w:pPr>
        <w:spacing w:before="96" w:line="30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96.2 由于承包人的原因，工程质量或工程进度无法满足合同要求，则在发包人发出书面警告后7天内，若承包人仍没有采取令发包人满意的措施，发包人有权要求承包人对部分工作量进行分包，交由其他承包人完成，承包人应无条件接受，否则发包人有权终止合同并没收履约担保金。承包人应无条件提供已有的临时设施（如便道、电力线路等）供分包人使用，承包人必须接受并不得为此要求增加任何费用。</w:t>
      </w:r>
    </w:p>
    <w:p>
      <w:pPr>
        <w:spacing w:before="96" w:line="30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96.3 如发生设计变更,由发包人协调相关各方尽快签认变更手续，承包人应及时申报，变更发生之日起，逾期一年未提交完善的变更资料的，对增加的工程费用，发包人不予认可，对减少的工程费用，由监理工程师审定并经发包人同意后，按应减少金额的2倍从承包人的竣工结算价款中直接扣除。</w:t>
      </w:r>
    </w:p>
    <w:p>
      <w:pPr>
        <w:spacing w:before="96" w:line="30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96.4 施工现场不能满足工人生活区需要的，由承包人自行安排处理。</w:t>
      </w:r>
    </w:p>
    <w:p>
      <w:pPr>
        <w:spacing w:before="96" w:line="30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96.5现场管理人员到位管理细则</w:t>
      </w:r>
    </w:p>
    <w:p>
      <w:pPr>
        <w:spacing w:before="96" w:line="30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(1)监理工程师对承包人派驻施工现场的主要管理人员造册登记后上报发包人，发包人将统一制作工牌，实行挂牌上岗。</w:t>
      </w:r>
    </w:p>
    <w:p>
      <w:pPr>
        <w:spacing w:before="96" w:line="30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(2)监理工程师对承包人派驻施工现场的主要管理人员建立考勤制度，被考勤人员包括项目负责人、项目技术负责人、各专业工程师、安全负责人。考勤要求；被考勤人员在考勤表上签名确认出勤，负责考勤的监理人员记录当日考勤情况后由承包人的项目负责人签名确认。</w:t>
      </w:r>
    </w:p>
    <w:p>
      <w:pPr>
        <w:spacing w:before="96" w:line="30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(3)发包人的工程部与合约部将不定期地抽查考勤签到情况，当天的检查以发包人检查的管理人员到位情况为准。发包人如发现考勤弄虚作假的情况，将对负责考勤的监理人员进行处罚。</w:t>
      </w:r>
    </w:p>
    <w:p>
      <w:pPr>
        <w:spacing w:before="96" w:line="30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(4)承包人的项目负责人及技术负责人未到位或擅自更换的，发现一次处以1万元/人.次罚款，专业工程师及安全负责人未到位或擅自更换的，发现一次处以5000元/人.次罚款；如有特殊原因确需更换人员的，须报发包人和监理工程师批准后方可更换。</w:t>
      </w:r>
    </w:p>
    <w:p>
      <w:pPr>
        <w:spacing w:before="96" w:line="30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(5)发包人在向承包人发出整改通知起的14天内未见纠正的，视承包人违约并按合同履约金的条款处理，情况严重者发包人有权中止合同。</w:t>
      </w:r>
    </w:p>
    <w:p>
      <w:pPr>
        <w:spacing w:before="96" w:line="30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(6)项目负责人、技术负责人无故缺席会议处以500元/人.次的罚款。</w:t>
      </w:r>
    </w:p>
    <w:p>
      <w:pPr>
        <w:spacing w:before="96" w:line="30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(7)项目负责人、技术负责人、专业工程师及安全负责人应常驻施工现场，离开施工现场2天以内应向监理工程师请假，离开施工现场超过2天应向发包人请假，并须获得批准，否则将视为无故缺席按以下标准进行罚款：</w:t>
      </w:r>
    </w:p>
    <w:p>
      <w:pPr>
        <w:spacing w:before="96" w:line="30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项目负责人及技术负责人500元/人·天</w:t>
      </w:r>
    </w:p>
    <w:p>
      <w:pPr>
        <w:spacing w:before="96" w:line="30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专业工程师及安全负责人200元/人·天</w:t>
      </w:r>
    </w:p>
    <w:p>
      <w:pPr>
        <w:spacing w:before="96" w:line="30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(8)以上人员离开工地须按15.1.7条规定事先请假，且除特殊原因(如每年一次的探亲假等)，每星期不能连续请假超过3天且每月总请假天数不能超过当月天数减21天，否则按无故缺席处罚。</w:t>
      </w:r>
    </w:p>
    <w:p>
      <w:pPr>
        <w:spacing w:before="96" w:line="30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(9)项目负责人与技术负责人不能同时请假，且在请假期间应有相应的授权书。</w:t>
      </w:r>
    </w:p>
    <w:p>
      <w:pPr>
        <w:spacing w:before="96" w:line="30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(10)考勤表从上月25日起计至本月的25日止，要求与工程进度报表同时上报，发包人将根据统计的缺席情况在进度款支付时进行相应罚款，且根据当月及多月到位情况对人员到位表现差的承包人进行批评、警告、直至扣除履约担保金。</w:t>
      </w:r>
    </w:p>
    <w:p>
      <w:pPr>
        <w:spacing w:before="96" w:line="30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（11）施工方不文明施工或存在安全隐患，发包方或委托监理方可以视情节严重程度直接采取500-2000元处罚，情节严重的采取停工整顿等必要的措施。造成损失的由施工方承担一切后果。</w:t>
      </w:r>
    </w:p>
    <w:p>
      <w:pPr>
        <w:spacing w:before="96" w:line="30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96.6施工进度控制管理办法</w:t>
      </w:r>
    </w:p>
    <w:p>
      <w:pPr>
        <w:spacing w:before="96" w:line="30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(1)为确保本项目按计划完成，特制定本办法，供双方遵照执行。</w:t>
      </w:r>
    </w:p>
    <w:p>
      <w:pPr>
        <w:spacing w:before="96" w:line="30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(2)施工单位应按施工合同规定的工期，在开工建设前编制完善合理的总体施工进度计划，报监理工程师及发包人审批。</w:t>
      </w:r>
    </w:p>
    <w:p>
      <w:pPr>
        <w:spacing w:before="96" w:line="30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(3)施工单位在开工前或每季度前一个月的25日前，根据总体施工计划编制下一季度的施工计划报监理工程师及发包人审批。</w:t>
      </w:r>
    </w:p>
    <w:p>
      <w:pPr>
        <w:spacing w:before="96" w:line="30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(4)施工单位在开工前或每月的25日前，根据季度施工计划编制下一月度的施工计划报监理工程师及发包人审批。</w:t>
      </w:r>
    </w:p>
    <w:p>
      <w:pPr>
        <w:spacing w:before="96" w:line="30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(5)施工单位在编制施工计划（年度、季度、月度）时，应充分考虑总工期、工程量、征地拆迁的影响等因素，使计划切实可行，能均衡地施工。工程实行建安计划管理，每月建安计划由发包人按承包人施工组织计划，根据施工实际情况于上月底前发出，每月25日前由发包人组织各相关部门对承包人执行本月建安计划的情况进行考核，非承包人原因的，未达到本月建安计划81%～95%的，发包人对承包人进行书面警告；未达到本月建安计划80%的，给予承包人一般违约责任处罚；每月建安计划累计达到两次一般违约责任的，按严重违约责任处罚。上月建安计划未完成的，必须在本月建安计划内完成。一般违约责任每次扣罚2000元，严重违约责任每次扣罚5000元。同时在当月的25日前编制下月的调整计划报监理工程师及发包人审批，确保调整后计划仍能按期完工。</w:t>
      </w:r>
    </w:p>
    <w:p>
      <w:pPr>
        <w:spacing w:before="96" w:line="30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(6)监理工程师及发包人代表负责对施工单位的施工计划和实际施工进度进行监督。如发现实际施工进度与施工计划存在较大偏差时，监理工程师及发包人代表有权要求施工单位增加人员、机械设备，以满足工程施工计划的需要，施工单位必须根据工程的实际进度情况，作出相应的补救措施。</w:t>
      </w:r>
    </w:p>
    <w:p>
      <w:pPr>
        <w:spacing w:before="96" w:line="30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96.7对工程的照管</w:t>
      </w:r>
    </w:p>
    <w:p>
      <w:pPr>
        <w:spacing w:before="96" w:line="30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从施工队伍进场之日起，承包人应负责全面照管与维护本合同工程和将用于或安装在本合同工程中的材料、设备，直到本合同工程竣工并移交管养止。在承包人负责照管与维护期间，如果本合同工程或其组成部分，或将用于或安装在本合同工程中的材料、设备等发生损失或损害，不论出于什么原因（第31.1款规定的风险除外），承包人均应自费修复并须达到合同和相关规范的要求。</w:t>
      </w:r>
    </w:p>
    <w:p>
      <w:pPr>
        <w:spacing w:before="96" w:line="30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由于施工质量缺陷或竣工资料不完善等承包人自身的原因，致使本合同工程在竣工验收后不能及时移交管养单位，则本合同工程照管与维护的全部责任仍由承包人承担。由于照管不当造成的损失，不论出于什么原因（第31.1款规定的风险除外）均全部由承包人承担。如果承包人不能按发包人的要求及时进行修复，则发包人有权委托其他有资质的施工单位来完成此项工作，所需的费用由承包人负责并从其结算价款中扣除。</w:t>
      </w:r>
    </w:p>
    <w:p>
      <w:pPr>
        <w:spacing w:before="96" w:line="30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承包人在缺陷责任期内，对收尾工程和用于修补缺陷的材料、设备、人员等仍然由承包人照管，如照管不当造成的损失亦全部由承包人承担。</w:t>
      </w:r>
    </w:p>
    <w:p>
      <w:pPr>
        <w:spacing w:before="96" w:line="30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96.8 分包和劳务</w:t>
      </w:r>
    </w:p>
    <w:p>
      <w:pPr>
        <w:spacing w:before="96" w:line="30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除合同另有规定外，出现下列情况的，监理工程师有权拒绝验收和计量，发包人有权拒绝支付或视承包人严重违约而终止合同收回该工程。</w:t>
      </w:r>
    </w:p>
    <w:p>
      <w:pPr>
        <w:spacing w:before="96" w:line="30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(1)承包人将工程分包给不具备相应资质条件的单位；</w:t>
      </w:r>
    </w:p>
    <w:p>
      <w:pPr>
        <w:spacing w:before="96" w:line="30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(2)承包人将建设工程主体结构或关键性工作的施工分包给其他单位；</w:t>
      </w:r>
    </w:p>
    <w:p>
      <w:pPr>
        <w:spacing w:before="96" w:line="30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(3)分包人将其承包的建设工程再行分包；</w:t>
      </w:r>
    </w:p>
    <w:p>
      <w:pPr>
        <w:spacing w:before="96" w:line="30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(4)承包人分包合同累计的工程总价超过该合同总价的30%部分。</w:t>
      </w:r>
    </w:p>
    <w:p>
      <w:pPr>
        <w:spacing w:before="96" w:line="30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若由于承包人的原因，承包人无法满足工程质量或工程进度的要求时，发包人在向承包人发出书面警告通知14天后，仍无改善，发包人有权对承包人部分工作量进行分包，交由其他承包人完成，承包人应无条件接受，否则发包人有权终止合同并没收履约担保金。调整部分的造价按发包人与其他承包人确认的分包单价和分包工程数量计算，并对承包人的合同价作相应调整。承包人应按发包人要求提供已有的临时设施（如便道、电力线路等）供分包人使用，承包人必须接受并不得为此要求增加任何费用。上述分包并不免除承包人对工程的管理和质量责任。</w:t>
      </w:r>
    </w:p>
    <w:p>
      <w:pPr>
        <w:spacing w:before="96" w:line="30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发包人有权监督承包人所有分包合同的执行情况，承包人须严格执行合同（包括分包合同）条款，不得拖欠工人工资及分包商工程款，发包人如发现或接到有关上述行为的投诉，有权直接向工人或分包商支付承包人拖欠款项，该笔款项由发包人从承包人应收工程款中如数扣回，承包人不得有异议。</w:t>
      </w:r>
    </w:p>
    <w:p>
      <w:pPr>
        <w:spacing w:before="96" w:line="30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承包人可以将劳务作业分包给具有劳务分包资质的劳务分包人，但承包人必须依法签订劳动合同，并将劳动合同报监理工程师备案。承包人和劳务分包人必须按照有关法律、法规和劳务合同按时支付劳务工资，落实各项劳动保护措施。</w:t>
      </w:r>
    </w:p>
    <w:p>
      <w:pPr>
        <w:spacing w:before="96" w:line="30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发包人和监理工程师有权检查承包人使用农民工的管理工作，对不签订劳动合同、非法使用农民工、或者拖延和克扣农民工工资的，要予以纠正。若因上述原因造成劳务人员上访、纠纷等情况，承包人须承担一切经济和法律责任，发包人有权从工程款中加倍扣除并直接支付农民工工资，同时按国家有关法律、法规、规章的规定对承包人进行违约处理。</w:t>
      </w:r>
    </w:p>
    <w:p>
      <w:pPr>
        <w:spacing w:before="96" w:line="30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96.9 承包人违约金</w:t>
      </w:r>
    </w:p>
    <w:p>
      <w:pPr>
        <w:spacing w:before="96" w:line="30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发包人按合同规定向承包人开出任何违约惩罚金，除合同另有规定外，均从发包人向承包人支付的工程款中直接扣除。除非合同另有规定，发包人向承包人开出的任何违约金将导致承包人最终的应得结算价款相应地减少。承包人必须完全接受此条款。</w:t>
      </w:r>
    </w:p>
    <w:p>
      <w:pPr>
        <w:spacing w:before="96" w:line="30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发包人按合同规定向承包人开出的任何和违约金的扣除时间会在发包人任何合适的任何计量月中扣除。发包人扣除违约金时间的延迟或滞后并不代表对承包人当时各种行为的认可。</w:t>
      </w:r>
    </w:p>
    <w:p>
      <w:pPr>
        <w:spacing w:before="96" w:line="30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本项目所有承包人的违约金均由发包人掌握使用，可用于本项目的工程质量评比和劳动竞赛等各项奖励。</w:t>
      </w:r>
    </w:p>
    <w:p>
      <w:pPr>
        <w:spacing w:before="96" w:line="30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96.10 工程移交</w:t>
      </w:r>
    </w:p>
    <w:p>
      <w:pPr>
        <w:spacing w:before="96" w:line="30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承包人应在工程项目移交前将场地清理干净，将无关机械设备及材料撤离现场，保证移交的工程项目环境洁净、安全卫生。</w:t>
      </w:r>
    </w:p>
    <w:p>
      <w:pPr>
        <w:spacing w:before="96" w:line="30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承包人应于工程竣工验收合格后15天内按要求提供相关资料，整理汇编成工程移交手册，协助发包人尽快熟悉工程项目各部分、各系统（包括但不限于电梯、消防、空调、供水、供电、市政、管线、弱电等）的情况，为发包人的接收、使用、维护、管理做准备。移交手册包括但不限于以下内容：</w:t>
      </w:r>
    </w:p>
    <w:p>
      <w:pPr>
        <w:spacing w:before="96" w:line="30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(1)工程项目各部分、各系统的工程概况；</w:t>
      </w:r>
    </w:p>
    <w:p>
      <w:pPr>
        <w:spacing w:before="96" w:line="30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(2)工程项目全部的图纸及相关图纸清单；</w:t>
      </w:r>
    </w:p>
    <w:p>
      <w:pPr>
        <w:spacing w:before="96" w:line="30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(3)工程项目的各承包商、主要材料设备供货商清单、联系人及电话；</w:t>
      </w:r>
    </w:p>
    <w:p>
      <w:pPr>
        <w:spacing w:before="96" w:line="30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(4)各系统的设计功能、使用功能或使用说明；</w:t>
      </w:r>
    </w:p>
    <w:p>
      <w:pPr>
        <w:spacing w:before="96" w:line="30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(5)电梯、空调、发电机等主要设备的运行参数；</w:t>
      </w:r>
    </w:p>
    <w:p>
      <w:pPr>
        <w:spacing w:before="96" w:line="30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(6)主要材料设备的数量；</w:t>
      </w:r>
    </w:p>
    <w:p>
      <w:pPr>
        <w:spacing w:before="96" w:line="30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(7)工程、材料、设备的保修书（包括保修内容、期限、联系人、电话等）；</w:t>
      </w:r>
    </w:p>
    <w:p>
      <w:pPr>
        <w:spacing w:before="96" w:line="30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承包人应在进行移交准备工作的同时编写工程项目移交计划，并于以上准备工作完成后3天内组织发包人、承包人、监理、相关专业施工单位等进行工程项目移交：</w:t>
      </w:r>
    </w:p>
    <w:p>
      <w:pPr>
        <w:spacing w:before="96" w:line="30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1)按移交手册的资料清单移交图纸、资料；</w:t>
      </w:r>
    </w:p>
    <w:p>
      <w:pPr>
        <w:spacing w:before="96" w:line="30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2)按移交手册的数量清单清点主要材料设备的数量；</w:t>
      </w:r>
    </w:p>
    <w:p>
      <w:pPr>
        <w:spacing w:before="96" w:line="30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3)按移交手册的设计、使用功能说明进行必要的功能性试验（或组织各方参加政府指定机构、第三方检测机构进行的功能性试验）；</w:t>
      </w:r>
    </w:p>
    <w:p>
      <w:pPr>
        <w:spacing w:before="96" w:line="30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4)按移交手册的说明进行系统的试运行（或组织各方参加政府指定机构、第三方检测机构进行的功能性试验），测试主要设备的运行参数；</w:t>
      </w:r>
    </w:p>
    <w:p>
      <w:pPr>
        <w:spacing w:before="96" w:line="30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5)组织发包人、承包人、监理、养护单位各方对上述移交过程进行签认；</w:t>
      </w:r>
    </w:p>
    <w:p>
      <w:pPr>
        <w:spacing w:before="96" w:line="30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6)对移交过程中发现的质量问题进行记录并及时组织责任方进行维修，验收合格后重新组织移交；</w:t>
      </w:r>
    </w:p>
    <w:p>
      <w:pPr>
        <w:spacing w:before="96" w:line="30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7)对于某些在操作上有专门要求的机电系统（如消防、智能化等）按承包合同要求对发包单位人员进行培训。</w:t>
      </w:r>
    </w:p>
    <w:p>
      <w:pPr>
        <w:spacing w:before="96" w:line="30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96.11 竣工档案的整理和移交</w:t>
      </w:r>
    </w:p>
    <w:p>
      <w:pPr>
        <w:spacing w:before="96" w:line="30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承包人应按照国家《城市建设档案管理规定》、《广州市城市建设档案管理办法》和发包人有关整理工程档案的要求，在工程施工期间及时收集、汇总、整理、编制竣工档案，并于工程竣工验收前按广州市建设工程档案整理与移交办法向发包人、城建档案馆完整移交如下竣工档案：</w:t>
      </w:r>
    </w:p>
    <w:p>
      <w:pPr>
        <w:spacing w:before="96" w:line="30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(1)竣工文件资料、竣工图档案（原件）各一式四份；</w:t>
      </w:r>
    </w:p>
    <w:p>
      <w:pPr>
        <w:spacing w:before="96" w:line="30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(2)与本款（1）项内容相同的电子版档案一式二份；</w:t>
      </w:r>
    </w:p>
    <w:p>
      <w:pPr>
        <w:spacing w:before="96" w:line="30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(3)声像档案一式二份。</w:t>
      </w:r>
    </w:p>
    <w:p>
      <w:pPr>
        <w:spacing w:before="96" w:line="30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承包人移交竣工档案的时限：承包人应于工程竣工验收后15天内将竣工档案提交工程监理单位审查。经工程监理单位审查合格后，承包人应及时将竣工档案移交给发包人归档并同时移交有关归档的证明文件。发包人经审查合格的，应在收到竣工档案后10天内签署档案验收意见；不合格的，要求承包人限期补正，直至合格为止。</w:t>
      </w:r>
    </w:p>
    <w:p>
      <w:pPr>
        <w:spacing w:before="96" w:line="30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电子版竣工图的编制，以发包人提供的电子版施工图为基础。承包人在移交竣工档案时，应一并移交发包人提供的电子版施工图。</w:t>
      </w:r>
    </w:p>
    <w:p>
      <w:pPr>
        <w:spacing w:before="96" w:line="30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电子版施工图和电子版竣工图的知识产权归属发包人所有，非经发包人许可，承包人不得以任何方式复制、备份、转让和利用。否则，由此引起的任何纠纷和责任由承包人承担。</w:t>
      </w:r>
    </w:p>
    <w:p>
      <w:pPr>
        <w:spacing w:before="96" w:line="30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承包人应督促其工程分包单位及时做好竣工资料整理工作，于分包工程竣工验收后25天内将全部档案资料移交给承包人，由承包人汇总、归档，并在承包人移交竣工档案时一并移交。</w:t>
      </w:r>
    </w:p>
    <w:p>
      <w:pPr>
        <w:spacing w:before="96" w:line="30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承包人不按时移交竣工档案，或者移交的竣工档案不完整且在发包人规定的期限内不补充完整的，承包人承担贰拾万元的违约金。同时，并不免除承包人完整移交竣工档案的义务。</w:t>
      </w:r>
    </w:p>
    <w:p>
      <w:pPr>
        <w:spacing w:before="96" w:line="30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因承包人的原因致使发包人未能按照国家规定向政府有关部门移交工程竣工档案而受到经济处罚的，由承包人承担全额赔偿责任。</w:t>
      </w:r>
    </w:p>
    <w:p>
      <w:pPr>
        <w:spacing w:before="96" w:line="30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96.12本合同中涉及的所有应由发包人支付的款项，包括但不限于工程预付款、安全文明施工费、进度款、合同实施过程中发生的工程变更、调整、竣工验收进行的结算、质量保证金、最终清算款等，均以第三方审计或财政评审审定的结果为准。</w:t>
      </w:r>
    </w:p>
    <w:p>
      <w:pPr>
        <w:spacing w:before="96" w:line="30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96.13因非承包人原因影响工期的，工期顺延，但发包人不承担任何补偿或赔偿责任，有关风险费用承包人考虑在合同总价内。</w:t>
      </w:r>
    </w:p>
    <w:p>
      <w:pPr>
        <w:spacing w:before="96" w:line="30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96.14根据工程需要，发包人将采用工程项目管理系统软件通过计算机网络进行项目管理，对计算机网络管理的有关要求和配置，承包人应积极配合并无条件接受。工程项目管理系统软件使用费、维护费、培训费、系统管理费等由承包人承担，</w:t>
      </w:r>
    </w:p>
    <w:p>
      <w:pPr>
        <w:spacing w:before="96" w:line="30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96.15本合同通用条款和专用条款的约定，如与补充条款约定有不同之处，以补充条款约定为准。</w:t>
      </w:r>
    </w:p>
    <w:p>
      <w:pPr>
        <w:autoSpaceDE w:val="0"/>
        <w:autoSpaceDN w:val="0"/>
        <w:adjustRightInd w:val="0"/>
        <w:spacing w:line="360" w:lineRule="exact"/>
        <w:jc w:val="left"/>
        <w:rPr>
          <w:rFonts w:ascii="宋体" w:hAnsi="宋体" w:cs="宋体"/>
          <w:bCs/>
          <w:color w:val="auto"/>
          <w:sz w:val="24"/>
        </w:rPr>
      </w:pPr>
      <w:r>
        <w:rPr>
          <w:rFonts w:hint="eastAsia" w:ascii="宋体" w:hAnsi="宋体" w:cs="宋体"/>
          <w:bCs/>
          <w:color w:val="auto"/>
          <w:sz w:val="24"/>
        </w:rPr>
        <w:br w:type="page"/>
      </w:r>
      <w:r>
        <w:rPr>
          <w:rFonts w:hint="eastAsia" w:ascii="宋体" w:hAnsi="宋体" w:cs="宋体"/>
          <w:bCs/>
          <w:color w:val="auto"/>
          <w:sz w:val="24"/>
        </w:rPr>
        <w:t>附件一</w:t>
      </w:r>
    </w:p>
    <w:p>
      <w:pPr>
        <w:autoSpaceDE w:val="0"/>
        <w:autoSpaceDN w:val="0"/>
        <w:adjustRightInd w:val="0"/>
        <w:spacing w:line="200" w:lineRule="exact"/>
        <w:jc w:val="left"/>
        <w:rPr>
          <w:rFonts w:ascii="宋体" w:hAnsi="宋体" w:cs="宋体"/>
          <w:b/>
          <w:bCs/>
          <w:color w:val="auto"/>
          <w:sz w:val="24"/>
        </w:rPr>
      </w:pPr>
    </w:p>
    <w:p>
      <w:pPr>
        <w:adjustRightInd w:val="0"/>
        <w:snapToGrid w:val="0"/>
        <w:spacing w:line="360" w:lineRule="auto"/>
        <w:jc w:val="center"/>
        <w:rPr>
          <w:rFonts w:ascii="宋体" w:hAnsi="宋体" w:cs="宋体"/>
          <w:b/>
          <w:color w:val="auto"/>
          <w:spacing w:val="32"/>
          <w:sz w:val="36"/>
          <w:szCs w:val="36"/>
        </w:rPr>
      </w:pPr>
      <w:r>
        <w:rPr>
          <w:rFonts w:hint="eastAsia" w:ascii="宋体" w:hAnsi="宋体" w:cs="宋体"/>
          <w:b/>
          <w:color w:val="auto"/>
          <w:spacing w:val="32"/>
          <w:sz w:val="36"/>
          <w:szCs w:val="36"/>
        </w:rPr>
        <w:t>工程质量保修书</w:t>
      </w:r>
    </w:p>
    <w:p>
      <w:pPr>
        <w:spacing w:line="360" w:lineRule="auto"/>
        <w:jc w:val="left"/>
        <w:rPr>
          <w:rFonts w:ascii="宋体" w:hAnsi="宋体" w:cs="宋体"/>
          <w:color w:val="auto"/>
          <w:szCs w:val="21"/>
        </w:rPr>
      </w:pPr>
      <w:r>
        <w:rPr>
          <w:rFonts w:hint="eastAsia" w:ascii="宋体" w:hAnsi="宋体" w:cs="宋体"/>
          <w:color w:val="auto"/>
          <w:szCs w:val="21"/>
        </w:rPr>
        <w:t>发包人:（全称）</w:t>
      </w:r>
      <w:r>
        <w:rPr>
          <w:rFonts w:hint="eastAsia" w:ascii="宋体" w:hAnsi="宋体" w:cs="宋体"/>
          <w:color w:val="auto"/>
          <w:szCs w:val="21"/>
          <w:u w:val="single"/>
        </w:rPr>
        <w:t>广东省农业科学院动物科学研究所</w:t>
      </w:r>
    </w:p>
    <w:p>
      <w:pPr>
        <w:spacing w:line="360" w:lineRule="auto"/>
        <w:jc w:val="left"/>
        <w:rPr>
          <w:rFonts w:ascii="宋体" w:hAnsi="宋体" w:cs="宋体"/>
          <w:color w:val="auto"/>
          <w:szCs w:val="21"/>
        </w:rPr>
      </w:pPr>
      <w:r>
        <w:rPr>
          <w:rFonts w:hint="eastAsia" w:ascii="宋体" w:hAnsi="宋体" w:cs="宋体"/>
          <w:color w:val="auto"/>
          <w:szCs w:val="21"/>
        </w:rPr>
        <w:t>承包人:（全称）</w:t>
      </w:r>
      <w:r>
        <w:rPr>
          <w:rFonts w:hint="eastAsia" w:ascii="宋体" w:hAnsi="宋体" w:cs="宋体"/>
          <w:color w:val="auto"/>
          <w:szCs w:val="21"/>
          <w:u w:val="single"/>
        </w:rPr>
        <w:t xml:space="preserve">                </w:t>
      </w:r>
    </w:p>
    <w:p>
      <w:pPr>
        <w:adjustRightInd w:val="0"/>
        <w:snapToGrid w:val="0"/>
        <w:spacing w:line="360" w:lineRule="auto"/>
        <w:jc w:val="left"/>
        <w:rPr>
          <w:rFonts w:ascii="宋体" w:hAnsi="宋体" w:cs="宋体"/>
          <w:color w:val="auto"/>
          <w:szCs w:val="21"/>
        </w:rPr>
      </w:pPr>
    </w:p>
    <w:p>
      <w:pPr>
        <w:adjustRightInd w:val="0"/>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 xml:space="preserve">为保证 </w:t>
      </w:r>
      <w:r>
        <w:rPr>
          <w:rFonts w:hint="eastAsia" w:ascii="宋体" w:hAnsi="宋体" w:cs="宋体"/>
          <w:color w:val="auto"/>
          <w:szCs w:val="21"/>
          <w:u w:val="single"/>
        </w:rPr>
        <w:t xml:space="preserve">                            工程</w:t>
      </w:r>
      <w:r>
        <w:rPr>
          <w:rFonts w:hint="eastAsia" w:ascii="宋体" w:hAnsi="宋体" w:cs="宋体"/>
          <w:color w:val="auto"/>
          <w:szCs w:val="21"/>
        </w:rPr>
        <w:t>在合理使用期限内正常使用，合同双方当事人根据《中华人民共和国建筑法》、《建设工程质量管理条例》和《房屋建筑工程质量保修办法》等规定，经协商一致，订立本质量保修书。</w:t>
      </w:r>
    </w:p>
    <w:p>
      <w:pPr>
        <w:numPr>
          <w:ilvl w:val="0"/>
          <w:numId w:val="34"/>
        </w:numPr>
        <w:adjustRightInd w:val="0"/>
        <w:snapToGrid w:val="0"/>
        <w:spacing w:line="360" w:lineRule="auto"/>
        <w:ind w:left="902" w:leftChars="200" w:hanging="482"/>
        <w:jc w:val="left"/>
        <w:rPr>
          <w:rFonts w:ascii="宋体" w:hAnsi="宋体" w:cs="宋体"/>
          <w:b/>
          <w:color w:val="auto"/>
          <w:szCs w:val="21"/>
        </w:rPr>
      </w:pPr>
      <w:r>
        <w:rPr>
          <w:rFonts w:hint="eastAsia" w:ascii="宋体" w:hAnsi="宋体" w:cs="宋体"/>
          <w:b/>
          <w:color w:val="auto"/>
          <w:szCs w:val="21"/>
        </w:rPr>
        <w:t>质量保修范围</w:t>
      </w:r>
    </w:p>
    <w:p>
      <w:pPr>
        <w:adjustRightInd w:val="0"/>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质量保修范围包括地基基础工程、主体结构工程、屋面防水工程、有防水要求的卫生间、房间、外墙面的防渗漏工程、电气管线工程、给排水管道工程、设备安装工程、供热、供冷系统工程、装饰装修工程以及双方约定其他项目。具体质量保修范围，合同双方当事人约定如下：</w:t>
      </w:r>
    </w:p>
    <w:p>
      <w:pPr>
        <w:adjustRightInd w:val="0"/>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 xml:space="preserve">1．1承包人施工范围内的所有分部分项工程。                                                                                    </w:t>
      </w:r>
    </w:p>
    <w:p>
      <w:pPr>
        <w:numPr>
          <w:ilvl w:val="0"/>
          <w:numId w:val="34"/>
        </w:numPr>
        <w:adjustRightInd w:val="0"/>
        <w:snapToGrid w:val="0"/>
        <w:spacing w:line="360" w:lineRule="auto"/>
        <w:ind w:left="902" w:leftChars="200" w:hanging="482"/>
        <w:jc w:val="left"/>
        <w:rPr>
          <w:rFonts w:ascii="宋体" w:hAnsi="宋体" w:cs="宋体"/>
          <w:b/>
          <w:color w:val="auto"/>
          <w:szCs w:val="21"/>
        </w:rPr>
      </w:pPr>
      <w:r>
        <w:rPr>
          <w:rFonts w:hint="eastAsia" w:ascii="宋体" w:hAnsi="宋体" w:cs="宋体"/>
          <w:b/>
          <w:color w:val="auto"/>
          <w:szCs w:val="21"/>
        </w:rPr>
        <w:t>质量保修期</w:t>
      </w:r>
    </w:p>
    <w:p>
      <w:pPr>
        <w:adjustRightInd w:val="0"/>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2.1 质量保修期从工程实际竣工之日算起。单项竣工验收的工程，按单项工程分别计算质量保修期。</w:t>
      </w:r>
    </w:p>
    <w:p>
      <w:pPr>
        <w:adjustRightInd w:val="0"/>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 xml:space="preserve">2.2 </w:t>
      </w:r>
      <w:r>
        <w:rPr>
          <w:rFonts w:hint="eastAsia" w:ascii="宋体" w:hAnsi="宋体" w:cs="宋体"/>
          <w:color w:val="auto"/>
          <w:kern w:val="0"/>
          <w:szCs w:val="21"/>
          <w:lang w:val="zh-CN"/>
        </w:rPr>
        <w:t>合同工程质量保修期，合同双方当事人约定如下</w:t>
      </w:r>
      <w:r>
        <w:rPr>
          <w:rFonts w:hint="eastAsia" w:ascii="宋体" w:hAnsi="宋体" w:cs="宋体"/>
          <w:color w:val="auto"/>
          <w:szCs w:val="21"/>
        </w:rPr>
        <w:t>：</w:t>
      </w:r>
    </w:p>
    <w:p>
      <w:pPr>
        <w:adjustRightInd w:val="0"/>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1．地基基础工程、主体结构工程为设计文件规定的合理使用年限；</w:t>
      </w:r>
    </w:p>
    <w:p>
      <w:pPr>
        <w:adjustRightInd w:val="0"/>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2．屋面防水工程、有防水要求的卫生间、房间和外墙面的防渗漏工程为</w:t>
      </w:r>
      <w:r>
        <w:rPr>
          <w:rFonts w:hint="eastAsia" w:ascii="宋体" w:hAnsi="宋体" w:cs="宋体"/>
          <w:color w:val="auto"/>
          <w:szCs w:val="21"/>
          <w:u w:val="single"/>
        </w:rPr>
        <w:t xml:space="preserve">   伍  </w:t>
      </w:r>
      <w:r>
        <w:rPr>
          <w:rFonts w:hint="eastAsia" w:ascii="宋体" w:hAnsi="宋体" w:cs="宋体"/>
          <w:color w:val="auto"/>
          <w:szCs w:val="21"/>
        </w:rPr>
        <w:t>年；</w:t>
      </w:r>
    </w:p>
    <w:p>
      <w:pPr>
        <w:adjustRightInd w:val="0"/>
        <w:snapToGrid w:val="0"/>
        <w:spacing w:line="360" w:lineRule="auto"/>
        <w:ind w:firstLine="210" w:firstLineChars="100"/>
        <w:jc w:val="left"/>
        <w:rPr>
          <w:rFonts w:ascii="宋体" w:hAnsi="宋体" w:cs="宋体"/>
          <w:color w:val="auto"/>
          <w:szCs w:val="21"/>
        </w:rPr>
      </w:pPr>
      <w:r>
        <w:rPr>
          <w:rFonts w:hint="eastAsia" w:ascii="宋体" w:hAnsi="宋体" w:cs="宋体"/>
          <w:color w:val="auto"/>
          <w:szCs w:val="21"/>
        </w:rPr>
        <w:t xml:space="preserve">  3．电气管线工程、给排水管道工程、设备安装工程为</w:t>
      </w:r>
      <w:r>
        <w:rPr>
          <w:rFonts w:hint="eastAsia" w:ascii="宋体" w:hAnsi="宋体" w:cs="宋体"/>
          <w:color w:val="auto"/>
          <w:szCs w:val="21"/>
          <w:u w:val="single"/>
        </w:rPr>
        <w:t xml:space="preserve">   贰      </w:t>
      </w:r>
      <w:r>
        <w:rPr>
          <w:rFonts w:hint="eastAsia" w:ascii="宋体" w:hAnsi="宋体" w:cs="宋体"/>
          <w:color w:val="auto"/>
          <w:szCs w:val="21"/>
        </w:rPr>
        <w:t>年；</w:t>
      </w:r>
    </w:p>
    <w:p>
      <w:pPr>
        <w:adjustRightInd w:val="0"/>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 xml:space="preserve">4．供热、供冷系统工程为 </w:t>
      </w:r>
      <w:r>
        <w:rPr>
          <w:rFonts w:hint="eastAsia" w:ascii="宋体" w:hAnsi="宋体" w:cs="宋体"/>
          <w:color w:val="auto"/>
          <w:szCs w:val="21"/>
          <w:u w:val="single"/>
        </w:rPr>
        <w:t xml:space="preserve">   贰  </w:t>
      </w:r>
      <w:r>
        <w:rPr>
          <w:rFonts w:hint="eastAsia" w:ascii="宋体" w:hAnsi="宋体" w:cs="宋体"/>
          <w:color w:val="auto"/>
          <w:szCs w:val="21"/>
        </w:rPr>
        <w:t>个采暖期、供冷期；</w:t>
      </w:r>
    </w:p>
    <w:p>
      <w:pPr>
        <w:adjustRightInd w:val="0"/>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5．装饰装修工程为</w:t>
      </w:r>
      <w:r>
        <w:rPr>
          <w:rFonts w:hint="eastAsia" w:ascii="宋体" w:hAnsi="宋体" w:cs="宋体"/>
          <w:color w:val="auto"/>
          <w:szCs w:val="21"/>
          <w:u w:val="single"/>
        </w:rPr>
        <w:t xml:space="preserve">  贰      </w:t>
      </w:r>
      <w:r>
        <w:rPr>
          <w:rFonts w:hint="eastAsia" w:ascii="宋体" w:hAnsi="宋体" w:cs="宋体"/>
          <w:color w:val="auto"/>
          <w:szCs w:val="21"/>
        </w:rPr>
        <w:t>年；</w:t>
      </w:r>
    </w:p>
    <w:p>
      <w:pPr>
        <w:adjustRightInd w:val="0"/>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6．其他项目</w:t>
      </w:r>
      <w:r>
        <w:rPr>
          <w:rFonts w:hint="eastAsia" w:ascii="宋体" w:hAnsi="宋体" w:cs="宋体"/>
          <w:color w:val="auto"/>
          <w:szCs w:val="21"/>
          <w:u w:val="single"/>
        </w:rPr>
        <w:t xml:space="preserve">         贰年                          </w:t>
      </w:r>
      <w:r>
        <w:rPr>
          <w:rFonts w:hint="eastAsia" w:ascii="宋体" w:hAnsi="宋体" w:cs="宋体"/>
          <w:color w:val="auto"/>
          <w:szCs w:val="21"/>
        </w:rPr>
        <w:t>。</w:t>
      </w:r>
    </w:p>
    <w:p>
      <w:pPr>
        <w:adjustRightInd w:val="0"/>
        <w:snapToGrid w:val="0"/>
        <w:spacing w:line="360" w:lineRule="auto"/>
        <w:ind w:left="480"/>
        <w:jc w:val="left"/>
        <w:rPr>
          <w:rFonts w:ascii="宋体" w:hAnsi="宋体" w:cs="宋体"/>
          <w:color w:val="auto"/>
          <w:szCs w:val="21"/>
        </w:rPr>
      </w:pPr>
      <w:r>
        <w:rPr>
          <w:rFonts w:hint="eastAsia" w:ascii="宋体" w:hAnsi="宋体" w:cs="宋体"/>
          <w:color w:val="auto"/>
          <w:szCs w:val="21"/>
        </w:rPr>
        <w:t xml:space="preserve">3． </w:t>
      </w:r>
      <w:r>
        <w:rPr>
          <w:rFonts w:hint="eastAsia" w:ascii="宋体" w:hAnsi="宋体" w:cs="宋体"/>
          <w:b/>
          <w:color w:val="auto"/>
          <w:szCs w:val="21"/>
        </w:rPr>
        <w:t>质量保修责任</w:t>
      </w:r>
    </w:p>
    <w:p>
      <w:pPr>
        <w:adjustRightInd w:val="0"/>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 xml:space="preserve">3.1  </w:t>
      </w:r>
      <w:r>
        <w:rPr>
          <w:rFonts w:hint="eastAsia" w:ascii="宋体" w:hAnsi="宋体" w:cs="宋体"/>
          <w:color w:val="auto"/>
          <w:kern w:val="0"/>
          <w:szCs w:val="21"/>
          <w:lang w:val="zh-CN"/>
        </w:rPr>
        <w:t>属于保修范围的项目，承包人应在接到发包人通知后的3天内派人保修。承包人未能在规定时间内派人保修的，发包人人可自行或委托第三方维修，所需费用在质保金中扣除或由承包人偿还发包人已支付的维修费。</w:t>
      </w:r>
    </w:p>
    <w:p>
      <w:pPr>
        <w:adjustRightInd w:val="0"/>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3.2  发生紧急抢修事故的，承包人在接到通知后，应立即到达事故现场抢修。</w:t>
      </w:r>
    </w:p>
    <w:p>
      <w:pPr>
        <w:adjustRightInd w:val="0"/>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3.3  在国家规定的工程合理使用期限内，承包人应确保地基基础工程和主体结构的质量和安全。凡出现其质量问题，应立即报告当地建设行政主管部门，经设计人提出保修方案后，承包人应立即实施保修。</w:t>
      </w:r>
    </w:p>
    <w:p>
      <w:pPr>
        <w:adjustRightInd w:val="0"/>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3.4  质量保修完成后，由发包人组织验收。</w:t>
      </w:r>
    </w:p>
    <w:p>
      <w:pPr>
        <w:adjustRightInd w:val="0"/>
        <w:snapToGrid w:val="0"/>
        <w:spacing w:line="360" w:lineRule="auto"/>
        <w:ind w:left="480"/>
        <w:jc w:val="left"/>
        <w:rPr>
          <w:rFonts w:ascii="宋体" w:hAnsi="宋体" w:cs="宋体"/>
          <w:b/>
          <w:color w:val="auto"/>
          <w:szCs w:val="21"/>
        </w:rPr>
      </w:pPr>
      <w:r>
        <w:rPr>
          <w:rFonts w:hint="eastAsia" w:ascii="宋体" w:hAnsi="宋体" w:cs="宋体"/>
          <w:b/>
          <w:color w:val="auto"/>
          <w:szCs w:val="21"/>
        </w:rPr>
        <w:t>4．质量保修费用</w:t>
      </w:r>
    </w:p>
    <w:p>
      <w:pPr>
        <w:adjustRightInd w:val="0"/>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质量保修等费用，由责任方承担。</w:t>
      </w:r>
    </w:p>
    <w:p>
      <w:pPr>
        <w:adjustRightInd w:val="0"/>
        <w:snapToGrid w:val="0"/>
        <w:spacing w:line="360" w:lineRule="auto"/>
        <w:ind w:left="480"/>
        <w:jc w:val="left"/>
        <w:rPr>
          <w:rFonts w:ascii="宋体" w:hAnsi="宋体" w:cs="宋体"/>
          <w:b/>
          <w:color w:val="auto"/>
          <w:szCs w:val="21"/>
        </w:rPr>
      </w:pPr>
      <w:r>
        <w:rPr>
          <w:rFonts w:hint="eastAsia" w:ascii="宋体" w:hAnsi="宋体" w:cs="宋体"/>
          <w:b/>
          <w:color w:val="auto"/>
          <w:szCs w:val="21"/>
        </w:rPr>
        <w:t>5．质量保证金</w:t>
      </w:r>
    </w:p>
    <w:p>
      <w:pPr>
        <w:adjustRightInd w:val="0"/>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质量保证金的约定、支付和使用与本合同第三部分《专用条款》第84条赋予的规定一致。</w:t>
      </w:r>
    </w:p>
    <w:p>
      <w:pPr>
        <w:adjustRightInd w:val="0"/>
        <w:snapToGrid w:val="0"/>
        <w:spacing w:line="360" w:lineRule="auto"/>
        <w:ind w:left="480"/>
        <w:jc w:val="left"/>
        <w:rPr>
          <w:rFonts w:ascii="宋体" w:hAnsi="宋体" w:cs="宋体"/>
          <w:b/>
          <w:color w:val="auto"/>
          <w:szCs w:val="21"/>
        </w:rPr>
      </w:pPr>
      <w:r>
        <w:rPr>
          <w:rFonts w:hint="eastAsia" w:ascii="宋体" w:hAnsi="宋体" w:cs="宋体"/>
          <w:b/>
          <w:color w:val="auto"/>
          <w:szCs w:val="21"/>
        </w:rPr>
        <w:t>6．其他</w:t>
      </w:r>
    </w:p>
    <w:p>
      <w:pPr>
        <w:adjustRightInd w:val="0"/>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6.1 合同双方当事人约定的其他质量保修事项：</w:t>
      </w:r>
    </w:p>
    <w:p>
      <w:pPr>
        <w:adjustRightInd w:val="0"/>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6.2 本质量保修书，由合同双方当事人在承包人向发包人提交竣工验收申请报告时签署，作为本合同的附件。</w:t>
      </w:r>
    </w:p>
    <w:p>
      <w:pPr>
        <w:adjustRightInd w:val="0"/>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6.3 本质量保修书，自合同双方当事人签署之日起生效，至质量保修期满后失效。</w:t>
      </w:r>
    </w:p>
    <w:p>
      <w:pPr>
        <w:adjustRightInd w:val="0"/>
        <w:snapToGrid w:val="0"/>
        <w:spacing w:line="360" w:lineRule="auto"/>
        <w:ind w:firstLine="420" w:firstLineChars="200"/>
        <w:jc w:val="left"/>
        <w:rPr>
          <w:rFonts w:ascii="宋体" w:hAnsi="宋体" w:cs="宋体"/>
          <w:color w:val="auto"/>
          <w:szCs w:val="21"/>
        </w:rPr>
      </w:pPr>
    </w:p>
    <w:p>
      <w:pPr>
        <w:adjustRightInd w:val="0"/>
        <w:snapToGrid w:val="0"/>
        <w:spacing w:line="360" w:lineRule="auto"/>
        <w:ind w:firstLine="420" w:firstLineChars="200"/>
        <w:jc w:val="left"/>
        <w:rPr>
          <w:rFonts w:ascii="宋体" w:hAnsi="宋体" w:cs="宋体"/>
          <w:color w:val="auto"/>
          <w:szCs w:val="21"/>
        </w:rPr>
      </w:pPr>
    </w:p>
    <w:p>
      <w:pPr>
        <w:adjustRightInd w:val="0"/>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发 包 人：（盖章）                       承 包 人：（盖章）</w:t>
      </w:r>
    </w:p>
    <w:p>
      <w:pPr>
        <w:adjustRightInd w:val="0"/>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法定代表人：（签字）                     法定代表人：（签字）</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联系电话：                              联系电话：</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年   月     日                           年    月    日</w:t>
      </w:r>
    </w:p>
    <w:p>
      <w:pPr>
        <w:adjustRightInd w:val="0"/>
        <w:snapToGrid w:val="0"/>
        <w:spacing w:line="360" w:lineRule="auto"/>
        <w:ind w:firstLine="420" w:firstLineChars="200"/>
        <w:jc w:val="left"/>
        <w:rPr>
          <w:rFonts w:ascii="宋体" w:hAnsi="宋体" w:cs="宋体"/>
          <w:color w:val="auto"/>
          <w:szCs w:val="21"/>
        </w:rPr>
      </w:pPr>
    </w:p>
    <w:p>
      <w:pPr>
        <w:adjustRightInd w:val="0"/>
        <w:snapToGrid w:val="0"/>
        <w:spacing w:line="360" w:lineRule="auto"/>
        <w:ind w:firstLine="480" w:firstLineChars="200"/>
        <w:jc w:val="left"/>
        <w:rPr>
          <w:rFonts w:ascii="宋体" w:hAnsi="宋体" w:cs="宋体"/>
          <w:color w:val="auto"/>
          <w:sz w:val="24"/>
        </w:rPr>
      </w:pPr>
    </w:p>
    <w:p>
      <w:pPr>
        <w:autoSpaceDE w:val="0"/>
        <w:autoSpaceDN w:val="0"/>
        <w:adjustRightInd w:val="0"/>
        <w:spacing w:line="240" w:lineRule="exact"/>
        <w:ind w:left="4852" w:right="4940"/>
        <w:jc w:val="left"/>
        <w:rPr>
          <w:rFonts w:ascii="宋体" w:hAnsi="宋体" w:cs="宋体"/>
          <w:bCs/>
          <w:color w:val="auto"/>
          <w:sz w:val="24"/>
        </w:rPr>
        <w:sectPr>
          <w:headerReference r:id="rId19" w:type="default"/>
          <w:footerReference r:id="rId20" w:type="default"/>
          <w:endnotePr>
            <w:numFmt w:val="decimal"/>
          </w:endnotePr>
          <w:pgSz w:w="11920" w:h="16840"/>
          <w:pgMar w:top="1134" w:right="1134" w:bottom="567" w:left="1134" w:header="851" w:footer="851" w:gutter="0"/>
          <w:cols w:space="720" w:num="1"/>
          <w:docGrid w:type="lines" w:linePitch="312" w:charSpace="0"/>
        </w:sectPr>
      </w:pPr>
    </w:p>
    <w:p>
      <w:pPr>
        <w:autoSpaceDE w:val="0"/>
        <w:autoSpaceDN w:val="0"/>
        <w:adjustRightInd w:val="0"/>
        <w:spacing w:line="360" w:lineRule="exact"/>
        <w:jc w:val="left"/>
        <w:rPr>
          <w:rFonts w:ascii="宋体" w:hAnsi="宋体" w:cs="宋体"/>
          <w:bCs/>
          <w:color w:val="auto"/>
          <w:sz w:val="24"/>
        </w:rPr>
      </w:pPr>
      <w:r>
        <w:rPr>
          <w:rFonts w:hint="eastAsia" w:ascii="宋体" w:hAnsi="宋体" w:cs="宋体"/>
          <w:bCs/>
          <w:color w:val="auto"/>
          <w:sz w:val="24"/>
        </w:rPr>
        <w:t>附件二</w:t>
      </w:r>
    </w:p>
    <w:p>
      <w:pPr>
        <w:autoSpaceDE w:val="0"/>
        <w:autoSpaceDN w:val="0"/>
        <w:adjustRightInd w:val="0"/>
        <w:spacing w:line="200" w:lineRule="exact"/>
        <w:jc w:val="left"/>
        <w:rPr>
          <w:rFonts w:ascii="宋体" w:hAnsi="宋体" w:cs="宋体"/>
          <w:bCs/>
          <w:color w:val="auto"/>
          <w:sz w:val="24"/>
        </w:rPr>
      </w:pPr>
    </w:p>
    <w:p>
      <w:pPr>
        <w:spacing w:line="360" w:lineRule="auto"/>
        <w:jc w:val="center"/>
        <w:rPr>
          <w:rFonts w:ascii="宋体" w:hAnsi="宋体" w:cs="宋体"/>
          <w:b/>
          <w:color w:val="auto"/>
          <w:sz w:val="36"/>
          <w:szCs w:val="36"/>
        </w:rPr>
      </w:pPr>
      <w:r>
        <w:rPr>
          <w:rFonts w:hint="eastAsia" w:ascii="宋体" w:hAnsi="宋体" w:cs="宋体"/>
          <w:b/>
          <w:color w:val="auto"/>
          <w:sz w:val="36"/>
          <w:szCs w:val="36"/>
        </w:rPr>
        <w:t>廉 政 合 同</w:t>
      </w:r>
    </w:p>
    <w:p>
      <w:pPr>
        <w:spacing w:line="360" w:lineRule="auto"/>
        <w:jc w:val="left"/>
        <w:rPr>
          <w:rFonts w:ascii="宋体" w:hAnsi="宋体" w:cs="宋体"/>
          <w:color w:val="auto"/>
          <w:sz w:val="24"/>
        </w:rPr>
      </w:pPr>
    </w:p>
    <w:p>
      <w:pPr>
        <w:spacing w:line="360" w:lineRule="auto"/>
        <w:jc w:val="left"/>
        <w:rPr>
          <w:rFonts w:ascii="宋体" w:hAnsi="宋体" w:cs="宋体"/>
          <w:color w:val="auto"/>
          <w:szCs w:val="21"/>
        </w:rPr>
      </w:pPr>
      <w:r>
        <w:rPr>
          <w:rFonts w:hint="eastAsia" w:ascii="宋体" w:hAnsi="宋体" w:cs="宋体"/>
          <w:color w:val="auto"/>
          <w:szCs w:val="21"/>
        </w:rPr>
        <w:t>发包人:（全称）</w:t>
      </w:r>
      <w:r>
        <w:rPr>
          <w:rFonts w:hint="eastAsia" w:ascii="宋体" w:hAnsi="宋体" w:cs="宋体"/>
          <w:color w:val="auto"/>
          <w:szCs w:val="21"/>
          <w:u w:val="single"/>
        </w:rPr>
        <w:t xml:space="preserve">广东省农业科学院动物科学研究所  </w:t>
      </w:r>
    </w:p>
    <w:p>
      <w:pPr>
        <w:spacing w:line="360" w:lineRule="auto"/>
        <w:jc w:val="left"/>
        <w:rPr>
          <w:rFonts w:ascii="宋体" w:hAnsi="宋体" w:cs="宋体"/>
          <w:color w:val="auto"/>
          <w:szCs w:val="21"/>
        </w:rPr>
      </w:pPr>
      <w:r>
        <w:rPr>
          <w:rFonts w:hint="eastAsia" w:ascii="宋体" w:hAnsi="宋体" w:cs="宋体"/>
          <w:color w:val="auto"/>
          <w:szCs w:val="21"/>
        </w:rPr>
        <w:t>承包人:（全称）</w:t>
      </w:r>
      <w:r>
        <w:rPr>
          <w:rFonts w:hint="eastAsia" w:ascii="宋体" w:hAnsi="宋体" w:cs="宋体"/>
          <w:color w:val="auto"/>
          <w:szCs w:val="21"/>
          <w:u w:val="single"/>
        </w:rPr>
        <w:t xml:space="preserve">                   </w:t>
      </w:r>
    </w:p>
    <w:p>
      <w:pPr>
        <w:spacing w:line="360" w:lineRule="auto"/>
        <w:jc w:val="left"/>
        <w:rPr>
          <w:rFonts w:ascii="宋体" w:hAnsi="宋体" w:cs="宋体"/>
          <w:color w:val="auto"/>
          <w:szCs w:val="21"/>
        </w:rPr>
      </w:pPr>
    </w:p>
    <w:p>
      <w:pPr>
        <w:spacing w:line="360" w:lineRule="auto"/>
        <w:ind w:firstLine="420" w:firstLineChars="200"/>
        <w:jc w:val="left"/>
        <w:rPr>
          <w:rFonts w:ascii="宋体" w:hAnsi="宋体" w:cs="宋体"/>
          <w:color w:val="auto"/>
          <w:szCs w:val="21"/>
        </w:rPr>
      </w:pPr>
      <w:r>
        <w:rPr>
          <w:rFonts w:hint="eastAsia" w:ascii="宋体" w:hAnsi="宋体" w:cs="宋体"/>
          <w:color w:val="auto"/>
          <w:kern w:val="0"/>
          <w:szCs w:val="21"/>
          <w:lang w:val="zh-CN"/>
        </w:rPr>
        <w:t>根据国家、省有关廉政建设的规定，为做好合同工程的廉政建设，保证工程质量与施工安全，提高建设资金的有效使用和投资效益，合同双方当事人就加强合同工程的廉政建设，订立本合同</w:t>
      </w:r>
      <w:r>
        <w:rPr>
          <w:rFonts w:hint="eastAsia" w:ascii="宋体" w:hAnsi="宋体" w:cs="宋体"/>
          <w:color w:val="auto"/>
          <w:szCs w:val="21"/>
        </w:rPr>
        <w:t>。</w:t>
      </w:r>
    </w:p>
    <w:p>
      <w:pPr>
        <w:spacing w:line="360" w:lineRule="auto"/>
        <w:ind w:firstLine="358" w:firstLineChars="170"/>
        <w:jc w:val="left"/>
        <w:rPr>
          <w:rFonts w:ascii="宋体" w:hAnsi="宋体" w:cs="宋体"/>
          <w:b/>
          <w:bCs/>
          <w:color w:val="auto"/>
          <w:szCs w:val="21"/>
        </w:rPr>
      </w:pPr>
      <w:r>
        <w:rPr>
          <w:rFonts w:hint="eastAsia" w:ascii="宋体" w:hAnsi="宋体" w:cs="宋体"/>
          <w:b/>
          <w:bCs/>
          <w:color w:val="auto"/>
          <w:szCs w:val="21"/>
        </w:rPr>
        <w:t>1  双方权利和义务</w:t>
      </w:r>
    </w:p>
    <w:p>
      <w:pPr>
        <w:spacing w:line="360" w:lineRule="auto"/>
        <w:ind w:firstLine="420" w:firstLineChars="200"/>
        <w:jc w:val="left"/>
        <w:rPr>
          <w:rFonts w:ascii="宋体" w:hAnsi="宋体" w:cs="宋体"/>
          <w:color w:val="auto"/>
          <w:kern w:val="0"/>
          <w:szCs w:val="21"/>
          <w:lang w:val="zh-CN"/>
        </w:rPr>
      </w:pPr>
      <w:r>
        <w:rPr>
          <w:rFonts w:hint="eastAsia" w:ascii="宋体" w:hAnsi="宋体" w:cs="宋体"/>
          <w:color w:val="auto"/>
          <w:kern w:val="0"/>
          <w:szCs w:val="21"/>
          <w:lang w:val="zh-CN"/>
        </w:rPr>
        <w:t>1.1 严格遵守国家、省有关法律法规的规定。</w:t>
      </w:r>
    </w:p>
    <w:p>
      <w:pPr>
        <w:spacing w:line="360" w:lineRule="auto"/>
        <w:ind w:firstLine="420" w:firstLineChars="200"/>
        <w:jc w:val="left"/>
        <w:rPr>
          <w:rFonts w:ascii="宋体" w:hAnsi="宋体" w:cs="宋体"/>
          <w:color w:val="auto"/>
          <w:kern w:val="0"/>
          <w:szCs w:val="21"/>
          <w:lang w:val="zh-CN"/>
        </w:rPr>
      </w:pPr>
      <w:r>
        <w:rPr>
          <w:rFonts w:hint="eastAsia" w:ascii="宋体" w:hAnsi="宋体" w:cs="宋体"/>
          <w:color w:val="auto"/>
          <w:kern w:val="0"/>
          <w:szCs w:val="21"/>
          <w:lang w:val="zh-CN"/>
        </w:rPr>
        <w:t>1.2 严格执行合同工程一切合同文件，自觉按合同办事。</w:t>
      </w:r>
    </w:p>
    <w:p>
      <w:pPr>
        <w:spacing w:line="360" w:lineRule="auto"/>
        <w:ind w:firstLine="420" w:firstLineChars="200"/>
        <w:jc w:val="left"/>
        <w:rPr>
          <w:rFonts w:ascii="宋体" w:hAnsi="宋体" w:cs="宋体"/>
          <w:color w:val="auto"/>
          <w:kern w:val="0"/>
          <w:szCs w:val="21"/>
          <w:lang w:val="zh-CN"/>
        </w:rPr>
      </w:pPr>
      <w:r>
        <w:rPr>
          <w:rFonts w:hint="eastAsia" w:ascii="宋体" w:hAnsi="宋体" w:cs="宋体"/>
          <w:color w:val="auto"/>
          <w:kern w:val="0"/>
          <w:szCs w:val="21"/>
          <w:lang w:val="zh-CN"/>
        </w:rPr>
        <w:t>1.3 合同双方当事人的业务活动应坚持公平、公开、公正和诚信的原则（法律认定的商业 秘密和合同文件另有规定除外），不得损害国家和集体利益，不得违反工程建设管理规章制度。</w:t>
      </w:r>
    </w:p>
    <w:p>
      <w:pPr>
        <w:spacing w:line="360" w:lineRule="auto"/>
        <w:ind w:firstLine="420" w:firstLineChars="200"/>
        <w:jc w:val="left"/>
        <w:rPr>
          <w:rFonts w:ascii="宋体" w:hAnsi="宋体" w:cs="宋体"/>
          <w:color w:val="auto"/>
          <w:kern w:val="0"/>
          <w:szCs w:val="21"/>
          <w:lang w:val="zh-CN"/>
        </w:rPr>
      </w:pPr>
      <w:r>
        <w:rPr>
          <w:rFonts w:hint="eastAsia" w:ascii="宋体" w:hAnsi="宋体" w:cs="宋体"/>
          <w:color w:val="auto"/>
          <w:kern w:val="0"/>
          <w:szCs w:val="21"/>
          <w:lang w:val="zh-CN"/>
        </w:rPr>
        <w:t>1.4 建立健全廉政制度，开展廉政教育，设立廉政告示牌，公布举报电话，监督并认真查处违法违纪行为。</w:t>
      </w:r>
    </w:p>
    <w:p>
      <w:pPr>
        <w:spacing w:line="360" w:lineRule="auto"/>
        <w:ind w:firstLine="420" w:firstLineChars="200"/>
        <w:jc w:val="left"/>
        <w:rPr>
          <w:rFonts w:ascii="宋体" w:hAnsi="宋体" w:cs="宋体"/>
          <w:color w:val="auto"/>
          <w:kern w:val="0"/>
          <w:szCs w:val="21"/>
          <w:lang w:val="zh-CN"/>
        </w:rPr>
      </w:pPr>
      <w:r>
        <w:rPr>
          <w:rFonts w:hint="eastAsia" w:ascii="宋体" w:hAnsi="宋体" w:cs="宋体"/>
          <w:color w:val="auto"/>
          <w:kern w:val="0"/>
          <w:szCs w:val="21"/>
          <w:lang w:val="zh-CN"/>
        </w:rPr>
        <w:t>1.5 发现对方在业务活动中有违反廉政建设规定的行为，应及时给予提醒和纠正。</w:t>
      </w:r>
    </w:p>
    <w:p>
      <w:pPr>
        <w:spacing w:line="360" w:lineRule="auto"/>
        <w:ind w:firstLine="420" w:firstLineChars="200"/>
        <w:jc w:val="left"/>
        <w:rPr>
          <w:rFonts w:ascii="宋体" w:hAnsi="宋体" w:cs="宋体"/>
          <w:color w:val="auto"/>
          <w:kern w:val="0"/>
          <w:szCs w:val="21"/>
          <w:lang w:val="zh-CN"/>
        </w:rPr>
      </w:pPr>
      <w:r>
        <w:rPr>
          <w:rFonts w:hint="eastAsia" w:ascii="宋体" w:hAnsi="宋体" w:cs="宋体"/>
          <w:color w:val="auto"/>
          <w:kern w:val="0"/>
          <w:szCs w:val="21"/>
          <w:lang w:val="zh-CN"/>
        </w:rPr>
        <w:t>1.6 发现对方严重违反合同的行为，有向其上级部门举报、建议给予处理并要求告知处理结果的权利。没有上级部门的，可按本合同第二部分《通用条款》第87条规定处。</w:t>
      </w:r>
    </w:p>
    <w:p>
      <w:pPr>
        <w:spacing w:line="360" w:lineRule="auto"/>
        <w:ind w:firstLine="358" w:firstLineChars="170"/>
        <w:jc w:val="left"/>
        <w:rPr>
          <w:rFonts w:ascii="宋体" w:hAnsi="宋体" w:cs="宋体"/>
          <w:b/>
          <w:bCs/>
          <w:color w:val="auto"/>
          <w:szCs w:val="21"/>
        </w:rPr>
      </w:pPr>
      <w:r>
        <w:rPr>
          <w:rFonts w:hint="eastAsia" w:ascii="宋体" w:hAnsi="宋体" w:cs="宋体"/>
          <w:b/>
          <w:bCs/>
          <w:color w:val="auto"/>
          <w:szCs w:val="21"/>
        </w:rPr>
        <w:t>2  发包人义务</w:t>
      </w:r>
    </w:p>
    <w:p>
      <w:pPr>
        <w:spacing w:line="360" w:lineRule="auto"/>
        <w:ind w:firstLine="420" w:firstLineChars="200"/>
        <w:jc w:val="left"/>
        <w:rPr>
          <w:rFonts w:ascii="宋体" w:hAnsi="宋体" w:cs="宋体"/>
          <w:color w:val="auto"/>
          <w:kern w:val="0"/>
          <w:szCs w:val="21"/>
          <w:lang w:val="zh-CN"/>
        </w:rPr>
      </w:pPr>
      <w:r>
        <w:rPr>
          <w:rFonts w:hint="eastAsia" w:ascii="宋体" w:hAnsi="宋体" w:cs="宋体"/>
          <w:color w:val="auto"/>
          <w:kern w:val="0"/>
          <w:szCs w:val="21"/>
          <w:lang w:val="zh-CN"/>
        </w:rPr>
        <w:t>2.1 发包人及其工作人员不得索要或接受承包人的礼金、有价证券和贵重物品，不得在承包人报销任何应由发包人或工作人员个人支付的费用等。</w:t>
      </w:r>
    </w:p>
    <w:p>
      <w:pPr>
        <w:spacing w:line="360" w:lineRule="auto"/>
        <w:ind w:firstLine="420" w:firstLineChars="200"/>
        <w:jc w:val="left"/>
        <w:rPr>
          <w:rFonts w:ascii="宋体" w:hAnsi="宋体" w:cs="宋体"/>
          <w:color w:val="auto"/>
          <w:kern w:val="0"/>
          <w:szCs w:val="21"/>
          <w:lang w:val="zh-CN"/>
        </w:rPr>
      </w:pPr>
      <w:r>
        <w:rPr>
          <w:rFonts w:hint="eastAsia" w:ascii="宋体" w:hAnsi="宋体" w:cs="宋体"/>
          <w:color w:val="auto"/>
          <w:kern w:val="0"/>
          <w:szCs w:val="21"/>
          <w:lang w:val="zh-CN"/>
        </w:rPr>
        <w:t>2.2 发包人及其工作人员不得参加承包人安排的宴请（工作餐除外）和娱乐活动；不得接受承包人提供的通讯工具、交通工具和高档办公用品等。</w:t>
      </w:r>
    </w:p>
    <w:p>
      <w:pPr>
        <w:spacing w:line="360" w:lineRule="auto"/>
        <w:ind w:firstLine="420" w:firstLineChars="200"/>
        <w:jc w:val="left"/>
        <w:rPr>
          <w:rFonts w:ascii="宋体" w:hAnsi="宋体" w:cs="宋体"/>
          <w:color w:val="auto"/>
          <w:kern w:val="0"/>
          <w:szCs w:val="21"/>
          <w:lang w:val="zh-CN"/>
        </w:rPr>
      </w:pPr>
      <w:r>
        <w:rPr>
          <w:rFonts w:hint="eastAsia" w:ascii="宋体" w:hAnsi="宋体" w:cs="宋体"/>
          <w:color w:val="auto"/>
          <w:kern w:val="0"/>
          <w:szCs w:val="21"/>
          <w:lang w:val="zh-CN"/>
        </w:rPr>
        <w:t>2.3 发包人及其工作人员不得要求或者接受承包人为其住房装修、婚丧嫁娶活动、配偶子女的工作安排以及出国出境、旅游等提供方便等。</w:t>
      </w:r>
    </w:p>
    <w:p>
      <w:pPr>
        <w:spacing w:line="360" w:lineRule="auto"/>
        <w:ind w:firstLine="420" w:firstLineChars="200"/>
        <w:jc w:val="left"/>
        <w:rPr>
          <w:rFonts w:ascii="宋体" w:hAnsi="宋体" w:cs="宋体"/>
          <w:color w:val="auto"/>
          <w:kern w:val="0"/>
          <w:szCs w:val="21"/>
          <w:lang w:val="zh-CN"/>
        </w:rPr>
      </w:pPr>
      <w:r>
        <w:rPr>
          <w:rFonts w:hint="eastAsia" w:ascii="宋体" w:hAnsi="宋体" w:cs="宋体"/>
          <w:color w:val="auto"/>
          <w:kern w:val="0"/>
          <w:szCs w:val="21"/>
          <w:lang w:val="zh-CN"/>
        </w:rPr>
        <w:t>2.4 发包人及其工作人员不得以任何理由向承包人推荐分包人、推销材料和工程设备，不得要求承包人购买合同以外的材料和工程设备。</w:t>
      </w:r>
    </w:p>
    <w:p>
      <w:pPr>
        <w:spacing w:line="360" w:lineRule="auto"/>
        <w:ind w:firstLine="420" w:firstLineChars="200"/>
        <w:jc w:val="left"/>
        <w:rPr>
          <w:rFonts w:ascii="宋体" w:hAnsi="宋体" w:cs="宋体"/>
          <w:color w:val="auto"/>
          <w:kern w:val="0"/>
          <w:szCs w:val="21"/>
          <w:lang w:val="zh-CN"/>
        </w:rPr>
      </w:pPr>
      <w:r>
        <w:rPr>
          <w:rFonts w:hint="eastAsia" w:ascii="宋体" w:hAnsi="宋体" w:cs="宋体"/>
          <w:color w:val="auto"/>
          <w:kern w:val="0"/>
          <w:szCs w:val="21"/>
          <w:lang w:val="zh-CN"/>
        </w:rPr>
        <w:t>2.5 发包人及其工作人员要秉公办事，不准营私舞弊，不准利用职权私自为合同工程安排施工队伍，也不得从事与合同工程有关的各种有偿中介活动。</w:t>
      </w:r>
    </w:p>
    <w:p>
      <w:pPr>
        <w:spacing w:line="360" w:lineRule="auto"/>
        <w:ind w:firstLine="420" w:firstLineChars="200"/>
        <w:jc w:val="left"/>
        <w:rPr>
          <w:rFonts w:ascii="宋体" w:hAnsi="宋体" w:cs="宋体"/>
          <w:color w:val="auto"/>
          <w:kern w:val="0"/>
          <w:szCs w:val="21"/>
          <w:lang w:val="zh-CN"/>
        </w:rPr>
      </w:pPr>
      <w:r>
        <w:rPr>
          <w:rFonts w:hint="eastAsia" w:ascii="宋体" w:hAnsi="宋体" w:cs="宋体"/>
          <w:color w:val="auto"/>
          <w:kern w:val="0"/>
          <w:szCs w:val="21"/>
          <w:lang w:val="zh-CN"/>
        </w:rPr>
        <w:t>2.6 发包人及其工作人员（含其配偶、子女）不得从事与合同工程有关的材料和工程设备供应、工程分包、劳务等经济活动。</w:t>
      </w:r>
    </w:p>
    <w:p>
      <w:pPr>
        <w:spacing w:line="360" w:lineRule="auto"/>
        <w:ind w:firstLine="358" w:firstLineChars="170"/>
        <w:jc w:val="left"/>
        <w:rPr>
          <w:rFonts w:ascii="宋体" w:hAnsi="宋体" w:cs="宋体"/>
          <w:b/>
          <w:bCs/>
          <w:color w:val="auto"/>
          <w:szCs w:val="21"/>
        </w:rPr>
      </w:pPr>
      <w:r>
        <w:rPr>
          <w:rFonts w:hint="eastAsia" w:ascii="宋体" w:hAnsi="宋体" w:cs="宋体"/>
          <w:b/>
          <w:bCs/>
          <w:color w:val="auto"/>
          <w:szCs w:val="21"/>
        </w:rPr>
        <w:t>3  承包人义务</w:t>
      </w:r>
    </w:p>
    <w:p>
      <w:pPr>
        <w:spacing w:line="360" w:lineRule="auto"/>
        <w:ind w:firstLine="420" w:firstLineChars="200"/>
        <w:jc w:val="left"/>
        <w:rPr>
          <w:rFonts w:ascii="宋体" w:hAnsi="宋体" w:cs="宋体"/>
          <w:color w:val="auto"/>
          <w:kern w:val="0"/>
          <w:szCs w:val="21"/>
          <w:lang w:val="zh-CN"/>
        </w:rPr>
      </w:pPr>
      <w:r>
        <w:rPr>
          <w:rFonts w:hint="eastAsia" w:ascii="宋体" w:hAnsi="宋体" w:cs="宋体"/>
          <w:color w:val="auto"/>
          <w:kern w:val="0"/>
          <w:szCs w:val="21"/>
          <w:lang w:val="zh-CN"/>
        </w:rPr>
        <w:t>3.1 承包人不得以任何理由向发包人及其工作人员行贿或馈赠礼金、有价证券、贵重礼品。</w:t>
      </w:r>
    </w:p>
    <w:p>
      <w:pPr>
        <w:spacing w:line="360" w:lineRule="auto"/>
        <w:ind w:firstLine="420" w:firstLineChars="200"/>
        <w:jc w:val="left"/>
        <w:rPr>
          <w:rFonts w:ascii="宋体" w:hAnsi="宋体" w:cs="宋体"/>
          <w:color w:val="auto"/>
          <w:kern w:val="0"/>
          <w:szCs w:val="21"/>
          <w:lang w:val="zh-CN"/>
        </w:rPr>
      </w:pPr>
      <w:r>
        <w:rPr>
          <w:rFonts w:hint="eastAsia" w:ascii="宋体" w:hAnsi="宋体" w:cs="宋体"/>
          <w:color w:val="auto"/>
          <w:kern w:val="0"/>
          <w:szCs w:val="21"/>
          <w:lang w:val="zh-CN"/>
        </w:rPr>
        <w:t>3.2 承包人不得以任何名义为发包人及其工作人员报销应由发包人或工作人员个人支付的任何费用。</w:t>
      </w:r>
    </w:p>
    <w:p>
      <w:pPr>
        <w:spacing w:line="360" w:lineRule="auto"/>
        <w:ind w:firstLine="420" w:firstLineChars="200"/>
        <w:jc w:val="left"/>
        <w:rPr>
          <w:rFonts w:ascii="宋体" w:hAnsi="宋体" w:cs="宋体"/>
          <w:color w:val="auto"/>
          <w:kern w:val="0"/>
          <w:szCs w:val="21"/>
          <w:lang w:val="zh-CN"/>
        </w:rPr>
      </w:pPr>
      <w:r>
        <w:rPr>
          <w:rFonts w:hint="eastAsia" w:ascii="宋体" w:hAnsi="宋体" w:cs="宋体"/>
          <w:color w:val="auto"/>
          <w:kern w:val="0"/>
          <w:szCs w:val="21"/>
          <w:lang w:val="zh-CN"/>
        </w:rPr>
        <w:t>3.3 承包人不得以任何理由安排发包人及其工作人员参加宴请（工作餐除外）及娱乐活动。</w:t>
      </w:r>
    </w:p>
    <w:p>
      <w:pPr>
        <w:spacing w:line="360" w:lineRule="auto"/>
        <w:ind w:firstLine="420" w:firstLineChars="200"/>
        <w:jc w:val="left"/>
        <w:rPr>
          <w:rFonts w:ascii="宋体" w:hAnsi="宋体" w:cs="宋体"/>
          <w:color w:val="auto"/>
          <w:kern w:val="0"/>
          <w:szCs w:val="21"/>
          <w:lang w:val="zh-CN"/>
        </w:rPr>
      </w:pPr>
      <w:r>
        <w:rPr>
          <w:rFonts w:hint="eastAsia" w:ascii="宋体" w:hAnsi="宋体" w:cs="宋体"/>
          <w:color w:val="auto"/>
          <w:kern w:val="0"/>
          <w:szCs w:val="21"/>
          <w:lang w:val="zh-CN"/>
        </w:rPr>
        <w:t>3.4 承包人不得为发包人和个人购置或提供通讯工具、交通工具和高档办公用品等。</w:t>
      </w:r>
    </w:p>
    <w:p>
      <w:pPr>
        <w:spacing w:line="360" w:lineRule="auto"/>
        <w:ind w:firstLine="420" w:firstLineChars="200"/>
        <w:jc w:val="left"/>
        <w:rPr>
          <w:rFonts w:ascii="宋体" w:hAnsi="宋体" w:cs="宋体"/>
          <w:color w:val="auto"/>
          <w:kern w:val="0"/>
          <w:szCs w:val="21"/>
          <w:lang w:val="zh-CN"/>
        </w:rPr>
      </w:pPr>
      <w:r>
        <w:rPr>
          <w:rFonts w:hint="eastAsia" w:ascii="宋体" w:hAnsi="宋体" w:cs="宋体"/>
          <w:color w:val="auto"/>
          <w:kern w:val="0"/>
          <w:szCs w:val="21"/>
          <w:lang w:val="zh-CN"/>
        </w:rPr>
        <w:t>3.5 承包人不得为发包人及其工作人员的住房装修、婚丧嫁娶活动、配偶子女工作安排以及出国出境、旅游等提供方便。</w:t>
      </w:r>
    </w:p>
    <w:p>
      <w:pPr>
        <w:spacing w:line="360" w:lineRule="auto"/>
        <w:ind w:firstLine="358" w:firstLineChars="170"/>
        <w:jc w:val="left"/>
        <w:rPr>
          <w:rFonts w:ascii="宋体" w:hAnsi="宋体" w:cs="宋体"/>
          <w:b/>
          <w:bCs/>
          <w:color w:val="auto"/>
          <w:szCs w:val="21"/>
        </w:rPr>
      </w:pPr>
      <w:r>
        <w:rPr>
          <w:rFonts w:hint="eastAsia" w:ascii="宋体" w:hAnsi="宋体" w:cs="宋体"/>
          <w:b/>
          <w:bCs/>
          <w:color w:val="auto"/>
          <w:szCs w:val="21"/>
        </w:rPr>
        <w:t>4  违约责任</w:t>
      </w:r>
    </w:p>
    <w:p>
      <w:pPr>
        <w:spacing w:line="360" w:lineRule="auto"/>
        <w:ind w:firstLine="420" w:firstLineChars="200"/>
        <w:jc w:val="left"/>
        <w:rPr>
          <w:rFonts w:ascii="宋体" w:hAnsi="宋体" w:cs="宋体"/>
          <w:color w:val="auto"/>
          <w:kern w:val="0"/>
          <w:szCs w:val="21"/>
          <w:lang w:val="zh-CN"/>
        </w:rPr>
      </w:pPr>
      <w:r>
        <w:rPr>
          <w:rFonts w:hint="eastAsia" w:ascii="宋体" w:hAnsi="宋体" w:cs="宋体"/>
          <w:color w:val="auto"/>
          <w:kern w:val="0"/>
          <w:szCs w:val="21"/>
          <w:lang w:val="zh-CN"/>
        </w:rPr>
        <w:t>4.1 发包人及其工作人员违反本合同第1条和第2条规定，应依据有关规定给予廉政建设规定的处分；涉嫌犯罪的，移交司法机关追究刑事责任；给承包人造成经济损失的，应予赔偿。</w:t>
      </w:r>
    </w:p>
    <w:p>
      <w:pPr>
        <w:spacing w:line="360" w:lineRule="auto"/>
        <w:ind w:firstLine="420" w:firstLineChars="200"/>
        <w:jc w:val="left"/>
        <w:rPr>
          <w:rFonts w:ascii="宋体" w:hAnsi="宋体" w:cs="宋体"/>
          <w:color w:val="auto"/>
          <w:kern w:val="0"/>
          <w:szCs w:val="21"/>
          <w:lang w:val="zh-CN"/>
        </w:rPr>
      </w:pPr>
      <w:r>
        <w:rPr>
          <w:rFonts w:hint="eastAsia" w:ascii="宋体" w:hAnsi="宋体" w:cs="宋体"/>
          <w:color w:val="auto"/>
          <w:kern w:val="0"/>
          <w:szCs w:val="21"/>
          <w:lang w:val="zh-CN"/>
        </w:rPr>
        <w:t>4.2 承包人及其工作人员违反本合同第1条和第3条规定，应按照廉政建设的有关规定给予处分；情节严重的，给予承包人1～3年内不得进入工程建设市场的处罚；涉嫌犯罪的，移交司法机关追究刑事责任；给发包人造成损失的，应予赔偿；</w:t>
      </w:r>
    </w:p>
    <w:p>
      <w:pPr>
        <w:spacing w:line="360" w:lineRule="auto"/>
        <w:ind w:firstLine="358" w:firstLineChars="170"/>
        <w:jc w:val="left"/>
        <w:rPr>
          <w:rFonts w:ascii="宋体" w:hAnsi="宋体" w:cs="宋体"/>
          <w:b/>
          <w:bCs/>
          <w:color w:val="auto"/>
          <w:szCs w:val="21"/>
        </w:rPr>
      </w:pPr>
      <w:r>
        <w:rPr>
          <w:rFonts w:hint="eastAsia" w:ascii="宋体" w:hAnsi="宋体" w:cs="宋体"/>
          <w:b/>
          <w:bCs/>
          <w:color w:val="auto"/>
          <w:szCs w:val="21"/>
        </w:rPr>
        <w:t>5  双方约定</w:t>
      </w:r>
    </w:p>
    <w:p>
      <w:pPr>
        <w:spacing w:line="360" w:lineRule="auto"/>
        <w:ind w:firstLine="420" w:firstLineChars="200"/>
        <w:jc w:val="left"/>
        <w:rPr>
          <w:rFonts w:ascii="宋体" w:hAnsi="宋体" w:cs="宋体"/>
          <w:color w:val="auto"/>
          <w:kern w:val="0"/>
          <w:szCs w:val="21"/>
          <w:lang w:val="zh-CN"/>
        </w:rPr>
      </w:pPr>
      <w:r>
        <w:rPr>
          <w:rFonts w:hint="eastAsia" w:ascii="宋体" w:hAnsi="宋体" w:cs="宋体"/>
          <w:color w:val="auto"/>
          <w:kern w:val="0"/>
          <w:szCs w:val="21"/>
          <w:lang w:val="zh-CN"/>
        </w:rPr>
        <w:t>本合同由合同双方当事人或其上级部门负责监督执行，并由合同双方当事人或其上级部门相互约请对本合同执行情况进行检查。</w:t>
      </w:r>
    </w:p>
    <w:p>
      <w:pPr>
        <w:spacing w:line="360" w:lineRule="auto"/>
        <w:ind w:firstLine="358" w:firstLineChars="170"/>
        <w:jc w:val="left"/>
        <w:rPr>
          <w:rFonts w:ascii="宋体" w:hAnsi="宋体" w:cs="宋体"/>
          <w:b/>
          <w:bCs/>
          <w:color w:val="auto"/>
          <w:szCs w:val="21"/>
        </w:rPr>
      </w:pPr>
      <w:r>
        <w:rPr>
          <w:rFonts w:hint="eastAsia" w:ascii="宋体" w:hAnsi="宋体" w:cs="宋体"/>
          <w:b/>
          <w:bCs/>
          <w:color w:val="auto"/>
          <w:szCs w:val="21"/>
        </w:rPr>
        <w:t>6  合同法律效力</w:t>
      </w:r>
    </w:p>
    <w:p>
      <w:pPr>
        <w:spacing w:line="360" w:lineRule="auto"/>
        <w:ind w:firstLine="420" w:firstLineChars="200"/>
        <w:jc w:val="left"/>
        <w:rPr>
          <w:rFonts w:ascii="宋体" w:hAnsi="宋体" w:cs="宋体"/>
          <w:color w:val="auto"/>
          <w:kern w:val="0"/>
          <w:szCs w:val="21"/>
          <w:lang w:val="zh-CN"/>
        </w:rPr>
      </w:pPr>
      <w:r>
        <w:rPr>
          <w:rFonts w:hint="eastAsia" w:ascii="宋体" w:hAnsi="宋体" w:cs="宋体"/>
          <w:color w:val="auto"/>
          <w:kern w:val="0"/>
          <w:szCs w:val="21"/>
          <w:lang w:val="zh-CN"/>
        </w:rPr>
        <w:t>本合同作为（工程名称）工程施工合同的附件，与施工合同具有同等的法律效力。</w:t>
      </w:r>
    </w:p>
    <w:p>
      <w:pPr>
        <w:spacing w:line="360" w:lineRule="auto"/>
        <w:ind w:firstLine="358" w:firstLineChars="170"/>
        <w:jc w:val="left"/>
        <w:rPr>
          <w:rFonts w:ascii="宋体" w:hAnsi="宋体" w:cs="宋体"/>
          <w:b/>
          <w:bCs/>
          <w:color w:val="auto"/>
          <w:szCs w:val="21"/>
        </w:rPr>
      </w:pPr>
      <w:r>
        <w:rPr>
          <w:rFonts w:hint="eastAsia" w:ascii="宋体" w:hAnsi="宋体" w:cs="宋体"/>
          <w:b/>
          <w:bCs/>
          <w:color w:val="auto"/>
          <w:szCs w:val="21"/>
        </w:rPr>
        <w:t>7  合同份数</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本合同一式份，合同双方当事人各执份。有上级部门的，合同双方当事人应送交其上级部门各一份。</w:t>
      </w:r>
    </w:p>
    <w:p>
      <w:pPr>
        <w:spacing w:line="360" w:lineRule="auto"/>
        <w:ind w:firstLine="420" w:firstLineChars="200"/>
        <w:jc w:val="left"/>
        <w:rPr>
          <w:rFonts w:ascii="宋体" w:hAnsi="宋体" w:cs="宋体"/>
          <w:color w:val="auto"/>
          <w:szCs w:val="21"/>
        </w:rPr>
      </w:pP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发 包 人：（盖章）                     承 包 人：（盖章）</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法定代表人（负责人）：（签字）          法定代表人（负责人）：（签字）</w:t>
      </w:r>
    </w:p>
    <w:p>
      <w:pPr>
        <w:spacing w:line="360" w:lineRule="auto"/>
        <w:ind w:firstLine="420" w:firstLineChars="200"/>
        <w:jc w:val="left"/>
        <w:rPr>
          <w:rFonts w:ascii="宋体" w:hAnsi="宋体" w:cs="宋体"/>
          <w:color w:val="auto"/>
          <w:szCs w:val="21"/>
          <w:u w:val="single"/>
        </w:rPr>
      </w:pPr>
      <w:r>
        <w:rPr>
          <w:rFonts w:hint="eastAsia" w:ascii="宋体" w:hAnsi="宋体" w:cs="宋体"/>
          <w:color w:val="auto"/>
          <w:szCs w:val="21"/>
        </w:rPr>
        <w:t>联系电话：                            联系电话：</w:t>
      </w:r>
    </w:p>
    <w:p>
      <w:pPr>
        <w:spacing w:line="360" w:lineRule="auto"/>
        <w:ind w:firstLine="480" w:firstLineChars="200"/>
        <w:jc w:val="left"/>
        <w:rPr>
          <w:rFonts w:ascii="宋体" w:hAnsi="宋体" w:cs="宋体"/>
          <w:color w:val="auto"/>
          <w:sz w:val="24"/>
        </w:rPr>
      </w:pPr>
      <w:bookmarkStart w:id="323" w:name="_Toc293341641"/>
      <w:bookmarkStart w:id="324" w:name="_Toc303110406"/>
    </w:p>
    <w:p>
      <w:pPr>
        <w:spacing w:line="360" w:lineRule="auto"/>
        <w:ind w:firstLine="480" w:firstLineChars="200"/>
        <w:jc w:val="left"/>
        <w:rPr>
          <w:rFonts w:ascii="宋体" w:hAnsi="宋体" w:cs="宋体"/>
          <w:color w:val="auto"/>
          <w:sz w:val="24"/>
        </w:rPr>
      </w:pPr>
    </w:p>
    <w:p>
      <w:pPr>
        <w:spacing w:line="360" w:lineRule="auto"/>
        <w:ind w:firstLine="480" w:firstLineChars="200"/>
        <w:jc w:val="left"/>
        <w:rPr>
          <w:rFonts w:ascii="宋体" w:hAnsi="宋体" w:cs="宋体"/>
          <w:color w:val="auto"/>
          <w:sz w:val="24"/>
        </w:rPr>
      </w:pPr>
    </w:p>
    <w:bookmarkEnd w:id="323"/>
    <w:bookmarkEnd w:id="324"/>
    <w:p>
      <w:pPr>
        <w:spacing w:line="360" w:lineRule="auto"/>
        <w:ind w:firstLine="480" w:firstLineChars="200"/>
        <w:jc w:val="left"/>
        <w:rPr>
          <w:rFonts w:ascii="宋体" w:hAnsi="宋体" w:cs="宋体"/>
          <w:color w:val="auto"/>
          <w:sz w:val="24"/>
        </w:rPr>
      </w:pPr>
    </w:p>
    <w:p>
      <w:pPr>
        <w:autoSpaceDE w:val="0"/>
        <w:autoSpaceDN w:val="0"/>
        <w:adjustRightInd w:val="0"/>
        <w:spacing w:line="360" w:lineRule="exact"/>
        <w:jc w:val="left"/>
        <w:rPr>
          <w:rFonts w:ascii="宋体" w:hAnsi="宋体" w:cs="宋体"/>
          <w:color w:val="auto"/>
          <w:szCs w:val="22"/>
        </w:rPr>
      </w:pPr>
    </w:p>
    <w:p>
      <w:pPr>
        <w:autoSpaceDE w:val="0"/>
        <w:autoSpaceDN w:val="0"/>
        <w:adjustRightInd w:val="0"/>
        <w:spacing w:line="360" w:lineRule="exact"/>
        <w:jc w:val="left"/>
        <w:rPr>
          <w:rFonts w:ascii="宋体" w:hAnsi="宋体" w:cs="宋体"/>
          <w:color w:val="auto"/>
          <w:szCs w:val="22"/>
        </w:rPr>
      </w:pPr>
    </w:p>
    <w:p>
      <w:pPr>
        <w:autoSpaceDE w:val="0"/>
        <w:autoSpaceDN w:val="0"/>
        <w:adjustRightInd w:val="0"/>
        <w:spacing w:line="360" w:lineRule="exact"/>
        <w:jc w:val="left"/>
        <w:rPr>
          <w:rFonts w:ascii="宋体" w:hAnsi="宋体" w:cs="宋体"/>
          <w:color w:val="auto"/>
          <w:szCs w:val="22"/>
        </w:rPr>
      </w:pPr>
    </w:p>
    <w:p>
      <w:pPr>
        <w:autoSpaceDE w:val="0"/>
        <w:autoSpaceDN w:val="0"/>
        <w:adjustRightInd w:val="0"/>
        <w:spacing w:line="360" w:lineRule="exact"/>
        <w:jc w:val="left"/>
        <w:rPr>
          <w:rFonts w:ascii="宋体" w:hAnsi="宋体" w:cs="宋体"/>
          <w:color w:val="auto"/>
          <w:szCs w:val="22"/>
        </w:rPr>
      </w:pPr>
    </w:p>
    <w:p>
      <w:pPr>
        <w:autoSpaceDE w:val="0"/>
        <w:autoSpaceDN w:val="0"/>
        <w:adjustRightInd w:val="0"/>
        <w:spacing w:line="360" w:lineRule="exact"/>
        <w:jc w:val="left"/>
        <w:rPr>
          <w:rFonts w:ascii="宋体" w:hAnsi="宋体" w:cs="宋体"/>
          <w:color w:val="auto"/>
          <w:szCs w:val="22"/>
        </w:rPr>
      </w:pPr>
    </w:p>
    <w:p>
      <w:pPr>
        <w:autoSpaceDE w:val="0"/>
        <w:autoSpaceDN w:val="0"/>
        <w:adjustRightInd w:val="0"/>
        <w:spacing w:line="360" w:lineRule="exact"/>
        <w:jc w:val="left"/>
        <w:rPr>
          <w:rFonts w:ascii="宋体" w:hAnsi="宋体" w:cs="宋体"/>
          <w:color w:val="auto"/>
          <w:szCs w:val="22"/>
        </w:rPr>
      </w:pPr>
    </w:p>
    <w:p>
      <w:pPr>
        <w:autoSpaceDE w:val="0"/>
        <w:autoSpaceDN w:val="0"/>
        <w:adjustRightInd w:val="0"/>
        <w:spacing w:line="360" w:lineRule="exact"/>
        <w:jc w:val="left"/>
        <w:rPr>
          <w:rFonts w:ascii="宋体" w:hAnsi="宋体" w:cs="宋体"/>
          <w:color w:val="auto"/>
          <w:szCs w:val="22"/>
        </w:rPr>
      </w:pPr>
    </w:p>
    <w:p>
      <w:pPr>
        <w:autoSpaceDE w:val="0"/>
        <w:autoSpaceDN w:val="0"/>
        <w:adjustRightInd w:val="0"/>
        <w:spacing w:line="360" w:lineRule="exact"/>
        <w:jc w:val="left"/>
        <w:rPr>
          <w:rFonts w:ascii="宋体" w:hAnsi="宋体" w:cs="宋体"/>
          <w:color w:val="auto"/>
          <w:szCs w:val="22"/>
        </w:rPr>
      </w:pPr>
    </w:p>
    <w:p>
      <w:pPr>
        <w:autoSpaceDE w:val="0"/>
        <w:autoSpaceDN w:val="0"/>
        <w:adjustRightInd w:val="0"/>
        <w:spacing w:line="360" w:lineRule="exact"/>
        <w:jc w:val="left"/>
        <w:rPr>
          <w:rFonts w:ascii="宋体" w:hAnsi="宋体" w:cs="宋体"/>
          <w:color w:val="auto"/>
          <w:szCs w:val="22"/>
        </w:rPr>
      </w:pPr>
    </w:p>
    <w:p>
      <w:pPr>
        <w:spacing w:line="360" w:lineRule="auto"/>
        <w:rPr>
          <w:rFonts w:ascii="宋体" w:hAnsi="宋体" w:cs="宋体"/>
          <w:color w:val="auto"/>
          <w:kern w:val="0"/>
          <w:szCs w:val="21"/>
        </w:rPr>
      </w:pPr>
    </w:p>
    <w:p>
      <w:pPr>
        <w:spacing w:line="360" w:lineRule="auto"/>
        <w:rPr>
          <w:rFonts w:ascii="宋体" w:hAnsi="宋体" w:cs="宋体"/>
          <w:color w:val="auto"/>
          <w:kern w:val="0"/>
          <w:szCs w:val="21"/>
        </w:rPr>
      </w:pPr>
    </w:p>
    <w:p>
      <w:pPr>
        <w:spacing w:line="360" w:lineRule="auto"/>
        <w:rPr>
          <w:rFonts w:ascii="宋体" w:hAnsi="宋体" w:cs="宋体"/>
          <w:color w:val="auto"/>
          <w:kern w:val="0"/>
          <w:szCs w:val="21"/>
        </w:rPr>
      </w:pPr>
    </w:p>
    <w:p>
      <w:pPr>
        <w:spacing w:line="360" w:lineRule="auto"/>
        <w:rPr>
          <w:rFonts w:ascii="宋体" w:hAnsi="宋体" w:cs="宋体"/>
          <w:color w:val="auto"/>
          <w:kern w:val="0"/>
          <w:szCs w:val="21"/>
        </w:rPr>
      </w:pPr>
    </w:p>
    <w:p>
      <w:pPr>
        <w:spacing w:line="360" w:lineRule="auto"/>
        <w:rPr>
          <w:rFonts w:ascii="宋体" w:hAnsi="宋体" w:cs="宋体"/>
          <w:color w:val="auto"/>
          <w:kern w:val="0"/>
          <w:szCs w:val="21"/>
        </w:rPr>
      </w:pPr>
    </w:p>
    <w:p>
      <w:pPr>
        <w:spacing w:line="360" w:lineRule="auto"/>
        <w:rPr>
          <w:rFonts w:ascii="宋体" w:hAnsi="宋体" w:cs="宋体"/>
          <w:color w:val="auto"/>
          <w:kern w:val="0"/>
          <w:szCs w:val="21"/>
        </w:rPr>
      </w:pPr>
    </w:p>
    <w:p>
      <w:pPr>
        <w:spacing w:line="360" w:lineRule="auto"/>
        <w:rPr>
          <w:rFonts w:ascii="宋体" w:hAnsi="宋体" w:cs="宋体"/>
          <w:color w:val="auto"/>
          <w:kern w:val="0"/>
          <w:szCs w:val="21"/>
        </w:rPr>
      </w:pPr>
    </w:p>
    <w:p>
      <w:pPr>
        <w:spacing w:line="360" w:lineRule="auto"/>
        <w:rPr>
          <w:rFonts w:ascii="宋体" w:hAnsi="宋体" w:cs="宋体"/>
          <w:color w:val="auto"/>
          <w:kern w:val="0"/>
          <w:szCs w:val="21"/>
        </w:rPr>
      </w:pPr>
    </w:p>
    <w:p>
      <w:pPr>
        <w:spacing w:line="360" w:lineRule="auto"/>
        <w:rPr>
          <w:rFonts w:ascii="宋体" w:hAnsi="宋体" w:cs="宋体"/>
          <w:color w:val="auto"/>
          <w:kern w:val="0"/>
          <w:szCs w:val="21"/>
        </w:rPr>
      </w:pPr>
    </w:p>
    <w:p>
      <w:pPr>
        <w:spacing w:line="360" w:lineRule="auto"/>
        <w:rPr>
          <w:rFonts w:ascii="宋体" w:hAnsi="宋体" w:cs="宋体"/>
          <w:color w:val="auto"/>
          <w:kern w:val="0"/>
          <w:szCs w:val="21"/>
        </w:rPr>
      </w:pPr>
    </w:p>
    <w:p>
      <w:pPr>
        <w:spacing w:line="360" w:lineRule="auto"/>
        <w:rPr>
          <w:rFonts w:ascii="宋体" w:hAnsi="宋体" w:cs="宋体"/>
          <w:color w:val="auto"/>
          <w:kern w:val="0"/>
          <w:szCs w:val="21"/>
        </w:rPr>
      </w:pPr>
    </w:p>
    <w:p>
      <w:pPr>
        <w:spacing w:line="360" w:lineRule="auto"/>
        <w:rPr>
          <w:rFonts w:ascii="宋体" w:hAnsi="宋体" w:cs="宋体"/>
          <w:color w:val="auto"/>
          <w:kern w:val="0"/>
          <w:szCs w:val="21"/>
        </w:rPr>
      </w:pPr>
    </w:p>
    <w:p>
      <w:pPr>
        <w:spacing w:line="360" w:lineRule="auto"/>
        <w:rPr>
          <w:rFonts w:ascii="宋体" w:hAnsi="宋体"/>
          <w:color w:val="auto"/>
          <w:szCs w:val="21"/>
        </w:rPr>
      </w:pPr>
      <w:bookmarkStart w:id="325" w:name="OLE_LINK4"/>
    </w:p>
    <w:p>
      <w:pPr>
        <w:pStyle w:val="4"/>
        <w:autoSpaceDE w:val="0"/>
        <w:rPr>
          <w:b w:val="0"/>
          <w:bCs w:val="0"/>
          <w:color w:val="auto"/>
          <w:sz w:val="44"/>
        </w:rPr>
      </w:pPr>
      <w:bookmarkStart w:id="326" w:name="_Toc475104528"/>
      <w:r>
        <w:rPr>
          <w:rFonts w:hint="eastAsia"/>
          <w:color w:val="auto"/>
          <w:sz w:val="44"/>
        </w:rPr>
        <w:t>第五章 评分体系与标准</w:t>
      </w:r>
      <w:bookmarkEnd w:id="326"/>
    </w:p>
    <w:p>
      <w:pPr>
        <w:spacing w:line="360" w:lineRule="auto"/>
        <w:ind w:firstLine="2164" w:firstLineChars="490"/>
        <w:rPr>
          <w:rFonts w:ascii="宋体" w:hAnsi="宋体"/>
          <w:b/>
          <w:bCs/>
          <w:color w:val="auto"/>
          <w:sz w:val="44"/>
        </w:rPr>
      </w:pPr>
    </w:p>
    <w:p>
      <w:pPr>
        <w:spacing w:line="360" w:lineRule="auto"/>
        <w:rPr>
          <w:rFonts w:ascii="宋体" w:hAnsi="宋体"/>
          <w:color w:val="auto"/>
          <w:szCs w:val="21"/>
        </w:rPr>
      </w:pPr>
    </w:p>
    <w:p>
      <w:pPr>
        <w:spacing w:line="360" w:lineRule="auto"/>
        <w:rPr>
          <w:rFonts w:ascii="宋体" w:hAnsi="宋体"/>
          <w:color w:val="auto"/>
          <w:szCs w:val="21"/>
        </w:rPr>
      </w:pPr>
    </w:p>
    <w:p>
      <w:pPr>
        <w:spacing w:line="360" w:lineRule="auto"/>
        <w:rPr>
          <w:rFonts w:ascii="宋体" w:hAnsi="宋体"/>
          <w:color w:val="auto"/>
          <w:szCs w:val="21"/>
        </w:rPr>
      </w:pPr>
    </w:p>
    <w:p>
      <w:pPr>
        <w:spacing w:line="360" w:lineRule="auto"/>
        <w:rPr>
          <w:rFonts w:ascii="宋体" w:hAnsi="宋体"/>
          <w:color w:val="auto"/>
          <w:szCs w:val="21"/>
        </w:rPr>
      </w:pPr>
    </w:p>
    <w:p>
      <w:pPr>
        <w:spacing w:line="360" w:lineRule="auto"/>
        <w:rPr>
          <w:rFonts w:ascii="宋体" w:hAnsi="宋体"/>
          <w:color w:val="auto"/>
          <w:szCs w:val="21"/>
        </w:rPr>
      </w:pPr>
    </w:p>
    <w:p>
      <w:pPr>
        <w:spacing w:line="360" w:lineRule="auto"/>
        <w:rPr>
          <w:rFonts w:ascii="宋体" w:hAnsi="宋体"/>
          <w:color w:val="auto"/>
          <w:szCs w:val="21"/>
        </w:rPr>
      </w:pPr>
    </w:p>
    <w:p>
      <w:pPr>
        <w:spacing w:line="360" w:lineRule="auto"/>
        <w:rPr>
          <w:rFonts w:ascii="宋体" w:hAnsi="宋体"/>
          <w:color w:val="auto"/>
          <w:szCs w:val="21"/>
        </w:rPr>
      </w:pPr>
    </w:p>
    <w:p>
      <w:pPr>
        <w:spacing w:line="360" w:lineRule="auto"/>
        <w:rPr>
          <w:rFonts w:ascii="宋体" w:hAnsi="宋体"/>
          <w:color w:val="auto"/>
          <w:szCs w:val="21"/>
        </w:rPr>
      </w:pPr>
    </w:p>
    <w:p>
      <w:pPr>
        <w:spacing w:line="360" w:lineRule="auto"/>
        <w:rPr>
          <w:rFonts w:ascii="宋体" w:hAnsi="宋体"/>
          <w:color w:val="auto"/>
          <w:szCs w:val="21"/>
        </w:rPr>
      </w:pPr>
    </w:p>
    <w:p>
      <w:pPr>
        <w:spacing w:line="360" w:lineRule="auto"/>
        <w:rPr>
          <w:rFonts w:ascii="宋体" w:hAnsi="宋体"/>
          <w:color w:val="auto"/>
          <w:szCs w:val="21"/>
        </w:rPr>
      </w:pPr>
    </w:p>
    <w:p>
      <w:pPr>
        <w:spacing w:line="360" w:lineRule="auto"/>
        <w:rPr>
          <w:rFonts w:ascii="宋体" w:hAnsi="宋体"/>
          <w:color w:val="auto"/>
          <w:szCs w:val="21"/>
        </w:rPr>
      </w:pPr>
    </w:p>
    <w:p>
      <w:pPr>
        <w:spacing w:line="360" w:lineRule="auto"/>
        <w:rPr>
          <w:rFonts w:ascii="宋体" w:hAnsi="宋体"/>
          <w:color w:val="auto"/>
          <w:szCs w:val="21"/>
        </w:rPr>
      </w:pPr>
    </w:p>
    <w:p>
      <w:pPr>
        <w:spacing w:line="360" w:lineRule="auto"/>
        <w:rPr>
          <w:rFonts w:ascii="宋体" w:hAnsi="宋体"/>
          <w:color w:val="auto"/>
          <w:szCs w:val="21"/>
        </w:rPr>
      </w:pPr>
    </w:p>
    <w:p>
      <w:pPr>
        <w:spacing w:line="360" w:lineRule="auto"/>
        <w:rPr>
          <w:rFonts w:ascii="宋体" w:hAnsi="宋体"/>
          <w:color w:val="auto"/>
          <w:szCs w:val="21"/>
        </w:rPr>
      </w:pPr>
    </w:p>
    <w:p>
      <w:pPr>
        <w:spacing w:line="360" w:lineRule="auto"/>
        <w:rPr>
          <w:rFonts w:ascii="宋体" w:hAnsi="宋体"/>
          <w:color w:val="auto"/>
          <w:szCs w:val="21"/>
        </w:rPr>
      </w:pPr>
    </w:p>
    <w:p>
      <w:pPr>
        <w:spacing w:line="360" w:lineRule="auto"/>
        <w:rPr>
          <w:rFonts w:ascii="宋体" w:hAnsi="宋体"/>
          <w:color w:val="auto"/>
          <w:szCs w:val="21"/>
        </w:rPr>
      </w:pPr>
    </w:p>
    <w:p>
      <w:pPr>
        <w:spacing w:line="360" w:lineRule="auto"/>
        <w:rPr>
          <w:rFonts w:ascii="宋体" w:hAnsi="宋体"/>
          <w:color w:val="auto"/>
          <w:szCs w:val="21"/>
        </w:rPr>
      </w:pPr>
    </w:p>
    <w:p>
      <w:pPr>
        <w:spacing w:line="360" w:lineRule="auto"/>
        <w:rPr>
          <w:rFonts w:ascii="宋体" w:hAnsi="宋体"/>
          <w:color w:val="auto"/>
          <w:szCs w:val="21"/>
        </w:rPr>
      </w:pPr>
    </w:p>
    <w:p>
      <w:pPr>
        <w:numPr>
          <w:ilvl w:val="0"/>
          <w:numId w:val="35"/>
        </w:numPr>
        <w:autoSpaceDE w:val="0"/>
        <w:autoSpaceDN w:val="0"/>
        <w:adjustRightInd w:val="0"/>
        <w:snapToGrid w:val="0"/>
        <w:spacing w:line="360" w:lineRule="auto"/>
        <w:outlineLvl w:val="0"/>
        <w:rPr>
          <w:rFonts w:ascii="宋体" w:hAnsi="宋体"/>
          <w:bCs/>
          <w:color w:val="auto"/>
          <w:szCs w:val="21"/>
        </w:rPr>
      </w:pPr>
      <w:bookmarkStart w:id="327" w:name="_Toc475104529"/>
      <w:bookmarkStart w:id="328" w:name="_Toc50276153"/>
      <w:bookmarkStart w:id="329" w:name="_Toc98580289"/>
      <w:bookmarkStart w:id="330" w:name="_Toc101771375"/>
      <w:bookmarkStart w:id="331" w:name="_Toc98579606"/>
      <w:bookmarkStart w:id="332" w:name="_Toc98579007"/>
      <w:bookmarkStart w:id="333" w:name="_Toc42394669"/>
      <w:bookmarkStart w:id="334" w:name="_Toc101951266"/>
      <w:bookmarkStart w:id="335" w:name="_Toc101775128"/>
      <w:bookmarkStart w:id="336" w:name="_Toc98579065"/>
      <w:bookmarkStart w:id="337" w:name="_Toc101843128"/>
      <w:bookmarkStart w:id="338" w:name="_Toc42394513"/>
      <w:bookmarkStart w:id="339" w:name="_Toc264203535"/>
      <w:bookmarkStart w:id="340" w:name="_Toc41723931"/>
      <w:bookmarkStart w:id="341" w:name="_Toc42313167"/>
      <w:bookmarkStart w:id="342" w:name="_Toc41884701"/>
      <w:bookmarkStart w:id="343" w:name="_Toc34535380"/>
      <w:bookmarkStart w:id="344" w:name="_Toc113277292"/>
      <w:bookmarkStart w:id="345" w:name="_Toc148060906"/>
      <w:bookmarkStart w:id="346" w:name="_Toc35834934"/>
      <w:bookmarkStart w:id="347" w:name="_Toc124401382"/>
      <w:bookmarkStart w:id="348" w:name="_Toc148420070"/>
      <w:bookmarkStart w:id="349" w:name="_Toc67911942"/>
      <w:bookmarkStart w:id="350" w:name="_Toc124646434"/>
      <w:bookmarkStart w:id="351" w:name="_Toc66722112"/>
      <w:bookmarkStart w:id="352" w:name="_Toc104874465"/>
      <w:bookmarkStart w:id="353" w:name="_Toc108243616"/>
      <w:bookmarkStart w:id="354" w:name="_Toc131922503"/>
      <w:bookmarkStart w:id="355" w:name="_Toc125770208"/>
      <w:bookmarkStart w:id="356" w:name="_Toc150050902"/>
      <w:bookmarkStart w:id="357" w:name="_Toc169334816"/>
      <w:bookmarkStart w:id="358" w:name="_Toc95304223"/>
      <w:bookmarkStart w:id="359" w:name="_Toc101553556"/>
      <w:bookmarkStart w:id="360" w:name="_Toc138568672"/>
      <w:bookmarkStart w:id="361" w:name="_Toc68620012"/>
      <w:bookmarkStart w:id="362" w:name="_Toc102211724"/>
      <w:bookmarkStart w:id="363" w:name="_Toc131904930"/>
      <w:bookmarkStart w:id="364" w:name="_Toc124570687"/>
      <w:bookmarkStart w:id="365" w:name="_Toc138506092"/>
      <w:bookmarkStart w:id="366" w:name="_Toc101553661"/>
      <w:bookmarkStart w:id="367" w:name="_Toc104902929"/>
      <w:bookmarkStart w:id="368" w:name="_Toc108001800"/>
      <w:bookmarkStart w:id="369" w:name="_Toc95249607"/>
      <w:bookmarkStart w:id="370" w:name="_Toc28489533"/>
      <w:bookmarkStart w:id="371" w:name="_Toc28142601"/>
      <w:r>
        <w:rPr>
          <w:rFonts w:hint="eastAsia" w:ascii="宋体" w:hAnsi="宋体"/>
          <w:bCs/>
          <w:color w:val="auto"/>
          <w:szCs w:val="21"/>
        </w:rPr>
        <w:t>本评审办法采用综合评分法。</w:t>
      </w:r>
      <w:bookmarkEnd w:id="327"/>
    </w:p>
    <w:p>
      <w:pPr>
        <w:numPr>
          <w:ilvl w:val="0"/>
          <w:numId w:val="35"/>
        </w:numPr>
        <w:autoSpaceDE w:val="0"/>
        <w:autoSpaceDN w:val="0"/>
        <w:adjustRightInd w:val="0"/>
        <w:snapToGrid w:val="0"/>
        <w:spacing w:line="360" w:lineRule="auto"/>
        <w:outlineLvl w:val="0"/>
        <w:rPr>
          <w:rFonts w:ascii="宋体" w:cs="宋体"/>
          <w:color w:val="auto"/>
        </w:rPr>
      </w:pPr>
      <w:bookmarkStart w:id="372" w:name="_Toc475104530"/>
      <w:bookmarkStart w:id="373" w:name="_Toc475104531"/>
      <w:r>
        <w:rPr>
          <w:rFonts w:hint="eastAsia" w:ascii="宋体" w:hAnsi="宋体" w:cs="宋体"/>
          <w:color w:val="auto"/>
          <w:szCs w:val="21"/>
          <w:lang w:eastAsia="zh-TW"/>
        </w:rPr>
        <w:t>本次招标依法组建评标委员会。评标委员会由采购人的代表和从政府采购专家库随机抽取的专家组成，如采购人不派代表参加评审，则评标委员会全部由从政府采购专家库随机抽取的专家组成。评标委员会将本着公平、公正、科学、择优的原则，严格按照法律法规和招标文件设定的程序和规则推荐评审结果</w:t>
      </w:r>
      <w:r>
        <w:rPr>
          <w:rFonts w:hint="eastAsia" w:ascii="宋体" w:hAnsi="宋体" w:cs="宋体"/>
          <w:color w:val="auto"/>
          <w:szCs w:val="21"/>
        </w:rPr>
        <w:t>；</w:t>
      </w:r>
    </w:p>
    <w:p>
      <w:pPr>
        <w:numPr>
          <w:ilvl w:val="0"/>
          <w:numId w:val="35"/>
        </w:numPr>
        <w:autoSpaceDE w:val="0"/>
        <w:autoSpaceDN w:val="0"/>
        <w:adjustRightInd w:val="0"/>
        <w:snapToGrid w:val="0"/>
        <w:spacing w:line="360" w:lineRule="auto"/>
        <w:outlineLvl w:val="0"/>
        <w:rPr>
          <w:rFonts w:ascii="宋体" w:cs="宋体"/>
          <w:color w:val="auto"/>
        </w:rPr>
      </w:pPr>
      <w:r>
        <w:rPr>
          <w:rFonts w:hint="eastAsia" w:ascii="宋体" w:cs="宋体"/>
          <w:color w:val="auto"/>
        </w:rPr>
        <w:t>通过资格性和符合性检查的有效供应商方有资格提交最后报价及进行技术、商务及价格的详细评审，最后磋商小组出具竞争性磋商报告。</w:t>
      </w:r>
      <w:bookmarkEnd w:id="372"/>
    </w:p>
    <w:bookmarkEnd w:id="328"/>
    <w:bookmarkEnd w:id="329"/>
    <w:bookmarkEnd w:id="330"/>
    <w:bookmarkEnd w:id="331"/>
    <w:bookmarkEnd w:id="332"/>
    <w:bookmarkEnd w:id="333"/>
    <w:bookmarkEnd w:id="334"/>
    <w:bookmarkEnd w:id="335"/>
    <w:bookmarkEnd w:id="336"/>
    <w:bookmarkEnd w:id="337"/>
    <w:bookmarkEnd w:id="338"/>
    <w:bookmarkEnd w:id="339"/>
    <w:bookmarkEnd w:id="373"/>
    <w:p>
      <w:pPr>
        <w:numPr>
          <w:ilvl w:val="0"/>
          <w:numId w:val="35"/>
        </w:numPr>
        <w:autoSpaceDE w:val="0"/>
        <w:autoSpaceDN w:val="0"/>
        <w:adjustRightInd w:val="0"/>
        <w:snapToGrid w:val="0"/>
        <w:spacing w:line="360" w:lineRule="auto"/>
        <w:outlineLvl w:val="0"/>
        <w:rPr>
          <w:rFonts w:ascii="宋体" w:hAnsi="宋体"/>
          <w:bCs/>
          <w:color w:val="auto"/>
          <w:szCs w:val="21"/>
        </w:rPr>
      </w:pPr>
      <w:bookmarkStart w:id="374" w:name="_Toc475104532"/>
      <w:r>
        <w:rPr>
          <w:rFonts w:hint="eastAsia" w:ascii="宋体" w:cs="宋体"/>
          <w:color w:val="auto"/>
        </w:rPr>
        <w:t>按照评审程序、评分标准以及权重分配的规定，磋商小组各成员分别就各个</w:t>
      </w:r>
      <w:r>
        <w:rPr>
          <w:rFonts w:hint="eastAsia" w:ascii="宋体" w:hAnsi="宋体"/>
          <w:bCs/>
          <w:color w:val="auto"/>
        </w:rPr>
        <w:t>供应商</w:t>
      </w:r>
      <w:r>
        <w:rPr>
          <w:rFonts w:hint="eastAsia" w:ascii="宋体" w:cs="宋体"/>
          <w:color w:val="auto"/>
        </w:rPr>
        <w:t>的技术状况、商务状况及其对竞争性磋商文件要求的响应情况进行评议和比较，评出其</w:t>
      </w:r>
      <w:r>
        <w:rPr>
          <w:rFonts w:hint="eastAsia" w:ascii="宋体" w:hAnsi="宋体"/>
          <w:color w:val="auto"/>
          <w:szCs w:val="21"/>
        </w:rPr>
        <w:t>商务</w:t>
      </w:r>
      <w:r>
        <w:rPr>
          <w:rFonts w:hint="eastAsia" w:ascii="宋体" w:hAnsi="宋体"/>
          <w:color w:val="auto"/>
        </w:rPr>
        <w:t>技术</w:t>
      </w:r>
      <w:r>
        <w:rPr>
          <w:rFonts w:hint="eastAsia" w:ascii="宋体" w:cs="宋体"/>
          <w:color w:val="auto"/>
        </w:rPr>
        <w:t>评分、价格评分相加得出其综合得分。</w:t>
      </w:r>
    </w:p>
    <w:p>
      <w:pPr>
        <w:numPr>
          <w:ilvl w:val="0"/>
          <w:numId w:val="35"/>
        </w:numPr>
        <w:autoSpaceDE w:val="0"/>
        <w:autoSpaceDN w:val="0"/>
        <w:adjustRightInd w:val="0"/>
        <w:snapToGrid w:val="0"/>
        <w:spacing w:line="360" w:lineRule="auto"/>
        <w:outlineLvl w:val="0"/>
        <w:rPr>
          <w:rFonts w:ascii="宋体" w:hAnsi="宋体"/>
          <w:bCs/>
          <w:color w:val="auto"/>
          <w:szCs w:val="21"/>
        </w:rPr>
      </w:pPr>
      <w:r>
        <w:rPr>
          <w:rFonts w:hint="eastAsia" w:ascii="宋体" w:hAnsi="宋体"/>
          <w:color w:val="auto"/>
          <w:szCs w:val="21"/>
        </w:rPr>
        <w:t>评标以竞争性磋商文件规定的条件为依据。评分比重如下：</w:t>
      </w:r>
      <w:bookmarkEnd w:id="374"/>
    </w:p>
    <w:tbl>
      <w:tblPr>
        <w:tblStyle w:val="90"/>
        <w:tblpPr w:leftFromText="180" w:rightFromText="180" w:vertAnchor="text" w:tblpX="318" w:tblpY="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0"/>
        <w:gridCol w:w="1858"/>
        <w:gridCol w:w="1859"/>
        <w:gridCol w:w="1858"/>
        <w:gridCol w:w="1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540" w:type="dxa"/>
            <w:vAlign w:val="center"/>
          </w:tcPr>
          <w:p>
            <w:pPr>
              <w:spacing w:line="360" w:lineRule="auto"/>
              <w:jc w:val="center"/>
              <w:rPr>
                <w:rFonts w:ascii="宋体" w:hAnsi="宋体" w:cs="宋体"/>
                <w:color w:val="auto"/>
              </w:rPr>
            </w:pPr>
            <w:bookmarkStart w:id="375" w:name="_Toc333236678"/>
            <w:bookmarkStart w:id="376" w:name="_Toc475104533"/>
            <w:r>
              <w:rPr>
                <w:rFonts w:hint="eastAsia" w:ascii="宋体" w:hAnsi="宋体" w:cs="宋体"/>
                <w:color w:val="auto"/>
              </w:rPr>
              <w:t>评分项目</w:t>
            </w:r>
          </w:p>
        </w:tc>
        <w:tc>
          <w:tcPr>
            <w:tcW w:w="1858" w:type="dxa"/>
            <w:vAlign w:val="center"/>
          </w:tcPr>
          <w:p>
            <w:pPr>
              <w:spacing w:line="360" w:lineRule="auto"/>
              <w:jc w:val="center"/>
              <w:rPr>
                <w:rFonts w:ascii="宋体" w:hAnsi="宋体" w:cs="宋体"/>
                <w:color w:val="auto"/>
              </w:rPr>
            </w:pPr>
            <w:r>
              <w:rPr>
                <w:rFonts w:hint="eastAsia" w:ascii="宋体" w:hAnsi="宋体" w:cs="宋体"/>
                <w:color w:val="auto"/>
              </w:rPr>
              <w:t>技术部分</w:t>
            </w:r>
          </w:p>
        </w:tc>
        <w:tc>
          <w:tcPr>
            <w:tcW w:w="1859" w:type="dxa"/>
            <w:vAlign w:val="center"/>
          </w:tcPr>
          <w:p>
            <w:pPr>
              <w:spacing w:line="360" w:lineRule="auto"/>
              <w:jc w:val="center"/>
              <w:rPr>
                <w:rFonts w:ascii="宋体" w:hAnsi="宋体" w:cs="宋体"/>
                <w:color w:val="auto"/>
              </w:rPr>
            </w:pPr>
            <w:r>
              <w:rPr>
                <w:rFonts w:hint="eastAsia" w:ascii="宋体" w:hAnsi="宋体" w:cs="宋体"/>
                <w:color w:val="auto"/>
              </w:rPr>
              <w:t>商务部分</w:t>
            </w:r>
          </w:p>
        </w:tc>
        <w:tc>
          <w:tcPr>
            <w:tcW w:w="1858" w:type="dxa"/>
            <w:vAlign w:val="center"/>
          </w:tcPr>
          <w:p>
            <w:pPr>
              <w:spacing w:line="360" w:lineRule="auto"/>
              <w:jc w:val="center"/>
              <w:rPr>
                <w:rFonts w:ascii="宋体" w:hAnsi="宋体" w:cs="宋体"/>
                <w:color w:val="auto"/>
              </w:rPr>
            </w:pPr>
            <w:r>
              <w:rPr>
                <w:rFonts w:hint="eastAsia" w:ascii="宋体" w:hAnsi="宋体" w:cs="宋体"/>
                <w:color w:val="auto"/>
              </w:rPr>
              <w:t>价格部分</w:t>
            </w:r>
          </w:p>
        </w:tc>
        <w:tc>
          <w:tcPr>
            <w:tcW w:w="1859" w:type="dxa"/>
            <w:vAlign w:val="center"/>
          </w:tcPr>
          <w:p>
            <w:pPr>
              <w:spacing w:line="360" w:lineRule="auto"/>
              <w:jc w:val="center"/>
              <w:rPr>
                <w:rFonts w:ascii="宋体" w:hAnsi="宋体" w:cs="宋体"/>
                <w:color w:val="auto"/>
              </w:rPr>
            </w:pPr>
            <w:r>
              <w:rPr>
                <w:rFonts w:hint="eastAsia" w:ascii="宋体" w:hAnsi="宋体" w:cs="宋体"/>
                <w:color w:val="auto"/>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540" w:type="dxa"/>
            <w:vAlign w:val="center"/>
          </w:tcPr>
          <w:p>
            <w:pPr>
              <w:spacing w:line="360" w:lineRule="auto"/>
              <w:jc w:val="center"/>
              <w:rPr>
                <w:rFonts w:ascii="宋体" w:hAnsi="宋体" w:cs="宋体"/>
                <w:color w:val="auto"/>
              </w:rPr>
            </w:pPr>
            <w:r>
              <w:rPr>
                <w:rFonts w:hint="eastAsia" w:ascii="宋体" w:hAnsi="宋体" w:cs="宋体"/>
                <w:color w:val="auto"/>
              </w:rPr>
              <w:t>权重</w:t>
            </w:r>
          </w:p>
        </w:tc>
        <w:tc>
          <w:tcPr>
            <w:tcW w:w="1858" w:type="dxa"/>
            <w:vAlign w:val="center"/>
          </w:tcPr>
          <w:p>
            <w:pPr>
              <w:spacing w:line="360" w:lineRule="auto"/>
              <w:jc w:val="center"/>
              <w:rPr>
                <w:rFonts w:ascii="宋体" w:hAnsi="宋体" w:cs="宋体"/>
                <w:color w:val="auto"/>
              </w:rPr>
            </w:pPr>
            <w:r>
              <w:rPr>
                <w:rFonts w:hint="eastAsia" w:ascii="宋体" w:hAnsi="宋体" w:cs="宋体"/>
                <w:color w:val="auto"/>
              </w:rPr>
              <w:t>30%</w:t>
            </w:r>
          </w:p>
        </w:tc>
        <w:tc>
          <w:tcPr>
            <w:tcW w:w="1859" w:type="dxa"/>
            <w:vAlign w:val="center"/>
          </w:tcPr>
          <w:p>
            <w:pPr>
              <w:spacing w:line="360" w:lineRule="auto"/>
              <w:jc w:val="center"/>
              <w:rPr>
                <w:rFonts w:ascii="宋体" w:hAnsi="宋体" w:cs="宋体"/>
                <w:color w:val="auto"/>
              </w:rPr>
            </w:pPr>
            <w:r>
              <w:rPr>
                <w:rFonts w:hint="eastAsia" w:ascii="宋体" w:hAnsi="宋体" w:cs="宋体"/>
                <w:color w:val="auto"/>
              </w:rPr>
              <w:t>20%</w:t>
            </w:r>
          </w:p>
        </w:tc>
        <w:tc>
          <w:tcPr>
            <w:tcW w:w="1858" w:type="dxa"/>
            <w:vAlign w:val="center"/>
          </w:tcPr>
          <w:p>
            <w:pPr>
              <w:spacing w:line="360" w:lineRule="auto"/>
              <w:jc w:val="center"/>
              <w:rPr>
                <w:rFonts w:ascii="宋体" w:hAnsi="宋体" w:cs="宋体"/>
                <w:color w:val="auto"/>
              </w:rPr>
            </w:pPr>
            <w:r>
              <w:rPr>
                <w:rFonts w:hint="eastAsia" w:ascii="宋体" w:hAnsi="宋体" w:cs="宋体"/>
                <w:color w:val="auto"/>
              </w:rPr>
              <w:t>50%</w:t>
            </w:r>
          </w:p>
        </w:tc>
        <w:tc>
          <w:tcPr>
            <w:tcW w:w="1859" w:type="dxa"/>
            <w:vAlign w:val="center"/>
          </w:tcPr>
          <w:p>
            <w:pPr>
              <w:spacing w:line="360" w:lineRule="auto"/>
              <w:jc w:val="center"/>
              <w:rPr>
                <w:rFonts w:ascii="宋体" w:hAnsi="宋体" w:cs="宋体"/>
                <w:color w:val="auto"/>
              </w:rPr>
            </w:pPr>
            <w:r>
              <w:rPr>
                <w:rFonts w:hint="eastAsia" w:ascii="宋体" w:hAnsi="宋体" w:cs="宋体"/>
                <w:color w:val="auto"/>
              </w:rPr>
              <w:t>100%</w:t>
            </w:r>
          </w:p>
        </w:tc>
      </w:tr>
    </w:tbl>
    <w:p>
      <w:pPr>
        <w:numPr>
          <w:ilvl w:val="1"/>
          <w:numId w:val="35"/>
        </w:numPr>
        <w:tabs>
          <w:tab w:val="clear" w:pos="567"/>
        </w:tabs>
        <w:autoSpaceDE w:val="0"/>
        <w:autoSpaceDN w:val="0"/>
        <w:adjustRightInd w:val="0"/>
        <w:snapToGrid w:val="0"/>
        <w:spacing w:line="360" w:lineRule="auto"/>
        <w:outlineLvl w:val="0"/>
        <w:rPr>
          <w:rFonts w:ascii="宋体" w:hAnsi="宋体"/>
          <w:color w:val="auto"/>
          <w:szCs w:val="21"/>
        </w:rPr>
      </w:pPr>
      <w:r>
        <w:rPr>
          <w:rFonts w:hint="eastAsia" w:ascii="宋体" w:hAnsi="宋体"/>
          <w:color w:val="auto"/>
          <w:szCs w:val="21"/>
        </w:rPr>
        <w:t>磋商响应文件中</w:t>
      </w:r>
      <w:r>
        <w:rPr>
          <w:rFonts w:hint="eastAsia" w:ascii="宋体" w:hAnsi="宋体" w:cs="宋体"/>
          <w:color w:val="auto"/>
          <w:kern w:val="0"/>
          <w:szCs w:val="21"/>
        </w:rPr>
        <w:t>竞争性磋商函</w:t>
      </w:r>
      <w:r>
        <w:rPr>
          <w:rFonts w:hint="eastAsia" w:ascii="宋体" w:hAnsi="宋体"/>
          <w:color w:val="auto"/>
          <w:szCs w:val="21"/>
        </w:rPr>
        <w:t>内容与磋商响应文件中明细表内容不一致的，以</w:t>
      </w:r>
      <w:r>
        <w:rPr>
          <w:rFonts w:hint="eastAsia" w:ascii="宋体" w:hAnsi="宋体" w:cs="宋体"/>
          <w:color w:val="auto"/>
          <w:kern w:val="0"/>
          <w:szCs w:val="21"/>
        </w:rPr>
        <w:t>竞争性磋商函</w:t>
      </w:r>
      <w:r>
        <w:rPr>
          <w:rFonts w:hint="eastAsia" w:ascii="宋体" w:hAnsi="宋体"/>
          <w:color w:val="auto"/>
          <w:szCs w:val="21"/>
        </w:rPr>
        <w:t>为准。磋商响应文件的总价金额与按单价汇总金额不一致的，以单价金额计算结果为准；大写金额和小写金额不一致的，以大写金额为准；单价金额小数点有明显错位的，应以总价为准，并修改单价；对不同文字文本磋商响应文件的解释发生异议的，以中文文本为准。</w:t>
      </w:r>
    </w:p>
    <w:bookmarkEnd w:id="375"/>
    <w:bookmarkEnd w:id="376"/>
    <w:p>
      <w:pPr>
        <w:numPr>
          <w:ilvl w:val="0"/>
          <w:numId w:val="35"/>
        </w:numPr>
        <w:autoSpaceDE w:val="0"/>
        <w:autoSpaceDN w:val="0"/>
        <w:adjustRightInd w:val="0"/>
        <w:snapToGrid w:val="0"/>
        <w:spacing w:line="360" w:lineRule="auto"/>
        <w:outlineLvl w:val="0"/>
        <w:rPr>
          <w:rFonts w:ascii="宋体" w:hAnsi="宋体"/>
          <w:color w:val="auto"/>
          <w:szCs w:val="21"/>
        </w:rPr>
      </w:pPr>
      <w:bookmarkStart w:id="377" w:name="_Toc333236680"/>
      <w:bookmarkStart w:id="378" w:name="_Toc475104534"/>
      <w:r>
        <w:rPr>
          <w:rFonts w:hint="eastAsia" w:ascii="宋体" w:hAnsi="宋体"/>
          <w:color w:val="auto"/>
          <w:szCs w:val="21"/>
        </w:rPr>
        <w:t>商务</w:t>
      </w:r>
      <w:r>
        <w:rPr>
          <w:rFonts w:hint="eastAsia" w:ascii="宋体" w:hAnsi="宋体"/>
          <w:color w:val="auto"/>
        </w:rPr>
        <w:t>技术</w:t>
      </w:r>
      <w:r>
        <w:rPr>
          <w:rFonts w:hint="eastAsia" w:ascii="宋体" w:hAnsi="宋体"/>
          <w:color w:val="auto"/>
          <w:szCs w:val="21"/>
        </w:rPr>
        <w:t>评定</w:t>
      </w:r>
    </w:p>
    <w:p>
      <w:pPr>
        <w:numPr>
          <w:ilvl w:val="1"/>
          <w:numId w:val="35"/>
        </w:numPr>
        <w:autoSpaceDE w:val="0"/>
        <w:autoSpaceDN w:val="0"/>
        <w:adjustRightInd w:val="0"/>
        <w:snapToGrid w:val="0"/>
        <w:spacing w:line="360" w:lineRule="auto"/>
        <w:jc w:val="left"/>
        <w:rPr>
          <w:rFonts w:ascii="宋体" w:hAnsi="宋体"/>
          <w:color w:val="auto"/>
          <w:szCs w:val="21"/>
        </w:rPr>
      </w:pPr>
      <w:r>
        <w:rPr>
          <w:rFonts w:hint="eastAsia" w:ascii="宋体" w:hAnsi="宋体"/>
          <w:color w:val="auto"/>
          <w:szCs w:val="21"/>
        </w:rPr>
        <w:t>由磋商小组对所有有效磋商响应文件的商务</w:t>
      </w:r>
      <w:r>
        <w:rPr>
          <w:rFonts w:hint="eastAsia" w:ascii="宋体" w:hAnsi="宋体"/>
          <w:color w:val="auto"/>
        </w:rPr>
        <w:t>技术</w:t>
      </w:r>
      <w:r>
        <w:rPr>
          <w:rFonts w:hint="eastAsia" w:ascii="宋体" w:hAnsi="宋体"/>
          <w:color w:val="auto"/>
          <w:szCs w:val="21"/>
        </w:rPr>
        <w:t>响应方案进行审核和分析，填写《商务响应评分表》和《</w:t>
      </w:r>
      <w:r>
        <w:rPr>
          <w:rFonts w:hint="eastAsia" w:ascii="宋体" w:hAnsi="宋体"/>
          <w:color w:val="auto"/>
        </w:rPr>
        <w:t>技术</w:t>
      </w:r>
      <w:r>
        <w:rPr>
          <w:rFonts w:hint="eastAsia" w:ascii="宋体" w:hAnsi="宋体"/>
          <w:color w:val="auto"/>
          <w:szCs w:val="21"/>
        </w:rPr>
        <w:t>响应评分表》。评审内容见附表。</w:t>
      </w:r>
    </w:p>
    <w:p>
      <w:pPr>
        <w:numPr>
          <w:ilvl w:val="1"/>
          <w:numId w:val="35"/>
        </w:numPr>
        <w:autoSpaceDE w:val="0"/>
        <w:autoSpaceDN w:val="0"/>
        <w:adjustRightInd w:val="0"/>
        <w:snapToGrid w:val="0"/>
        <w:spacing w:line="360" w:lineRule="auto"/>
        <w:jc w:val="left"/>
        <w:rPr>
          <w:rFonts w:ascii="宋体" w:hAnsi="宋体"/>
          <w:color w:val="auto"/>
          <w:szCs w:val="21"/>
        </w:rPr>
      </w:pPr>
      <w:r>
        <w:rPr>
          <w:rFonts w:hint="eastAsia" w:ascii="宋体" w:hAnsi="宋体"/>
          <w:color w:val="auto"/>
          <w:szCs w:val="21"/>
        </w:rPr>
        <w:t>磋商小组各成员应当独立对每个有效响应的文件进行评价、打分，然后汇总每个供应商每项评分因素的得分。</w:t>
      </w:r>
      <w:r>
        <w:rPr>
          <w:rFonts w:hint="eastAsia" w:ascii="宋体" w:hAnsi="宋体"/>
          <w:bCs/>
          <w:color w:val="auto"/>
        </w:rPr>
        <w:t>（四舍五入后，</w:t>
      </w:r>
      <w:r>
        <w:rPr>
          <w:rFonts w:hint="eastAsia" w:ascii="Arial" w:hAnsi="Arial" w:cs="Arial"/>
          <w:color w:val="auto"/>
          <w:szCs w:val="20"/>
        </w:rPr>
        <w:t>小数点后保留两位有效数</w:t>
      </w:r>
      <w:r>
        <w:rPr>
          <w:rFonts w:hint="eastAsia" w:ascii="宋体" w:hAnsi="宋体"/>
          <w:bCs/>
          <w:color w:val="auto"/>
        </w:rPr>
        <w:t>）。</w:t>
      </w:r>
    </w:p>
    <w:bookmarkEnd w:id="340"/>
    <w:bookmarkEnd w:id="341"/>
    <w:bookmarkEnd w:id="342"/>
    <w:bookmarkEnd w:id="377"/>
    <w:bookmarkEnd w:id="378"/>
    <w:p>
      <w:pPr>
        <w:numPr>
          <w:ilvl w:val="0"/>
          <w:numId w:val="35"/>
        </w:numPr>
        <w:autoSpaceDE w:val="0"/>
        <w:autoSpaceDN w:val="0"/>
        <w:adjustRightInd w:val="0"/>
        <w:snapToGrid w:val="0"/>
        <w:spacing w:line="360" w:lineRule="auto"/>
        <w:outlineLvl w:val="0"/>
        <w:rPr>
          <w:rFonts w:ascii="宋体" w:hAnsi="宋体"/>
          <w:color w:val="auto"/>
          <w:szCs w:val="21"/>
        </w:rPr>
      </w:pPr>
      <w:bookmarkStart w:id="379" w:name="_Toc333236685"/>
      <w:bookmarkStart w:id="380" w:name="_Toc475104535"/>
      <w:r>
        <w:rPr>
          <w:rFonts w:hint="eastAsia" w:ascii="宋体" w:hAnsi="宋体"/>
          <w:color w:val="auto"/>
          <w:szCs w:val="21"/>
        </w:rPr>
        <w:t>价格评定</w:t>
      </w:r>
    </w:p>
    <w:p>
      <w:pPr>
        <w:numPr>
          <w:ilvl w:val="1"/>
          <w:numId w:val="35"/>
        </w:numPr>
        <w:autoSpaceDE w:val="0"/>
        <w:autoSpaceDN w:val="0"/>
        <w:adjustRightInd w:val="0"/>
        <w:snapToGrid w:val="0"/>
        <w:spacing w:line="360" w:lineRule="auto"/>
        <w:jc w:val="left"/>
        <w:rPr>
          <w:rFonts w:ascii="宋体" w:hAnsi="宋体"/>
          <w:color w:val="auto"/>
          <w:szCs w:val="21"/>
        </w:rPr>
      </w:pPr>
      <w:r>
        <w:rPr>
          <w:rFonts w:hint="eastAsia" w:ascii="宋体" w:hAnsi="宋体"/>
          <w:color w:val="auto"/>
          <w:szCs w:val="21"/>
        </w:rPr>
        <w:t>价格核准：磋商小组对有效</w:t>
      </w:r>
      <w:r>
        <w:rPr>
          <w:rFonts w:hint="eastAsia" w:ascii="宋体" w:hAnsi="宋体"/>
          <w:bCs/>
          <w:color w:val="auto"/>
        </w:rPr>
        <w:t>供应商</w:t>
      </w:r>
      <w:r>
        <w:rPr>
          <w:rFonts w:hint="eastAsia" w:ascii="宋体" w:hAnsi="宋体"/>
          <w:color w:val="auto"/>
          <w:szCs w:val="21"/>
        </w:rPr>
        <w:t>的详细报价进行复核，看其是否有计算错误或供货范围上的错误，修正错误的原则参见第二章的25.3条。</w:t>
      </w:r>
    </w:p>
    <w:p>
      <w:pPr>
        <w:numPr>
          <w:ilvl w:val="1"/>
          <w:numId w:val="35"/>
        </w:numPr>
        <w:autoSpaceDE w:val="0"/>
        <w:autoSpaceDN w:val="0"/>
        <w:adjustRightInd w:val="0"/>
        <w:snapToGrid w:val="0"/>
        <w:spacing w:line="360" w:lineRule="auto"/>
        <w:jc w:val="left"/>
        <w:rPr>
          <w:rFonts w:ascii="宋体" w:hAnsi="宋体"/>
          <w:color w:val="auto"/>
          <w:szCs w:val="21"/>
        </w:rPr>
      </w:pPr>
      <w:r>
        <w:rPr>
          <w:rFonts w:hint="eastAsia" w:ascii="宋体" w:hAnsi="宋体"/>
          <w:color w:val="auto"/>
          <w:szCs w:val="21"/>
        </w:rPr>
        <w:t>价格评分：综合评分法中的价格分统一采用低价优先法计算，即满足磋商文件要求且最后报价最低的供应商的价格为磋商基准价，其价格分为满分。其他供应商的价格分统一按照下列公式计算：</w:t>
      </w:r>
    </w:p>
    <w:p>
      <w:pPr>
        <w:tabs>
          <w:tab w:val="left" w:pos="720"/>
        </w:tabs>
        <w:spacing w:line="360" w:lineRule="auto"/>
        <w:ind w:firstLine="630" w:firstLineChars="300"/>
        <w:rPr>
          <w:color w:val="auto"/>
          <w:szCs w:val="21"/>
        </w:rPr>
      </w:pPr>
      <w:r>
        <w:rPr>
          <w:rFonts w:hint="eastAsia" w:ascii="宋体" w:hAnsi="宋体"/>
          <w:color w:val="auto"/>
          <w:szCs w:val="21"/>
        </w:rPr>
        <w:t>　　磋商报价得分=（磋商基准价/最后磋商报价）×价格权值×100</w:t>
      </w:r>
    </w:p>
    <w:p>
      <w:pPr>
        <w:autoSpaceDE w:val="0"/>
        <w:autoSpaceDN w:val="0"/>
        <w:adjustRightInd w:val="0"/>
        <w:snapToGrid w:val="0"/>
        <w:spacing w:line="360" w:lineRule="auto"/>
        <w:ind w:firstLine="630" w:firstLineChars="300"/>
        <w:jc w:val="left"/>
        <w:rPr>
          <w:color w:val="auto"/>
          <w:szCs w:val="21"/>
        </w:rPr>
      </w:pPr>
      <w:r>
        <w:rPr>
          <w:rFonts w:hint="eastAsia"/>
          <w:color w:val="auto"/>
          <w:szCs w:val="21"/>
        </w:rPr>
        <w:t>磋商报价得分四舍五入后，小数点后保留两位有效数。</w:t>
      </w:r>
    </w:p>
    <w:p>
      <w:pPr>
        <w:pStyle w:val="161"/>
        <w:widowControl/>
        <w:spacing w:line="360" w:lineRule="auto"/>
        <w:jc w:val="left"/>
        <w:rPr>
          <w:color w:val="auto"/>
          <w:szCs w:val="21"/>
        </w:rPr>
      </w:pPr>
      <w:r>
        <w:rPr>
          <w:rFonts w:hint="eastAsia"/>
          <w:color w:val="auto"/>
          <w:szCs w:val="21"/>
        </w:rPr>
        <w:t>争性磋商中第二次报价作为</w:t>
      </w:r>
      <w:r>
        <w:rPr>
          <w:rFonts w:hint="eastAsia" w:ascii="宋体" w:hAnsi="宋体" w:cs="宋体"/>
          <w:color w:val="auto"/>
          <w:kern w:val="0"/>
          <w:szCs w:val="21"/>
        </w:rPr>
        <w:t>最终响应</w:t>
      </w:r>
      <w:r>
        <w:rPr>
          <w:rFonts w:hint="eastAsia"/>
          <w:color w:val="auto"/>
          <w:szCs w:val="21"/>
        </w:rPr>
        <w:t>，以供应商第二次报价作为基准，计算价格扣减作为供应商的价格评分，评标价只作为分值的计算，最终成交价格按照供应商第二次响应报价为准。</w:t>
      </w:r>
    </w:p>
    <w:p>
      <w:pPr>
        <w:pStyle w:val="161"/>
        <w:widowControl/>
        <w:spacing w:line="360" w:lineRule="auto"/>
        <w:jc w:val="left"/>
        <w:rPr>
          <w:rFonts w:ascii="宋体" w:hAnsi="宋体" w:cs="宋体"/>
          <w:color w:val="auto"/>
          <w:szCs w:val="21"/>
          <w:lang w:eastAsia="zh-TW"/>
        </w:rPr>
      </w:pPr>
      <w:r>
        <w:rPr>
          <w:rFonts w:hint="eastAsia" w:ascii="宋体" w:hAnsi="宋体" w:cs="宋体"/>
          <w:color w:val="auto"/>
          <w:szCs w:val="21"/>
        </w:rPr>
        <w:t>评标过程中，不得去掉报价中的最高报价和最低报价。因落实政府采购政策进行价格调整的，以调整后的价格计算评标基准价和投标报价。</w:t>
      </w:r>
    </w:p>
    <w:p>
      <w:pPr>
        <w:pStyle w:val="161"/>
        <w:widowControl/>
        <w:numPr>
          <w:ilvl w:val="2"/>
          <w:numId w:val="35"/>
        </w:numPr>
        <w:spacing w:line="360" w:lineRule="auto"/>
        <w:ind w:firstLineChars="0"/>
        <w:jc w:val="left"/>
        <w:rPr>
          <w:rFonts w:ascii="宋体" w:hAnsi="宋体" w:cs="宋体"/>
          <w:color w:val="auto"/>
          <w:szCs w:val="21"/>
          <w:lang w:eastAsia="zh-TW"/>
        </w:rPr>
      </w:pPr>
      <w:r>
        <w:rPr>
          <w:rFonts w:hint="eastAsia" w:ascii="宋体" w:hAnsi="宋体" w:cs="宋体"/>
          <w:color w:val="auto"/>
          <w:szCs w:val="21"/>
          <w:lang w:eastAsia="zh-TW"/>
        </w:rPr>
        <w:t>小型和微型企业产品价格扣除</w:t>
      </w:r>
    </w:p>
    <w:p>
      <w:pPr>
        <w:autoSpaceDE w:val="0"/>
        <w:autoSpaceDN w:val="0"/>
        <w:adjustRightInd w:val="0"/>
        <w:snapToGrid w:val="0"/>
        <w:spacing w:line="360" w:lineRule="auto"/>
        <w:ind w:firstLine="420" w:firstLineChars="200"/>
        <w:jc w:val="left"/>
        <w:rPr>
          <w:rFonts w:ascii="宋体" w:hAnsi="宋体" w:cs="宋体"/>
          <w:bCs/>
          <w:color w:val="auto"/>
          <w:szCs w:val="21"/>
        </w:rPr>
      </w:pPr>
      <w:r>
        <w:rPr>
          <w:rFonts w:hint="eastAsia" w:ascii="宋体" w:hAnsi="宋体" w:cs="宋体"/>
          <w:bCs/>
          <w:color w:val="auto"/>
          <w:szCs w:val="21"/>
        </w:rPr>
        <w:t>（1）根据财政部、工业和信息化部印发的《政府采购促进中小企业发展暂行办法》（财库[2011]181号）的规定，对小型和微型企业产品的价格给予6%的扣除，用扣除后的价格参与评审；投标产品中仅有部分小型和微型企业产品的，则按所投小型和微型企业产品的价格予以扣除。</w:t>
      </w:r>
    </w:p>
    <w:p>
      <w:pPr>
        <w:autoSpaceDE w:val="0"/>
        <w:autoSpaceDN w:val="0"/>
        <w:adjustRightInd w:val="0"/>
        <w:snapToGrid w:val="0"/>
        <w:spacing w:line="360" w:lineRule="auto"/>
        <w:ind w:left="525" w:leftChars="200" w:hanging="105" w:hangingChars="50"/>
        <w:jc w:val="left"/>
        <w:rPr>
          <w:rFonts w:ascii="宋体" w:hAnsi="宋体" w:cs="宋体"/>
          <w:bCs/>
          <w:color w:val="auto"/>
          <w:szCs w:val="21"/>
        </w:rPr>
      </w:pPr>
      <w:r>
        <w:rPr>
          <w:rFonts w:hint="eastAsia" w:ascii="宋体" w:hAnsi="宋体" w:cs="宋体"/>
          <w:bCs/>
          <w:color w:val="auto"/>
          <w:szCs w:val="21"/>
        </w:rPr>
        <w:t>（2）《政府采购促进中小企业发展暂行办法》所称中小企业（含中型、小型、微型企业，下同）应当同时符合以下条件：</w:t>
      </w:r>
    </w:p>
    <w:p>
      <w:pPr>
        <w:autoSpaceDE w:val="0"/>
        <w:autoSpaceDN w:val="0"/>
        <w:adjustRightInd w:val="0"/>
        <w:snapToGrid w:val="0"/>
        <w:spacing w:line="360" w:lineRule="auto"/>
        <w:ind w:left="525" w:leftChars="200" w:hanging="105" w:hangingChars="50"/>
        <w:jc w:val="left"/>
        <w:rPr>
          <w:rFonts w:ascii="宋体" w:hAnsi="宋体" w:cs="宋体"/>
          <w:bCs/>
          <w:color w:val="auto"/>
          <w:szCs w:val="21"/>
        </w:rPr>
      </w:pPr>
      <w:r>
        <w:rPr>
          <w:rFonts w:hint="eastAsia" w:ascii="宋体" w:hAnsi="宋体" w:cs="宋体"/>
          <w:bCs/>
          <w:color w:val="auto"/>
          <w:szCs w:val="21"/>
        </w:rPr>
        <w:t>（3）符合中小企业划分标准，并以提供中小企业管理部门出具的证明为准；</w:t>
      </w:r>
    </w:p>
    <w:p>
      <w:pPr>
        <w:autoSpaceDE w:val="0"/>
        <w:autoSpaceDN w:val="0"/>
        <w:adjustRightInd w:val="0"/>
        <w:snapToGrid w:val="0"/>
        <w:spacing w:line="360" w:lineRule="auto"/>
        <w:ind w:left="525" w:leftChars="200" w:hanging="105" w:hangingChars="50"/>
        <w:jc w:val="left"/>
        <w:rPr>
          <w:rFonts w:ascii="宋体" w:hAnsi="宋体" w:cs="宋体"/>
          <w:bCs/>
          <w:color w:val="auto"/>
          <w:szCs w:val="21"/>
        </w:rPr>
      </w:pPr>
      <w:r>
        <w:rPr>
          <w:rFonts w:hint="eastAsia" w:ascii="宋体" w:hAnsi="宋体" w:cs="宋体"/>
          <w:bCs/>
          <w:color w:val="auto"/>
          <w:szCs w:val="21"/>
        </w:rPr>
        <w:t>（4）提供本企业制造的货物、承担的工程或者服务，或者提供其他中小企业制造的货物。本项所称货物不包括使用大型企业注册商标的货物。</w:t>
      </w:r>
    </w:p>
    <w:p>
      <w:pPr>
        <w:autoSpaceDE w:val="0"/>
        <w:autoSpaceDN w:val="0"/>
        <w:adjustRightInd w:val="0"/>
        <w:snapToGrid w:val="0"/>
        <w:spacing w:line="360" w:lineRule="auto"/>
        <w:ind w:left="525" w:leftChars="200" w:hanging="105" w:hangingChars="50"/>
        <w:jc w:val="left"/>
        <w:rPr>
          <w:rFonts w:ascii="宋体" w:hAnsi="宋体" w:cs="宋体"/>
          <w:bCs/>
          <w:color w:val="auto"/>
          <w:szCs w:val="21"/>
        </w:rPr>
      </w:pPr>
      <w:r>
        <w:rPr>
          <w:rFonts w:hint="eastAsia" w:ascii="宋体" w:hAnsi="宋体" w:cs="宋体"/>
          <w:bCs/>
          <w:color w:val="auto"/>
          <w:szCs w:val="21"/>
        </w:rPr>
        <w:t>（5）中小企业划分标准以《工业和信息化部、国家统计局、国家发展和改革委员会、财政部关于印发中小企业划型标准规定的通知》（工信部联企业[2011]300号）规定的划分标准为准。</w:t>
      </w:r>
    </w:p>
    <w:p>
      <w:pPr>
        <w:autoSpaceDE w:val="0"/>
        <w:autoSpaceDN w:val="0"/>
        <w:adjustRightInd w:val="0"/>
        <w:snapToGrid w:val="0"/>
        <w:spacing w:line="360" w:lineRule="auto"/>
        <w:ind w:left="525" w:leftChars="200" w:hanging="105" w:hangingChars="50"/>
        <w:jc w:val="left"/>
        <w:rPr>
          <w:rFonts w:ascii="宋体" w:hAnsi="宋体" w:cs="宋体"/>
          <w:bCs/>
          <w:color w:val="auto"/>
          <w:szCs w:val="21"/>
        </w:rPr>
      </w:pPr>
      <w:r>
        <w:rPr>
          <w:rFonts w:hint="eastAsia" w:ascii="宋体" w:hAnsi="宋体" w:cs="宋体"/>
          <w:bCs/>
          <w:color w:val="auto"/>
          <w:szCs w:val="21"/>
        </w:rPr>
        <w:t>（6）小型、微型企业提供中型企业制造的货物的，视同为中型企业。</w:t>
      </w:r>
    </w:p>
    <w:p>
      <w:pPr>
        <w:autoSpaceDE w:val="0"/>
        <w:autoSpaceDN w:val="0"/>
        <w:adjustRightInd w:val="0"/>
        <w:snapToGrid w:val="0"/>
        <w:spacing w:line="360" w:lineRule="auto"/>
        <w:ind w:left="525" w:leftChars="250"/>
        <w:jc w:val="left"/>
        <w:rPr>
          <w:rFonts w:ascii="宋体" w:hAnsi="宋体" w:cs="宋体"/>
          <w:bCs/>
          <w:color w:val="auto"/>
          <w:szCs w:val="21"/>
        </w:rPr>
      </w:pPr>
      <w:r>
        <w:rPr>
          <w:rFonts w:hint="eastAsia" w:ascii="宋体" w:hAnsi="宋体" w:cs="宋体"/>
          <w:bCs/>
          <w:color w:val="auto"/>
          <w:szCs w:val="21"/>
        </w:rPr>
        <w:t>如投标人为非制造商，其代理产品的制造商也应同时提交《中小企业声明函》，否则评审时不能享受相应的价格扣除。</w:t>
      </w:r>
    </w:p>
    <w:p>
      <w:pPr>
        <w:pStyle w:val="161"/>
        <w:widowControl/>
        <w:numPr>
          <w:ilvl w:val="2"/>
          <w:numId w:val="35"/>
        </w:numPr>
        <w:spacing w:line="360" w:lineRule="auto"/>
        <w:ind w:firstLineChars="0"/>
        <w:jc w:val="left"/>
        <w:rPr>
          <w:rFonts w:ascii="宋体" w:hAnsi="宋体" w:cs="宋体"/>
          <w:color w:val="auto"/>
          <w:szCs w:val="21"/>
          <w:lang w:eastAsia="zh-TW"/>
        </w:rPr>
      </w:pPr>
      <w:r>
        <w:rPr>
          <w:rFonts w:hint="eastAsia" w:ascii="宋体" w:hAnsi="宋体" w:cs="宋体"/>
          <w:color w:val="auto"/>
          <w:szCs w:val="21"/>
          <w:lang w:eastAsia="zh-TW"/>
        </w:rPr>
        <w:t>监狱企业产品价格扣除</w:t>
      </w:r>
    </w:p>
    <w:p>
      <w:pPr>
        <w:autoSpaceDE w:val="0"/>
        <w:autoSpaceDN w:val="0"/>
        <w:adjustRightInd w:val="0"/>
        <w:snapToGrid w:val="0"/>
        <w:spacing w:line="360" w:lineRule="auto"/>
        <w:ind w:left="525" w:leftChars="200" w:hanging="105" w:hangingChars="50"/>
        <w:jc w:val="left"/>
        <w:rPr>
          <w:rFonts w:ascii="宋体" w:hAnsi="宋体" w:cs="宋体"/>
          <w:bCs/>
          <w:color w:val="auto"/>
          <w:szCs w:val="21"/>
        </w:rPr>
      </w:pPr>
      <w:r>
        <w:rPr>
          <w:rFonts w:hint="eastAsia" w:ascii="宋体" w:hAnsi="宋体" w:cs="宋体"/>
          <w:bCs/>
          <w:color w:val="auto"/>
          <w:szCs w:val="21"/>
        </w:rPr>
        <w:t>（1）监狱企业视同小型、微型企业，按上述小型微型条款享受评审中价格扣除。</w:t>
      </w:r>
    </w:p>
    <w:p>
      <w:pPr>
        <w:autoSpaceDE w:val="0"/>
        <w:autoSpaceDN w:val="0"/>
        <w:adjustRightInd w:val="0"/>
        <w:snapToGrid w:val="0"/>
        <w:spacing w:line="360" w:lineRule="auto"/>
        <w:ind w:left="525" w:leftChars="200" w:hanging="105" w:hangingChars="50"/>
        <w:jc w:val="left"/>
        <w:rPr>
          <w:rFonts w:ascii="宋体" w:hAnsi="宋体" w:cs="宋体"/>
          <w:bCs/>
          <w:color w:val="auto"/>
          <w:szCs w:val="21"/>
        </w:rPr>
      </w:pPr>
      <w:r>
        <w:rPr>
          <w:rFonts w:hint="eastAsia" w:ascii="宋体" w:hAnsi="宋体" w:cs="宋体"/>
          <w:bCs/>
          <w:color w:val="auto"/>
          <w:szCs w:val="21"/>
        </w:rPr>
        <w:t>（2）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autoSpaceDE w:val="0"/>
        <w:autoSpaceDN w:val="0"/>
        <w:adjustRightInd w:val="0"/>
        <w:snapToGrid w:val="0"/>
        <w:spacing w:line="360" w:lineRule="auto"/>
        <w:ind w:left="525" w:leftChars="200" w:hanging="105" w:hangingChars="50"/>
        <w:jc w:val="left"/>
        <w:rPr>
          <w:rFonts w:ascii="宋体" w:hAnsi="宋体" w:cs="宋体"/>
          <w:bCs/>
          <w:color w:val="auto"/>
          <w:szCs w:val="21"/>
        </w:rPr>
      </w:pPr>
      <w:r>
        <w:rPr>
          <w:rFonts w:hint="eastAsia" w:ascii="宋体" w:hAnsi="宋体" w:cs="宋体"/>
          <w:bCs/>
          <w:color w:val="auto"/>
          <w:szCs w:val="21"/>
        </w:rPr>
        <w:t>（3）监狱企业参加政府采购活动时，应当提供由省级以上监狱管理局、戒毒管理局（含新疆生产建设兵团）出具的属于监狱企业的证明文件，否则不予认可。</w:t>
      </w:r>
    </w:p>
    <w:p>
      <w:pPr>
        <w:pStyle w:val="161"/>
        <w:widowControl/>
        <w:numPr>
          <w:ilvl w:val="2"/>
          <w:numId w:val="35"/>
        </w:numPr>
        <w:spacing w:line="360" w:lineRule="auto"/>
        <w:ind w:firstLineChars="0"/>
        <w:jc w:val="left"/>
        <w:rPr>
          <w:rFonts w:ascii="宋体" w:hAnsi="宋体" w:cs="宋体"/>
          <w:color w:val="auto"/>
          <w:szCs w:val="21"/>
          <w:lang w:eastAsia="zh-TW"/>
        </w:rPr>
      </w:pPr>
      <w:r>
        <w:rPr>
          <w:rFonts w:hint="eastAsia" w:ascii="宋体" w:hAnsi="宋体" w:cs="宋体"/>
          <w:color w:val="auto"/>
          <w:szCs w:val="21"/>
          <w:lang w:eastAsia="zh-TW"/>
        </w:rPr>
        <w:t>残疾人福利性单位产品价格扣除</w:t>
      </w:r>
    </w:p>
    <w:p>
      <w:pPr>
        <w:autoSpaceDE w:val="0"/>
        <w:autoSpaceDN w:val="0"/>
        <w:adjustRightInd w:val="0"/>
        <w:snapToGrid w:val="0"/>
        <w:spacing w:line="360" w:lineRule="auto"/>
        <w:ind w:left="525" w:leftChars="200" w:hanging="105" w:hangingChars="50"/>
        <w:jc w:val="left"/>
        <w:rPr>
          <w:rFonts w:ascii="宋体" w:hAnsi="宋体" w:cs="宋体"/>
          <w:bCs/>
          <w:color w:val="auto"/>
          <w:szCs w:val="21"/>
        </w:rPr>
      </w:pPr>
      <w:r>
        <w:rPr>
          <w:rFonts w:hint="eastAsia" w:ascii="宋体" w:hAnsi="宋体" w:cs="宋体"/>
          <w:bCs/>
          <w:color w:val="auto"/>
          <w:szCs w:val="21"/>
        </w:rPr>
        <w:t>（1）残疾人福利性单位视同小型、微型企业，按上述小型微型条款享受评审中价格扣除。</w:t>
      </w:r>
    </w:p>
    <w:p>
      <w:pPr>
        <w:autoSpaceDE w:val="0"/>
        <w:autoSpaceDN w:val="0"/>
        <w:adjustRightInd w:val="0"/>
        <w:snapToGrid w:val="0"/>
        <w:spacing w:line="360" w:lineRule="auto"/>
        <w:ind w:left="525" w:leftChars="200" w:hanging="105" w:hangingChars="50"/>
        <w:jc w:val="left"/>
        <w:rPr>
          <w:rFonts w:ascii="宋体" w:hAnsi="宋体" w:cs="宋体"/>
          <w:bCs/>
          <w:color w:val="auto"/>
          <w:szCs w:val="21"/>
        </w:rPr>
      </w:pPr>
      <w:r>
        <w:rPr>
          <w:rFonts w:hint="eastAsia" w:ascii="宋体" w:hAnsi="宋体" w:cs="宋体"/>
          <w:bCs/>
          <w:color w:val="auto"/>
          <w:szCs w:val="21"/>
        </w:rPr>
        <w:t>（2）根据财政部、民政部、中国残疾人联合会印发的《关于促进残疾人就业政府采购政策的通知》（财库〔2017〕141号）的规定，符合条件的残疾人福利性单位在参加政府采购活动时，应当提供该通知规定的《残疾人福利性单位声明函》（格式见第六章响应文件格式），并对声明的真实性负责。一旦中标将在中标公告中公告其声明函，接受社会监督。投标人提供的《残疾人福利性单位声明函》与事实不符的，依照《政府采购法》第七十七条第一款的规定追究法律责任。</w:t>
      </w:r>
    </w:p>
    <w:p>
      <w:pPr>
        <w:pStyle w:val="161"/>
        <w:widowControl/>
        <w:numPr>
          <w:ilvl w:val="2"/>
          <w:numId w:val="35"/>
        </w:numPr>
        <w:spacing w:line="360" w:lineRule="auto"/>
        <w:ind w:firstLineChars="0"/>
        <w:jc w:val="left"/>
        <w:rPr>
          <w:rFonts w:ascii="宋体" w:hAnsi="宋体" w:cs="宋体"/>
          <w:color w:val="auto"/>
          <w:szCs w:val="21"/>
          <w:lang w:eastAsia="zh-TW"/>
        </w:rPr>
      </w:pPr>
      <w:r>
        <w:rPr>
          <w:rFonts w:hint="eastAsia" w:ascii="宋体" w:hAnsi="宋体" w:cs="宋体"/>
          <w:color w:val="auto"/>
          <w:szCs w:val="21"/>
          <w:lang w:eastAsia="zh-TW"/>
        </w:rPr>
        <w:t>节能产品、环境标志产品价格扣除。</w:t>
      </w:r>
    </w:p>
    <w:p>
      <w:pPr>
        <w:autoSpaceDE w:val="0"/>
        <w:autoSpaceDN w:val="0"/>
        <w:adjustRightInd w:val="0"/>
        <w:snapToGrid w:val="0"/>
        <w:spacing w:line="360" w:lineRule="auto"/>
        <w:ind w:left="630" w:leftChars="300" w:firstLine="105" w:firstLineChars="50"/>
        <w:jc w:val="left"/>
        <w:rPr>
          <w:rFonts w:ascii="宋体" w:hAnsi="宋体" w:cs="宋体"/>
          <w:bCs/>
          <w:color w:val="auto"/>
          <w:szCs w:val="21"/>
        </w:rPr>
      </w:pPr>
      <w:r>
        <w:rPr>
          <w:rFonts w:hint="eastAsia" w:ascii="宋体" w:hAnsi="宋体" w:cs="宋体"/>
          <w:bCs/>
          <w:color w:val="auto"/>
          <w:szCs w:val="21"/>
        </w:rPr>
        <w:t>投标产品依据国家确定的认证机构出具的、处于有效期之内的节能产品、环境标志产品，对获得节能产品认证证书或环境标志产品认证证书的产品价格给予5%的扣除，用扣除后的价格参与评审。（提供投标产品所获证书加盖投标人公章）。</w:t>
      </w:r>
    </w:p>
    <w:p>
      <w:pPr>
        <w:pStyle w:val="161"/>
        <w:widowControl/>
        <w:numPr>
          <w:ilvl w:val="2"/>
          <w:numId w:val="35"/>
        </w:numPr>
        <w:spacing w:line="360" w:lineRule="auto"/>
        <w:ind w:firstLineChars="0"/>
        <w:jc w:val="left"/>
        <w:rPr>
          <w:rFonts w:ascii="宋体" w:hAnsi="宋体" w:cs="宋体"/>
          <w:color w:val="auto"/>
          <w:szCs w:val="21"/>
          <w:lang w:eastAsia="zh-TW"/>
        </w:rPr>
      </w:pPr>
      <w:r>
        <w:rPr>
          <w:rFonts w:hint="eastAsia" w:ascii="宋体" w:hAnsi="宋体" w:cs="宋体"/>
          <w:color w:val="auto"/>
          <w:szCs w:val="21"/>
          <w:lang w:eastAsia="zh-TW"/>
        </w:rPr>
        <w:t>投标人同时为小型、微型企业、监狱企业、残疾人福利性单位任两种或以上情况的，评审中只享受一次价格扣除，不重复进行价格扣除。</w:t>
      </w:r>
    </w:p>
    <w:p>
      <w:pPr>
        <w:pStyle w:val="161"/>
        <w:widowControl/>
        <w:numPr>
          <w:ilvl w:val="2"/>
          <w:numId w:val="35"/>
        </w:numPr>
        <w:spacing w:line="360" w:lineRule="auto"/>
        <w:ind w:firstLineChars="0"/>
        <w:jc w:val="left"/>
        <w:rPr>
          <w:rFonts w:ascii="宋体" w:hAnsi="宋体" w:cs="宋体"/>
          <w:color w:val="auto"/>
          <w:szCs w:val="21"/>
          <w:lang w:eastAsia="zh-TW"/>
        </w:rPr>
      </w:pPr>
      <w:r>
        <w:rPr>
          <w:rFonts w:hint="eastAsia" w:ascii="宋体" w:hAnsi="宋体" w:cs="宋体"/>
          <w:color w:val="auto"/>
          <w:szCs w:val="21"/>
          <w:lang w:val="en-GB" w:eastAsia="zh-TW"/>
        </w:rPr>
        <w:t>投标人</w:t>
      </w:r>
      <w:r>
        <w:rPr>
          <w:rFonts w:hint="eastAsia" w:ascii="宋体" w:hAnsi="宋体" w:cs="宋体"/>
          <w:color w:val="auto"/>
          <w:szCs w:val="21"/>
          <w:lang w:eastAsia="zh-TW"/>
        </w:rPr>
        <w:t>应当提供《</w:t>
      </w:r>
      <w:r>
        <w:rPr>
          <w:rFonts w:hint="eastAsia" w:ascii="宋体" w:hAnsi="宋体" w:cs="宋体"/>
          <w:color w:val="auto"/>
          <w:szCs w:val="21"/>
          <w:lang w:val="en-GB" w:eastAsia="zh-TW"/>
        </w:rPr>
        <w:t>产品适用政府采购政策情况表</w:t>
      </w:r>
      <w:r>
        <w:rPr>
          <w:rFonts w:hint="eastAsia" w:ascii="宋体" w:hAnsi="宋体" w:cs="宋体"/>
          <w:color w:val="auto"/>
          <w:szCs w:val="21"/>
          <w:lang w:eastAsia="zh-TW"/>
        </w:rPr>
        <w:t>》（格式见第七章</w:t>
      </w:r>
      <w:r>
        <w:rPr>
          <w:rFonts w:hint="eastAsia" w:ascii="宋体" w:hAnsi="宋体" w:cs="宋体"/>
          <w:color w:val="auto"/>
          <w:szCs w:val="21"/>
        </w:rPr>
        <w:t>响应文件</w:t>
      </w:r>
      <w:r>
        <w:rPr>
          <w:rFonts w:hint="eastAsia" w:ascii="宋体" w:hAnsi="宋体" w:cs="宋体"/>
          <w:color w:val="auto"/>
          <w:szCs w:val="21"/>
          <w:lang w:eastAsia="zh-TW"/>
        </w:rPr>
        <w:t>格式）。</w:t>
      </w:r>
    </w:p>
    <w:p>
      <w:pPr>
        <w:numPr>
          <w:ilvl w:val="1"/>
          <w:numId w:val="35"/>
        </w:numPr>
        <w:autoSpaceDE w:val="0"/>
        <w:autoSpaceDN w:val="0"/>
        <w:adjustRightInd w:val="0"/>
        <w:snapToGrid w:val="0"/>
        <w:spacing w:beforeLines="50" w:line="360" w:lineRule="auto"/>
        <w:jc w:val="left"/>
        <w:rPr>
          <w:rFonts w:ascii="宋体" w:hAnsi="宋体" w:cs="宋体"/>
          <w:color w:val="auto"/>
          <w:szCs w:val="21"/>
        </w:rPr>
      </w:pPr>
      <w:r>
        <w:rPr>
          <w:rFonts w:hint="eastAsia" w:ascii="宋体" w:hAnsi="宋体" w:cs="宋体"/>
          <w:color w:val="auto"/>
          <w:szCs w:val="21"/>
        </w:rPr>
        <w:t>评标结果汇总完成后，除下列情形外，任何人不得修改评标结果：</w:t>
      </w:r>
    </w:p>
    <w:p>
      <w:pPr>
        <w:pStyle w:val="161"/>
        <w:widowControl/>
        <w:numPr>
          <w:ilvl w:val="2"/>
          <w:numId w:val="35"/>
        </w:numPr>
        <w:spacing w:line="360" w:lineRule="auto"/>
        <w:ind w:firstLineChars="0"/>
        <w:jc w:val="left"/>
        <w:rPr>
          <w:rFonts w:ascii="宋体" w:hAnsi="宋体" w:cs="宋体"/>
          <w:color w:val="auto"/>
          <w:szCs w:val="21"/>
          <w:lang w:eastAsia="zh-TW"/>
        </w:rPr>
      </w:pPr>
      <w:r>
        <w:rPr>
          <w:rFonts w:hint="eastAsia" w:ascii="宋体" w:hAnsi="宋体" w:cs="宋体"/>
          <w:color w:val="auto"/>
          <w:szCs w:val="21"/>
          <w:lang w:eastAsia="zh-TW"/>
        </w:rPr>
        <w:t>分值汇总计算错误的；</w:t>
      </w:r>
    </w:p>
    <w:p>
      <w:pPr>
        <w:pStyle w:val="161"/>
        <w:widowControl/>
        <w:numPr>
          <w:ilvl w:val="2"/>
          <w:numId w:val="35"/>
        </w:numPr>
        <w:spacing w:line="360" w:lineRule="auto"/>
        <w:ind w:firstLineChars="0"/>
        <w:jc w:val="left"/>
        <w:rPr>
          <w:rFonts w:ascii="宋体" w:hAnsi="宋体" w:cs="宋体"/>
          <w:color w:val="auto"/>
          <w:szCs w:val="21"/>
          <w:lang w:eastAsia="zh-TW"/>
        </w:rPr>
      </w:pPr>
      <w:r>
        <w:rPr>
          <w:rFonts w:hint="eastAsia" w:ascii="宋体" w:hAnsi="宋体" w:cs="宋体"/>
          <w:color w:val="auto"/>
          <w:szCs w:val="21"/>
          <w:lang w:eastAsia="zh-TW"/>
        </w:rPr>
        <w:t>分项评分超出评分标准范围的；</w:t>
      </w:r>
    </w:p>
    <w:p>
      <w:pPr>
        <w:pStyle w:val="161"/>
        <w:widowControl/>
        <w:numPr>
          <w:ilvl w:val="2"/>
          <w:numId w:val="35"/>
        </w:numPr>
        <w:spacing w:line="360" w:lineRule="auto"/>
        <w:ind w:firstLineChars="0"/>
        <w:jc w:val="left"/>
        <w:rPr>
          <w:rFonts w:ascii="宋体" w:hAnsi="宋体" w:cs="宋体"/>
          <w:color w:val="auto"/>
          <w:szCs w:val="21"/>
          <w:lang w:eastAsia="zh-TW"/>
        </w:rPr>
      </w:pPr>
      <w:r>
        <w:rPr>
          <w:rFonts w:hint="eastAsia" w:ascii="宋体" w:hAnsi="宋体" w:cs="宋体"/>
          <w:color w:val="auto"/>
          <w:szCs w:val="21"/>
          <w:lang w:eastAsia="zh-TW"/>
        </w:rPr>
        <w:t>评标委员会成员对客观评审因素评分不一致的；</w:t>
      </w:r>
    </w:p>
    <w:p>
      <w:pPr>
        <w:pStyle w:val="161"/>
        <w:widowControl/>
        <w:numPr>
          <w:ilvl w:val="2"/>
          <w:numId w:val="35"/>
        </w:numPr>
        <w:spacing w:line="360" w:lineRule="auto"/>
        <w:ind w:firstLineChars="0"/>
        <w:jc w:val="left"/>
        <w:rPr>
          <w:rFonts w:ascii="宋体" w:hAnsi="宋体" w:cs="宋体"/>
          <w:color w:val="auto"/>
          <w:szCs w:val="21"/>
          <w:lang w:eastAsia="zh-TW"/>
        </w:rPr>
      </w:pPr>
      <w:r>
        <w:rPr>
          <w:rFonts w:hint="eastAsia" w:ascii="宋体" w:hAnsi="宋体" w:cs="宋体"/>
          <w:color w:val="auto"/>
          <w:szCs w:val="21"/>
          <w:lang w:eastAsia="zh-TW"/>
        </w:rPr>
        <w:t>经评标委员会认定评分畸高、畸低的。</w:t>
      </w:r>
    </w:p>
    <w:p>
      <w:pPr>
        <w:autoSpaceDE w:val="0"/>
        <w:autoSpaceDN w:val="0"/>
        <w:adjustRightInd w:val="0"/>
        <w:snapToGrid w:val="0"/>
        <w:spacing w:line="360" w:lineRule="auto"/>
        <w:outlineLvl w:val="0"/>
        <w:rPr>
          <w:rFonts w:ascii="宋体" w:hAnsi="宋体" w:cs="宋体"/>
          <w:color w:val="auto"/>
          <w:szCs w:val="21"/>
          <w:lang w:eastAsia="zh-TW"/>
        </w:rPr>
      </w:pPr>
      <w:r>
        <w:rPr>
          <w:rFonts w:hint="eastAsia" w:ascii="宋体" w:hAnsi="宋体" w:cs="宋体"/>
          <w:color w:val="auto"/>
          <w:szCs w:val="21"/>
          <w:lang w:eastAsia="zh-TW"/>
        </w:rPr>
        <w:t>评标报告签署前</w:t>
      </w:r>
      <w:r>
        <w:rPr>
          <w:rFonts w:hint="eastAsia" w:ascii="宋体" w:hAnsi="宋体" w:cs="宋体"/>
          <w:color w:val="auto"/>
          <w:szCs w:val="21"/>
        </w:rPr>
        <w:t>，经复核发现存在以上情形之一的，评标委员会应当当场修改评标结果，并在评标报告中记载。</w:t>
      </w:r>
    </w:p>
    <w:p>
      <w:pPr>
        <w:numPr>
          <w:ilvl w:val="1"/>
          <w:numId w:val="35"/>
        </w:numPr>
        <w:autoSpaceDE w:val="0"/>
        <w:autoSpaceDN w:val="0"/>
        <w:adjustRightInd w:val="0"/>
        <w:snapToGrid w:val="0"/>
        <w:spacing w:line="360" w:lineRule="auto"/>
        <w:jc w:val="left"/>
        <w:rPr>
          <w:rFonts w:ascii="宋体" w:hAnsi="宋体" w:cs="宋体"/>
          <w:color w:val="auto"/>
          <w:szCs w:val="21"/>
        </w:rPr>
      </w:pPr>
      <w:r>
        <w:rPr>
          <w:rFonts w:hint="eastAsia" w:ascii="宋体" w:hAnsi="宋体" w:cs="宋体"/>
          <w:color w:val="auto"/>
          <w:szCs w:val="21"/>
        </w:rPr>
        <w:t>综合评分的计算</w:t>
      </w:r>
    </w:p>
    <w:p>
      <w:pPr>
        <w:numPr>
          <w:ilvl w:val="1"/>
          <w:numId w:val="35"/>
        </w:numPr>
        <w:autoSpaceDE w:val="0"/>
        <w:autoSpaceDN w:val="0"/>
        <w:adjustRightInd w:val="0"/>
        <w:snapToGrid w:val="0"/>
        <w:spacing w:line="360" w:lineRule="auto"/>
        <w:jc w:val="left"/>
        <w:rPr>
          <w:color w:val="auto"/>
          <w:szCs w:val="21"/>
        </w:rPr>
      </w:pPr>
      <w:r>
        <w:rPr>
          <w:rFonts w:hint="eastAsia" w:ascii="宋体" w:hAnsi="宋体" w:cs="宋体"/>
          <w:color w:val="auto"/>
          <w:szCs w:val="21"/>
        </w:rPr>
        <w:t>综合评分=商务得分</w:t>
      </w:r>
      <w:r>
        <w:rPr>
          <w:rFonts w:hint="eastAsia" w:ascii="宋体" w:hAnsi="宋体" w:cs="宋体"/>
          <w:bCs/>
          <w:color w:val="auto"/>
          <w:szCs w:val="21"/>
        </w:rPr>
        <w:t>+</w:t>
      </w:r>
      <w:r>
        <w:rPr>
          <w:rFonts w:hint="eastAsia" w:ascii="宋体" w:hAnsi="宋体" w:cs="宋体"/>
          <w:color w:val="auto"/>
          <w:szCs w:val="21"/>
        </w:rPr>
        <w:t>技术得分</w:t>
      </w:r>
      <w:r>
        <w:rPr>
          <w:rFonts w:hint="eastAsia" w:ascii="宋体" w:hAnsi="宋体" w:cs="宋体"/>
          <w:bCs/>
          <w:color w:val="auto"/>
          <w:szCs w:val="21"/>
        </w:rPr>
        <w:t>+</w:t>
      </w:r>
      <w:r>
        <w:rPr>
          <w:rFonts w:hint="eastAsia" w:ascii="宋体" w:hAnsi="宋体" w:cs="宋体"/>
          <w:color w:val="auto"/>
          <w:szCs w:val="21"/>
        </w:rPr>
        <w:t>价格</w:t>
      </w:r>
      <w:r>
        <w:rPr>
          <w:rFonts w:hint="eastAsia" w:ascii="宋体" w:hAnsi="宋体" w:cs="宋体"/>
          <w:bCs/>
          <w:color w:val="auto"/>
          <w:szCs w:val="21"/>
        </w:rPr>
        <w:t>得分。</w:t>
      </w:r>
      <w:r>
        <w:rPr>
          <w:rFonts w:hint="eastAsia" w:ascii="宋体" w:hAnsi="宋体" w:cs="宋体"/>
          <w:color w:val="auto"/>
          <w:szCs w:val="21"/>
        </w:rPr>
        <w:t>各项得分按四舍五入原则精确到小数点后两位。</w:t>
      </w:r>
    </w:p>
    <w:p>
      <w:pPr>
        <w:numPr>
          <w:ilvl w:val="0"/>
          <w:numId w:val="35"/>
        </w:numPr>
        <w:autoSpaceDE w:val="0"/>
        <w:autoSpaceDN w:val="0"/>
        <w:adjustRightInd w:val="0"/>
        <w:snapToGrid w:val="0"/>
        <w:spacing w:line="360" w:lineRule="auto"/>
        <w:outlineLvl w:val="0"/>
        <w:rPr>
          <w:rFonts w:ascii="宋体" w:hAnsi="宋体"/>
          <w:color w:val="auto"/>
          <w:szCs w:val="21"/>
        </w:rPr>
      </w:pPr>
      <w:r>
        <w:rPr>
          <w:rFonts w:hint="eastAsia" w:ascii="宋体" w:hAnsi="宋体"/>
          <w:color w:val="auto"/>
          <w:szCs w:val="21"/>
        </w:rPr>
        <w:t>附件</w:t>
      </w:r>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9"/>
      <w:bookmarkEnd w:id="380"/>
    </w:p>
    <w:p>
      <w:pPr>
        <w:spacing w:line="360" w:lineRule="auto"/>
        <w:ind w:firstLine="460" w:firstLineChars="192"/>
        <w:rPr>
          <w:rFonts w:ascii="宋体" w:hAnsi="宋体"/>
          <w:color w:val="auto"/>
          <w:kern w:val="0"/>
          <w:szCs w:val="21"/>
        </w:rPr>
      </w:pPr>
      <w:r>
        <w:rPr>
          <w:rFonts w:hint="eastAsia" w:ascii="宋体" w:hAnsi="宋体"/>
          <w:bCs/>
          <w:color w:val="auto"/>
          <w:sz w:val="24"/>
        </w:rPr>
        <w:t>本</w:t>
      </w:r>
      <w:r>
        <w:rPr>
          <w:rFonts w:hint="eastAsia" w:ascii="宋体" w:hAnsi="宋体"/>
          <w:color w:val="auto"/>
          <w:kern w:val="0"/>
          <w:szCs w:val="21"/>
        </w:rPr>
        <w:t>评标文件包括以下评标过程中所需文件附件：</w:t>
      </w:r>
    </w:p>
    <w:p>
      <w:pPr>
        <w:spacing w:line="360" w:lineRule="auto"/>
        <w:ind w:left="720" w:leftChars="343"/>
        <w:rPr>
          <w:rFonts w:ascii="宋体" w:hAnsi="宋体"/>
          <w:color w:val="auto"/>
          <w:kern w:val="0"/>
          <w:szCs w:val="21"/>
        </w:rPr>
      </w:pPr>
      <w:r>
        <w:rPr>
          <w:rFonts w:hint="eastAsia" w:ascii="宋体" w:hAnsi="宋体"/>
          <w:color w:val="auto"/>
          <w:kern w:val="0"/>
          <w:szCs w:val="21"/>
        </w:rPr>
        <w:t>附件1  资格性审查及符合性检查表</w:t>
      </w:r>
    </w:p>
    <w:p>
      <w:pPr>
        <w:spacing w:line="360" w:lineRule="auto"/>
        <w:ind w:left="720" w:leftChars="343"/>
        <w:rPr>
          <w:rFonts w:ascii="宋体" w:hAnsi="宋体"/>
          <w:color w:val="auto"/>
          <w:kern w:val="0"/>
          <w:szCs w:val="21"/>
        </w:rPr>
      </w:pPr>
      <w:r>
        <w:rPr>
          <w:rFonts w:hint="eastAsia" w:ascii="宋体" w:hAnsi="宋体"/>
          <w:color w:val="auto"/>
          <w:kern w:val="0"/>
          <w:szCs w:val="21"/>
        </w:rPr>
        <w:t>附件2  技术响应评分标准</w:t>
      </w:r>
    </w:p>
    <w:p>
      <w:pPr>
        <w:spacing w:line="360" w:lineRule="auto"/>
        <w:ind w:left="720" w:leftChars="343"/>
        <w:rPr>
          <w:rFonts w:ascii="宋体" w:hAnsi="宋体"/>
          <w:color w:val="auto"/>
          <w:kern w:val="0"/>
          <w:szCs w:val="21"/>
        </w:rPr>
      </w:pPr>
      <w:r>
        <w:rPr>
          <w:rFonts w:hint="eastAsia" w:ascii="宋体" w:hAnsi="宋体"/>
          <w:color w:val="auto"/>
          <w:kern w:val="0"/>
          <w:szCs w:val="21"/>
        </w:rPr>
        <w:t>附件3  商务响应评分标准</w:t>
      </w:r>
    </w:p>
    <w:p>
      <w:pPr>
        <w:spacing w:line="360" w:lineRule="auto"/>
        <w:ind w:left="720" w:leftChars="343"/>
        <w:rPr>
          <w:rFonts w:ascii="宋体" w:hAnsi="宋体"/>
          <w:color w:val="auto"/>
          <w:kern w:val="0"/>
          <w:szCs w:val="21"/>
        </w:rPr>
      </w:pPr>
      <w:r>
        <w:rPr>
          <w:rFonts w:hint="eastAsia" w:ascii="宋体" w:hAnsi="宋体"/>
          <w:color w:val="auto"/>
          <w:kern w:val="0"/>
          <w:szCs w:val="21"/>
        </w:rPr>
        <w:t>附件4  价格评审表</w:t>
      </w:r>
    </w:p>
    <w:p>
      <w:pPr>
        <w:spacing w:line="360" w:lineRule="auto"/>
        <w:rPr>
          <w:rFonts w:ascii="宋体" w:hAnsi="宋体"/>
          <w:color w:val="auto"/>
          <w:sz w:val="24"/>
        </w:rPr>
      </w:pPr>
      <w:r>
        <w:rPr>
          <w:rFonts w:hint="eastAsia" w:ascii="宋体" w:hAnsi="宋体"/>
          <w:b/>
          <w:color w:val="auto"/>
          <w:sz w:val="24"/>
        </w:rPr>
        <w:br w:type="page"/>
      </w:r>
      <w:r>
        <w:rPr>
          <w:rFonts w:hint="eastAsia" w:ascii="宋体" w:hAnsi="宋体"/>
          <w:b/>
          <w:color w:val="auto"/>
          <w:sz w:val="24"/>
        </w:rPr>
        <w:t>附件1</w:t>
      </w:r>
    </w:p>
    <w:p>
      <w:pPr>
        <w:pStyle w:val="4"/>
        <w:rPr>
          <w:color w:val="auto"/>
          <w:sz w:val="24"/>
        </w:rPr>
      </w:pPr>
      <w:bookmarkStart w:id="381" w:name="_Toc475104536"/>
      <w:r>
        <w:rPr>
          <w:rFonts w:hint="eastAsia"/>
          <w:color w:val="auto"/>
          <w:sz w:val="24"/>
        </w:rPr>
        <w:t>资格性审查及符合性检查表</w:t>
      </w:r>
      <w:bookmarkEnd w:id="381"/>
    </w:p>
    <w:p>
      <w:pPr>
        <w:pStyle w:val="36"/>
        <w:tabs>
          <w:tab w:val="left" w:pos="735"/>
        </w:tabs>
        <w:snapToGrid w:val="0"/>
        <w:spacing w:line="360" w:lineRule="auto"/>
        <w:rPr>
          <w:rFonts w:ascii="宋体"/>
          <w:color w:val="auto"/>
        </w:rPr>
      </w:pPr>
      <w:r>
        <w:rPr>
          <w:rFonts w:hint="eastAsia" w:ascii="宋体" w:hAnsi="宋体"/>
          <w:bCs/>
          <w:color w:val="auto"/>
          <w:szCs w:val="21"/>
        </w:rPr>
        <w:t>　　　　　　　</w:t>
      </w:r>
    </w:p>
    <w:p>
      <w:pPr>
        <w:pStyle w:val="36"/>
        <w:tabs>
          <w:tab w:val="left" w:pos="735"/>
        </w:tabs>
        <w:snapToGrid w:val="0"/>
        <w:spacing w:line="360" w:lineRule="auto"/>
        <w:ind w:left="0" w:leftChars="0"/>
        <w:rPr>
          <w:color w:val="auto"/>
          <w:szCs w:val="21"/>
        </w:rPr>
      </w:pPr>
      <w:r>
        <w:rPr>
          <w:rFonts w:hint="eastAsia" w:ascii="宋体"/>
          <w:color w:val="auto"/>
        </w:rPr>
        <w:t>项目名称：                                                    项目编号：</w:t>
      </w:r>
    </w:p>
    <w:tbl>
      <w:tblPr>
        <w:tblStyle w:val="9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82"/>
        <w:gridCol w:w="3119"/>
        <w:gridCol w:w="850"/>
        <w:gridCol w:w="992"/>
        <w:gridCol w:w="851"/>
        <w:gridCol w:w="1134"/>
        <w:gridCol w:w="16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2" w:hRule="atLeast"/>
          <w:jc w:val="center"/>
        </w:trPr>
        <w:tc>
          <w:tcPr>
            <w:tcW w:w="78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auto"/>
                <w:szCs w:val="21"/>
              </w:rPr>
            </w:pPr>
            <w:r>
              <w:rPr>
                <w:rFonts w:hint="eastAsia" w:ascii="宋体" w:hAnsi="宋体"/>
                <w:color w:val="auto"/>
                <w:szCs w:val="21"/>
              </w:rPr>
              <w:t>序号</w:t>
            </w:r>
          </w:p>
        </w:tc>
        <w:tc>
          <w:tcPr>
            <w:tcW w:w="3119" w:type="dxa"/>
            <w:tcBorders>
              <w:top w:val="single" w:color="000000" w:sz="4" w:space="0"/>
              <w:left w:val="single" w:color="000000" w:sz="4" w:space="0"/>
              <w:bottom w:val="single" w:color="000000" w:sz="4" w:space="0"/>
              <w:right w:val="single" w:color="000000" w:sz="4" w:space="0"/>
              <w:tl2br w:val="single" w:color="auto" w:sz="4" w:space="0"/>
            </w:tcBorders>
            <w:vAlign w:val="bottom"/>
          </w:tcPr>
          <w:p>
            <w:pPr>
              <w:spacing w:line="360" w:lineRule="auto"/>
              <w:jc w:val="right"/>
              <w:rPr>
                <w:rFonts w:ascii="宋体" w:hAnsi="宋体"/>
                <w:color w:val="auto"/>
                <w:szCs w:val="21"/>
              </w:rPr>
            </w:pPr>
          </w:p>
          <w:p>
            <w:pPr>
              <w:spacing w:line="360" w:lineRule="auto"/>
              <w:ind w:right="105"/>
              <w:jc w:val="right"/>
              <w:rPr>
                <w:rFonts w:ascii="宋体" w:hAnsi="宋体"/>
                <w:color w:val="auto"/>
                <w:szCs w:val="21"/>
              </w:rPr>
            </w:pPr>
            <w:r>
              <w:rPr>
                <w:rFonts w:hint="eastAsia" w:ascii="宋体" w:hAnsi="宋体"/>
                <w:bCs/>
                <w:color w:val="auto"/>
              </w:rPr>
              <w:t>供应商</w:t>
            </w:r>
            <w:r>
              <w:rPr>
                <w:rFonts w:hint="eastAsia" w:ascii="宋体" w:hAnsi="宋体"/>
                <w:color w:val="auto"/>
                <w:szCs w:val="21"/>
              </w:rPr>
              <w:t>名称</w:t>
            </w:r>
          </w:p>
          <w:p>
            <w:pPr>
              <w:spacing w:line="360" w:lineRule="auto"/>
              <w:jc w:val="right"/>
              <w:rPr>
                <w:rFonts w:ascii="宋体" w:hAnsi="宋体"/>
                <w:color w:val="auto"/>
                <w:szCs w:val="21"/>
              </w:rPr>
            </w:pPr>
          </w:p>
          <w:p>
            <w:pPr>
              <w:spacing w:line="360" w:lineRule="auto"/>
              <w:ind w:right="525"/>
              <w:jc w:val="right"/>
              <w:rPr>
                <w:rFonts w:ascii="宋体" w:hAnsi="宋体"/>
                <w:color w:val="auto"/>
                <w:szCs w:val="21"/>
              </w:rPr>
            </w:pPr>
            <w:r>
              <w:rPr>
                <w:rFonts w:hint="eastAsia" w:ascii="宋体" w:hAnsi="宋体"/>
                <w:color w:val="auto"/>
                <w:szCs w:val="21"/>
              </w:rPr>
              <w:t>资格性审查及符合性内容</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auto"/>
                <w:szCs w:val="21"/>
              </w:rPr>
            </w:pPr>
            <w:r>
              <w:rPr>
                <w:rFonts w:hint="eastAsia" w:ascii="宋体" w:hAnsi="宋体"/>
                <w:color w:val="auto"/>
                <w:szCs w:val="21"/>
              </w:rPr>
              <w:t>A</w:t>
            </w: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auto"/>
                <w:szCs w:val="21"/>
              </w:rPr>
            </w:pPr>
            <w:r>
              <w:rPr>
                <w:rFonts w:hint="eastAsia" w:ascii="宋体" w:hAnsi="宋体"/>
                <w:color w:val="auto"/>
                <w:szCs w:val="21"/>
              </w:rPr>
              <w:t>B</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auto"/>
                <w:szCs w:val="21"/>
              </w:rPr>
            </w:pPr>
            <w:r>
              <w:rPr>
                <w:rFonts w:hint="eastAsia" w:ascii="宋体" w:hAnsi="宋体"/>
                <w:color w:val="auto"/>
                <w:szCs w:val="21"/>
              </w:rPr>
              <w:t>…</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auto"/>
                <w:szCs w:val="21"/>
              </w:rPr>
            </w:pPr>
            <w:r>
              <w:rPr>
                <w:rFonts w:hint="eastAsia" w:ascii="宋体" w:hAnsi="宋体"/>
                <w:color w:val="auto"/>
                <w:szCs w:val="21"/>
              </w:rPr>
              <w:t>结论</w:t>
            </w:r>
          </w:p>
        </w:tc>
        <w:tc>
          <w:tcPr>
            <w:tcW w:w="165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auto"/>
                <w:szCs w:val="21"/>
              </w:rPr>
            </w:pPr>
            <w:r>
              <w:rPr>
                <w:rFonts w:hint="eastAsia" w:ascii="宋体" w:hAnsi="宋体"/>
                <w:color w:val="auto"/>
                <w:szCs w:val="21"/>
              </w:rPr>
              <w:t>不通过的理由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4" w:hRule="atLeast"/>
          <w:jc w:val="center"/>
        </w:trPr>
        <w:tc>
          <w:tcPr>
            <w:tcW w:w="78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auto"/>
                <w:szCs w:val="21"/>
              </w:rPr>
            </w:pPr>
            <w:r>
              <w:rPr>
                <w:rFonts w:hint="eastAsia" w:ascii="宋体" w:hAnsi="宋体"/>
                <w:color w:val="auto"/>
                <w:szCs w:val="21"/>
              </w:rPr>
              <w:t>1</w:t>
            </w:r>
          </w:p>
        </w:tc>
        <w:tc>
          <w:tcPr>
            <w:tcW w:w="3119" w:type="dxa"/>
            <w:tcBorders>
              <w:top w:val="single" w:color="000000" w:sz="4" w:space="0"/>
              <w:left w:val="single" w:color="000000" w:sz="4" w:space="0"/>
              <w:bottom w:val="single" w:color="000000" w:sz="4" w:space="0"/>
              <w:right w:val="single" w:color="000000" w:sz="4" w:space="0"/>
            </w:tcBorders>
            <w:vAlign w:val="center"/>
          </w:tcPr>
          <w:p>
            <w:pPr>
              <w:pStyle w:val="206"/>
              <w:widowControl w:val="0"/>
              <w:pBdr>
                <w:bottom w:val="none" w:color="auto" w:sz="0" w:space="0"/>
                <w:right w:val="none" w:color="auto" w:sz="0" w:space="0"/>
              </w:pBdr>
              <w:spacing w:before="0" w:beforeAutospacing="0" w:after="0" w:afterAutospacing="0" w:line="360" w:lineRule="auto"/>
              <w:jc w:val="both"/>
              <w:rPr>
                <w:color w:val="auto"/>
                <w:kern w:val="2"/>
              </w:rPr>
            </w:pPr>
            <w:r>
              <w:rPr>
                <w:rFonts w:hint="eastAsia"/>
                <w:color w:val="auto"/>
                <w:kern w:val="2"/>
              </w:rPr>
              <w:t>满足</w:t>
            </w:r>
            <w:r>
              <w:rPr>
                <w:rFonts w:hint="eastAsia"/>
                <w:bCs/>
                <w:color w:val="auto"/>
              </w:rPr>
              <w:t>供应商</w:t>
            </w:r>
            <w:r>
              <w:rPr>
                <w:rFonts w:hint="eastAsia"/>
                <w:color w:val="auto"/>
                <w:kern w:val="2"/>
              </w:rPr>
              <w:t>资格要求</w:t>
            </w:r>
          </w:p>
        </w:tc>
        <w:tc>
          <w:tcPr>
            <w:tcW w:w="850"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992"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851"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1134"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1659"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4" w:hRule="atLeast"/>
          <w:jc w:val="center"/>
        </w:trPr>
        <w:tc>
          <w:tcPr>
            <w:tcW w:w="78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auto"/>
                <w:szCs w:val="21"/>
              </w:rPr>
            </w:pPr>
            <w:r>
              <w:rPr>
                <w:rFonts w:hint="eastAsia" w:ascii="宋体" w:hAnsi="宋体"/>
                <w:color w:val="auto"/>
                <w:szCs w:val="21"/>
              </w:rPr>
              <w:t>2</w:t>
            </w:r>
          </w:p>
        </w:tc>
        <w:tc>
          <w:tcPr>
            <w:tcW w:w="3119" w:type="dxa"/>
            <w:tcBorders>
              <w:top w:val="single" w:color="000000" w:sz="4" w:space="0"/>
              <w:left w:val="single" w:color="000000" w:sz="4" w:space="0"/>
              <w:bottom w:val="single" w:color="000000" w:sz="4" w:space="0"/>
              <w:right w:val="single" w:color="000000" w:sz="4" w:space="0"/>
            </w:tcBorders>
            <w:vAlign w:val="center"/>
          </w:tcPr>
          <w:p>
            <w:pPr>
              <w:pStyle w:val="206"/>
              <w:widowControl w:val="0"/>
              <w:pBdr>
                <w:bottom w:val="none" w:color="auto" w:sz="0" w:space="0"/>
                <w:right w:val="none" w:color="auto" w:sz="0" w:space="0"/>
              </w:pBdr>
              <w:spacing w:before="0" w:beforeAutospacing="0" w:after="0" w:afterAutospacing="0" w:line="360" w:lineRule="auto"/>
              <w:jc w:val="both"/>
              <w:rPr>
                <w:color w:val="auto"/>
                <w:kern w:val="2"/>
              </w:rPr>
            </w:pPr>
            <w:r>
              <w:rPr>
                <w:rFonts w:hint="eastAsia"/>
                <w:color w:val="auto"/>
              </w:rPr>
              <w:t>磋商响应文件齐全，盖章、签字有效</w:t>
            </w:r>
          </w:p>
        </w:tc>
        <w:tc>
          <w:tcPr>
            <w:tcW w:w="850"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992"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851"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1134"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1659"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5" w:hRule="atLeast"/>
          <w:jc w:val="center"/>
        </w:trPr>
        <w:tc>
          <w:tcPr>
            <w:tcW w:w="78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auto"/>
                <w:szCs w:val="21"/>
              </w:rPr>
            </w:pPr>
            <w:r>
              <w:rPr>
                <w:rFonts w:hint="eastAsia" w:ascii="宋体" w:hAnsi="宋体"/>
                <w:color w:val="auto"/>
                <w:szCs w:val="21"/>
              </w:rPr>
              <w:t>3</w:t>
            </w:r>
          </w:p>
        </w:tc>
        <w:tc>
          <w:tcPr>
            <w:tcW w:w="3119" w:type="dxa"/>
            <w:tcBorders>
              <w:top w:val="single" w:color="000000" w:sz="4" w:space="0"/>
              <w:left w:val="single" w:color="000000" w:sz="4" w:space="0"/>
              <w:bottom w:val="single" w:color="000000" w:sz="4" w:space="0"/>
              <w:right w:val="single" w:color="000000" w:sz="4" w:space="0"/>
            </w:tcBorders>
            <w:vAlign w:val="center"/>
          </w:tcPr>
          <w:p>
            <w:pPr>
              <w:pStyle w:val="206"/>
              <w:widowControl w:val="0"/>
              <w:pBdr>
                <w:bottom w:val="none" w:color="auto" w:sz="0" w:space="0"/>
                <w:right w:val="none" w:color="auto" w:sz="0" w:space="0"/>
              </w:pBdr>
              <w:spacing w:before="0" w:beforeAutospacing="0" w:after="0" w:afterAutospacing="0" w:line="360" w:lineRule="auto"/>
              <w:jc w:val="both"/>
              <w:rPr>
                <w:color w:val="auto"/>
              </w:rPr>
            </w:pPr>
            <w:r>
              <w:rPr>
                <w:rFonts w:hint="eastAsia"/>
                <w:color w:val="auto"/>
              </w:rPr>
              <w:t>报价商务技术没有实质性不响应或重大偏离</w:t>
            </w:r>
          </w:p>
        </w:tc>
        <w:tc>
          <w:tcPr>
            <w:tcW w:w="850"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992"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851"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1134"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1659"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5" w:hRule="atLeast"/>
          <w:jc w:val="center"/>
        </w:trPr>
        <w:tc>
          <w:tcPr>
            <w:tcW w:w="78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auto"/>
                <w:szCs w:val="21"/>
              </w:rPr>
            </w:pPr>
            <w:r>
              <w:rPr>
                <w:rFonts w:hint="eastAsia" w:ascii="宋体" w:hAnsi="宋体"/>
                <w:color w:val="auto"/>
                <w:szCs w:val="21"/>
              </w:rPr>
              <w:t>4</w:t>
            </w:r>
          </w:p>
        </w:tc>
        <w:tc>
          <w:tcPr>
            <w:tcW w:w="3119" w:type="dxa"/>
            <w:tcBorders>
              <w:top w:val="single" w:color="000000" w:sz="4" w:space="0"/>
              <w:left w:val="single" w:color="000000" w:sz="4" w:space="0"/>
              <w:bottom w:val="single" w:color="000000" w:sz="4" w:space="0"/>
              <w:right w:val="single" w:color="000000" w:sz="4" w:space="0"/>
            </w:tcBorders>
            <w:vAlign w:val="center"/>
          </w:tcPr>
          <w:p>
            <w:pPr>
              <w:pStyle w:val="206"/>
              <w:widowControl w:val="0"/>
              <w:pBdr>
                <w:bottom w:val="none" w:color="auto" w:sz="0" w:space="0"/>
                <w:right w:val="none" w:color="auto" w:sz="0" w:space="0"/>
              </w:pBdr>
              <w:spacing w:before="0" w:beforeAutospacing="0" w:after="0" w:afterAutospacing="0" w:line="360" w:lineRule="auto"/>
              <w:jc w:val="both"/>
              <w:rPr>
                <w:color w:val="auto"/>
              </w:rPr>
            </w:pPr>
            <w:r>
              <w:rPr>
                <w:rFonts w:hint="eastAsia"/>
                <w:color w:val="auto"/>
              </w:rPr>
              <w:t>最后磋商报价固定唯一，且没有超</w:t>
            </w:r>
            <w:r>
              <w:rPr>
                <w:rFonts w:hint="eastAsia" w:cs="宋体"/>
                <w:color w:val="auto"/>
              </w:rPr>
              <w:t>采购项目预算金额</w:t>
            </w:r>
          </w:p>
        </w:tc>
        <w:tc>
          <w:tcPr>
            <w:tcW w:w="850"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992"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851"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1134"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1659"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5" w:hRule="atLeast"/>
          <w:jc w:val="center"/>
        </w:trPr>
        <w:tc>
          <w:tcPr>
            <w:tcW w:w="78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auto"/>
                <w:szCs w:val="21"/>
              </w:rPr>
            </w:pPr>
            <w:r>
              <w:rPr>
                <w:rFonts w:hint="eastAsia" w:ascii="宋体" w:hAnsi="宋体"/>
                <w:color w:val="auto"/>
                <w:szCs w:val="21"/>
              </w:rPr>
              <w:t>5</w:t>
            </w:r>
          </w:p>
        </w:tc>
        <w:tc>
          <w:tcPr>
            <w:tcW w:w="3119" w:type="dxa"/>
            <w:tcBorders>
              <w:top w:val="single" w:color="000000" w:sz="4" w:space="0"/>
              <w:left w:val="single" w:color="000000" w:sz="4" w:space="0"/>
              <w:bottom w:val="single" w:color="000000" w:sz="4" w:space="0"/>
              <w:right w:val="single" w:color="000000" w:sz="4" w:space="0"/>
            </w:tcBorders>
            <w:vAlign w:val="center"/>
          </w:tcPr>
          <w:p>
            <w:pPr>
              <w:pStyle w:val="206"/>
              <w:widowControl w:val="0"/>
              <w:pBdr>
                <w:bottom w:val="none" w:color="auto" w:sz="0" w:space="0"/>
                <w:right w:val="none" w:color="auto" w:sz="0" w:space="0"/>
              </w:pBdr>
              <w:spacing w:before="0" w:beforeAutospacing="0" w:after="0" w:afterAutospacing="0" w:line="360" w:lineRule="auto"/>
              <w:jc w:val="both"/>
              <w:rPr>
                <w:color w:val="auto"/>
              </w:rPr>
            </w:pPr>
            <w:r>
              <w:rPr>
                <w:rFonts w:hint="eastAsia"/>
                <w:color w:val="auto"/>
              </w:rPr>
              <w:t>没有被磋商小组认定</w:t>
            </w:r>
            <w:r>
              <w:rPr>
                <w:rFonts w:hint="eastAsia"/>
                <w:bCs/>
                <w:color w:val="auto"/>
              </w:rPr>
              <w:t>供应商</w:t>
            </w:r>
            <w:r>
              <w:rPr>
                <w:rFonts w:hint="eastAsia"/>
                <w:color w:val="auto"/>
              </w:rPr>
              <w:t>低于成本进行磋商响应</w:t>
            </w:r>
          </w:p>
        </w:tc>
        <w:tc>
          <w:tcPr>
            <w:tcW w:w="850"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992"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851"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1134"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1659"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5" w:hRule="atLeast"/>
          <w:jc w:val="center"/>
        </w:trPr>
        <w:tc>
          <w:tcPr>
            <w:tcW w:w="782"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宋体" w:hAnsi="宋体"/>
                <w:color w:val="auto"/>
                <w:szCs w:val="21"/>
              </w:rPr>
            </w:pPr>
            <w:r>
              <w:rPr>
                <w:rFonts w:hint="eastAsia" w:ascii="宋体" w:hAnsi="宋体"/>
                <w:color w:val="auto"/>
                <w:szCs w:val="21"/>
              </w:rPr>
              <w:t>6</w:t>
            </w:r>
          </w:p>
        </w:tc>
        <w:tc>
          <w:tcPr>
            <w:tcW w:w="3119"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Fonts w:ascii="宋体" w:hAnsi="宋体"/>
                <w:color w:val="auto"/>
                <w:szCs w:val="21"/>
              </w:rPr>
            </w:pPr>
            <w:r>
              <w:rPr>
                <w:rFonts w:hint="eastAsia" w:ascii="宋体" w:hAnsi="宋体"/>
                <w:color w:val="auto"/>
                <w:szCs w:val="21"/>
              </w:rPr>
              <w:t>报价有效期满足要求</w:t>
            </w:r>
          </w:p>
        </w:tc>
        <w:tc>
          <w:tcPr>
            <w:tcW w:w="850"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992"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851"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1134"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1659"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jc w:val="center"/>
        </w:trPr>
        <w:tc>
          <w:tcPr>
            <w:tcW w:w="782"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宋体" w:hAnsi="宋体"/>
                <w:color w:val="auto"/>
                <w:szCs w:val="21"/>
              </w:rPr>
            </w:pPr>
            <w:r>
              <w:rPr>
                <w:rFonts w:hint="eastAsia" w:ascii="宋体" w:hAnsi="宋体"/>
                <w:color w:val="auto"/>
                <w:szCs w:val="21"/>
              </w:rPr>
              <w:t>7</w:t>
            </w:r>
          </w:p>
        </w:tc>
        <w:tc>
          <w:tcPr>
            <w:tcW w:w="3119"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Fonts w:ascii="宋体" w:hAnsi="宋体"/>
                <w:color w:val="auto"/>
                <w:szCs w:val="21"/>
              </w:rPr>
            </w:pPr>
            <w:r>
              <w:rPr>
                <w:rFonts w:hint="eastAsia" w:ascii="宋体" w:hAnsi="宋体"/>
                <w:color w:val="auto"/>
                <w:szCs w:val="21"/>
              </w:rPr>
              <w:t>满足竞争性磋商文件中带★号的条款和指标，且符合竞争性磋商文件的其他要求，没有重大偏离的</w:t>
            </w:r>
          </w:p>
        </w:tc>
        <w:tc>
          <w:tcPr>
            <w:tcW w:w="850"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992"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851"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1134"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1659"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jc w:val="center"/>
        </w:trPr>
        <w:tc>
          <w:tcPr>
            <w:tcW w:w="782"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宋体" w:hAnsi="宋体"/>
                <w:color w:val="auto"/>
                <w:szCs w:val="21"/>
              </w:rPr>
            </w:pPr>
            <w:r>
              <w:rPr>
                <w:rFonts w:hint="eastAsia" w:ascii="宋体" w:hAnsi="宋体"/>
                <w:color w:val="auto"/>
                <w:szCs w:val="21"/>
              </w:rPr>
              <w:t>8</w:t>
            </w:r>
          </w:p>
        </w:tc>
        <w:tc>
          <w:tcPr>
            <w:tcW w:w="3119"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Fonts w:ascii="宋体" w:hAnsi="宋体"/>
                <w:color w:val="auto"/>
                <w:szCs w:val="21"/>
              </w:rPr>
            </w:pPr>
            <w:r>
              <w:rPr>
                <w:rFonts w:hint="eastAsia" w:ascii="宋体" w:hAnsi="宋体" w:cs="宋体"/>
                <w:color w:val="auto"/>
                <w:szCs w:val="21"/>
                <w:lang w:val="hr-HR"/>
              </w:rPr>
              <w:t>磋商响应文件中</w:t>
            </w:r>
            <w:r>
              <w:rPr>
                <w:rFonts w:hint="eastAsia" w:ascii="宋体" w:hAnsi="宋体" w:cs="宋体"/>
                <w:color w:val="auto"/>
                <w:szCs w:val="21"/>
              </w:rPr>
              <w:t>《清单报价表》</w:t>
            </w:r>
            <w:r>
              <w:rPr>
                <w:rFonts w:hint="eastAsia" w:ascii="宋体" w:hAnsi="宋体" w:cs="宋体"/>
                <w:color w:val="auto"/>
                <w:szCs w:val="21"/>
                <w:lang w:val="hr-HR"/>
              </w:rPr>
              <w:t>（含封面）正本采用采购人提供的原件填写的</w:t>
            </w:r>
          </w:p>
        </w:tc>
        <w:tc>
          <w:tcPr>
            <w:tcW w:w="850"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992"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851"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1134"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c>
          <w:tcPr>
            <w:tcW w:w="1659"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rPr>
            </w:pPr>
          </w:p>
        </w:tc>
      </w:tr>
    </w:tbl>
    <w:p>
      <w:pPr>
        <w:adjustRightInd w:val="0"/>
        <w:snapToGrid w:val="0"/>
        <w:spacing w:line="360" w:lineRule="auto"/>
        <w:rPr>
          <w:rFonts w:ascii="宋体" w:hAnsi="宋体" w:cs="宋体"/>
          <w:b/>
          <w:color w:val="auto"/>
          <w:szCs w:val="21"/>
        </w:rPr>
      </w:pPr>
      <w:r>
        <w:rPr>
          <w:rFonts w:hint="eastAsia" w:ascii="宋体" w:hAnsi="宋体" w:cs="宋体"/>
          <w:b/>
          <w:color w:val="auto"/>
          <w:szCs w:val="21"/>
        </w:rPr>
        <w:t>备注：</w:t>
      </w:r>
    </w:p>
    <w:p>
      <w:pPr>
        <w:adjustRightInd w:val="0"/>
        <w:snapToGrid w:val="0"/>
        <w:spacing w:line="360" w:lineRule="auto"/>
        <w:rPr>
          <w:rFonts w:ascii="宋体" w:cs="宋体"/>
          <w:b/>
          <w:color w:val="auto"/>
          <w:szCs w:val="21"/>
        </w:rPr>
      </w:pPr>
      <w:r>
        <w:rPr>
          <w:rFonts w:hint="eastAsia" w:ascii="宋体" w:hAnsi="宋体" w:cs="宋体"/>
          <w:b/>
          <w:color w:val="auto"/>
          <w:szCs w:val="21"/>
        </w:rPr>
        <w:t>1．表中填写“○”表示该项符合竞争性磋商文件要求，“×”表示该项不符合竞争性磋商文件要求。</w:t>
      </w:r>
    </w:p>
    <w:p>
      <w:pPr>
        <w:adjustRightInd w:val="0"/>
        <w:snapToGrid w:val="0"/>
        <w:spacing w:line="360" w:lineRule="auto"/>
        <w:rPr>
          <w:rFonts w:ascii="宋体" w:hAnsi="宋体" w:cs="宋体"/>
          <w:b/>
          <w:color w:val="auto"/>
          <w:szCs w:val="21"/>
        </w:rPr>
      </w:pPr>
      <w:r>
        <w:rPr>
          <w:rFonts w:hint="eastAsia" w:ascii="宋体" w:hAnsi="宋体" w:cs="宋体"/>
          <w:b/>
          <w:color w:val="auto"/>
          <w:szCs w:val="21"/>
        </w:rPr>
        <w:t>2．在结论栏中填写“通过”或“不通过”。</w:t>
      </w:r>
    </w:p>
    <w:p>
      <w:pPr>
        <w:adjustRightInd w:val="0"/>
        <w:snapToGrid w:val="0"/>
        <w:spacing w:line="360" w:lineRule="auto"/>
        <w:rPr>
          <w:rFonts w:ascii="宋体" w:hAnsi="宋体" w:cs="宋体"/>
          <w:b/>
          <w:color w:val="auto"/>
          <w:szCs w:val="21"/>
        </w:rPr>
      </w:pPr>
      <w:r>
        <w:rPr>
          <w:rFonts w:hint="eastAsia" w:ascii="宋体" w:hAnsi="宋体" w:cs="宋体"/>
          <w:b/>
          <w:color w:val="auto"/>
          <w:szCs w:val="21"/>
        </w:rPr>
        <w:t>3.供应商的所有评审项均填写“○”才被视为“通过”，其中一项为“×”则被视为不通过。</w:t>
      </w:r>
    </w:p>
    <w:p>
      <w:pPr>
        <w:adjustRightInd w:val="0"/>
        <w:snapToGrid w:val="0"/>
        <w:spacing w:line="360" w:lineRule="auto"/>
        <w:rPr>
          <w:rFonts w:ascii="宋体" w:hAnsi="宋体" w:cs="宋体"/>
          <w:b/>
          <w:color w:val="auto"/>
          <w:szCs w:val="21"/>
        </w:rPr>
      </w:pPr>
      <w:r>
        <w:rPr>
          <w:rFonts w:hint="eastAsia" w:ascii="宋体" w:hAnsi="宋体" w:cs="宋体"/>
          <w:b/>
          <w:color w:val="auto"/>
          <w:szCs w:val="21"/>
        </w:rPr>
        <w:t>4. 如对本表中某种情形的评审意见不一致时，以少数服从多数的原则作为磋商小组对该情形的认定结论。</w:t>
      </w:r>
    </w:p>
    <w:p>
      <w:pPr>
        <w:spacing w:line="360" w:lineRule="auto"/>
        <w:rPr>
          <w:rFonts w:ascii="宋体" w:hAnsi="宋体"/>
          <w:color w:val="auto"/>
          <w:szCs w:val="21"/>
        </w:rPr>
      </w:pPr>
      <w:r>
        <w:rPr>
          <w:rFonts w:hint="eastAsia"/>
          <w:color w:val="auto"/>
          <w:szCs w:val="21"/>
        </w:rPr>
        <w:t>评委签名：</w:t>
      </w:r>
      <w:r>
        <w:rPr>
          <w:rFonts w:hint="eastAsia" w:ascii="宋体" w:hAnsi="宋体"/>
          <w:bCs/>
          <w:color w:val="auto"/>
          <w:szCs w:val="21"/>
        </w:rPr>
        <w:t xml:space="preserve">                                            日期：   年  月  日</w:t>
      </w:r>
    </w:p>
    <w:p>
      <w:pPr>
        <w:rPr>
          <w:rFonts w:ascii="宋体" w:hAnsi="宋体" w:cs="宋体"/>
          <w:b/>
          <w:color w:val="auto"/>
          <w:sz w:val="24"/>
        </w:rPr>
      </w:pPr>
      <w:r>
        <w:rPr>
          <w:rFonts w:hint="eastAsia" w:ascii="宋体" w:hAnsi="宋体" w:cs="宋体"/>
          <w:b/>
          <w:color w:val="auto"/>
          <w:sz w:val="24"/>
        </w:rPr>
        <w:br w:type="page"/>
      </w:r>
    </w:p>
    <w:p>
      <w:pPr>
        <w:tabs>
          <w:tab w:val="left" w:pos="720"/>
        </w:tabs>
        <w:snapToGrid w:val="0"/>
        <w:spacing w:line="360" w:lineRule="auto"/>
        <w:jc w:val="left"/>
        <w:rPr>
          <w:rFonts w:ascii="宋体" w:hAnsi="宋体" w:cs="宋体"/>
          <w:b/>
          <w:color w:val="auto"/>
          <w:sz w:val="24"/>
        </w:rPr>
      </w:pPr>
      <w:r>
        <w:rPr>
          <w:rFonts w:hint="eastAsia" w:ascii="宋体" w:hAnsi="宋体" w:cs="宋体"/>
          <w:b/>
          <w:color w:val="auto"/>
          <w:sz w:val="24"/>
        </w:rPr>
        <w:t xml:space="preserve">附件2   </w:t>
      </w:r>
    </w:p>
    <w:p>
      <w:pPr>
        <w:tabs>
          <w:tab w:val="left" w:pos="720"/>
        </w:tabs>
        <w:snapToGrid w:val="0"/>
        <w:spacing w:line="360" w:lineRule="auto"/>
        <w:jc w:val="center"/>
        <w:rPr>
          <w:rFonts w:ascii="宋体" w:hAnsi="宋体" w:cs="宋体"/>
          <w:b/>
          <w:color w:val="auto"/>
          <w:sz w:val="24"/>
        </w:rPr>
      </w:pPr>
      <w:r>
        <w:rPr>
          <w:rFonts w:hint="eastAsia" w:ascii="宋体" w:hAnsi="宋体" w:cs="宋体"/>
          <w:b/>
          <w:color w:val="auto"/>
          <w:sz w:val="24"/>
        </w:rPr>
        <w:t>技术部分评分表</w:t>
      </w:r>
    </w:p>
    <w:p>
      <w:pPr>
        <w:snapToGrid w:val="0"/>
        <w:spacing w:line="360" w:lineRule="auto"/>
        <w:rPr>
          <w:rFonts w:ascii="宋体" w:hAnsi="宋体" w:cs="宋体"/>
          <w:bCs/>
          <w:color w:val="auto"/>
          <w:szCs w:val="21"/>
        </w:rPr>
      </w:pPr>
      <w:r>
        <w:rPr>
          <w:rFonts w:hint="eastAsia" w:ascii="宋体" w:hAnsi="宋体" w:cs="宋体"/>
          <w:bCs/>
          <w:color w:val="auto"/>
          <w:szCs w:val="21"/>
        </w:rPr>
        <w:t xml:space="preserve">项目名称：                                          项目编号：                                   </w:t>
      </w:r>
    </w:p>
    <w:tbl>
      <w:tblPr>
        <w:tblStyle w:val="90"/>
        <w:tblW w:w="9963"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3"/>
        <w:gridCol w:w="659"/>
        <w:gridCol w:w="1093"/>
        <w:gridCol w:w="6541"/>
        <w:gridCol w:w="937"/>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4" w:hRule="atLeast"/>
          <w:tblHeader/>
          <w:jc w:val="center"/>
        </w:trPr>
        <w:tc>
          <w:tcPr>
            <w:tcW w:w="733" w:type="dxa"/>
            <w:tcBorders>
              <w:top w:val="single" w:color="auto" w:sz="4" w:space="0"/>
            </w:tcBorders>
            <w:shd w:val="clear" w:color="auto" w:fill="FFFFFF"/>
            <w:vAlign w:val="center"/>
          </w:tcPr>
          <w:p>
            <w:pPr>
              <w:snapToGrid w:val="0"/>
              <w:rPr>
                <w:rFonts w:ascii="宋体" w:hAnsi="宋体" w:cs="宋体"/>
                <w:color w:val="auto"/>
              </w:rPr>
            </w:pPr>
            <w:r>
              <w:rPr>
                <w:rFonts w:hint="eastAsia" w:ascii="宋体" w:hAnsi="宋体" w:cs="宋体"/>
                <w:color w:val="auto"/>
              </w:rPr>
              <w:t>序号</w:t>
            </w:r>
          </w:p>
        </w:tc>
        <w:tc>
          <w:tcPr>
            <w:tcW w:w="1752" w:type="dxa"/>
            <w:gridSpan w:val="2"/>
            <w:tcBorders>
              <w:top w:val="single" w:color="auto" w:sz="4" w:space="0"/>
            </w:tcBorders>
            <w:shd w:val="clear" w:color="auto" w:fill="FFFFFF"/>
            <w:vAlign w:val="center"/>
          </w:tcPr>
          <w:p>
            <w:pPr>
              <w:snapToGrid w:val="0"/>
              <w:rPr>
                <w:rFonts w:ascii="宋体" w:hAnsi="宋体" w:cs="宋体"/>
                <w:color w:val="auto"/>
              </w:rPr>
            </w:pPr>
            <w:r>
              <w:rPr>
                <w:rFonts w:hint="eastAsia" w:ascii="宋体" w:hAnsi="宋体" w:cs="宋体"/>
                <w:color w:val="auto"/>
              </w:rPr>
              <w:t>评分项目</w:t>
            </w:r>
          </w:p>
        </w:tc>
        <w:tc>
          <w:tcPr>
            <w:tcW w:w="6541" w:type="dxa"/>
            <w:tcBorders>
              <w:top w:val="single" w:color="auto" w:sz="4" w:space="0"/>
            </w:tcBorders>
            <w:shd w:val="clear" w:color="auto" w:fill="FFFFFF"/>
            <w:vAlign w:val="center"/>
          </w:tcPr>
          <w:p>
            <w:pPr>
              <w:snapToGrid w:val="0"/>
              <w:jc w:val="left"/>
              <w:rPr>
                <w:rFonts w:ascii="宋体" w:hAnsi="宋体" w:cs="宋体"/>
                <w:color w:val="auto"/>
              </w:rPr>
            </w:pPr>
            <w:r>
              <w:rPr>
                <w:rFonts w:hint="eastAsia" w:ascii="宋体" w:hAnsi="宋体" w:cs="宋体"/>
                <w:color w:val="auto"/>
              </w:rPr>
              <w:t>评分标准</w:t>
            </w:r>
          </w:p>
        </w:tc>
        <w:tc>
          <w:tcPr>
            <w:tcW w:w="937" w:type="dxa"/>
            <w:tcBorders>
              <w:top w:val="single" w:color="auto" w:sz="4" w:space="0"/>
            </w:tcBorders>
            <w:shd w:val="clear" w:color="auto" w:fill="FFFFFF"/>
            <w:vAlign w:val="center"/>
          </w:tcPr>
          <w:p>
            <w:pPr>
              <w:snapToGrid w:val="0"/>
              <w:spacing w:line="360" w:lineRule="auto"/>
              <w:jc w:val="center"/>
              <w:rPr>
                <w:rFonts w:ascii="宋体" w:hAnsi="宋体" w:cs="宋体"/>
                <w:bCs/>
                <w:color w:val="auto"/>
                <w:szCs w:val="21"/>
              </w:rPr>
            </w:pPr>
            <w:r>
              <w:rPr>
                <w:rFonts w:hint="eastAsia" w:ascii="宋体" w:hAnsi="宋体" w:cs="宋体"/>
                <w:color w:val="auto"/>
              </w:rPr>
              <w:t>分值</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42" w:hRule="atLeast"/>
          <w:jc w:val="center"/>
        </w:trPr>
        <w:tc>
          <w:tcPr>
            <w:tcW w:w="733" w:type="dxa"/>
            <w:tcBorders>
              <w:top w:val="single" w:color="auto" w:sz="4" w:space="0"/>
              <w:bottom w:val="single" w:color="auto" w:sz="4" w:space="0"/>
            </w:tcBorders>
            <w:vAlign w:val="center"/>
          </w:tcPr>
          <w:p>
            <w:pPr>
              <w:snapToGrid w:val="0"/>
              <w:spacing w:line="360" w:lineRule="auto"/>
              <w:rPr>
                <w:rFonts w:ascii="宋体" w:hAnsi="宋体" w:cs="宋体"/>
                <w:bCs/>
                <w:color w:val="auto"/>
                <w:szCs w:val="21"/>
              </w:rPr>
            </w:pPr>
            <w:r>
              <w:rPr>
                <w:rFonts w:hint="eastAsia" w:ascii="宋体" w:hAnsi="宋体" w:cs="宋体"/>
                <w:bCs/>
                <w:color w:val="auto"/>
                <w:szCs w:val="21"/>
              </w:rPr>
              <w:t>1</w:t>
            </w:r>
          </w:p>
        </w:tc>
        <w:tc>
          <w:tcPr>
            <w:tcW w:w="1752" w:type="dxa"/>
            <w:gridSpan w:val="2"/>
            <w:tcBorders>
              <w:top w:val="single" w:color="auto" w:sz="4" w:space="0"/>
              <w:bottom w:val="single" w:color="auto" w:sz="4" w:space="0"/>
            </w:tcBorders>
            <w:vAlign w:val="center"/>
          </w:tcPr>
          <w:p>
            <w:pPr>
              <w:snapToGrid w:val="0"/>
              <w:rPr>
                <w:rFonts w:ascii="宋体" w:hAnsi="宋体" w:cs="宋体"/>
                <w:color w:val="auto"/>
              </w:rPr>
            </w:pPr>
            <w:r>
              <w:rPr>
                <w:rFonts w:hint="eastAsia" w:ascii="宋体" w:hAnsi="宋体" w:cs="宋体"/>
                <w:color w:val="auto"/>
              </w:rPr>
              <w:t>对招标文件的响应程度</w:t>
            </w:r>
          </w:p>
        </w:tc>
        <w:tc>
          <w:tcPr>
            <w:tcW w:w="6541" w:type="dxa"/>
            <w:tcBorders>
              <w:top w:val="single" w:color="auto" w:sz="4" w:space="0"/>
              <w:bottom w:val="single" w:color="auto" w:sz="4" w:space="0"/>
            </w:tcBorders>
            <w:vAlign w:val="center"/>
          </w:tcPr>
          <w:p>
            <w:pPr>
              <w:snapToGrid w:val="0"/>
              <w:rPr>
                <w:rFonts w:ascii="宋体" w:hAnsi="宋体" w:cs="宋体"/>
                <w:color w:val="auto"/>
              </w:rPr>
            </w:pPr>
            <w:r>
              <w:rPr>
                <w:rFonts w:hint="eastAsia" w:ascii="宋体" w:hAnsi="宋体" w:cs="宋体"/>
                <w:color w:val="auto"/>
              </w:rPr>
              <w:t>1.总体方案合理，对本项目需求情况熟悉且有针对性得3分；</w:t>
            </w:r>
          </w:p>
          <w:p>
            <w:pPr>
              <w:snapToGrid w:val="0"/>
              <w:rPr>
                <w:rFonts w:ascii="宋体" w:hAnsi="宋体" w:cs="宋体"/>
                <w:color w:val="auto"/>
              </w:rPr>
            </w:pPr>
            <w:r>
              <w:rPr>
                <w:rFonts w:hint="eastAsia" w:ascii="宋体" w:hAnsi="宋体" w:cs="宋体"/>
                <w:color w:val="auto"/>
              </w:rPr>
              <w:t>2.总体方案较合理，基本了解本项目需求情况，得2分；</w:t>
            </w:r>
          </w:p>
          <w:p>
            <w:pPr>
              <w:snapToGrid w:val="0"/>
              <w:rPr>
                <w:rFonts w:ascii="宋体" w:hAnsi="宋体" w:cs="宋体"/>
                <w:color w:val="auto"/>
              </w:rPr>
            </w:pPr>
            <w:r>
              <w:rPr>
                <w:rFonts w:hint="eastAsia" w:ascii="宋体" w:hAnsi="宋体" w:cs="宋体"/>
                <w:color w:val="auto"/>
              </w:rPr>
              <w:t>3.总体方案不合理，不了解本项目需求情况，得1分。</w:t>
            </w:r>
          </w:p>
        </w:tc>
        <w:tc>
          <w:tcPr>
            <w:tcW w:w="937" w:type="dxa"/>
            <w:tcBorders>
              <w:top w:val="single" w:color="auto" w:sz="4" w:space="0"/>
              <w:bottom w:val="single" w:color="auto" w:sz="4" w:space="0"/>
            </w:tcBorders>
            <w:vAlign w:val="center"/>
          </w:tcPr>
          <w:p>
            <w:pPr>
              <w:snapToGrid w:val="0"/>
              <w:spacing w:line="360" w:lineRule="auto"/>
              <w:jc w:val="center"/>
              <w:rPr>
                <w:rFonts w:ascii="宋体" w:hAnsi="宋体" w:cs="宋体"/>
                <w:bCs/>
                <w:color w:val="auto"/>
                <w:szCs w:val="21"/>
              </w:rPr>
            </w:pPr>
            <w:r>
              <w:rPr>
                <w:rFonts w:hint="eastAsia" w:ascii="宋体" w:hAnsi="宋体" w:cs="宋体"/>
                <w:bCs/>
                <w:color w:val="auto"/>
                <w:szCs w:val="21"/>
              </w:rPr>
              <w:t>3分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19" w:hRule="atLeast"/>
          <w:jc w:val="center"/>
        </w:trPr>
        <w:tc>
          <w:tcPr>
            <w:tcW w:w="733" w:type="dxa"/>
            <w:tcBorders>
              <w:top w:val="single" w:color="auto" w:sz="4" w:space="0"/>
              <w:bottom w:val="single" w:color="auto" w:sz="4" w:space="0"/>
            </w:tcBorders>
            <w:vAlign w:val="center"/>
          </w:tcPr>
          <w:p>
            <w:pPr>
              <w:snapToGrid w:val="0"/>
              <w:rPr>
                <w:rFonts w:ascii="宋体" w:hAnsi="宋体" w:cs="宋体"/>
                <w:color w:val="auto"/>
              </w:rPr>
            </w:pPr>
            <w:r>
              <w:rPr>
                <w:rFonts w:hint="eastAsia" w:ascii="宋体" w:hAnsi="宋体" w:cs="宋体"/>
                <w:color w:val="auto"/>
              </w:rPr>
              <w:t>2</w:t>
            </w:r>
          </w:p>
        </w:tc>
        <w:tc>
          <w:tcPr>
            <w:tcW w:w="1752" w:type="dxa"/>
            <w:gridSpan w:val="2"/>
            <w:tcBorders>
              <w:top w:val="single" w:color="auto" w:sz="4" w:space="0"/>
              <w:bottom w:val="single" w:color="auto" w:sz="4" w:space="0"/>
            </w:tcBorders>
            <w:vAlign w:val="center"/>
          </w:tcPr>
          <w:p>
            <w:pPr>
              <w:snapToGrid w:val="0"/>
              <w:rPr>
                <w:rFonts w:ascii="宋体" w:hAnsi="宋体" w:cs="宋体"/>
                <w:color w:val="auto"/>
              </w:rPr>
            </w:pPr>
            <w:r>
              <w:rPr>
                <w:rFonts w:hint="eastAsia" w:ascii="宋体" w:hAnsi="宋体" w:cs="宋体"/>
                <w:color w:val="auto"/>
              </w:rPr>
              <w:t>项目实施能力</w:t>
            </w:r>
          </w:p>
        </w:tc>
        <w:tc>
          <w:tcPr>
            <w:tcW w:w="6541" w:type="dxa"/>
            <w:tcBorders>
              <w:top w:val="single" w:color="auto" w:sz="4" w:space="0"/>
              <w:bottom w:val="single" w:color="auto" w:sz="4" w:space="0"/>
            </w:tcBorders>
            <w:vAlign w:val="center"/>
          </w:tcPr>
          <w:p>
            <w:pPr>
              <w:snapToGrid w:val="0"/>
              <w:rPr>
                <w:rFonts w:ascii="宋体" w:hAnsi="宋体" w:cs="宋体"/>
                <w:color w:val="auto"/>
              </w:rPr>
            </w:pPr>
            <w:r>
              <w:rPr>
                <w:rFonts w:hint="eastAsia" w:ascii="宋体" w:hAnsi="宋体" w:cs="宋体"/>
                <w:color w:val="auto"/>
              </w:rPr>
              <w:t>1.对项目的重点、难点分析准确，采取的措施合理、可靠，得5分；</w:t>
            </w:r>
          </w:p>
          <w:p>
            <w:pPr>
              <w:snapToGrid w:val="0"/>
              <w:rPr>
                <w:rFonts w:ascii="宋体" w:hAnsi="宋体" w:cs="宋体"/>
                <w:color w:val="auto"/>
              </w:rPr>
            </w:pPr>
            <w:r>
              <w:rPr>
                <w:rFonts w:hint="eastAsia" w:ascii="宋体" w:hAnsi="宋体" w:cs="宋体"/>
                <w:color w:val="auto"/>
              </w:rPr>
              <w:t>2.对项目的重点、难点分析基本准确，采取的措施基本合理、可靠，得3分；</w:t>
            </w:r>
          </w:p>
          <w:p>
            <w:pPr>
              <w:snapToGrid w:val="0"/>
              <w:rPr>
                <w:rFonts w:ascii="宋体" w:hAnsi="宋体" w:cs="宋体"/>
                <w:color w:val="auto"/>
              </w:rPr>
            </w:pPr>
            <w:r>
              <w:rPr>
                <w:rFonts w:hint="eastAsia" w:ascii="宋体" w:hAnsi="宋体" w:cs="宋体"/>
                <w:color w:val="auto"/>
              </w:rPr>
              <w:t>3.对项目的重点、难点分析一般，采取的措施不合理，得1分。</w:t>
            </w:r>
          </w:p>
        </w:tc>
        <w:tc>
          <w:tcPr>
            <w:tcW w:w="937" w:type="dxa"/>
            <w:tcBorders>
              <w:top w:val="single" w:color="auto" w:sz="4" w:space="0"/>
              <w:bottom w:val="single" w:color="auto" w:sz="4" w:space="0"/>
            </w:tcBorders>
            <w:vAlign w:val="center"/>
          </w:tcPr>
          <w:p>
            <w:pPr>
              <w:snapToGrid w:val="0"/>
              <w:jc w:val="center"/>
              <w:rPr>
                <w:rFonts w:ascii="宋体" w:hAnsi="宋体" w:cs="宋体"/>
                <w:color w:val="auto"/>
              </w:rPr>
            </w:pPr>
            <w:r>
              <w:rPr>
                <w:rFonts w:hint="eastAsia" w:ascii="宋体" w:hAnsi="宋体" w:cs="宋体"/>
                <w:color w:val="auto"/>
              </w:rPr>
              <w:t>5分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291" w:hRule="atLeast"/>
          <w:jc w:val="center"/>
        </w:trPr>
        <w:tc>
          <w:tcPr>
            <w:tcW w:w="733" w:type="dxa"/>
            <w:tcBorders>
              <w:top w:val="single" w:color="auto" w:sz="4" w:space="0"/>
              <w:bottom w:val="single" w:color="auto" w:sz="4" w:space="0"/>
            </w:tcBorders>
            <w:vAlign w:val="center"/>
          </w:tcPr>
          <w:p>
            <w:pPr>
              <w:snapToGrid w:val="0"/>
              <w:rPr>
                <w:rFonts w:ascii="宋体" w:hAnsi="宋体" w:cs="宋体"/>
                <w:color w:val="auto"/>
              </w:rPr>
            </w:pPr>
            <w:r>
              <w:rPr>
                <w:rFonts w:hint="eastAsia" w:ascii="宋体" w:hAnsi="宋体" w:cs="宋体"/>
                <w:color w:val="auto"/>
              </w:rPr>
              <w:t>3</w:t>
            </w:r>
          </w:p>
        </w:tc>
        <w:tc>
          <w:tcPr>
            <w:tcW w:w="1752" w:type="dxa"/>
            <w:gridSpan w:val="2"/>
            <w:tcBorders>
              <w:top w:val="single" w:color="auto" w:sz="4" w:space="0"/>
              <w:bottom w:val="single" w:color="auto" w:sz="4" w:space="0"/>
            </w:tcBorders>
            <w:vAlign w:val="center"/>
          </w:tcPr>
          <w:p>
            <w:pPr>
              <w:snapToGrid w:val="0"/>
              <w:rPr>
                <w:rFonts w:ascii="宋体" w:hAnsi="宋体" w:cs="宋体"/>
                <w:color w:val="auto"/>
              </w:rPr>
            </w:pPr>
            <w:r>
              <w:rPr>
                <w:rFonts w:hint="eastAsia" w:ascii="宋体" w:hAnsi="宋体" w:cs="宋体"/>
                <w:color w:val="auto"/>
              </w:rPr>
              <w:t>项目实施计划</w:t>
            </w:r>
          </w:p>
        </w:tc>
        <w:tc>
          <w:tcPr>
            <w:tcW w:w="6541" w:type="dxa"/>
            <w:tcBorders>
              <w:top w:val="single" w:color="auto" w:sz="4" w:space="0"/>
              <w:bottom w:val="single" w:color="auto" w:sz="4" w:space="0"/>
            </w:tcBorders>
            <w:vAlign w:val="center"/>
          </w:tcPr>
          <w:p>
            <w:pPr>
              <w:snapToGrid w:val="0"/>
              <w:rPr>
                <w:rFonts w:ascii="宋体" w:hAnsi="宋体" w:cs="宋体"/>
                <w:color w:val="auto"/>
              </w:rPr>
            </w:pPr>
            <w:r>
              <w:rPr>
                <w:rFonts w:hint="eastAsia" w:ascii="宋体" w:hAnsi="宋体" w:cs="宋体"/>
                <w:color w:val="auto"/>
              </w:rPr>
              <w:t>1.方案思路清晰，人员结构合理，工作内容切实可行，对工程质量安全监督要点有深入的表述，对重点难点有先进、合理的解决方案，质量服务保证措施具体可行，可操作性强，能提出利于工作有效进行的建议，得6分；</w:t>
            </w:r>
          </w:p>
          <w:p>
            <w:pPr>
              <w:snapToGrid w:val="0"/>
              <w:rPr>
                <w:rFonts w:ascii="宋体" w:hAnsi="宋体" w:cs="宋体"/>
                <w:color w:val="auto"/>
              </w:rPr>
            </w:pPr>
            <w:r>
              <w:rPr>
                <w:rFonts w:hint="eastAsia" w:ascii="宋体" w:hAnsi="宋体" w:cs="宋体"/>
                <w:color w:val="auto"/>
              </w:rPr>
              <w:t>2.方案思路较清晰，人员结构较合理，工作内容可行性尚可，对工程质量安全监督要点有表述，对重点难点有解决方案，各项质量服务保证措施和可操作性一般，提出的建议可操作性不强，得2分；</w:t>
            </w:r>
          </w:p>
          <w:p>
            <w:pPr>
              <w:snapToGrid w:val="0"/>
              <w:rPr>
                <w:rFonts w:ascii="宋体" w:hAnsi="宋体" w:cs="宋体"/>
                <w:color w:val="auto"/>
              </w:rPr>
            </w:pPr>
            <w:r>
              <w:rPr>
                <w:rFonts w:hint="eastAsia" w:ascii="宋体" w:hAnsi="宋体" w:cs="宋体"/>
                <w:color w:val="auto"/>
              </w:rPr>
              <w:t>3.方案思路混乱、不合理，人员结构不合理，工作内容可行性较差，对工程质量安全监督要点无详细表述，对重点难点无解决方案，各项质量服务保证措施不具体可行，可操作性不强，不能提出有效建议，不得分。</w:t>
            </w:r>
          </w:p>
        </w:tc>
        <w:tc>
          <w:tcPr>
            <w:tcW w:w="937" w:type="dxa"/>
            <w:tcBorders>
              <w:top w:val="single" w:color="auto" w:sz="4" w:space="0"/>
              <w:bottom w:val="single" w:color="auto" w:sz="4" w:space="0"/>
            </w:tcBorders>
            <w:vAlign w:val="center"/>
          </w:tcPr>
          <w:p>
            <w:pPr>
              <w:snapToGrid w:val="0"/>
              <w:jc w:val="center"/>
              <w:rPr>
                <w:rFonts w:ascii="宋体" w:hAnsi="宋体" w:cs="宋体"/>
                <w:color w:val="auto"/>
              </w:rPr>
            </w:pPr>
            <w:r>
              <w:rPr>
                <w:rFonts w:hint="eastAsia" w:ascii="宋体" w:hAnsi="宋体" w:cs="宋体"/>
                <w:color w:val="auto"/>
              </w:rPr>
              <w:t>6分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30" w:hRule="atLeast"/>
          <w:jc w:val="center"/>
        </w:trPr>
        <w:tc>
          <w:tcPr>
            <w:tcW w:w="733" w:type="dxa"/>
            <w:tcBorders>
              <w:top w:val="single" w:color="auto" w:sz="4" w:space="0"/>
              <w:bottom w:val="single" w:color="auto" w:sz="4" w:space="0"/>
            </w:tcBorders>
            <w:vAlign w:val="center"/>
          </w:tcPr>
          <w:p>
            <w:pPr>
              <w:snapToGrid w:val="0"/>
              <w:rPr>
                <w:rFonts w:ascii="宋体" w:hAnsi="宋体" w:cs="宋体"/>
                <w:color w:val="auto"/>
              </w:rPr>
            </w:pPr>
            <w:r>
              <w:rPr>
                <w:rFonts w:hint="eastAsia" w:ascii="宋体" w:hAnsi="宋体" w:cs="宋体"/>
                <w:color w:val="auto"/>
              </w:rPr>
              <w:t>4</w:t>
            </w:r>
          </w:p>
        </w:tc>
        <w:tc>
          <w:tcPr>
            <w:tcW w:w="1752" w:type="dxa"/>
            <w:gridSpan w:val="2"/>
            <w:tcBorders>
              <w:top w:val="single" w:color="auto" w:sz="4" w:space="0"/>
              <w:bottom w:val="single" w:color="auto" w:sz="4" w:space="0"/>
            </w:tcBorders>
            <w:vAlign w:val="center"/>
          </w:tcPr>
          <w:p>
            <w:pPr>
              <w:snapToGrid w:val="0"/>
              <w:rPr>
                <w:rFonts w:ascii="宋体" w:hAnsi="宋体" w:cs="宋体"/>
                <w:color w:val="auto"/>
              </w:rPr>
            </w:pPr>
            <w:r>
              <w:rPr>
                <w:rFonts w:hint="eastAsia" w:ascii="宋体" w:hAnsi="宋体" w:cs="宋体"/>
                <w:color w:val="auto"/>
              </w:rPr>
              <w:t>质量控制</w:t>
            </w:r>
          </w:p>
        </w:tc>
        <w:tc>
          <w:tcPr>
            <w:tcW w:w="6541" w:type="dxa"/>
            <w:tcBorders>
              <w:top w:val="single" w:color="auto" w:sz="4" w:space="0"/>
              <w:bottom w:val="single" w:color="auto" w:sz="4" w:space="0"/>
            </w:tcBorders>
            <w:vAlign w:val="center"/>
          </w:tcPr>
          <w:p>
            <w:pPr>
              <w:snapToGrid w:val="0"/>
              <w:rPr>
                <w:rFonts w:ascii="宋体" w:hAnsi="宋体" w:cs="宋体"/>
                <w:color w:val="auto"/>
              </w:rPr>
            </w:pPr>
            <w:r>
              <w:rPr>
                <w:rFonts w:hint="eastAsia" w:ascii="宋体" w:hAnsi="宋体" w:cs="宋体"/>
                <w:color w:val="auto"/>
              </w:rPr>
              <w:t>1.质量保证体系健全，措施合理，得3分。</w:t>
            </w:r>
          </w:p>
          <w:p>
            <w:pPr>
              <w:snapToGrid w:val="0"/>
              <w:rPr>
                <w:rFonts w:ascii="宋体" w:hAnsi="宋体" w:cs="宋体"/>
                <w:color w:val="auto"/>
              </w:rPr>
            </w:pPr>
            <w:r>
              <w:rPr>
                <w:rFonts w:hint="eastAsia" w:ascii="宋体" w:hAnsi="宋体" w:cs="宋体"/>
                <w:color w:val="auto"/>
              </w:rPr>
              <w:t>2.质量保证体系基本健全，措施基本合理，得2分。</w:t>
            </w:r>
          </w:p>
          <w:p>
            <w:pPr>
              <w:snapToGrid w:val="0"/>
              <w:rPr>
                <w:rFonts w:ascii="宋体" w:hAnsi="宋体" w:cs="宋体"/>
                <w:color w:val="auto"/>
              </w:rPr>
            </w:pPr>
            <w:r>
              <w:rPr>
                <w:rFonts w:hint="eastAsia" w:ascii="宋体" w:hAnsi="宋体" w:cs="宋体"/>
                <w:color w:val="auto"/>
              </w:rPr>
              <w:t>3.质量保证体系不健全，措施不合理，不得分。</w:t>
            </w:r>
          </w:p>
        </w:tc>
        <w:tc>
          <w:tcPr>
            <w:tcW w:w="937" w:type="dxa"/>
            <w:tcBorders>
              <w:top w:val="single" w:color="auto" w:sz="4" w:space="0"/>
              <w:bottom w:val="single" w:color="auto" w:sz="4" w:space="0"/>
            </w:tcBorders>
            <w:vAlign w:val="center"/>
          </w:tcPr>
          <w:p>
            <w:pPr>
              <w:snapToGrid w:val="0"/>
              <w:jc w:val="center"/>
              <w:rPr>
                <w:rFonts w:ascii="宋体" w:hAnsi="宋体" w:cs="宋体"/>
                <w:color w:val="auto"/>
              </w:rPr>
            </w:pPr>
            <w:r>
              <w:rPr>
                <w:rFonts w:hint="eastAsia" w:ascii="宋体" w:hAnsi="宋体" w:cs="宋体"/>
                <w:color w:val="auto"/>
              </w:rPr>
              <w:t>3分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8" w:hRule="atLeast"/>
          <w:jc w:val="center"/>
        </w:trPr>
        <w:tc>
          <w:tcPr>
            <w:tcW w:w="733" w:type="dxa"/>
            <w:tcBorders>
              <w:top w:val="single" w:color="auto" w:sz="4" w:space="0"/>
              <w:bottom w:val="single" w:color="auto" w:sz="4" w:space="0"/>
            </w:tcBorders>
            <w:vAlign w:val="center"/>
          </w:tcPr>
          <w:p>
            <w:pPr>
              <w:snapToGrid w:val="0"/>
              <w:rPr>
                <w:rFonts w:ascii="宋体" w:hAnsi="宋体" w:cs="宋体"/>
                <w:color w:val="auto"/>
              </w:rPr>
            </w:pPr>
            <w:r>
              <w:rPr>
                <w:rFonts w:hint="eastAsia" w:ascii="宋体" w:hAnsi="宋体" w:cs="宋体"/>
                <w:color w:val="auto"/>
              </w:rPr>
              <w:t>5</w:t>
            </w:r>
          </w:p>
        </w:tc>
        <w:tc>
          <w:tcPr>
            <w:tcW w:w="1752" w:type="dxa"/>
            <w:gridSpan w:val="2"/>
            <w:tcBorders>
              <w:top w:val="single" w:color="auto" w:sz="4" w:space="0"/>
              <w:bottom w:val="single" w:color="auto" w:sz="4" w:space="0"/>
            </w:tcBorders>
            <w:vAlign w:val="center"/>
          </w:tcPr>
          <w:p>
            <w:pPr>
              <w:snapToGrid w:val="0"/>
              <w:rPr>
                <w:rFonts w:ascii="宋体" w:hAnsi="宋体" w:cs="宋体"/>
                <w:color w:val="auto"/>
              </w:rPr>
            </w:pPr>
            <w:r>
              <w:rPr>
                <w:rFonts w:hint="eastAsia" w:ascii="宋体" w:hAnsi="宋体" w:cs="宋体"/>
                <w:color w:val="auto"/>
              </w:rPr>
              <w:t>保障措施</w:t>
            </w:r>
          </w:p>
        </w:tc>
        <w:tc>
          <w:tcPr>
            <w:tcW w:w="6541" w:type="dxa"/>
            <w:tcBorders>
              <w:top w:val="single" w:color="auto" w:sz="4" w:space="0"/>
              <w:bottom w:val="single" w:color="auto" w:sz="4" w:space="0"/>
            </w:tcBorders>
            <w:vAlign w:val="center"/>
          </w:tcPr>
          <w:p>
            <w:pPr>
              <w:snapToGrid w:val="0"/>
              <w:rPr>
                <w:rFonts w:ascii="宋体" w:hAnsi="宋体" w:cs="宋体"/>
                <w:color w:val="auto"/>
              </w:rPr>
            </w:pPr>
            <w:r>
              <w:rPr>
                <w:rFonts w:hint="eastAsia" w:ascii="宋体" w:hAnsi="宋体" w:cs="宋体"/>
                <w:color w:val="auto"/>
              </w:rPr>
              <w:t>1.组织管理体系和措施完善，足够满足项目需要，得3分。</w:t>
            </w:r>
          </w:p>
          <w:p>
            <w:pPr>
              <w:snapToGrid w:val="0"/>
              <w:rPr>
                <w:rFonts w:ascii="宋体" w:hAnsi="宋体" w:cs="宋体"/>
                <w:color w:val="auto"/>
              </w:rPr>
            </w:pPr>
            <w:r>
              <w:rPr>
                <w:rFonts w:hint="eastAsia" w:ascii="宋体" w:hAnsi="宋体" w:cs="宋体"/>
                <w:color w:val="auto"/>
              </w:rPr>
              <w:t>2.组织管理体系和措施基本完善，基本满足项目需要，得2分。</w:t>
            </w:r>
          </w:p>
          <w:p>
            <w:pPr>
              <w:snapToGrid w:val="0"/>
              <w:rPr>
                <w:rFonts w:ascii="宋体" w:hAnsi="宋体" w:cs="宋体"/>
                <w:color w:val="auto"/>
              </w:rPr>
            </w:pPr>
            <w:r>
              <w:rPr>
                <w:rFonts w:hint="eastAsia" w:ascii="宋体" w:hAnsi="宋体" w:cs="宋体"/>
                <w:color w:val="auto"/>
              </w:rPr>
              <w:t>3.组织管理体系和措施不够完善，难以满足项目需要，得1分。</w:t>
            </w:r>
          </w:p>
        </w:tc>
        <w:tc>
          <w:tcPr>
            <w:tcW w:w="937" w:type="dxa"/>
            <w:tcBorders>
              <w:top w:val="single" w:color="auto" w:sz="4" w:space="0"/>
              <w:bottom w:val="single" w:color="auto" w:sz="4" w:space="0"/>
            </w:tcBorders>
            <w:vAlign w:val="center"/>
          </w:tcPr>
          <w:p>
            <w:pPr>
              <w:snapToGrid w:val="0"/>
              <w:jc w:val="center"/>
              <w:rPr>
                <w:rFonts w:ascii="宋体" w:hAnsi="宋体" w:cs="宋体"/>
                <w:color w:val="auto"/>
              </w:rPr>
            </w:pPr>
            <w:r>
              <w:rPr>
                <w:rFonts w:hint="eastAsia" w:ascii="宋体" w:hAnsi="宋体" w:cs="宋体"/>
                <w:color w:val="auto"/>
              </w:rPr>
              <w:t>3分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8" w:hRule="atLeast"/>
          <w:jc w:val="center"/>
        </w:trPr>
        <w:tc>
          <w:tcPr>
            <w:tcW w:w="733" w:type="dxa"/>
            <w:tcBorders>
              <w:top w:val="single" w:color="auto" w:sz="4" w:space="0"/>
              <w:bottom w:val="single" w:color="auto" w:sz="4" w:space="0"/>
            </w:tcBorders>
            <w:vAlign w:val="center"/>
          </w:tcPr>
          <w:p>
            <w:pPr>
              <w:snapToGrid w:val="0"/>
              <w:rPr>
                <w:rFonts w:ascii="宋体" w:hAnsi="宋体" w:cs="宋体"/>
                <w:color w:val="auto"/>
              </w:rPr>
            </w:pPr>
            <w:r>
              <w:rPr>
                <w:rFonts w:hint="eastAsia" w:ascii="宋体" w:hAnsi="宋体" w:cs="宋体"/>
                <w:color w:val="auto"/>
              </w:rPr>
              <w:t>6</w:t>
            </w:r>
          </w:p>
        </w:tc>
        <w:tc>
          <w:tcPr>
            <w:tcW w:w="1752" w:type="dxa"/>
            <w:gridSpan w:val="2"/>
            <w:tcBorders>
              <w:top w:val="single" w:color="auto" w:sz="4" w:space="0"/>
              <w:bottom w:val="single" w:color="auto" w:sz="4" w:space="0"/>
            </w:tcBorders>
            <w:vAlign w:val="center"/>
          </w:tcPr>
          <w:p>
            <w:pPr>
              <w:snapToGrid w:val="0"/>
              <w:rPr>
                <w:rFonts w:ascii="宋体" w:hAnsi="宋体" w:cs="宋体"/>
                <w:color w:val="auto"/>
              </w:rPr>
            </w:pPr>
            <w:r>
              <w:rPr>
                <w:rFonts w:hint="eastAsia" w:ascii="宋体" w:hAnsi="宋体" w:cs="宋体"/>
                <w:color w:val="auto"/>
              </w:rPr>
              <w:t>工期</w:t>
            </w:r>
          </w:p>
        </w:tc>
        <w:tc>
          <w:tcPr>
            <w:tcW w:w="6541" w:type="dxa"/>
            <w:tcBorders>
              <w:top w:val="single" w:color="auto" w:sz="4" w:space="0"/>
              <w:bottom w:val="single" w:color="auto" w:sz="4" w:space="0"/>
            </w:tcBorders>
            <w:vAlign w:val="center"/>
          </w:tcPr>
          <w:p>
            <w:pPr>
              <w:snapToGrid w:val="0"/>
              <w:rPr>
                <w:rFonts w:ascii="宋体" w:hAnsi="宋体" w:cs="宋体"/>
                <w:color w:val="auto"/>
              </w:rPr>
            </w:pPr>
            <w:r>
              <w:rPr>
                <w:rFonts w:hint="eastAsia" w:ascii="宋体" w:hAnsi="宋体" w:cs="宋体"/>
                <w:color w:val="auto"/>
                <w:kern w:val="0"/>
                <w:szCs w:val="21"/>
                <w:lang w:val="en-GB"/>
              </w:rPr>
              <w:t>本项目竞争性磋商文件规定的工期为</w:t>
            </w:r>
            <w:r>
              <w:rPr>
                <w:rFonts w:hint="eastAsia" w:ascii="宋体" w:hAnsi="宋体" w:cs="宋体"/>
                <w:color w:val="auto"/>
                <w:kern w:val="0"/>
                <w:szCs w:val="21"/>
              </w:rPr>
              <w:t>60日历天</w:t>
            </w:r>
            <w:r>
              <w:rPr>
                <w:rFonts w:hint="eastAsia" w:ascii="宋体" w:hAnsi="宋体" w:cs="宋体"/>
                <w:color w:val="auto"/>
                <w:kern w:val="0"/>
                <w:szCs w:val="21"/>
                <w:lang w:val="en-GB"/>
              </w:rPr>
              <w:t>，承诺工期为</w:t>
            </w:r>
            <w:r>
              <w:rPr>
                <w:rFonts w:hint="eastAsia" w:ascii="宋体" w:hAnsi="宋体" w:cs="宋体"/>
                <w:color w:val="auto"/>
                <w:kern w:val="0"/>
                <w:szCs w:val="21"/>
              </w:rPr>
              <w:t>60日历天</w:t>
            </w:r>
            <w:r>
              <w:rPr>
                <w:rFonts w:hint="eastAsia" w:ascii="宋体" w:hAnsi="宋体" w:cs="宋体"/>
                <w:color w:val="auto"/>
                <w:kern w:val="0"/>
                <w:szCs w:val="21"/>
                <w:lang w:val="en-GB"/>
              </w:rPr>
              <w:t>的不得分，承诺工期每缩短</w:t>
            </w:r>
            <w:r>
              <w:rPr>
                <w:rFonts w:hint="eastAsia" w:ascii="宋体" w:hAnsi="宋体" w:cs="宋体"/>
                <w:color w:val="auto"/>
                <w:kern w:val="0"/>
                <w:szCs w:val="21"/>
              </w:rPr>
              <w:t>3日历天</w:t>
            </w:r>
            <w:r>
              <w:rPr>
                <w:rFonts w:hint="eastAsia" w:ascii="宋体" w:hAnsi="宋体" w:cs="宋体"/>
                <w:color w:val="auto"/>
                <w:kern w:val="0"/>
                <w:szCs w:val="21"/>
                <w:lang w:val="en-GB"/>
              </w:rPr>
              <w:t>得</w:t>
            </w:r>
            <w:r>
              <w:rPr>
                <w:rFonts w:hint="eastAsia" w:ascii="宋体" w:hAnsi="宋体" w:cs="宋体"/>
                <w:color w:val="auto"/>
                <w:kern w:val="0"/>
                <w:szCs w:val="21"/>
              </w:rPr>
              <w:t>2</w:t>
            </w:r>
            <w:r>
              <w:rPr>
                <w:rFonts w:hint="eastAsia" w:ascii="宋体" w:hAnsi="宋体" w:cs="宋体"/>
                <w:color w:val="auto"/>
                <w:kern w:val="0"/>
                <w:szCs w:val="21"/>
                <w:lang w:val="en-GB"/>
              </w:rPr>
              <w:t>分，满分为</w:t>
            </w:r>
            <w:r>
              <w:rPr>
                <w:rFonts w:hint="eastAsia" w:ascii="宋体" w:hAnsi="宋体" w:cs="宋体"/>
                <w:color w:val="auto"/>
                <w:kern w:val="0"/>
                <w:szCs w:val="21"/>
              </w:rPr>
              <w:t>4</w:t>
            </w:r>
            <w:r>
              <w:rPr>
                <w:rFonts w:hint="eastAsia" w:ascii="宋体" w:hAnsi="宋体" w:cs="宋体"/>
                <w:color w:val="auto"/>
                <w:kern w:val="0"/>
                <w:szCs w:val="21"/>
                <w:lang w:val="en-GB"/>
              </w:rPr>
              <w:t>分。</w:t>
            </w:r>
          </w:p>
        </w:tc>
        <w:tc>
          <w:tcPr>
            <w:tcW w:w="937" w:type="dxa"/>
            <w:tcBorders>
              <w:top w:val="single" w:color="auto" w:sz="4" w:space="0"/>
              <w:bottom w:val="single" w:color="auto" w:sz="4" w:space="0"/>
            </w:tcBorders>
            <w:vAlign w:val="center"/>
          </w:tcPr>
          <w:p>
            <w:pPr>
              <w:snapToGrid w:val="0"/>
              <w:jc w:val="center"/>
              <w:rPr>
                <w:rFonts w:ascii="宋体" w:hAnsi="宋体" w:cs="宋体"/>
                <w:color w:val="auto"/>
              </w:rPr>
            </w:pPr>
            <w:r>
              <w:rPr>
                <w:rFonts w:hint="eastAsia" w:ascii="宋体" w:hAnsi="宋体" w:cs="宋体"/>
                <w:color w:val="auto"/>
              </w:rPr>
              <w:t>4分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90" w:hRule="atLeast"/>
          <w:jc w:val="center"/>
        </w:trPr>
        <w:tc>
          <w:tcPr>
            <w:tcW w:w="733" w:type="dxa"/>
            <w:vMerge w:val="restart"/>
            <w:tcBorders>
              <w:top w:val="single" w:color="auto" w:sz="4" w:space="0"/>
            </w:tcBorders>
            <w:vAlign w:val="center"/>
          </w:tcPr>
          <w:p>
            <w:pPr>
              <w:snapToGrid w:val="0"/>
              <w:rPr>
                <w:rFonts w:ascii="宋体" w:hAnsi="宋体" w:cs="宋体"/>
                <w:color w:val="auto"/>
              </w:rPr>
            </w:pPr>
            <w:r>
              <w:rPr>
                <w:rFonts w:hint="eastAsia" w:ascii="宋体" w:hAnsi="宋体" w:cs="宋体"/>
                <w:color w:val="auto"/>
              </w:rPr>
              <w:t>7</w:t>
            </w:r>
          </w:p>
        </w:tc>
        <w:tc>
          <w:tcPr>
            <w:tcW w:w="659" w:type="dxa"/>
            <w:vMerge w:val="restart"/>
            <w:tcBorders>
              <w:top w:val="single" w:color="auto" w:sz="4" w:space="0"/>
            </w:tcBorders>
            <w:vAlign w:val="center"/>
          </w:tcPr>
          <w:p>
            <w:pPr>
              <w:snapToGrid w:val="0"/>
              <w:rPr>
                <w:rFonts w:ascii="宋体" w:hAnsi="宋体" w:cs="宋体"/>
                <w:color w:val="auto"/>
              </w:rPr>
            </w:pPr>
            <w:r>
              <w:rPr>
                <w:rFonts w:hint="eastAsia" w:ascii="宋体" w:hAnsi="宋体" w:cs="Arial Unicode MS"/>
                <w:color w:val="auto"/>
                <w:szCs w:val="21"/>
              </w:rPr>
              <w:t>项目团队人员情况</w:t>
            </w:r>
          </w:p>
        </w:tc>
        <w:tc>
          <w:tcPr>
            <w:tcW w:w="1093" w:type="dxa"/>
            <w:tcBorders>
              <w:top w:val="single" w:color="auto" w:sz="4" w:space="0"/>
              <w:bottom w:val="single" w:color="auto" w:sz="4" w:space="0"/>
            </w:tcBorders>
            <w:vAlign w:val="center"/>
          </w:tcPr>
          <w:p>
            <w:pPr>
              <w:snapToGrid w:val="0"/>
              <w:rPr>
                <w:rFonts w:ascii="宋体" w:hAnsi="宋体" w:cs="Arial Unicode MS"/>
                <w:color w:val="auto"/>
                <w:szCs w:val="21"/>
              </w:rPr>
            </w:pPr>
            <w:r>
              <w:rPr>
                <w:rFonts w:hint="eastAsia" w:ascii="宋体" w:hAnsi="宋体" w:cs="Arial Unicode MS"/>
                <w:color w:val="auto"/>
                <w:szCs w:val="21"/>
              </w:rPr>
              <w:t>管理和技术人员</w:t>
            </w:r>
          </w:p>
        </w:tc>
        <w:tc>
          <w:tcPr>
            <w:tcW w:w="6541" w:type="dxa"/>
            <w:tcBorders>
              <w:top w:val="single" w:color="auto" w:sz="4" w:space="0"/>
              <w:bottom w:val="single" w:color="auto" w:sz="4" w:space="0"/>
            </w:tcBorders>
            <w:vAlign w:val="center"/>
          </w:tcPr>
          <w:p>
            <w:pPr>
              <w:snapToGrid w:val="0"/>
              <w:rPr>
                <w:rFonts w:ascii="宋体" w:hAnsi="宋体" w:cs="宋体"/>
                <w:color w:val="auto"/>
              </w:rPr>
            </w:pPr>
            <w:r>
              <w:rPr>
                <w:rFonts w:hint="eastAsia" w:ascii="宋体" w:hAnsi="宋体" w:cs="宋体"/>
                <w:color w:val="auto"/>
              </w:rPr>
              <w:t>1.投入项目团队人员具备中级或以上职称，人数为6人或以上（其中高级/一级或以上级别职称不少于3人）的得3分；</w:t>
            </w:r>
          </w:p>
          <w:p>
            <w:pPr>
              <w:snapToGrid w:val="0"/>
              <w:rPr>
                <w:rFonts w:ascii="宋体" w:hAnsi="宋体" w:cs="宋体"/>
                <w:color w:val="auto"/>
              </w:rPr>
            </w:pPr>
            <w:r>
              <w:rPr>
                <w:rFonts w:hint="eastAsia" w:ascii="宋体" w:hAnsi="宋体" w:cs="宋体"/>
                <w:color w:val="auto"/>
              </w:rPr>
              <w:t>2.</w:t>
            </w:r>
            <w:r>
              <w:rPr>
                <w:rFonts w:ascii="宋体" w:hAnsi="宋体" w:cs="宋体"/>
                <w:color w:val="auto"/>
              </w:rPr>
              <w:t>投入项目团队人员具备中级或以上职称，人数为</w:t>
            </w:r>
            <w:r>
              <w:rPr>
                <w:rFonts w:hint="eastAsia" w:ascii="宋体" w:hAnsi="宋体" w:cs="宋体"/>
                <w:color w:val="auto"/>
              </w:rPr>
              <w:t>4</w:t>
            </w:r>
            <w:r>
              <w:rPr>
                <w:rFonts w:ascii="宋体" w:hAnsi="宋体" w:cs="宋体"/>
                <w:color w:val="auto"/>
              </w:rPr>
              <w:t>人或以上（其中高级</w:t>
            </w:r>
            <w:r>
              <w:rPr>
                <w:rFonts w:hint="eastAsia" w:ascii="宋体" w:hAnsi="宋体" w:cs="宋体"/>
                <w:color w:val="auto"/>
              </w:rPr>
              <w:t>/一级</w:t>
            </w:r>
            <w:r>
              <w:rPr>
                <w:rFonts w:ascii="宋体" w:hAnsi="宋体" w:cs="宋体"/>
                <w:color w:val="auto"/>
              </w:rPr>
              <w:t>或以上</w:t>
            </w:r>
            <w:r>
              <w:rPr>
                <w:rFonts w:hint="eastAsia" w:ascii="宋体" w:hAnsi="宋体" w:cs="宋体"/>
                <w:color w:val="auto"/>
              </w:rPr>
              <w:t>级别</w:t>
            </w:r>
            <w:r>
              <w:rPr>
                <w:rFonts w:ascii="宋体" w:hAnsi="宋体" w:cs="宋体"/>
                <w:color w:val="auto"/>
              </w:rPr>
              <w:t>职称不少于</w:t>
            </w:r>
            <w:r>
              <w:rPr>
                <w:rFonts w:hint="eastAsia" w:ascii="宋体" w:hAnsi="宋体" w:cs="宋体"/>
                <w:color w:val="auto"/>
              </w:rPr>
              <w:t>2</w:t>
            </w:r>
            <w:r>
              <w:rPr>
                <w:rFonts w:ascii="宋体" w:hAnsi="宋体" w:cs="宋体"/>
                <w:color w:val="auto"/>
              </w:rPr>
              <w:t>人）的得</w:t>
            </w:r>
            <w:r>
              <w:rPr>
                <w:rFonts w:hint="eastAsia" w:ascii="宋体" w:hAnsi="宋体" w:cs="宋体"/>
                <w:color w:val="auto"/>
              </w:rPr>
              <w:t>2</w:t>
            </w:r>
            <w:r>
              <w:rPr>
                <w:rFonts w:ascii="宋体" w:hAnsi="宋体" w:cs="宋体"/>
                <w:color w:val="auto"/>
              </w:rPr>
              <w:t>分；</w:t>
            </w:r>
          </w:p>
          <w:p>
            <w:pPr>
              <w:snapToGrid w:val="0"/>
              <w:rPr>
                <w:color w:val="auto"/>
              </w:rPr>
            </w:pPr>
            <w:r>
              <w:rPr>
                <w:rFonts w:hint="eastAsia" w:ascii="宋体" w:hAnsi="宋体" w:cs="宋体"/>
                <w:color w:val="auto"/>
              </w:rPr>
              <w:t>3.投入项目团队人员具备中级或以上职称，人数为2人或以上（其中高级/一级</w:t>
            </w:r>
            <w:r>
              <w:rPr>
                <w:rFonts w:ascii="宋体" w:hAnsi="宋体" w:cs="宋体"/>
                <w:color w:val="auto"/>
              </w:rPr>
              <w:t>或以上</w:t>
            </w:r>
            <w:r>
              <w:rPr>
                <w:rFonts w:hint="eastAsia" w:ascii="宋体" w:hAnsi="宋体" w:cs="宋体"/>
                <w:color w:val="auto"/>
              </w:rPr>
              <w:t>级别职称不少于1人）的得1分。</w:t>
            </w:r>
          </w:p>
          <w:p>
            <w:pPr>
              <w:snapToGrid w:val="0"/>
              <w:rPr>
                <w:color w:val="auto"/>
              </w:rPr>
            </w:pPr>
            <w:r>
              <w:rPr>
                <w:rFonts w:hint="eastAsia" w:ascii="宋体" w:hAnsi="宋体" w:cs="宋体"/>
                <w:color w:val="auto"/>
              </w:rPr>
              <w:t>备注：需提供项目团队人员职称证复印件。</w:t>
            </w:r>
          </w:p>
        </w:tc>
        <w:tc>
          <w:tcPr>
            <w:tcW w:w="937" w:type="dxa"/>
            <w:tcBorders>
              <w:top w:val="single" w:color="auto" w:sz="4" w:space="0"/>
              <w:bottom w:val="single" w:color="auto" w:sz="4" w:space="0"/>
            </w:tcBorders>
            <w:vAlign w:val="center"/>
          </w:tcPr>
          <w:p>
            <w:pPr>
              <w:snapToGrid w:val="0"/>
              <w:jc w:val="center"/>
              <w:rPr>
                <w:rFonts w:hint="eastAsia" w:ascii="宋体" w:hAnsi="宋体" w:eastAsia="宋体" w:cs="宋体"/>
                <w:color w:val="auto"/>
                <w:lang w:val="en-US" w:eastAsia="zh-CN"/>
              </w:rPr>
            </w:pPr>
            <w:r>
              <w:rPr>
                <w:rFonts w:hint="eastAsia" w:ascii="宋体" w:hAnsi="宋体" w:cs="宋体"/>
                <w:color w:val="auto"/>
              </w:rPr>
              <w:t>3</w:t>
            </w:r>
            <w:r>
              <w:rPr>
                <w:rFonts w:hint="eastAsia" w:ascii="宋体" w:hAnsi="宋体" w:cs="宋体"/>
                <w:color w:val="auto"/>
                <w:lang w:eastAsia="zh-CN"/>
              </w:rPr>
              <w:t>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343" w:hRule="atLeast"/>
          <w:jc w:val="center"/>
        </w:trPr>
        <w:tc>
          <w:tcPr>
            <w:tcW w:w="733" w:type="dxa"/>
            <w:vMerge w:val="continue"/>
            <w:tcBorders>
              <w:bottom w:val="single" w:color="auto" w:sz="4" w:space="0"/>
            </w:tcBorders>
            <w:vAlign w:val="center"/>
          </w:tcPr>
          <w:p>
            <w:pPr>
              <w:snapToGrid w:val="0"/>
              <w:rPr>
                <w:rFonts w:ascii="宋体" w:hAnsi="宋体" w:cs="宋体"/>
                <w:color w:val="auto"/>
              </w:rPr>
            </w:pPr>
          </w:p>
        </w:tc>
        <w:tc>
          <w:tcPr>
            <w:tcW w:w="659" w:type="dxa"/>
            <w:vMerge w:val="continue"/>
            <w:tcBorders>
              <w:bottom w:val="single" w:color="auto" w:sz="4" w:space="0"/>
            </w:tcBorders>
            <w:vAlign w:val="center"/>
          </w:tcPr>
          <w:p>
            <w:pPr>
              <w:snapToGrid w:val="0"/>
              <w:rPr>
                <w:rFonts w:ascii="宋体" w:hAnsi="宋体" w:cs="Arial Unicode MS"/>
                <w:color w:val="auto"/>
                <w:szCs w:val="21"/>
              </w:rPr>
            </w:pPr>
          </w:p>
        </w:tc>
        <w:tc>
          <w:tcPr>
            <w:tcW w:w="1093" w:type="dxa"/>
            <w:tcBorders>
              <w:top w:val="single" w:color="auto" w:sz="4" w:space="0"/>
              <w:bottom w:val="single" w:color="auto" w:sz="4" w:space="0"/>
            </w:tcBorders>
            <w:vAlign w:val="center"/>
          </w:tcPr>
          <w:p>
            <w:pPr>
              <w:snapToGrid w:val="0"/>
              <w:rPr>
                <w:rFonts w:ascii="宋体" w:hAnsi="宋体" w:cs="Arial Unicode MS"/>
                <w:color w:val="auto"/>
                <w:szCs w:val="21"/>
              </w:rPr>
            </w:pPr>
            <w:r>
              <w:rPr>
                <w:rFonts w:hint="eastAsia" w:ascii="宋体" w:hAnsi="宋体" w:cs="Arial Unicode MS"/>
                <w:color w:val="auto"/>
                <w:szCs w:val="21"/>
              </w:rPr>
              <w:t>项目施工人员</w:t>
            </w:r>
          </w:p>
        </w:tc>
        <w:tc>
          <w:tcPr>
            <w:tcW w:w="6541" w:type="dxa"/>
            <w:tcBorders>
              <w:top w:val="single" w:color="auto" w:sz="4" w:space="0"/>
              <w:bottom w:val="single" w:color="auto" w:sz="4" w:space="0"/>
            </w:tcBorders>
            <w:vAlign w:val="center"/>
          </w:tcPr>
          <w:p>
            <w:pPr>
              <w:snapToGrid w:val="0"/>
              <w:rPr>
                <w:rFonts w:ascii="宋体" w:hAnsi="宋体" w:cs="宋体"/>
                <w:color w:val="auto"/>
              </w:rPr>
            </w:pPr>
            <w:r>
              <w:rPr>
                <w:rFonts w:hint="eastAsia" w:ascii="宋体" w:hAnsi="宋体" w:cs="宋体"/>
                <w:color w:val="auto"/>
              </w:rPr>
              <w:t>1.持证上岗施工技术人员为3人或以上的得3分；</w:t>
            </w:r>
          </w:p>
          <w:p>
            <w:pPr>
              <w:snapToGrid w:val="0"/>
              <w:rPr>
                <w:rFonts w:ascii="宋体" w:hAnsi="宋体" w:cs="宋体"/>
                <w:color w:val="auto"/>
              </w:rPr>
            </w:pPr>
            <w:r>
              <w:rPr>
                <w:rFonts w:hint="eastAsia" w:ascii="宋体" w:hAnsi="宋体" w:cs="宋体"/>
                <w:color w:val="auto"/>
              </w:rPr>
              <w:t>2.</w:t>
            </w:r>
            <w:r>
              <w:rPr>
                <w:rFonts w:ascii="宋体" w:hAnsi="宋体" w:cs="宋体"/>
                <w:color w:val="auto"/>
              </w:rPr>
              <w:t>持证上岗施工技术人员为</w:t>
            </w:r>
            <w:r>
              <w:rPr>
                <w:rFonts w:hint="eastAsia" w:ascii="宋体" w:hAnsi="宋体" w:cs="宋体"/>
                <w:color w:val="auto"/>
              </w:rPr>
              <w:t>2</w:t>
            </w:r>
            <w:r>
              <w:rPr>
                <w:rFonts w:ascii="宋体" w:hAnsi="宋体" w:cs="宋体"/>
                <w:color w:val="auto"/>
              </w:rPr>
              <w:t>人的得</w:t>
            </w:r>
            <w:r>
              <w:rPr>
                <w:rFonts w:hint="eastAsia" w:ascii="宋体" w:hAnsi="宋体" w:cs="宋体"/>
                <w:color w:val="auto"/>
              </w:rPr>
              <w:t>2</w:t>
            </w:r>
            <w:r>
              <w:rPr>
                <w:rFonts w:ascii="宋体" w:hAnsi="宋体" w:cs="宋体"/>
                <w:color w:val="auto"/>
              </w:rPr>
              <w:t>分；</w:t>
            </w:r>
          </w:p>
          <w:p>
            <w:pPr>
              <w:snapToGrid w:val="0"/>
              <w:rPr>
                <w:rFonts w:ascii="宋体" w:hAnsi="宋体" w:cs="宋体"/>
                <w:color w:val="auto"/>
              </w:rPr>
            </w:pPr>
            <w:r>
              <w:rPr>
                <w:rFonts w:hint="eastAsia" w:ascii="宋体" w:hAnsi="宋体" w:cs="宋体"/>
                <w:color w:val="auto"/>
              </w:rPr>
              <w:t>3.持证上岗施工技术人员人数为1人的得1分。</w:t>
            </w:r>
          </w:p>
          <w:p>
            <w:pPr>
              <w:snapToGrid w:val="0"/>
              <w:rPr>
                <w:color w:val="auto"/>
              </w:rPr>
            </w:pPr>
            <w:r>
              <w:rPr>
                <w:rFonts w:hint="eastAsia" w:ascii="宋体" w:hAnsi="宋体" w:cs="宋体"/>
                <w:color w:val="auto"/>
              </w:rPr>
              <w:t>备注：需提供施工技术人员上岗证复印件。</w:t>
            </w:r>
          </w:p>
        </w:tc>
        <w:tc>
          <w:tcPr>
            <w:tcW w:w="937" w:type="dxa"/>
            <w:tcBorders>
              <w:top w:val="single" w:color="auto" w:sz="4" w:space="0"/>
              <w:bottom w:val="single" w:color="auto" w:sz="4" w:space="0"/>
            </w:tcBorders>
            <w:vAlign w:val="center"/>
          </w:tcPr>
          <w:p>
            <w:pPr>
              <w:snapToGrid w:val="0"/>
              <w:jc w:val="center"/>
              <w:rPr>
                <w:rFonts w:hint="eastAsia" w:ascii="宋体" w:hAnsi="宋体" w:eastAsia="宋体" w:cs="宋体"/>
                <w:color w:val="auto"/>
                <w:lang w:eastAsia="zh-CN"/>
              </w:rPr>
            </w:pPr>
            <w:r>
              <w:rPr>
                <w:rFonts w:hint="eastAsia" w:ascii="宋体" w:hAnsi="宋体" w:cs="宋体"/>
                <w:color w:val="auto"/>
              </w:rPr>
              <w:t>3</w:t>
            </w:r>
            <w:r>
              <w:rPr>
                <w:rFonts w:hint="eastAsia" w:ascii="宋体" w:hAnsi="宋体" w:cs="宋体"/>
                <w:color w:val="auto"/>
                <w:lang w:eastAsia="zh-CN"/>
              </w:rPr>
              <w:t>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86" w:hRule="atLeast"/>
          <w:jc w:val="center"/>
        </w:trPr>
        <w:tc>
          <w:tcPr>
            <w:tcW w:w="1392" w:type="dxa"/>
            <w:gridSpan w:val="2"/>
            <w:tcBorders>
              <w:top w:val="single" w:color="auto" w:sz="4" w:space="0"/>
              <w:bottom w:val="single" w:color="auto" w:sz="4" w:space="0"/>
            </w:tcBorders>
            <w:vAlign w:val="center"/>
          </w:tcPr>
          <w:p>
            <w:pPr>
              <w:snapToGrid w:val="0"/>
              <w:rPr>
                <w:rFonts w:ascii="宋体" w:hAnsi="宋体" w:cs="宋体"/>
                <w:color w:val="auto"/>
              </w:rPr>
            </w:pPr>
            <w:r>
              <w:rPr>
                <w:rFonts w:hint="eastAsia" w:ascii="宋体" w:hAnsi="宋体" w:cs="宋体"/>
                <w:color w:val="auto"/>
              </w:rPr>
              <w:t>合计</w:t>
            </w:r>
          </w:p>
        </w:tc>
        <w:tc>
          <w:tcPr>
            <w:tcW w:w="1093" w:type="dxa"/>
            <w:tcBorders>
              <w:top w:val="single" w:color="auto" w:sz="4" w:space="0"/>
              <w:bottom w:val="single" w:color="auto" w:sz="4" w:space="0"/>
            </w:tcBorders>
            <w:vAlign w:val="center"/>
          </w:tcPr>
          <w:p>
            <w:pPr>
              <w:snapToGrid w:val="0"/>
              <w:rPr>
                <w:rFonts w:ascii="宋体" w:hAnsi="宋体" w:cs="宋体"/>
                <w:color w:val="auto"/>
              </w:rPr>
            </w:pPr>
          </w:p>
        </w:tc>
        <w:tc>
          <w:tcPr>
            <w:tcW w:w="6541" w:type="dxa"/>
            <w:tcBorders>
              <w:top w:val="single" w:color="auto" w:sz="4" w:space="0"/>
              <w:bottom w:val="single" w:color="auto" w:sz="4" w:space="0"/>
            </w:tcBorders>
            <w:vAlign w:val="center"/>
          </w:tcPr>
          <w:p>
            <w:pPr>
              <w:snapToGrid w:val="0"/>
              <w:rPr>
                <w:rFonts w:ascii="宋体" w:hAnsi="宋体" w:cs="宋体"/>
                <w:color w:val="auto"/>
              </w:rPr>
            </w:pPr>
          </w:p>
        </w:tc>
        <w:tc>
          <w:tcPr>
            <w:tcW w:w="937" w:type="dxa"/>
            <w:tcBorders>
              <w:top w:val="single" w:color="auto" w:sz="4" w:space="0"/>
              <w:bottom w:val="single" w:color="auto" w:sz="4" w:space="0"/>
            </w:tcBorders>
            <w:vAlign w:val="center"/>
          </w:tcPr>
          <w:p>
            <w:pPr>
              <w:snapToGrid w:val="0"/>
              <w:jc w:val="center"/>
              <w:rPr>
                <w:rFonts w:ascii="宋体" w:hAnsi="宋体" w:cs="宋体"/>
                <w:color w:val="auto"/>
              </w:rPr>
            </w:pPr>
            <w:r>
              <w:rPr>
                <w:rFonts w:hint="eastAsia" w:ascii="宋体" w:hAnsi="宋体" w:cs="宋体"/>
                <w:color w:val="auto"/>
              </w:rPr>
              <w:t>30分</w:t>
            </w:r>
          </w:p>
        </w:tc>
      </w:tr>
    </w:tbl>
    <w:p>
      <w:pPr>
        <w:snapToGrid w:val="0"/>
        <w:rPr>
          <w:rFonts w:ascii="宋体" w:hAnsi="宋体" w:cs="宋体"/>
          <w:b/>
          <w:bCs/>
          <w:color w:val="auto"/>
        </w:rPr>
      </w:pPr>
      <w:r>
        <w:rPr>
          <w:rFonts w:hint="eastAsia" w:ascii="宋体" w:hAnsi="宋体" w:cs="宋体"/>
          <w:b/>
          <w:bCs/>
          <w:color w:val="auto"/>
        </w:rPr>
        <w:t>备注：招标文件要求提交的与评价指标体系相关的各类有效资料，投标人如未按要求提交，或提供的证明材料不全，或有有效期但不在有效期内，或提供的证明材料均不能反映相关评审内容的，该项不得分；</w:t>
      </w:r>
    </w:p>
    <w:p>
      <w:pPr>
        <w:tabs>
          <w:tab w:val="left" w:pos="720"/>
        </w:tabs>
        <w:snapToGrid w:val="0"/>
        <w:rPr>
          <w:rFonts w:ascii="宋体" w:hAnsi="宋体" w:cs="宋体"/>
          <w:bCs/>
          <w:color w:val="auto"/>
          <w:szCs w:val="21"/>
        </w:rPr>
      </w:pPr>
    </w:p>
    <w:p>
      <w:pPr>
        <w:tabs>
          <w:tab w:val="left" w:pos="720"/>
        </w:tabs>
        <w:snapToGrid w:val="0"/>
        <w:ind w:firstLine="210" w:firstLineChars="100"/>
        <w:rPr>
          <w:rFonts w:ascii="宋体" w:hAnsi="宋体" w:cs="宋体"/>
          <w:bCs/>
          <w:color w:val="auto"/>
          <w:szCs w:val="21"/>
        </w:rPr>
      </w:pPr>
      <w:r>
        <w:rPr>
          <w:rFonts w:hint="eastAsia" w:ascii="宋体" w:hAnsi="宋体" w:cs="宋体"/>
          <w:bCs/>
          <w:color w:val="auto"/>
          <w:szCs w:val="21"/>
        </w:rPr>
        <w:t xml:space="preserve">评委签名：             </w:t>
      </w:r>
    </w:p>
    <w:p>
      <w:pPr>
        <w:tabs>
          <w:tab w:val="left" w:pos="720"/>
        </w:tabs>
        <w:snapToGrid w:val="0"/>
        <w:ind w:firstLine="210" w:firstLineChars="100"/>
        <w:rPr>
          <w:color w:val="auto"/>
        </w:rPr>
      </w:pPr>
      <w:r>
        <w:rPr>
          <w:rFonts w:hint="eastAsia" w:ascii="宋体" w:hAnsi="宋体" w:cs="宋体"/>
          <w:bCs/>
          <w:color w:val="auto"/>
          <w:szCs w:val="21"/>
        </w:rPr>
        <w:t>日期：   年  月  日</w:t>
      </w:r>
    </w:p>
    <w:p>
      <w:pPr>
        <w:rPr>
          <w:rFonts w:ascii="宋体" w:hAnsi="宋体" w:cs="宋体"/>
          <w:color w:val="auto"/>
          <w:sz w:val="24"/>
        </w:rPr>
      </w:pPr>
      <w:r>
        <w:rPr>
          <w:rFonts w:hint="eastAsia" w:ascii="宋体" w:hAnsi="宋体" w:cs="宋体"/>
          <w:b/>
          <w:color w:val="auto"/>
          <w:sz w:val="24"/>
        </w:rPr>
        <w:t xml:space="preserve">附件3 </w:t>
      </w:r>
    </w:p>
    <w:p>
      <w:pPr>
        <w:tabs>
          <w:tab w:val="left" w:pos="720"/>
        </w:tabs>
        <w:snapToGrid w:val="0"/>
        <w:ind w:firstLine="241" w:firstLineChars="100"/>
        <w:jc w:val="center"/>
        <w:rPr>
          <w:rFonts w:ascii="宋体" w:hAnsi="宋体"/>
          <w:b/>
          <w:color w:val="auto"/>
          <w:sz w:val="24"/>
        </w:rPr>
      </w:pPr>
      <w:r>
        <w:rPr>
          <w:rFonts w:hint="eastAsia" w:ascii="宋体" w:hAnsi="宋体"/>
          <w:b/>
          <w:color w:val="auto"/>
          <w:sz w:val="24"/>
        </w:rPr>
        <w:t>商务部分评分表</w:t>
      </w:r>
    </w:p>
    <w:p>
      <w:pPr>
        <w:tabs>
          <w:tab w:val="left" w:pos="720"/>
        </w:tabs>
        <w:snapToGrid w:val="0"/>
        <w:ind w:firstLine="210" w:firstLineChars="100"/>
        <w:rPr>
          <w:rFonts w:ascii="宋体" w:hAnsi="宋体" w:cs="宋体"/>
          <w:bCs/>
          <w:color w:val="auto"/>
          <w:szCs w:val="21"/>
        </w:rPr>
      </w:pPr>
      <w:r>
        <w:rPr>
          <w:rFonts w:hint="eastAsia" w:ascii="宋体" w:hAnsi="宋体" w:cs="宋体"/>
          <w:bCs/>
          <w:color w:val="auto"/>
          <w:szCs w:val="21"/>
        </w:rPr>
        <w:t xml:space="preserve">项目名称：   </w:t>
      </w:r>
    </w:p>
    <w:p>
      <w:pPr>
        <w:tabs>
          <w:tab w:val="left" w:pos="720"/>
        </w:tabs>
        <w:snapToGrid w:val="0"/>
        <w:ind w:firstLine="210" w:firstLineChars="100"/>
        <w:rPr>
          <w:rFonts w:ascii="宋体" w:hAnsi="宋体" w:cs="宋体"/>
          <w:bCs/>
          <w:color w:val="auto"/>
          <w:szCs w:val="21"/>
        </w:rPr>
      </w:pPr>
      <w:r>
        <w:rPr>
          <w:rFonts w:hint="eastAsia" w:ascii="宋体" w:hAnsi="宋体" w:cs="宋体"/>
          <w:bCs/>
          <w:color w:val="auto"/>
          <w:szCs w:val="21"/>
        </w:rPr>
        <w:t xml:space="preserve">项目编号：                                                 </w:t>
      </w:r>
    </w:p>
    <w:p>
      <w:pPr>
        <w:snapToGrid w:val="0"/>
        <w:rPr>
          <w:rFonts w:ascii="宋体" w:hAnsi="宋体" w:cs="宋体"/>
          <w:color w:val="auto"/>
        </w:rPr>
      </w:pPr>
      <w:r>
        <w:rPr>
          <w:rFonts w:hint="eastAsia" w:ascii="宋体" w:hAnsi="宋体" w:cs="宋体"/>
          <w:bCs/>
          <w:color w:val="auto"/>
          <w:szCs w:val="21"/>
        </w:rPr>
        <w:t xml:space="preserve">   </w:t>
      </w:r>
      <w:r>
        <w:rPr>
          <w:rFonts w:hint="eastAsia" w:ascii="宋体" w:hAnsi="宋体" w:cs="宋体"/>
          <w:color w:val="auto"/>
        </w:rPr>
        <w:t xml:space="preserve"> </w:t>
      </w:r>
    </w:p>
    <w:tbl>
      <w:tblPr>
        <w:tblStyle w:val="90"/>
        <w:tblW w:w="9061"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18"/>
        <w:gridCol w:w="1062"/>
        <w:gridCol w:w="6269"/>
        <w:gridCol w:w="101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165" w:hRule="atLeast"/>
          <w:tblHeader/>
          <w:jc w:val="center"/>
        </w:trPr>
        <w:tc>
          <w:tcPr>
            <w:tcW w:w="718" w:type="dxa"/>
            <w:tcBorders>
              <w:top w:val="single" w:color="auto" w:sz="4" w:space="0"/>
            </w:tcBorders>
            <w:shd w:val="clear" w:color="auto" w:fill="FFFFFF"/>
            <w:vAlign w:val="center"/>
          </w:tcPr>
          <w:p>
            <w:pPr>
              <w:snapToGrid w:val="0"/>
              <w:jc w:val="center"/>
              <w:rPr>
                <w:rFonts w:ascii="宋体" w:hAnsi="宋体" w:cs="宋体"/>
                <w:color w:val="auto"/>
              </w:rPr>
            </w:pPr>
            <w:r>
              <w:rPr>
                <w:rFonts w:hint="eastAsia" w:ascii="宋体" w:hAnsi="宋体" w:cs="宋体"/>
                <w:color w:val="auto"/>
              </w:rPr>
              <w:t>序号</w:t>
            </w:r>
          </w:p>
        </w:tc>
        <w:tc>
          <w:tcPr>
            <w:tcW w:w="1062" w:type="dxa"/>
            <w:tcBorders>
              <w:top w:val="single" w:color="auto" w:sz="4" w:space="0"/>
            </w:tcBorders>
            <w:shd w:val="clear" w:color="auto" w:fill="FFFFFF"/>
            <w:vAlign w:val="center"/>
          </w:tcPr>
          <w:p>
            <w:pPr>
              <w:snapToGrid w:val="0"/>
              <w:jc w:val="center"/>
              <w:rPr>
                <w:rFonts w:ascii="宋体" w:hAnsi="宋体" w:cs="宋体"/>
                <w:color w:val="auto"/>
              </w:rPr>
            </w:pPr>
            <w:r>
              <w:rPr>
                <w:rFonts w:hint="eastAsia" w:ascii="宋体" w:hAnsi="宋体" w:cs="宋体"/>
                <w:color w:val="auto"/>
              </w:rPr>
              <w:t>评分项目</w:t>
            </w:r>
          </w:p>
        </w:tc>
        <w:tc>
          <w:tcPr>
            <w:tcW w:w="6269" w:type="dxa"/>
            <w:tcBorders>
              <w:top w:val="single" w:color="auto" w:sz="4" w:space="0"/>
            </w:tcBorders>
            <w:shd w:val="clear" w:color="auto" w:fill="FFFFFF"/>
            <w:vAlign w:val="center"/>
          </w:tcPr>
          <w:p>
            <w:pPr>
              <w:snapToGrid w:val="0"/>
              <w:jc w:val="center"/>
              <w:rPr>
                <w:rFonts w:ascii="宋体" w:hAnsi="宋体" w:cs="宋体"/>
                <w:color w:val="auto"/>
              </w:rPr>
            </w:pPr>
            <w:r>
              <w:rPr>
                <w:rFonts w:hint="eastAsia" w:ascii="宋体" w:hAnsi="宋体" w:cs="宋体"/>
                <w:color w:val="auto"/>
              </w:rPr>
              <w:t>评分标准</w:t>
            </w:r>
          </w:p>
        </w:tc>
        <w:tc>
          <w:tcPr>
            <w:tcW w:w="1012" w:type="dxa"/>
            <w:tcBorders>
              <w:top w:val="single" w:color="auto" w:sz="4" w:space="0"/>
            </w:tcBorders>
            <w:shd w:val="clear" w:color="auto" w:fill="FFFFFF"/>
            <w:vAlign w:val="center"/>
          </w:tcPr>
          <w:p>
            <w:pPr>
              <w:snapToGrid w:val="0"/>
              <w:jc w:val="center"/>
              <w:rPr>
                <w:rFonts w:ascii="宋体" w:hAnsi="宋体" w:cs="宋体"/>
                <w:color w:val="auto"/>
              </w:rPr>
            </w:pPr>
            <w:r>
              <w:rPr>
                <w:rFonts w:hint="eastAsia" w:ascii="宋体" w:hAnsi="宋体" w:cs="宋体"/>
                <w:color w:val="auto"/>
              </w:rPr>
              <w:t>分值</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822" w:hRule="atLeast"/>
          <w:jc w:val="center"/>
        </w:trPr>
        <w:tc>
          <w:tcPr>
            <w:tcW w:w="718" w:type="dxa"/>
            <w:tcBorders>
              <w:top w:val="single" w:color="auto" w:sz="4" w:space="0"/>
              <w:bottom w:val="single" w:color="auto" w:sz="4" w:space="0"/>
            </w:tcBorders>
            <w:vAlign w:val="center"/>
          </w:tcPr>
          <w:p>
            <w:pPr>
              <w:snapToGrid w:val="0"/>
              <w:jc w:val="center"/>
              <w:rPr>
                <w:rFonts w:ascii="宋体" w:hAnsi="宋体" w:cs="宋体"/>
                <w:color w:val="auto"/>
              </w:rPr>
            </w:pPr>
            <w:r>
              <w:rPr>
                <w:rFonts w:hint="eastAsia" w:ascii="宋体" w:hAnsi="宋体" w:cs="宋体"/>
                <w:color w:val="auto"/>
              </w:rPr>
              <w:t>一</w:t>
            </w:r>
          </w:p>
        </w:tc>
        <w:tc>
          <w:tcPr>
            <w:tcW w:w="1062" w:type="dxa"/>
            <w:tcBorders>
              <w:top w:val="single" w:color="auto" w:sz="4" w:space="0"/>
              <w:bottom w:val="single" w:color="auto" w:sz="4" w:space="0"/>
            </w:tcBorders>
            <w:vAlign w:val="center"/>
          </w:tcPr>
          <w:p>
            <w:pPr>
              <w:snapToGrid w:val="0"/>
              <w:jc w:val="center"/>
              <w:rPr>
                <w:rFonts w:ascii="宋体" w:hAnsi="宋体" w:cs="宋体"/>
                <w:color w:val="auto"/>
              </w:rPr>
            </w:pPr>
            <w:r>
              <w:rPr>
                <w:rFonts w:hint="eastAsia" w:ascii="宋体" w:hAnsi="宋体" w:cs="宋体"/>
                <w:color w:val="auto"/>
              </w:rPr>
              <w:t>业绩</w:t>
            </w:r>
          </w:p>
        </w:tc>
        <w:tc>
          <w:tcPr>
            <w:tcW w:w="6269" w:type="dxa"/>
            <w:tcBorders>
              <w:top w:val="single" w:color="auto" w:sz="4" w:space="0"/>
              <w:bottom w:val="single" w:color="auto" w:sz="4" w:space="0"/>
            </w:tcBorders>
            <w:vAlign w:val="center"/>
          </w:tcPr>
          <w:p>
            <w:pPr>
              <w:snapToGrid w:val="0"/>
              <w:jc w:val="left"/>
              <w:rPr>
                <w:rFonts w:ascii="宋体" w:hAnsi="宋体" w:cs="宋体"/>
                <w:color w:val="auto"/>
              </w:rPr>
            </w:pPr>
            <w:r>
              <w:rPr>
                <w:rFonts w:hint="eastAsia" w:ascii="宋体" w:hAnsi="宋体" w:cs="宋体"/>
                <w:color w:val="auto"/>
              </w:rPr>
              <w:t>投标人2019年1月1日至今承担过同类项目业绩得，每个业绩得2分，满分6分，其他不得分。</w:t>
            </w:r>
          </w:p>
          <w:p>
            <w:pPr>
              <w:snapToGrid w:val="0"/>
              <w:jc w:val="left"/>
              <w:rPr>
                <w:rFonts w:ascii="宋体" w:hAnsi="宋体" w:cs="宋体"/>
                <w:color w:val="auto"/>
              </w:rPr>
            </w:pPr>
            <w:r>
              <w:rPr>
                <w:rFonts w:hint="eastAsia" w:ascii="宋体" w:hAnsi="宋体" w:cs="宋体"/>
                <w:color w:val="auto"/>
              </w:rPr>
              <w:t>（注：业绩需提供中标通知书及合同复印件。）</w:t>
            </w:r>
          </w:p>
        </w:tc>
        <w:tc>
          <w:tcPr>
            <w:tcW w:w="1012" w:type="dxa"/>
            <w:tcBorders>
              <w:top w:val="single" w:color="auto" w:sz="4" w:space="0"/>
              <w:bottom w:val="single" w:color="auto" w:sz="4" w:space="0"/>
            </w:tcBorders>
            <w:vAlign w:val="center"/>
          </w:tcPr>
          <w:p>
            <w:pPr>
              <w:snapToGrid w:val="0"/>
              <w:jc w:val="center"/>
              <w:rPr>
                <w:rFonts w:ascii="宋体" w:hAnsi="宋体" w:cs="宋体"/>
                <w:color w:val="auto"/>
              </w:rPr>
            </w:pPr>
            <w:r>
              <w:rPr>
                <w:rFonts w:hint="eastAsia" w:ascii="宋体" w:hAnsi="宋体" w:cs="宋体"/>
                <w:color w:val="auto"/>
              </w:rPr>
              <w:t>6分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182" w:hRule="atLeast"/>
          <w:jc w:val="center"/>
        </w:trPr>
        <w:tc>
          <w:tcPr>
            <w:tcW w:w="718" w:type="dxa"/>
            <w:vAlign w:val="center"/>
          </w:tcPr>
          <w:p>
            <w:pPr>
              <w:snapToGrid w:val="0"/>
              <w:jc w:val="center"/>
              <w:rPr>
                <w:rFonts w:ascii="宋体" w:hAnsi="宋体" w:cs="宋体"/>
                <w:color w:val="auto"/>
              </w:rPr>
            </w:pPr>
            <w:r>
              <w:rPr>
                <w:rFonts w:hint="eastAsia" w:ascii="宋体" w:hAnsi="宋体" w:cs="宋体"/>
                <w:color w:val="auto"/>
              </w:rPr>
              <w:t>二</w:t>
            </w:r>
          </w:p>
        </w:tc>
        <w:tc>
          <w:tcPr>
            <w:tcW w:w="1062" w:type="dxa"/>
            <w:vAlign w:val="center"/>
          </w:tcPr>
          <w:p>
            <w:pPr>
              <w:snapToGrid w:val="0"/>
              <w:jc w:val="center"/>
              <w:rPr>
                <w:rFonts w:ascii="宋体" w:hAnsi="宋体" w:cs="宋体"/>
                <w:color w:val="auto"/>
              </w:rPr>
            </w:pPr>
            <w:r>
              <w:rPr>
                <w:rFonts w:hint="eastAsia" w:ascii="宋体" w:hAnsi="宋体" w:cs="宋体"/>
                <w:color w:val="auto"/>
              </w:rPr>
              <w:t>企业信用信誉</w:t>
            </w:r>
          </w:p>
        </w:tc>
        <w:tc>
          <w:tcPr>
            <w:tcW w:w="6269" w:type="dxa"/>
            <w:tcBorders>
              <w:top w:val="single" w:color="auto" w:sz="4" w:space="0"/>
            </w:tcBorders>
            <w:vAlign w:val="center"/>
          </w:tcPr>
          <w:p>
            <w:pPr>
              <w:snapToGrid w:val="0"/>
              <w:jc w:val="left"/>
              <w:rPr>
                <w:rFonts w:ascii="宋体" w:hAnsi="宋体" w:cs="宋体"/>
                <w:color w:val="auto"/>
                <w:szCs w:val="21"/>
              </w:rPr>
            </w:pPr>
            <w:r>
              <w:rPr>
                <w:rFonts w:hint="eastAsia" w:ascii="宋体" w:hAnsi="宋体" w:cs="宋体"/>
                <w:color w:val="auto"/>
                <w:szCs w:val="21"/>
              </w:rPr>
              <w:t>投标人具有管理体系认证证书。每提供一个有效的证书得2分，最高8分，</w:t>
            </w:r>
            <w:r>
              <w:rPr>
                <w:rFonts w:hint="eastAsia" w:ascii="宋体" w:hAnsi="宋体" w:cs="宋体"/>
                <w:color w:val="auto"/>
              </w:rPr>
              <w:t>其他不得分。</w:t>
            </w:r>
          </w:p>
          <w:p>
            <w:pPr>
              <w:snapToGrid w:val="0"/>
              <w:jc w:val="left"/>
              <w:rPr>
                <w:rFonts w:ascii="宋体" w:hAnsi="宋体" w:cs="宋体"/>
                <w:color w:val="auto"/>
              </w:rPr>
            </w:pPr>
            <w:r>
              <w:rPr>
                <w:rFonts w:hint="eastAsia" w:ascii="宋体" w:hAnsi="宋体" w:cs="宋体"/>
                <w:color w:val="auto"/>
                <w:szCs w:val="21"/>
              </w:rPr>
              <w:t>（注：提供证书复印件且证书须在有效期内）</w:t>
            </w:r>
          </w:p>
        </w:tc>
        <w:tc>
          <w:tcPr>
            <w:tcW w:w="1012" w:type="dxa"/>
            <w:tcBorders>
              <w:top w:val="single" w:color="auto" w:sz="4" w:space="0"/>
              <w:bottom w:val="single" w:color="auto" w:sz="4" w:space="0"/>
            </w:tcBorders>
            <w:vAlign w:val="center"/>
          </w:tcPr>
          <w:p>
            <w:pPr>
              <w:snapToGrid w:val="0"/>
              <w:jc w:val="center"/>
              <w:rPr>
                <w:rFonts w:ascii="宋体" w:hAnsi="宋体" w:cs="宋体"/>
                <w:color w:val="auto"/>
              </w:rPr>
            </w:pPr>
            <w:r>
              <w:rPr>
                <w:rFonts w:hint="eastAsia" w:ascii="宋体" w:hAnsi="宋体" w:cs="宋体"/>
                <w:color w:val="auto"/>
              </w:rPr>
              <w:t>8分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74" w:hRule="atLeast"/>
          <w:jc w:val="center"/>
        </w:trPr>
        <w:tc>
          <w:tcPr>
            <w:tcW w:w="718" w:type="dxa"/>
            <w:tcBorders>
              <w:top w:val="single" w:color="auto" w:sz="4" w:space="0"/>
              <w:bottom w:val="single" w:color="auto" w:sz="4" w:space="0"/>
            </w:tcBorders>
            <w:vAlign w:val="center"/>
          </w:tcPr>
          <w:p>
            <w:pPr>
              <w:snapToGrid w:val="0"/>
              <w:jc w:val="center"/>
              <w:rPr>
                <w:rFonts w:ascii="宋体" w:hAnsi="宋体" w:cs="宋体"/>
                <w:color w:val="auto"/>
              </w:rPr>
            </w:pPr>
            <w:r>
              <w:rPr>
                <w:rFonts w:hint="eastAsia" w:ascii="宋体" w:hAnsi="宋体" w:cs="宋体"/>
                <w:color w:val="auto"/>
              </w:rPr>
              <w:t>三</w:t>
            </w:r>
          </w:p>
        </w:tc>
        <w:tc>
          <w:tcPr>
            <w:tcW w:w="1062" w:type="dxa"/>
            <w:tcBorders>
              <w:top w:val="single" w:color="auto" w:sz="4" w:space="0"/>
              <w:bottom w:val="single" w:color="auto" w:sz="4" w:space="0"/>
            </w:tcBorders>
            <w:vAlign w:val="center"/>
          </w:tcPr>
          <w:p>
            <w:pPr>
              <w:snapToGrid w:val="0"/>
              <w:jc w:val="center"/>
              <w:rPr>
                <w:rFonts w:ascii="宋体" w:hAnsi="宋体" w:cs="宋体"/>
                <w:color w:val="auto"/>
              </w:rPr>
            </w:pPr>
            <w:r>
              <w:rPr>
                <w:rFonts w:hint="eastAsia" w:ascii="宋体" w:hAnsi="宋体" w:cs="宋体"/>
                <w:color w:val="auto"/>
              </w:rPr>
              <w:t>技术负责人</w:t>
            </w:r>
          </w:p>
        </w:tc>
        <w:tc>
          <w:tcPr>
            <w:tcW w:w="6269" w:type="dxa"/>
            <w:tcBorders>
              <w:top w:val="single" w:color="auto" w:sz="4" w:space="0"/>
              <w:bottom w:val="single" w:color="auto" w:sz="4" w:space="0"/>
            </w:tcBorders>
            <w:vAlign w:val="center"/>
          </w:tcPr>
          <w:p>
            <w:pPr>
              <w:snapToGrid w:val="0"/>
              <w:jc w:val="left"/>
              <w:rPr>
                <w:rFonts w:ascii="宋体" w:hAnsi="宋体" w:cs="宋体"/>
                <w:color w:val="auto"/>
              </w:rPr>
            </w:pPr>
            <w:r>
              <w:rPr>
                <w:rFonts w:hint="eastAsia" w:ascii="宋体" w:hAnsi="宋体" w:cs="宋体"/>
                <w:color w:val="auto"/>
              </w:rPr>
              <w:t>拟派项目技术负责人具备暖通专业中级工程师证书，得3分，具备暖通专业高级工程师证书，得6分。</w:t>
            </w:r>
          </w:p>
          <w:p>
            <w:pPr>
              <w:snapToGrid w:val="0"/>
              <w:jc w:val="left"/>
              <w:rPr>
                <w:rFonts w:ascii="宋体" w:hAnsi="宋体" w:cs="宋体"/>
                <w:color w:val="auto"/>
              </w:rPr>
            </w:pPr>
            <w:r>
              <w:rPr>
                <w:rFonts w:hint="eastAsia" w:ascii="宋体" w:hAnsi="宋体" w:cs="宋体"/>
                <w:color w:val="auto"/>
              </w:rPr>
              <w:t>（注：提供有效期内的职称证书复印件）</w:t>
            </w:r>
          </w:p>
        </w:tc>
        <w:tc>
          <w:tcPr>
            <w:tcW w:w="1012" w:type="dxa"/>
            <w:tcBorders>
              <w:top w:val="single" w:color="auto" w:sz="4" w:space="0"/>
              <w:bottom w:val="single" w:color="auto" w:sz="4" w:space="0"/>
            </w:tcBorders>
            <w:vAlign w:val="center"/>
          </w:tcPr>
          <w:p>
            <w:pPr>
              <w:snapToGrid w:val="0"/>
              <w:jc w:val="center"/>
              <w:rPr>
                <w:rFonts w:ascii="宋体" w:hAnsi="宋体" w:cs="宋体"/>
                <w:color w:val="auto"/>
              </w:rPr>
            </w:pPr>
            <w:r>
              <w:rPr>
                <w:rFonts w:hint="eastAsia" w:ascii="宋体" w:hAnsi="宋体" w:cs="宋体"/>
                <w:color w:val="auto"/>
              </w:rPr>
              <w:t>6分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302" w:hRule="atLeast"/>
          <w:jc w:val="center"/>
        </w:trPr>
        <w:tc>
          <w:tcPr>
            <w:tcW w:w="1780" w:type="dxa"/>
            <w:gridSpan w:val="2"/>
            <w:tcBorders>
              <w:top w:val="single" w:color="auto" w:sz="4" w:space="0"/>
              <w:bottom w:val="single" w:color="auto" w:sz="4" w:space="0"/>
            </w:tcBorders>
            <w:vAlign w:val="center"/>
          </w:tcPr>
          <w:p>
            <w:pPr>
              <w:snapToGrid w:val="0"/>
              <w:jc w:val="center"/>
              <w:rPr>
                <w:rFonts w:ascii="宋体" w:hAnsi="宋体" w:cs="宋体"/>
                <w:color w:val="auto"/>
              </w:rPr>
            </w:pPr>
            <w:r>
              <w:rPr>
                <w:rFonts w:hint="eastAsia" w:ascii="宋体" w:hAnsi="宋体" w:cs="宋体"/>
                <w:color w:val="auto"/>
              </w:rPr>
              <w:t>合计</w:t>
            </w:r>
          </w:p>
        </w:tc>
        <w:tc>
          <w:tcPr>
            <w:tcW w:w="6269" w:type="dxa"/>
            <w:tcBorders>
              <w:top w:val="single" w:color="auto" w:sz="4" w:space="0"/>
              <w:bottom w:val="single" w:color="auto" w:sz="4" w:space="0"/>
            </w:tcBorders>
            <w:vAlign w:val="center"/>
          </w:tcPr>
          <w:p>
            <w:pPr>
              <w:snapToGrid w:val="0"/>
              <w:jc w:val="center"/>
              <w:rPr>
                <w:rFonts w:ascii="宋体" w:hAnsi="宋体" w:cs="宋体"/>
                <w:color w:val="auto"/>
              </w:rPr>
            </w:pPr>
          </w:p>
        </w:tc>
        <w:tc>
          <w:tcPr>
            <w:tcW w:w="1012" w:type="dxa"/>
            <w:tcBorders>
              <w:top w:val="single" w:color="auto" w:sz="4" w:space="0"/>
              <w:bottom w:val="single" w:color="auto" w:sz="4" w:space="0"/>
            </w:tcBorders>
            <w:vAlign w:val="center"/>
          </w:tcPr>
          <w:p>
            <w:pPr>
              <w:snapToGrid w:val="0"/>
              <w:jc w:val="center"/>
              <w:rPr>
                <w:rFonts w:ascii="宋体" w:hAnsi="宋体" w:cs="宋体"/>
                <w:color w:val="auto"/>
              </w:rPr>
            </w:pPr>
            <w:r>
              <w:rPr>
                <w:rFonts w:hint="eastAsia" w:ascii="宋体" w:hAnsi="宋体" w:cs="宋体"/>
                <w:color w:val="auto"/>
              </w:rPr>
              <w:t>20分</w:t>
            </w:r>
          </w:p>
        </w:tc>
      </w:tr>
    </w:tbl>
    <w:p>
      <w:pPr>
        <w:snapToGrid w:val="0"/>
        <w:rPr>
          <w:rFonts w:ascii="宋体" w:hAnsi="宋体" w:cs="宋体"/>
          <w:color w:val="auto"/>
        </w:rPr>
      </w:pPr>
      <w:r>
        <w:rPr>
          <w:rFonts w:hint="eastAsia" w:ascii="宋体" w:hAnsi="宋体" w:cs="宋体"/>
          <w:color w:val="auto"/>
        </w:rPr>
        <w:t xml:space="preserve"> </w:t>
      </w:r>
    </w:p>
    <w:p>
      <w:pPr>
        <w:snapToGrid w:val="0"/>
        <w:ind w:firstLine="422" w:firstLineChars="200"/>
        <w:rPr>
          <w:rFonts w:ascii="宋体" w:hAnsi="宋体" w:cs="宋体"/>
          <w:b/>
          <w:bCs/>
          <w:color w:val="auto"/>
        </w:rPr>
      </w:pPr>
      <w:r>
        <w:rPr>
          <w:rFonts w:hint="eastAsia" w:ascii="宋体" w:hAnsi="宋体" w:cs="宋体"/>
          <w:b/>
          <w:bCs/>
          <w:color w:val="auto"/>
        </w:rPr>
        <w:t>备注：招标文件要求提交的与评价指标体系相关的各类有效资料，投标人如未按要求提交，或提供的证明材料不全，或有有效期但不在有效期内，或提供的证明材料均不能反映相关评审内容的，该项不得分；</w:t>
      </w:r>
    </w:p>
    <w:p>
      <w:pPr>
        <w:pStyle w:val="2"/>
        <w:rPr>
          <w:color w:val="auto"/>
        </w:rPr>
      </w:pPr>
    </w:p>
    <w:p>
      <w:pPr>
        <w:tabs>
          <w:tab w:val="left" w:pos="720"/>
        </w:tabs>
        <w:snapToGrid w:val="0"/>
        <w:ind w:firstLine="210" w:firstLineChars="100"/>
        <w:rPr>
          <w:color w:val="auto"/>
        </w:rPr>
      </w:pPr>
      <w:r>
        <w:rPr>
          <w:rFonts w:hint="eastAsia" w:ascii="宋体" w:hAnsi="宋体" w:cs="宋体"/>
          <w:color w:val="auto"/>
        </w:rPr>
        <w:t>评委签名：                                                    日期：   年  月  日</w:t>
      </w:r>
    </w:p>
    <w:p>
      <w:pPr>
        <w:spacing w:line="360" w:lineRule="auto"/>
        <w:rPr>
          <w:rFonts w:ascii="宋体" w:hAnsi="宋体"/>
          <w:color w:val="auto"/>
          <w:sz w:val="24"/>
        </w:rPr>
      </w:pPr>
      <w:r>
        <w:rPr>
          <w:rFonts w:hint="eastAsia" w:ascii="宋体" w:hAnsi="宋体"/>
          <w:b/>
          <w:color w:val="auto"/>
          <w:sz w:val="24"/>
        </w:rPr>
        <w:br w:type="page"/>
      </w:r>
      <w:r>
        <w:rPr>
          <w:rFonts w:hint="eastAsia" w:ascii="宋体" w:hAnsi="宋体"/>
          <w:b/>
          <w:color w:val="auto"/>
          <w:sz w:val="24"/>
        </w:rPr>
        <w:t>附件4     价格评审表</w:t>
      </w:r>
    </w:p>
    <w:p>
      <w:pPr>
        <w:snapToGrid w:val="0"/>
        <w:spacing w:line="360" w:lineRule="auto"/>
        <w:rPr>
          <w:rFonts w:ascii="宋体" w:hAnsi="宋体"/>
          <w:bCs/>
          <w:color w:val="auto"/>
          <w:szCs w:val="21"/>
        </w:rPr>
      </w:pPr>
      <w:r>
        <w:rPr>
          <w:rFonts w:hint="eastAsia" w:ascii="宋体" w:hAnsi="宋体"/>
          <w:bCs/>
          <w:color w:val="auto"/>
          <w:szCs w:val="21"/>
        </w:rPr>
        <w:t>项目编号：</w:t>
      </w:r>
    </w:p>
    <w:p>
      <w:pPr>
        <w:spacing w:line="360" w:lineRule="auto"/>
        <w:rPr>
          <w:color w:val="auto"/>
          <w:szCs w:val="21"/>
        </w:rPr>
      </w:pPr>
      <w:r>
        <w:rPr>
          <w:rFonts w:hint="eastAsia" w:ascii="宋体" w:hAnsi="宋体"/>
          <w:bCs/>
          <w:color w:val="auto"/>
          <w:szCs w:val="21"/>
        </w:rPr>
        <w:t>项目名称：</w:t>
      </w:r>
    </w:p>
    <w:tbl>
      <w:tblPr>
        <w:tblStyle w:val="90"/>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15"/>
        <w:gridCol w:w="1336"/>
        <w:gridCol w:w="4759"/>
        <w:gridCol w:w="176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9" w:hRule="atLeast"/>
          <w:jc w:val="center"/>
        </w:trPr>
        <w:tc>
          <w:tcPr>
            <w:tcW w:w="1615" w:type="dxa"/>
            <w:vMerge w:val="restart"/>
            <w:tcBorders>
              <w:top w:val="single" w:color="auto" w:sz="4" w:space="0"/>
              <w:left w:val="single" w:color="auto" w:sz="4" w:space="0"/>
              <w:right w:val="single" w:color="auto" w:sz="4" w:space="0"/>
            </w:tcBorders>
            <w:vAlign w:val="center"/>
          </w:tcPr>
          <w:p>
            <w:pPr>
              <w:widowControl/>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有效供应商</w:t>
            </w:r>
          </w:p>
          <w:p>
            <w:pPr>
              <w:widowControl/>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序号及简称</w:t>
            </w:r>
          </w:p>
        </w:tc>
        <w:tc>
          <w:tcPr>
            <w:tcW w:w="6095"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评审分项</w:t>
            </w:r>
          </w:p>
        </w:tc>
        <w:tc>
          <w:tcPr>
            <w:tcW w:w="1768" w:type="dxa"/>
            <w:vMerge w:val="restart"/>
            <w:tcBorders>
              <w:top w:val="single" w:color="auto" w:sz="4" w:space="0"/>
              <w:left w:val="single" w:color="auto" w:sz="4" w:space="0"/>
              <w:right w:val="single" w:color="auto" w:sz="4" w:space="0"/>
            </w:tcBorders>
            <w:vAlign w:val="center"/>
          </w:tcPr>
          <w:p>
            <w:pPr>
              <w:widowControl/>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价格得分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82" w:hRule="atLeast"/>
          <w:jc w:val="center"/>
        </w:trPr>
        <w:tc>
          <w:tcPr>
            <w:tcW w:w="1615" w:type="dxa"/>
            <w:vMerge w:val="continue"/>
            <w:tcBorders>
              <w:left w:val="single" w:color="auto" w:sz="4" w:space="0"/>
              <w:right w:val="single" w:color="auto" w:sz="4" w:space="0"/>
            </w:tcBorders>
            <w:vAlign w:val="center"/>
          </w:tcPr>
          <w:p>
            <w:pPr>
              <w:widowControl/>
              <w:snapToGrid w:val="0"/>
              <w:spacing w:line="360" w:lineRule="auto"/>
              <w:jc w:val="left"/>
              <w:rPr>
                <w:rFonts w:ascii="宋体" w:hAnsi="宋体" w:cs="宋体"/>
                <w:color w:val="auto"/>
                <w:kern w:val="0"/>
                <w:szCs w:val="21"/>
              </w:rPr>
            </w:pPr>
          </w:p>
        </w:tc>
        <w:tc>
          <w:tcPr>
            <w:tcW w:w="133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ind w:left="-42" w:right="-61"/>
              <w:jc w:val="center"/>
              <w:rPr>
                <w:rFonts w:ascii="宋体" w:hAnsi="宋体" w:cs="宋体"/>
                <w:color w:val="auto"/>
                <w:kern w:val="0"/>
                <w:szCs w:val="21"/>
              </w:rPr>
            </w:pPr>
            <w:r>
              <w:rPr>
                <w:rFonts w:hint="eastAsia" w:ascii="宋体" w:hAnsi="宋体" w:cs="宋体"/>
                <w:color w:val="auto"/>
                <w:kern w:val="0"/>
                <w:szCs w:val="21"/>
              </w:rPr>
              <w:t>经评审的最终响应报价</w:t>
            </w:r>
          </w:p>
        </w:tc>
        <w:tc>
          <w:tcPr>
            <w:tcW w:w="475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ind w:left="-42" w:right="-61"/>
              <w:jc w:val="center"/>
              <w:rPr>
                <w:rFonts w:ascii="宋体" w:hAnsi="宋体" w:cs="宋体"/>
                <w:color w:val="auto"/>
                <w:kern w:val="0"/>
                <w:szCs w:val="21"/>
              </w:rPr>
            </w:pPr>
            <w:r>
              <w:rPr>
                <w:rFonts w:hint="eastAsia" w:ascii="宋体" w:hAnsi="宋体" w:cs="宋体"/>
                <w:color w:val="auto"/>
                <w:kern w:val="0"/>
                <w:szCs w:val="21"/>
              </w:rPr>
              <w:t>评标基准价</w:t>
            </w:r>
          </w:p>
        </w:tc>
        <w:tc>
          <w:tcPr>
            <w:tcW w:w="1768" w:type="dxa"/>
            <w:vMerge w:val="continue"/>
            <w:tcBorders>
              <w:left w:val="single" w:color="auto" w:sz="4" w:space="0"/>
              <w:bottom w:val="single" w:color="auto" w:sz="4" w:space="0"/>
              <w:right w:val="single" w:color="auto" w:sz="4" w:space="0"/>
            </w:tcBorders>
            <w:vAlign w:val="center"/>
          </w:tcPr>
          <w:p>
            <w:pPr>
              <w:widowControl/>
              <w:snapToGrid w:val="0"/>
              <w:spacing w:line="360" w:lineRule="auto"/>
              <w:jc w:val="left"/>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4" w:hRule="atLeast"/>
          <w:jc w:val="center"/>
        </w:trPr>
        <w:tc>
          <w:tcPr>
            <w:tcW w:w="1615"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color w:val="auto"/>
                <w:kern w:val="0"/>
                <w:szCs w:val="21"/>
              </w:rPr>
            </w:pPr>
          </w:p>
        </w:tc>
        <w:tc>
          <w:tcPr>
            <w:tcW w:w="133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ind w:left="-42" w:right="-61"/>
              <w:jc w:val="center"/>
              <w:rPr>
                <w:rFonts w:ascii="宋体" w:hAnsi="宋体" w:cs="宋体"/>
                <w:color w:val="auto"/>
                <w:kern w:val="0"/>
                <w:szCs w:val="21"/>
              </w:rPr>
            </w:pPr>
          </w:p>
        </w:tc>
        <w:tc>
          <w:tcPr>
            <w:tcW w:w="475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ind w:left="-42" w:right="-61"/>
              <w:jc w:val="center"/>
              <w:rPr>
                <w:rFonts w:ascii="宋体" w:hAnsi="宋体" w:cs="宋体"/>
                <w:color w:val="auto"/>
                <w:kern w:val="0"/>
                <w:szCs w:val="21"/>
              </w:rPr>
            </w:pPr>
          </w:p>
        </w:tc>
        <w:tc>
          <w:tcPr>
            <w:tcW w:w="1768"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ind w:left="-42" w:right="-61"/>
              <w:jc w:val="center"/>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4" w:hRule="atLeast"/>
          <w:jc w:val="center"/>
        </w:trPr>
        <w:tc>
          <w:tcPr>
            <w:tcW w:w="16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Cs w:val="21"/>
              </w:rPr>
            </w:pPr>
          </w:p>
        </w:tc>
        <w:tc>
          <w:tcPr>
            <w:tcW w:w="1336"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rPr>
            </w:pPr>
          </w:p>
        </w:tc>
        <w:tc>
          <w:tcPr>
            <w:tcW w:w="4759"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rPr>
            </w:pPr>
          </w:p>
        </w:tc>
        <w:tc>
          <w:tcPr>
            <w:tcW w:w="1768"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4" w:hRule="atLeast"/>
          <w:jc w:val="center"/>
        </w:trPr>
        <w:tc>
          <w:tcPr>
            <w:tcW w:w="16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Cs w:val="21"/>
              </w:rPr>
            </w:pPr>
          </w:p>
        </w:tc>
        <w:tc>
          <w:tcPr>
            <w:tcW w:w="1336"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rPr>
            </w:pPr>
          </w:p>
        </w:tc>
        <w:tc>
          <w:tcPr>
            <w:tcW w:w="4759"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rPr>
            </w:pPr>
          </w:p>
        </w:tc>
        <w:tc>
          <w:tcPr>
            <w:tcW w:w="1768"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4" w:hRule="atLeast"/>
          <w:jc w:val="center"/>
        </w:trPr>
        <w:tc>
          <w:tcPr>
            <w:tcW w:w="16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Cs w:val="21"/>
              </w:rPr>
            </w:pPr>
          </w:p>
        </w:tc>
        <w:tc>
          <w:tcPr>
            <w:tcW w:w="1336"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rPr>
            </w:pPr>
          </w:p>
        </w:tc>
        <w:tc>
          <w:tcPr>
            <w:tcW w:w="4759"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rPr>
            </w:pPr>
          </w:p>
        </w:tc>
        <w:tc>
          <w:tcPr>
            <w:tcW w:w="1768"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4" w:hRule="atLeast"/>
          <w:jc w:val="center"/>
        </w:trPr>
        <w:tc>
          <w:tcPr>
            <w:tcW w:w="16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Cs w:val="21"/>
              </w:rPr>
            </w:pPr>
          </w:p>
        </w:tc>
        <w:tc>
          <w:tcPr>
            <w:tcW w:w="1336"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rPr>
            </w:pPr>
          </w:p>
        </w:tc>
        <w:tc>
          <w:tcPr>
            <w:tcW w:w="4759"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rPr>
            </w:pPr>
          </w:p>
        </w:tc>
        <w:tc>
          <w:tcPr>
            <w:tcW w:w="1768"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4" w:hRule="atLeast"/>
          <w:jc w:val="center"/>
        </w:trPr>
        <w:tc>
          <w:tcPr>
            <w:tcW w:w="16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Cs w:val="21"/>
              </w:rPr>
            </w:pPr>
          </w:p>
        </w:tc>
        <w:tc>
          <w:tcPr>
            <w:tcW w:w="1336"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rPr>
            </w:pPr>
          </w:p>
        </w:tc>
        <w:tc>
          <w:tcPr>
            <w:tcW w:w="4759"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rPr>
            </w:pPr>
          </w:p>
        </w:tc>
        <w:tc>
          <w:tcPr>
            <w:tcW w:w="1768"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rPr>
            </w:pPr>
          </w:p>
        </w:tc>
      </w:tr>
    </w:tbl>
    <w:p>
      <w:pPr>
        <w:spacing w:line="360" w:lineRule="auto"/>
        <w:rPr>
          <w:rFonts w:ascii="宋体" w:hAnsi="宋体"/>
          <w:color w:val="auto"/>
          <w:szCs w:val="21"/>
        </w:rPr>
      </w:pPr>
    </w:p>
    <w:p>
      <w:pPr>
        <w:spacing w:line="360" w:lineRule="auto"/>
        <w:rPr>
          <w:rFonts w:ascii="宋体" w:hAnsi="宋体" w:cs="宋体"/>
          <w:b/>
          <w:color w:val="auto"/>
          <w:kern w:val="0"/>
          <w:szCs w:val="21"/>
        </w:rPr>
      </w:pPr>
    </w:p>
    <w:p>
      <w:pPr>
        <w:spacing w:line="360" w:lineRule="auto"/>
        <w:rPr>
          <w:rFonts w:ascii="宋体" w:hAnsi="宋体" w:cs="宋体"/>
          <w:b/>
          <w:color w:val="auto"/>
          <w:kern w:val="0"/>
          <w:szCs w:val="21"/>
        </w:rPr>
      </w:pPr>
      <w:r>
        <w:rPr>
          <w:rFonts w:hint="eastAsia" w:ascii="宋体" w:hAnsi="宋体" w:cs="宋体"/>
          <w:b/>
          <w:color w:val="auto"/>
          <w:kern w:val="0"/>
          <w:szCs w:val="21"/>
        </w:rPr>
        <w:t>注：</w:t>
      </w:r>
    </w:p>
    <w:p>
      <w:pPr>
        <w:adjustRightInd w:val="0"/>
        <w:snapToGrid w:val="0"/>
        <w:spacing w:line="360" w:lineRule="auto"/>
        <w:ind w:left="420"/>
        <w:jc w:val="left"/>
        <w:rPr>
          <w:rFonts w:ascii="宋体" w:hAnsi="宋体" w:cs="宋体"/>
          <w:b/>
          <w:color w:val="auto"/>
          <w:kern w:val="0"/>
          <w:szCs w:val="21"/>
        </w:rPr>
      </w:pPr>
      <w:r>
        <w:rPr>
          <w:rFonts w:hint="eastAsia" w:ascii="宋体" w:hAnsi="宋体" w:cs="宋体"/>
          <w:b/>
          <w:color w:val="auto"/>
          <w:kern w:val="0"/>
          <w:szCs w:val="21"/>
        </w:rPr>
        <w:t>1、价格核准：磋商小组对有效供应商的详细报价进行复核，看其是否有计算错误或供货范围上的错误，修正错误的原则详见招标相关条款。</w:t>
      </w:r>
    </w:p>
    <w:p>
      <w:pPr>
        <w:adjustRightInd w:val="0"/>
        <w:snapToGrid w:val="0"/>
        <w:spacing w:line="360" w:lineRule="auto"/>
        <w:ind w:left="420"/>
        <w:jc w:val="left"/>
        <w:rPr>
          <w:rFonts w:ascii="宋体" w:hAnsi="宋体" w:cs="宋体"/>
          <w:b/>
          <w:color w:val="auto"/>
          <w:kern w:val="0"/>
          <w:szCs w:val="21"/>
        </w:rPr>
      </w:pPr>
      <w:r>
        <w:rPr>
          <w:rFonts w:hint="eastAsia" w:ascii="宋体" w:hAnsi="宋体"/>
          <w:b/>
          <w:color w:val="auto"/>
          <w:szCs w:val="21"/>
        </w:rPr>
        <w:t>2、价格评分：</w:t>
      </w:r>
      <w:r>
        <w:rPr>
          <w:rFonts w:hint="eastAsia" w:ascii="宋体" w:hAnsi="宋体" w:cs="宋体"/>
          <w:b/>
          <w:color w:val="auto"/>
          <w:kern w:val="0"/>
          <w:szCs w:val="21"/>
        </w:rPr>
        <w:t>综合评分法中的价格分统一采用低价优先法计算，即满足磋商文件要求且最后报价最低的供应商的价格为磋商基准价，其价格分为满分。其他供应商的价格分统一按照下列公式计算：</w:t>
      </w:r>
    </w:p>
    <w:p>
      <w:pPr>
        <w:adjustRightInd w:val="0"/>
        <w:snapToGrid w:val="0"/>
        <w:spacing w:line="360" w:lineRule="auto"/>
        <w:ind w:left="420" w:firstLine="422" w:firstLineChars="200"/>
        <w:jc w:val="left"/>
        <w:rPr>
          <w:rFonts w:ascii="宋体" w:hAnsi="宋体" w:cs="宋体"/>
          <w:b/>
          <w:color w:val="auto"/>
          <w:kern w:val="0"/>
          <w:szCs w:val="21"/>
        </w:rPr>
      </w:pPr>
      <w:r>
        <w:rPr>
          <w:rFonts w:hint="eastAsia" w:ascii="宋体" w:hAnsi="宋体" w:cs="宋体"/>
          <w:b/>
          <w:color w:val="auto"/>
          <w:kern w:val="0"/>
          <w:szCs w:val="21"/>
        </w:rPr>
        <w:t>磋商报价得分=（磋商基准价/最后磋商报价）×价格权值×100</w:t>
      </w:r>
    </w:p>
    <w:p>
      <w:pPr>
        <w:adjustRightInd w:val="0"/>
        <w:snapToGrid w:val="0"/>
        <w:spacing w:line="360" w:lineRule="auto"/>
        <w:ind w:left="420"/>
        <w:jc w:val="left"/>
        <w:rPr>
          <w:rFonts w:ascii="宋体" w:hAnsi="宋体" w:cs="宋体"/>
          <w:b/>
          <w:color w:val="auto"/>
          <w:kern w:val="0"/>
          <w:szCs w:val="21"/>
        </w:rPr>
      </w:pPr>
      <w:r>
        <w:rPr>
          <w:rFonts w:hint="eastAsia" w:ascii="宋体" w:hAnsi="宋体" w:cs="宋体"/>
          <w:b/>
          <w:color w:val="auto"/>
          <w:kern w:val="0"/>
          <w:szCs w:val="21"/>
        </w:rPr>
        <w:t>4、磋商报价得分四舍五入后，小数点后保留两位有效数。</w:t>
      </w:r>
    </w:p>
    <w:p>
      <w:pPr>
        <w:adjustRightInd w:val="0"/>
        <w:snapToGrid w:val="0"/>
        <w:spacing w:line="360" w:lineRule="auto"/>
        <w:ind w:left="420"/>
        <w:jc w:val="left"/>
        <w:rPr>
          <w:rFonts w:ascii="宋体" w:hAnsi="宋体" w:cs="宋体"/>
          <w:b/>
          <w:color w:val="auto"/>
          <w:kern w:val="0"/>
          <w:szCs w:val="21"/>
        </w:rPr>
      </w:pPr>
    </w:p>
    <w:p>
      <w:pPr>
        <w:spacing w:line="360" w:lineRule="auto"/>
        <w:rPr>
          <w:rFonts w:ascii="宋体" w:hAnsi="宋体"/>
          <w:color w:val="auto"/>
          <w:szCs w:val="21"/>
        </w:rPr>
      </w:pPr>
    </w:p>
    <w:p>
      <w:pPr>
        <w:spacing w:line="360" w:lineRule="auto"/>
        <w:rPr>
          <w:rFonts w:ascii="宋体" w:hAnsi="宋体"/>
          <w:color w:val="auto"/>
          <w:szCs w:val="21"/>
        </w:rPr>
      </w:pPr>
    </w:p>
    <w:p>
      <w:pPr>
        <w:spacing w:line="360" w:lineRule="auto"/>
        <w:rPr>
          <w:rFonts w:ascii="宋体" w:hAnsi="宋体"/>
          <w:color w:val="auto"/>
          <w:szCs w:val="21"/>
        </w:rPr>
      </w:pPr>
    </w:p>
    <w:p>
      <w:pPr>
        <w:spacing w:line="360" w:lineRule="auto"/>
        <w:rPr>
          <w:rFonts w:ascii="宋体" w:hAnsi="宋体"/>
          <w:color w:val="auto"/>
          <w:szCs w:val="21"/>
        </w:rPr>
      </w:pPr>
    </w:p>
    <w:p>
      <w:pPr>
        <w:spacing w:line="360" w:lineRule="auto"/>
        <w:rPr>
          <w:rFonts w:ascii="宋体" w:hAnsi="宋体"/>
          <w:color w:val="auto"/>
          <w:szCs w:val="21"/>
        </w:rPr>
      </w:pPr>
    </w:p>
    <w:p>
      <w:pPr>
        <w:spacing w:line="360" w:lineRule="auto"/>
        <w:rPr>
          <w:rFonts w:ascii="宋体" w:hAnsi="宋体"/>
          <w:color w:val="auto"/>
          <w:szCs w:val="21"/>
        </w:rPr>
      </w:pPr>
    </w:p>
    <w:p>
      <w:pPr>
        <w:spacing w:line="360" w:lineRule="auto"/>
        <w:rPr>
          <w:rFonts w:ascii="宋体" w:hAnsi="宋体"/>
          <w:color w:val="auto"/>
          <w:szCs w:val="21"/>
        </w:rPr>
      </w:pPr>
    </w:p>
    <w:p>
      <w:pPr>
        <w:spacing w:line="360" w:lineRule="auto"/>
        <w:rPr>
          <w:rFonts w:ascii="宋体" w:hAnsi="宋体"/>
          <w:color w:val="auto"/>
          <w:szCs w:val="21"/>
        </w:rPr>
      </w:pPr>
    </w:p>
    <w:p>
      <w:pPr>
        <w:spacing w:line="360" w:lineRule="auto"/>
        <w:rPr>
          <w:rFonts w:ascii="宋体" w:hAnsi="宋体"/>
          <w:color w:val="auto"/>
          <w:szCs w:val="21"/>
        </w:rPr>
      </w:pPr>
    </w:p>
    <w:p>
      <w:pPr>
        <w:spacing w:line="360" w:lineRule="auto"/>
        <w:rPr>
          <w:rFonts w:ascii="宋体" w:hAnsi="宋体"/>
          <w:color w:val="auto"/>
          <w:szCs w:val="21"/>
        </w:rPr>
      </w:pPr>
    </w:p>
    <w:p>
      <w:pPr>
        <w:spacing w:line="360" w:lineRule="auto"/>
        <w:rPr>
          <w:rFonts w:ascii="宋体" w:hAnsi="宋体"/>
          <w:color w:val="auto"/>
          <w:szCs w:val="21"/>
        </w:rPr>
      </w:pPr>
    </w:p>
    <w:p>
      <w:pPr>
        <w:spacing w:line="360" w:lineRule="auto"/>
        <w:rPr>
          <w:rFonts w:ascii="宋体" w:hAnsi="宋体"/>
          <w:color w:val="auto"/>
          <w:szCs w:val="21"/>
        </w:rPr>
      </w:pPr>
    </w:p>
    <w:p>
      <w:pPr>
        <w:spacing w:line="360" w:lineRule="auto"/>
        <w:rPr>
          <w:rFonts w:ascii="宋体" w:hAnsi="宋体"/>
          <w:color w:val="auto"/>
          <w:szCs w:val="21"/>
        </w:rPr>
      </w:pPr>
    </w:p>
    <w:p>
      <w:pPr>
        <w:pStyle w:val="4"/>
        <w:autoSpaceDE w:val="0"/>
        <w:rPr>
          <w:color w:val="auto"/>
          <w:sz w:val="44"/>
        </w:rPr>
      </w:pPr>
      <w:bookmarkStart w:id="382" w:name="_Toc475104537"/>
      <w:bookmarkStart w:id="383" w:name="_Toc320515058"/>
    </w:p>
    <w:p>
      <w:pPr>
        <w:pStyle w:val="4"/>
        <w:autoSpaceDE w:val="0"/>
        <w:rPr>
          <w:color w:val="auto"/>
          <w:sz w:val="44"/>
        </w:rPr>
      </w:pPr>
    </w:p>
    <w:p>
      <w:pPr>
        <w:pStyle w:val="4"/>
        <w:autoSpaceDE w:val="0"/>
        <w:rPr>
          <w:color w:val="auto"/>
          <w:sz w:val="44"/>
        </w:rPr>
      </w:pPr>
    </w:p>
    <w:p>
      <w:pPr>
        <w:pStyle w:val="4"/>
        <w:autoSpaceDE w:val="0"/>
        <w:rPr>
          <w:color w:val="auto"/>
          <w:sz w:val="44"/>
        </w:rPr>
      </w:pPr>
    </w:p>
    <w:p>
      <w:pPr>
        <w:pStyle w:val="4"/>
        <w:autoSpaceDE w:val="0"/>
        <w:rPr>
          <w:color w:val="auto"/>
          <w:sz w:val="44"/>
        </w:rPr>
      </w:pPr>
    </w:p>
    <w:p>
      <w:pPr>
        <w:pStyle w:val="4"/>
        <w:autoSpaceDE w:val="0"/>
        <w:rPr>
          <w:color w:val="auto"/>
          <w:sz w:val="44"/>
        </w:rPr>
      </w:pPr>
      <w:r>
        <w:rPr>
          <w:rFonts w:hint="eastAsia"/>
          <w:color w:val="auto"/>
          <w:sz w:val="44"/>
        </w:rPr>
        <w:t>第六章 附  件（格式）</w:t>
      </w:r>
      <w:bookmarkEnd w:id="382"/>
      <w:bookmarkEnd w:id="383"/>
    </w:p>
    <w:p>
      <w:pPr>
        <w:spacing w:line="360" w:lineRule="auto"/>
        <w:rPr>
          <w:rFonts w:ascii="宋体" w:hAnsi="宋体"/>
          <w:bCs/>
          <w:color w:val="auto"/>
          <w:sz w:val="28"/>
        </w:rPr>
      </w:pPr>
      <w:bookmarkStart w:id="384" w:name="_Toc35834912"/>
      <w:bookmarkStart w:id="385" w:name="_Toc28489496"/>
      <w:bookmarkStart w:id="386" w:name="_Toc34535358"/>
      <w:bookmarkStart w:id="387" w:name="_Toc14450838"/>
      <w:bookmarkStart w:id="388" w:name="_Toc109467908"/>
    </w:p>
    <w:p>
      <w:pPr>
        <w:spacing w:line="360" w:lineRule="auto"/>
        <w:rPr>
          <w:rFonts w:ascii="宋体" w:hAnsi="宋体"/>
          <w:bCs/>
          <w:color w:val="auto"/>
          <w:sz w:val="28"/>
        </w:rPr>
      </w:pPr>
    </w:p>
    <w:p>
      <w:pPr>
        <w:spacing w:line="360" w:lineRule="auto"/>
        <w:rPr>
          <w:rFonts w:ascii="宋体" w:hAnsi="宋体"/>
          <w:bCs/>
          <w:color w:val="auto"/>
          <w:sz w:val="28"/>
        </w:rPr>
      </w:pPr>
    </w:p>
    <w:p>
      <w:pPr>
        <w:spacing w:line="360" w:lineRule="auto"/>
        <w:rPr>
          <w:rFonts w:ascii="宋体" w:hAnsi="宋体"/>
          <w:bCs/>
          <w:color w:val="auto"/>
          <w:sz w:val="28"/>
        </w:rPr>
      </w:pPr>
    </w:p>
    <w:p>
      <w:pPr>
        <w:spacing w:line="360" w:lineRule="auto"/>
        <w:rPr>
          <w:rFonts w:ascii="宋体" w:hAnsi="宋体"/>
          <w:bCs/>
          <w:color w:val="auto"/>
          <w:sz w:val="28"/>
        </w:rPr>
      </w:pPr>
    </w:p>
    <w:p>
      <w:pPr>
        <w:spacing w:line="360" w:lineRule="auto"/>
        <w:rPr>
          <w:rFonts w:ascii="宋体" w:hAnsi="宋体"/>
          <w:bCs/>
          <w:color w:val="auto"/>
          <w:sz w:val="28"/>
        </w:rPr>
      </w:pPr>
    </w:p>
    <w:p>
      <w:pPr>
        <w:spacing w:line="360" w:lineRule="auto"/>
        <w:rPr>
          <w:rFonts w:ascii="宋体" w:hAnsi="宋体"/>
          <w:bCs/>
          <w:color w:val="auto"/>
          <w:sz w:val="28"/>
        </w:rPr>
      </w:pPr>
    </w:p>
    <w:p>
      <w:pPr>
        <w:spacing w:line="360" w:lineRule="auto"/>
        <w:rPr>
          <w:rFonts w:ascii="宋体" w:hAnsi="宋体"/>
          <w:bCs/>
          <w:color w:val="auto"/>
          <w:sz w:val="28"/>
        </w:rPr>
      </w:pPr>
    </w:p>
    <w:p>
      <w:pPr>
        <w:spacing w:line="360" w:lineRule="auto"/>
        <w:rPr>
          <w:rFonts w:ascii="宋体" w:hAnsi="宋体"/>
          <w:bCs/>
          <w:color w:val="auto"/>
          <w:sz w:val="28"/>
        </w:rPr>
      </w:pPr>
    </w:p>
    <w:p>
      <w:pPr>
        <w:spacing w:line="360" w:lineRule="auto"/>
        <w:rPr>
          <w:rFonts w:ascii="宋体" w:hAnsi="宋体"/>
          <w:bCs/>
          <w:color w:val="auto"/>
          <w:sz w:val="28"/>
        </w:rPr>
      </w:pPr>
    </w:p>
    <w:p>
      <w:pPr>
        <w:spacing w:line="360" w:lineRule="auto"/>
        <w:rPr>
          <w:rFonts w:ascii="宋体" w:hAnsi="宋体"/>
          <w:bCs/>
          <w:color w:val="auto"/>
          <w:sz w:val="28"/>
        </w:rPr>
      </w:pPr>
    </w:p>
    <w:p>
      <w:pPr>
        <w:spacing w:line="360" w:lineRule="auto"/>
        <w:rPr>
          <w:rFonts w:ascii="宋体" w:hAnsi="宋体"/>
          <w:bCs/>
          <w:color w:val="auto"/>
          <w:sz w:val="28"/>
        </w:rPr>
      </w:pPr>
    </w:p>
    <w:p>
      <w:pPr>
        <w:spacing w:line="360" w:lineRule="auto"/>
        <w:rPr>
          <w:rFonts w:ascii="宋体" w:hAnsi="宋体"/>
          <w:bCs/>
          <w:color w:val="auto"/>
          <w:sz w:val="28"/>
        </w:rPr>
      </w:pPr>
    </w:p>
    <w:p>
      <w:pPr>
        <w:spacing w:line="360" w:lineRule="auto"/>
        <w:rPr>
          <w:rFonts w:ascii="宋体" w:hAnsi="宋体"/>
          <w:color w:val="auto"/>
          <w:szCs w:val="30"/>
        </w:rPr>
      </w:pPr>
    </w:p>
    <w:p>
      <w:pPr>
        <w:pStyle w:val="5"/>
        <w:numPr>
          <w:ilvl w:val="0"/>
          <w:numId w:val="36"/>
        </w:numPr>
        <w:tabs>
          <w:tab w:val="left" w:pos="630"/>
          <w:tab w:val="clear" w:pos="420"/>
        </w:tabs>
        <w:autoSpaceDE w:val="0"/>
        <w:adjustRightInd/>
        <w:spacing w:before="48" w:after="48"/>
        <w:ind w:left="630" w:hanging="630"/>
        <w:jc w:val="left"/>
        <w:textAlignment w:val="auto"/>
        <w:rPr>
          <w:color w:val="auto"/>
          <w:szCs w:val="30"/>
        </w:rPr>
      </w:pPr>
      <w:bookmarkStart w:id="389" w:name="_Toc163481918"/>
      <w:r>
        <w:rPr>
          <w:rFonts w:hint="eastAsia"/>
          <w:color w:val="auto"/>
          <w:szCs w:val="30"/>
        </w:rPr>
        <w:t>磋商响应文件格式</w:t>
      </w:r>
      <w:bookmarkEnd w:id="389"/>
    </w:p>
    <w:p>
      <w:pPr>
        <w:spacing w:line="360" w:lineRule="auto"/>
        <w:ind w:firstLine="420" w:firstLineChars="200"/>
        <w:rPr>
          <w:rFonts w:ascii="宋体" w:hAnsi="宋体"/>
          <w:color w:val="auto"/>
          <w:szCs w:val="21"/>
        </w:rPr>
      </w:pPr>
      <w:r>
        <w:rPr>
          <w:rFonts w:hint="eastAsia" w:ascii="宋体" w:hAnsi="宋体"/>
          <w:color w:val="auto"/>
          <w:szCs w:val="21"/>
        </w:rPr>
        <w:t>磋商响应文件请按以下要求的顺序和格式制作。</w:t>
      </w:r>
    </w:p>
    <w:tbl>
      <w:tblPr>
        <w:tblStyle w:val="90"/>
        <w:tblW w:w="9704"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6630"/>
        <w:gridCol w:w="720"/>
        <w:gridCol w:w="778"/>
        <w:gridCol w:w="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b/>
                <w:bCs/>
                <w:color w:val="auto"/>
                <w:kern w:val="0"/>
                <w:szCs w:val="21"/>
              </w:rPr>
            </w:pPr>
            <w:r>
              <w:rPr>
                <w:rFonts w:hint="eastAsia" w:ascii="宋体" w:hAnsi="宋体" w:cs="宋体"/>
                <w:b/>
                <w:bCs/>
                <w:color w:val="auto"/>
                <w:kern w:val="0"/>
                <w:szCs w:val="21"/>
              </w:rPr>
              <w:t>序号</w:t>
            </w: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
                <w:bCs/>
                <w:color w:val="auto"/>
                <w:kern w:val="0"/>
                <w:szCs w:val="21"/>
              </w:rPr>
            </w:pPr>
            <w:r>
              <w:rPr>
                <w:rFonts w:hint="eastAsia" w:ascii="宋体" w:hAnsi="宋体" w:cs="宋体"/>
                <w:b/>
                <w:bCs/>
                <w:color w:val="auto"/>
                <w:kern w:val="0"/>
                <w:szCs w:val="21"/>
              </w:rPr>
              <w:t>内容</w:t>
            </w:r>
          </w:p>
        </w:tc>
        <w:tc>
          <w:tcPr>
            <w:tcW w:w="72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
                <w:bCs/>
                <w:color w:val="auto"/>
                <w:kern w:val="0"/>
                <w:szCs w:val="21"/>
              </w:rPr>
            </w:pPr>
            <w:r>
              <w:rPr>
                <w:rFonts w:hint="eastAsia" w:ascii="宋体" w:hAnsi="宋体" w:cs="宋体"/>
                <w:b/>
                <w:bCs/>
                <w:color w:val="auto"/>
                <w:kern w:val="0"/>
                <w:szCs w:val="21"/>
              </w:rPr>
              <w:t>是否提交</w:t>
            </w:r>
          </w:p>
        </w:tc>
        <w:tc>
          <w:tcPr>
            <w:tcW w:w="778"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
                <w:bCs/>
                <w:color w:val="auto"/>
                <w:kern w:val="0"/>
                <w:szCs w:val="21"/>
              </w:rPr>
            </w:pPr>
            <w:r>
              <w:rPr>
                <w:rFonts w:hint="eastAsia" w:ascii="宋体" w:hAnsi="宋体" w:cs="宋体"/>
                <w:b/>
                <w:bCs/>
                <w:color w:val="auto"/>
                <w:kern w:val="0"/>
                <w:szCs w:val="21"/>
              </w:rPr>
              <w:t>页码范围</w:t>
            </w:r>
          </w:p>
        </w:tc>
        <w:tc>
          <w:tcPr>
            <w:tcW w:w="842"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
                <w:bCs/>
                <w:color w:val="auto"/>
                <w:kern w:val="0"/>
                <w:szCs w:val="21"/>
              </w:rPr>
            </w:pPr>
            <w:r>
              <w:rPr>
                <w:rFonts w:hint="eastAsia" w:ascii="宋体" w:hAnsi="宋体" w:cs="宋体"/>
                <w:b/>
                <w:bCs/>
                <w:color w:val="auto"/>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7"/>
              </w:numPr>
              <w:snapToGrid w:val="0"/>
              <w:spacing w:line="360" w:lineRule="auto"/>
              <w:jc w:val="center"/>
              <w:rPr>
                <w:rFonts w:ascii="宋体" w:hAnsi="宋体"/>
                <w:color w:val="auto"/>
                <w:kern w:val="0"/>
                <w:szCs w:val="21"/>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rPr>
            </w:pPr>
            <w:r>
              <w:rPr>
                <w:rFonts w:hint="eastAsia" w:ascii="宋体" w:hAnsi="宋体" w:cs="宋体"/>
                <w:color w:val="auto"/>
                <w:kern w:val="0"/>
                <w:szCs w:val="21"/>
              </w:rPr>
              <w:t>目录</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rPr>
            </w:pPr>
            <w:r>
              <w:rPr>
                <w:rFonts w:hint="eastAsia" w:ascii="宋体" w:hAnsi="宋体"/>
                <w:color w:val="auto"/>
                <w:kern w:val="0"/>
                <w:szCs w:val="21"/>
              </w:rPr>
              <w:t>　</w:t>
            </w: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rPr>
            </w:pPr>
            <w:r>
              <w:rPr>
                <w:rFonts w:hint="eastAsia" w:ascii="宋体" w:hAnsi="宋体"/>
                <w:color w:val="auto"/>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7"/>
              </w:numPr>
              <w:snapToGrid w:val="0"/>
              <w:spacing w:line="360" w:lineRule="auto"/>
              <w:jc w:val="center"/>
              <w:rPr>
                <w:rFonts w:ascii="宋体" w:hAnsi="宋体"/>
                <w:color w:val="auto"/>
                <w:kern w:val="0"/>
                <w:szCs w:val="21"/>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rPr>
            </w:pPr>
            <w:r>
              <w:rPr>
                <w:rFonts w:hint="eastAsia" w:ascii="宋体" w:hAnsi="宋体"/>
                <w:color w:val="auto"/>
                <w:szCs w:val="21"/>
              </w:rPr>
              <w:t>★</w:t>
            </w:r>
            <w:r>
              <w:rPr>
                <w:rFonts w:hint="eastAsia" w:ascii="宋体" w:hAnsi="宋体" w:cs="宋体"/>
                <w:color w:val="auto"/>
                <w:kern w:val="0"/>
                <w:szCs w:val="21"/>
              </w:rPr>
              <w:t>竞争性磋商函 （附件1)</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rPr>
            </w:pPr>
            <w:r>
              <w:rPr>
                <w:rFonts w:hint="eastAsia" w:ascii="宋体" w:hAnsi="宋体"/>
                <w:color w:val="auto"/>
                <w:kern w:val="0"/>
                <w:szCs w:val="21"/>
              </w:rPr>
              <w:t>　</w:t>
            </w: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rPr>
            </w:pPr>
            <w:r>
              <w:rPr>
                <w:rFonts w:hint="eastAsia" w:ascii="宋体" w:hAnsi="宋体"/>
                <w:color w:val="auto"/>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7"/>
              </w:numPr>
              <w:snapToGrid w:val="0"/>
              <w:spacing w:line="360" w:lineRule="auto"/>
              <w:jc w:val="center"/>
              <w:rPr>
                <w:rFonts w:ascii="宋体" w:hAnsi="宋体"/>
                <w:color w:val="auto"/>
                <w:kern w:val="0"/>
                <w:szCs w:val="21"/>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cs="宋体"/>
                <w:color w:val="auto"/>
                <w:kern w:val="0"/>
                <w:szCs w:val="21"/>
              </w:rPr>
            </w:pPr>
            <w:r>
              <w:rPr>
                <w:rFonts w:hint="eastAsia" w:ascii="宋体" w:hAnsi="宋体"/>
                <w:color w:val="auto"/>
                <w:szCs w:val="21"/>
              </w:rPr>
              <w:t>★</w:t>
            </w:r>
            <w:r>
              <w:rPr>
                <w:rFonts w:hint="eastAsia" w:ascii="宋体" w:hAnsi="宋体" w:cs="宋体"/>
                <w:color w:val="auto"/>
                <w:szCs w:val="20"/>
              </w:rPr>
              <w:t>具有独立承担民事责任的能力【提供法人或者其他组织的营业执照等证明文件，自然人的身份证明；）复印件，如依法经国务院批准免予登记的社会组织的，应提供相应文件证明其依法免予登记】</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7"/>
              </w:numPr>
              <w:snapToGrid w:val="0"/>
              <w:spacing w:line="360" w:lineRule="auto"/>
              <w:jc w:val="center"/>
              <w:rPr>
                <w:rFonts w:ascii="宋体" w:hAnsi="宋体"/>
                <w:color w:val="auto"/>
                <w:kern w:val="0"/>
                <w:szCs w:val="21"/>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cs="宋体"/>
                <w:color w:val="auto"/>
                <w:kern w:val="0"/>
                <w:szCs w:val="21"/>
              </w:rPr>
            </w:pPr>
            <w:r>
              <w:rPr>
                <w:rFonts w:hint="eastAsia" w:ascii="宋体" w:hAnsi="宋体"/>
                <w:color w:val="auto"/>
                <w:szCs w:val="21"/>
              </w:rPr>
              <w:t>★</w:t>
            </w:r>
            <w:r>
              <w:rPr>
                <w:rFonts w:hint="eastAsia" w:ascii="宋体" w:hAnsi="宋体" w:cs="宋体"/>
                <w:color w:val="auto"/>
                <w:szCs w:val="20"/>
              </w:rPr>
              <w:t>具有良好的商业信誉和健全的财务会计制度【近两年年度内任意一年的年度财务报告(新成立公司提供成立至今的月或季度财务报表复印件)或银行出具的资信证明】</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7"/>
              </w:numPr>
              <w:snapToGrid w:val="0"/>
              <w:spacing w:line="360" w:lineRule="auto"/>
              <w:jc w:val="center"/>
              <w:rPr>
                <w:rFonts w:ascii="宋体" w:hAnsi="宋体"/>
                <w:color w:val="auto"/>
                <w:kern w:val="0"/>
                <w:szCs w:val="21"/>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cs="宋体"/>
                <w:color w:val="auto"/>
                <w:kern w:val="0"/>
                <w:szCs w:val="21"/>
              </w:rPr>
            </w:pPr>
            <w:r>
              <w:rPr>
                <w:rFonts w:hint="eastAsia" w:ascii="宋体" w:hAnsi="宋体"/>
                <w:color w:val="auto"/>
                <w:szCs w:val="21"/>
              </w:rPr>
              <w:t>★</w:t>
            </w:r>
            <w:r>
              <w:rPr>
                <w:rFonts w:hint="eastAsia" w:ascii="宋体" w:hAnsi="宋体" w:cs="宋体"/>
                <w:color w:val="auto"/>
                <w:szCs w:val="20"/>
              </w:rPr>
              <w:t>具有履行合同所必需的设备和专业技术能力【提供书面承诺证明材料】</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7"/>
              </w:numPr>
              <w:snapToGrid w:val="0"/>
              <w:spacing w:line="360" w:lineRule="auto"/>
              <w:jc w:val="center"/>
              <w:rPr>
                <w:rFonts w:ascii="宋体" w:hAnsi="宋体"/>
                <w:color w:val="auto"/>
                <w:kern w:val="0"/>
                <w:szCs w:val="21"/>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cs="宋体"/>
                <w:color w:val="auto"/>
                <w:kern w:val="0"/>
                <w:szCs w:val="21"/>
              </w:rPr>
            </w:pPr>
            <w:r>
              <w:rPr>
                <w:rFonts w:hint="eastAsia"/>
                <w:color w:val="auto"/>
              </w:rPr>
              <w:t>★有依法缴纳税收和社会保障资金的良好记录</w:t>
            </w:r>
            <w:r>
              <w:rPr>
                <w:rFonts w:hint="eastAsia" w:ascii="宋体" w:hAnsi="宋体" w:cs="宋体"/>
                <w:color w:val="auto"/>
                <w:szCs w:val="20"/>
              </w:rPr>
              <w:t>【①税收部门出具的至投标截止时间前一年内任意一个月的缴纳税收证明；②至投标截止时间前一年内任意一个月内开具的缴纳社会保险凭据】</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7"/>
              </w:numPr>
              <w:snapToGrid w:val="0"/>
              <w:spacing w:line="360" w:lineRule="auto"/>
              <w:jc w:val="center"/>
              <w:rPr>
                <w:rFonts w:ascii="宋体" w:hAnsi="宋体"/>
                <w:color w:val="auto"/>
                <w:kern w:val="0"/>
                <w:szCs w:val="21"/>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cs="宋体"/>
                <w:color w:val="auto"/>
                <w:kern w:val="0"/>
                <w:szCs w:val="21"/>
              </w:rPr>
            </w:pPr>
            <w:r>
              <w:rPr>
                <w:rFonts w:hint="eastAsia" w:ascii="宋体" w:hAnsi="宋体"/>
                <w:color w:val="auto"/>
                <w:szCs w:val="21"/>
              </w:rPr>
              <w:t>★</w:t>
            </w:r>
            <w:r>
              <w:rPr>
                <w:rFonts w:hint="eastAsia" w:ascii="宋体" w:hAnsi="宋体" w:cs="宋体"/>
                <w:color w:val="auto"/>
                <w:szCs w:val="20"/>
              </w:rPr>
              <w:t>参加政府采购活动前三年内，在经营活动中没有重大违法记录【提供书面承诺证明材料】</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7"/>
              </w:numPr>
              <w:snapToGrid w:val="0"/>
              <w:spacing w:line="360" w:lineRule="auto"/>
              <w:jc w:val="center"/>
              <w:rPr>
                <w:rFonts w:ascii="宋体" w:hAnsi="宋体"/>
                <w:color w:val="auto"/>
                <w:kern w:val="0"/>
                <w:szCs w:val="21"/>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cs="宋体"/>
                <w:color w:val="auto"/>
                <w:kern w:val="0"/>
                <w:szCs w:val="21"/>
              </w:rPr>
            </w:pPr>
            <w:r>
              <w:rPr>
                <w:rFonts w:hint="eastAsia" w:ascii="宋体" w:hAnsi="宋体"/>
                <w:color w:val="auto"/>
                <w:szCs w:val="21"/>
              </w:rPr>
              <w:t>★</w:t>
            </w:r>
            <w:r>
              <w:rPr>
                <w:rFonts w:hint="eastAsia" w:ascii="宋体" w:hAnsi="宋体" w:cs="宋体"/>
                <w:color w:val="auto"/>
                <w:kern w:val="0"/>
                <w:szCs w:val="21"/>
              </w:rPr>
              <w:t>供应商《公平竞争承诺书》原件( 附件6)</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7"/>
              </w:numPr>
              <w:snapToGrid w:val="0"/>
              <w:spacing w:line="360" w:lineRule="auto"/>
              <w:jc w:val="center"/>
              <w:rPr>
                <w:rFonts w:ascii="宋体" w:hAnsi="宋体"/>
                <w:color w:val="auto"/>
                <w:kern w:val="0"/>
                <w:szCs w:val="21"/>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color w:val="auto"/>
                <w:szCs w:val="21"/>
              </w:rPr>
            </w:pPr>
            <w:r>
              <w:rPr>
                <w:rFonts w:hint="eastAsia" w:ascii="宋体" w:hAnsi="宋体"/>
                <w:color w:val="auto"/>
                <w:szCs w:val="21"/>
              </w:rPr>
              <w:t>★</w:t>
            </w:r>
            <w:r>
              <w:rPr>
                <w:rFonts w:hint="eastAsia" w:ascii="宋体" w:hAnsi="宋体"/>
                <w:color w:val="auto"/>
              </w:rPr>
              <w:t>供应商须具有承接本工程所需的建筑工程施工总承包叁级（或以上级别）资质</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7"/>
              </w:numPr>
              <w:snapToGrid w:val="0"/>
              <w:spacing w:line="360" w:lineRule="auto"/>
              <w:jc w:val="center"/>
              <w:rPr>
                <w:rFonts w:ascii="宋体" w:hAnsi="宋体"/>
                <w:color w:val="auto"/>
                <w:kern w:val="0"/>
                <w:szCs w:val="21"/>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color w:val="auto"/>
              </w:rPr>
            </w:pPr>
            <w:r>
              <w:rPr>
                <w:rFonts w:hint="eastAsia" w:ascii="宋体" w:hAnsi="宋体"/>
                <w:color w:val="auto"/>
              </w:rPr>
              <w:t>★供应商须具有建设行政主管部门颁发的安全生产许可证；</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4"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7"/>
              </w:numPr>
              <w:snapToGrid w:val="0"/>
              <w:spacing w:line="360" w:lineRule="auto"/>
              <w:jc w:val="center"/>
              <w:rPr>
                <w:rFonts w:ascii="宋体" w:hAnsi="宋体"/>
                <w:color w:val="auto"/>
                <w:kern w:val="0"/>
                <w:szCs w:val="21"/>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color w:val="auto"/>
              </w:rPr>
            </w:pPr>
            <w:r>
              <w:rPr>
                <w:rFonts w:hint="eastAsia" w:ascii="宋体" w:hAnsi="宋体"/>
                <w:color w:val="auto"/>
              </w:rPr>
              <w:t>★供应商拟担任本工程项目负责人的人员为：建筑工程专业二级或以上级别注册建造师，且项目负责人持有安全培训考核合格证（B类）或能够提供广东省建筑施工企业管理人员安全生产考核信息系统安全生产管理人员证书信息的网页截图；</w:t>
            </w:r>
          </w:p>
          <w:p>
            <w:pPr>
              <w:widowControl/>
              <w:snapToGrid w:val="0"/>
              <w:rPr>
                <w:color w:val="auto"/>
              </w:rPr>
            </w:pPr>
            <w:r>
              <w:rPr>
                <w:rFonts w:hint="eastAsia" w:ascii="宋体" w:hAnsi="宋体"/>
                <w:color w:val="auto"/>
              </w:rPr>
              <w:t>注：①根据广东省建设厅《关于明确省外二级建造师入粤注册和执业有关问题的通知》（粤建市函〔2011〕218号），二级建造师执业资格证书、注册证书仅限所在行政区域内有效，不得跨省执业。投标人应提供有效的二级建造师执业资格证书或提供省建设执业资格注册中心“广东省二级注册建造师、二级注册结构工程师、二级注册建筑师注册管理信息系统”上有效的电子注册证书。</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2"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7"/>
              </w:numPr>
              <w:snapToGrid w:val="0"/>
              <w:spacing w:line="360" w:lineRule="auto"/>
              <w:jc w:val="center"/>
              <w:rPr>
                <w:rFonts w:ascii="宋体" w:hAnsi="宋体"/>
                <w:color w:val="auto"/>
                <w:kern w:val="0"/>
                <w:szCs w:val="21"/>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cs="宋体"/>
                <w:color w:val="auto"/>
                <w:kern w:val="0"/>
                <w:szCs w:val="21"/>
              </w:rPr>
            </w:pPr>
            <w:r>
              <w:rPr>
                <w:rFonts w:hint="eastAsia" w:ascii="宋体" w:hAnsi="宋体" w:cs="宋体"/>
                <w:color w:val="auto"/>
                <w:szCs w:val="21"/>
              </w:rPr>
              <w:t>★</w:t>
            </w:r>
            <w:r>
              <w:rPr>
                <w:rFonts w:hint="eastAsia" w:ascii="宋体" w:hAnsi="宋体" w:cs="宋体"/>
                <w:color w:val="auto"/>
                <w:szCs w:val="20"/>
              </w:rPr>
              <w:t>本项目投标人未被列入“信用中国”网站(www.creditchina.gov.cn)以下情形之一：①记录失信被执行人；②重大税收违法案件当事人名单；③政府采购严重违法失信行为。同时，在中国政府采购网(www.ccgp.gov.cn)“政府采购严重违法失信行为信息记录”中查询没有处于禁止参加政府采购活动的记录名单。（1、由采购人、采购代理机构于投标截止日在上述网站进行查询，同时对信息查询记录和证据截图或下载存档；2、若分公司投标：供应商为非独立法人（即由合法法人依法建立的分公司），除了对供应商进行信息查询外，同时对总公司的信息查询记录和证据截图或下载存档）。</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7"/>
              </w:numPr>
              <w:snapToGrid w:val="0"/>
              <w:spacing w:line="360" w:lineRule="auto"/>
              <w:jc w:val="center"/>
              <w:rPr>
                <w:rFonts w:ascii="宋体" w:hAnsi="宋体"/>
                <w:color w:val="auto"/>
                <w:kern w:val="0"/>
                <w:szCs w:val="21"/>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cs="宋体"/>
                <w:color w:val="auto"/>
                <w:kern w:val="0"/>
                <w:szCs w:val="21"/>
              </w:rPr>
            </w:pPr>
            <w:r>
              <w:rPr>
                <w:rFonts w:hint="eastAsia" w:ascii="宋体" w:hAnsi="宋体"/>
                <w:color w:val="auto"/>
                <w:szCs w:val="21"/>
              </w:rPr>
              <w:t>★</w:t>
            </w:r>
            <w:r>
              <w:rPr>
                <w:rFonts w:hint="eastAsia" w:ascii="宋体" w:hAnsi="宋体" w:cs="宋体"/>
                <w:color w:val="auto"/>
                <w:szCs w:val="21"/>
              </w:rPr>
              <w:t>供应商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r>
              <w:rPr>
                <w:rFonts w:hint="eastAsia" w:ascii="宋体" w:hAnsi="宋体" w:cs="宋体"/>
                <w:color w:val="auto"/>
                <w:szCs w:val="20"/>
              </w:rPr>
              <w:t>【提供书面承诺证明材料】</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7"/>
              </w:numPr>
              <w:snapToGrid w:val="0"/>
              <w:spacing w:line="360" w:lineRule="auto"/>
              <w:jc w:val="center"/>
              <w:rPr>
                <w:rFonts w:ascii="宋体" w:hAnsi="宋体"/>
                <w:color w:val="auto"/>
                <w:kern w:val="0"/>
                <w:szCs w:val="21"/>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cs="宋体"/>
                <w:color w:val="auto"/>
                <w:kern w:val="0"/>
                <w:szCs w:val="21"/>
              </w:rPr>
            </w:pPr>
            <w:r>
              <w:rPr>
                <w:rFonts w:hint="eastAsia" w:ascii="宋体" w:hAnsi="宋体"/>
                <w:color w:val="auto"/>
                <w:szCs w:val="21"/>
              </w:rPr>
              <w:t>★</w:t>
            </w:r>
            <w:r>
              <w:rPr>
                <w:rFonts w:hint="eastAsia" w:ascii="宋体" w:hAnsi="宋体" w:cs="宋体"/>
                <w:color w:val="auto"/>
                <w:szCs w:val="21"/>
              </w:rPr>
              <w:t>本项目不接受联合体投标。</w:t>
            </w:r>
            <w:r>
              <w:rPr>
                <w:rFonts w:hint="eastAsia" w:ascii="宋体" w:hAnsi="宋体" w:cs="宋体"/>
                <w:color w:val="auto"/>
                <w:szCs w:val="20"/>
              </w:rPr>
              <w:t>【提供书面承诺证明材料】</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7"/>
              </w:numPr>
              <w:snapToGrid w:val="0"/>
              <w:spacing w:line="360" w:lineRule="auto"/>
              <w:jc w:val="center"/>
              <w:rPr>
                <w:rFonts w:ascii="宋体" w:hAnsi="宋体"/>
                <w:color w:val="auto"/>
                <w:kern w:val="0"/>
                <w:szCs w:val="21"/>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cs="宋体"/>
                <w:bCs/>
                <w:color w:val="auto"/>
                <w:szCs w:val="20"/>
              </w:rPr>
            </w:pPr>
            <w:r>
              <w:rPr>
                <w:rFonts w:hint="eastAsia" w:ascii="宋体" w:hAnsi="宋体" w:cs="宋体"/>
                <w:color w:val="auto"/>
                <w:kern w:val="0"/>
                <w:szCs w:val="21"/>
                <w:lang w:val="hr-HR"/>
              </w:rPr>
              <w:t>★</w:t>
            </w:r>
            <w:r>
              <w:rPr>
                <w:rFonts w:hint="eastAsia" w:ascii="宋体" w:hAnsi="宋体"/>
                <w:color w:val="auto"/>
                <w:kern w:val="0"/>
                <w:szCs w:val="21"/>
              </w:rPr>
              <w:t>《</w:t>
            </w:r>
            <w:r>
              <w:rPr>
                <w:rFonts w:hint="eastAsia" w:ascii="宋体" w:hAnsi="宋体" w:cs="宋体"/>
                <w:color w:val="auto"/>
                <w:szCs w:val="21"/>
              </w:rPr>
              <w:t>清单报价表</w:t>
            </w:r>
            <w:r>
              <w:rPr>
                <w:rFonts w:hint="eastAsia" w:ascii="宋体" w:hAnsi="宋体"/>
                <w:color w:val="auto"/>
                <w:kern w:val="0"/>
                <w:szCs w:val="21"/>
              </w:rPr>
              <w:t>》</w:t>
            </w:r>
            <w:r>
              <w:rPr>
                <w:rFonts w:hint="eastAsia" w:ascii="宋体" w:hAnsi="宋体" w:cs="宋体"/>
                <w:color w:val="auto"/>
                <w:kern w:val="0"/>
                <w:szCs w:val="21"/>
                <w:lang w:val="hr-HR"/>
              </w:rPr>
              <w:t>（含封面）原件</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7"/>
              </w:numPr>
              <w:snapToGrid w:val="0"/>
              <w:spacing w:line="360" w:lineRule="auto"/>
              <w:jc w:val="center"/>
              <w:rPr>
                <w:rFonts w:ascii="宋体" w:hAnsi="宋体"/>
                <w:color w:val="auto"/>
                <w:kern w:val="0"/>
                <w:szCs w:val="21"/>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rPr>
            </w:pPr>
            <w:r>
              <w:rPr>
                <w:rFonts w:hint="eastAsia" w:ascii="宋体" w:hAnsi="宋体" w:cs="宋体"/>
                <w:color w:val="auto"/>
                <w:kern w:val="0"/>
                <w:szCs w:val="21"/>
              </w:rPr>
              <w:t>法定代表人证明书( 附件2)</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rPr>
            </w:pPr>
            <w:r>
              <w:rPr>
                <w:rFonts w:hint="eastAsia" w:ascii="宋体" w:hAnsi="宋体"/>
                <w:color w:val="auto"/>
                <w:kern w:val="0"/>
                <w:szCs w:val="21"/>
              </w:rPr>
              <w:t>　</w:t>
            </w: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rPr>
            </w:pPr>
            <w:r>
              <w:rPr>
                <w:rFonts w:hint="eastAsia" w:ascii="宋体" w:hAnsi="宋体"/>
                <w:color w:val="auto"/>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7"/>
              </w:numPr>
              <w:snapToGrid w:val="0"/>
              <w:spacing w:line="360" w:lineRule="auto"/>
              <w:jc w:val="center"/>
              <w:rPr>
                <w:rFonts w:ascii="宋体" w:hAnsi="宋体"/>
                <w:color w:val="auto"/>
                <w:kern w:val="0"/>
                <w:szCs w:val="21"/>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rPr>
            </w:pPr>
            <w:r>
              <w:rPr>
                <w:rFonts w:hint="eastAsia" w:ascii="宋体" w:hAnsi="宋体" w:cs="宋体"/>
                <w:color w:val="auto"/>
                <w:kern w:val="0"/>
                <w:szCs w:val="21"/>
              </w:rPr>
              <w:t>法定代表人授权书( 附件3)</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rPr>
            </w:pPr>
            <w:r>
              <w:rPr>
                <w:rFonts w:hint="eastAsia" w:ascii="宋体" w:hAnsi="宋体"/>
                <w:color w:val="auto"/>
                <w:kern w:val="0"/>
                <w:szCs w:val="21"/>
              </w:rPr>
              <w:t>　</w:t>
            </w: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rPr>
            </w:pPr>
            <w:r>
              <w:rPr>
                <w:rFonts w:hint="eastAsia" w:ascii="宋体" w:hAnsi="宋体"/>
                <w:color w:val="auto"/>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7"/>
              </w:numPr>
              <w:snapToGrid w:val="0"/>
              <w:spacing w:line="360" w:lineRule="auto"/>
              <w:jc w:val="center"/>
              <w:rPr>
                <w:rFonts w:ascii="宋体" w:hAnsi="宋体"/>
                <w:color w:val="auto"/>
                <w:kern w:val="0"/>
                <w:szCs w:val="21"/>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olor w:val="auto"/>
              </w:rPr>
            </w:pPr>
            <w:r>
              <w:rPr>
                <w:rFonts w:hint="eastAsia" w:ascii="宋体" w:hAnsi="宋体"/>
                <w:color w:val="auto"/>
              </w:rPr>
              <w:t>资格声明函</w:t>
            </w:r>
            <w:r>
              <w:rPr>
                <w:rFonts w:hint="eastAsia" w:ascii="宋体" w:hAnsi="宋体" w:cs="宋体"/>
                <w:color w:val="auto"/>
                <w:kern w:val="0"/>
                <w:szCs w:val="21"/>
              </w:rPr>
              <w:t>（附件4)</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ind w:firstLine="105" w:firstLineChars="50"/>
              <w:rPr>
                <w:rFonts w:ascii="宋体" w:hAnsi="宋体"/>
                <w:color w:val="auto"/>
                <w:kern w:val="0"/>
                <w:szCs w:val="21"/>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7"/>
              </w:numPr>
              <w:snapToGrid w:val="0"/>
              <w:spacing w:line="360" w:lineRule="auto"/>
              <w:jc w:val="center"/>
              <w:rPr>
                <w:rFonts w:ascii="宋体" w:hAnsi="宋体"/>
                <w:color w:val="auto"/>
                <w:kern w:val="0"/>
                <w:szCs w:val="21"/>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rPr>
            </w:pPr>
            <w:r>
              <w:rPr>
                <w:rFonts w:hint="eastAsia" w:ascii="宋体" w:hAnsi="宋体" w:cs="宋体"/>
                <w:color w:val="auto"/>
                <w:kern w:val="0"/>
                <w:szCs w:val="21"/>
              </w:rPr>
              <w:t>同意竞争性</w:t>
            </w:r>
            <w:r>
              <w:rPr>
                <w:rFonts w:hint="eastAsia" w:ascii="宋体" w:hAnsi="宋体"/>
                <w:bCs/>
                <w:color w:val="auto"/>
                <w:szCs w:val="21"/>
              </w:rPr>
              <w:t>磋商</w:t>
            </w:r>
            <w:r>
              <w:rPr>
                <w:rFonts w:hint="eastAsia" w:ascii="宋体" w:hAnsi="宋体" w:cs="宋体"/>
                <w:color w:val="auto"/>
                <w:kern w:val="0"/>
                <w:szCs w:val="21"/>
              </w:rPr>
              <w:t>文件条款说明 （附件5)</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rPr>
            </w:pPr>
            <w:r>
              <w:rPr>
                <w:rFonts w:hint="eastAsia" w:ascii="宋体" w:hAnsi="宋体"/>
                <w:color w:val="auto"/>
                <w:kern w:val="0"/>
                <w:szCs w:val="21"/>
              </w:rPr>
              <w:t>　</w:t>
            </w: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rPr>
            </w:pPr>
            <w:r>
              <w:rPr>
                <w:rFonts w:hint="eastAsia" w:ascii="宋体" w:hAnsi="宋体"/>
                <w:color w:val="auto"/>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7"/>
              </w:numPr>
              <w:snapToGrid w:val="0"/>
              <w:spacing w:line="360" w:lineRule="auto"/>
              <w:jc w:val="center"/>
              <w:rPr>
                <w:rFonts w:ascii="宋体" w:hAnsi="宋体"/>
                <w:color w:val="auto"/>
                <w:kern w:val="0"/>
                <w:szCs w:val="21"/>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bCs/>
                <w:color w:val="auto"/>
                <w:szCs w:val="21"/>
              </w:rPr>
            </w:pPr>
            <w:r>
              <w:rPr>
                <w:rFonts w:hint="eastAsia" w:ascii="宋体" w:hAnsi="宋体"/>
                <w:bCs/>
                <w:color w:val="auto"/>
                <w:szCs w:val="21"/>
              </w:rPr>
              <w:t>报价一览表（首次报价）( 附件7)</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7"/>
              </w:numPr>
              <w:snapToGrid w:val="0"/>
              <w:spacing w:line="360" w:lineRule="auto"/>
              <w:jc w:val="center"/>
              <w:rPr>
                <w:rFonts w:ascii="宋体" w:hAnsi="宋体"/>
                <w:color w:val="auto"/>
                <w:kern w:val="0"/>
                <w:szCs w:val="21"/>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rPr>
            </w:pPr>
            <w:r>
              <w:rPr>
                <w:rFonts w:hint="eastAsia" w:ascii="宋体" w:hAnsi="宋体" w:cs="宋体"/>
                <w:color w:val="auto"/>
                <w:kern w:val="0"/>
                <w:szCs w:val="21"/>
              </w:rPr>
              <w:t>磋商分项报价表( 附件8)</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7"/>
              </w:numPr>
              <w:snapToGrid w:val="0"/>
              <w:spacing w:line="360" w:lineRule="auto"/>
              <w:jc w:val="center"/>
              <w:rPr>
                <w:rFonts w:ascii="宋体" w:hAnsi="宋体"/>
                <w:color w:val="auto"/>
                <w:kern w:val="0"/>
                <w:szCs w:val="21"/>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rPr>
            </w:pPr>
            <w:r>
              <w:rPr>
                <w:rFonts w:hint="eastAsia" w:ascii="宋体" w:hAnsi="宋体"/>
                <w:bCs/>
                <w:color w:val="auto"/>
                <w:kern w:val="0"/>
                <w:szCs w:val="21"/>
              </w:rPr>
              <w:t>产品适用政府采购政策情况表</w:t>
            </w:r>
            <w:r>
              <w:rPr>
                <w:rFonts w:hint="eastAsia" w:ascii="宋体" w:hAnsi="宋体"/>
                <w:color w:val="auto"/>
                <w:kern w:val="0"/>
                <w:szCs w:val="21"/>
              </w:rPr>
              <w:t>(附件9)</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7"/>
              </w:numPr>
              <w:snapToGrid w:val="0"/>
              <w:spacing w:line="360" w:lineRule="auto"/>
              <w:jc w:val="center"/>
              <w:rPr>
                <w:rFonts w:ascii="宋体" w:hAnsi="宋体"/>
                <w:color w:val="auto"/>
                <w:kern w:val="0"/>
                <w:szCs w:val="21"/>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bCs/>
                <w:color w:val="auto"/>
                <w:kern w:val="0"/>
                <w:szCs w:val="21"/>
              </w:rPr>
            </w:pPr>
            <w:r>
              <w:rPr>
                <w:rFonts w:hint="eastAsia" w:ascii="宋体" w:hAnsi="宋体"/>
                <w:bCs/>
                <w:color w:val="auto"/>
                <w:kern w:val="0"/>
                <w:szCs w:val="21"/>
              </w:rPr>
              <w:t>中小企业声明函（附件10）</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7"/>
              </w:numPr>
              <w:snapToGrid w:val="0"/>
              <w:spacing w:line="360" w:lineRule="auto"/>
              <w:jc w:val="center"/>
              <w:rPr>
                <w:rFonts w:ascii="宋体" w:hAnsi="宋体"/>
                <w:color w:val="auto"/>
                <w:kern w:val="0"/>
                <w:szCs w:val="21"/>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bCs/>
                <w:color w:val="auto"/>
                <w:kern w:val="0"/>
                <w:szCs w:val="21"/>
              </w:rPr>
            </w:pPr>
            <w:r>
              <w:rPr>
                <w:rFonts w:hint="eastAsia" w:ascii="宋体" w:hAnsi="宋体"/>
                <w:bCs/>
                <w:color w:val="auto"/>
                <w:kern w:val="0"/>
                <w:szCs w:val="21"/>
              </w:rPr>
              <w:t>监狱企业的证明文件（如适用）</w:t>
            </w:r>
            <w:r>
              <w:rPr>
                <w:rFonts w:hint="eastAsia" w:ascii="宋体" w:hAnsi="宋体" w:cs="宋体"/>
                <w:color w:val="auto"/>
                <w:kern w:val="0"/>
                <w:szCs w:val="21"/>
              </w:rPr>
              <w:t>（附件11）</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7"/>
              </w:numPr>
              <w:snapToGrid w:val="0"/>
              <w:spacing w:line="360" w:lineRule="auto"/>
              <w:jc w:val="center"/>
              <w:rPr>
                <w:rFonts w:ascii="宋体" w:hAnsi="宋体"/>
                <w:color w:val="auto"/>
                <w:kern w:val="0"/>
                <w:szCs w:val="21"/>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bCs/>
                <w:color w:val="auto"/>
                <w:kern w:val="0"/>
                <w:szCs w:val="21"/>
              </w:rPr>
            </w:pPr>
            <w:r>
              <w:rPr>
                <w:rFonts w:hint="eastAsia" w:ascii="宋体" w:hAnsi="宋体"/>
                <w:bCs/>
                <w:color w:val="auto"/>
                <w:kern w:val="0"/>
                <w:szCs w:val="21"/>
              </w:rPr>
              <w:t>残疾人福利性单位声明函（如适用）</w:t>
            </w:r>
            <w:r>
              <w:rPr>
                <w:rFonts w:hint="eastAsia" w:ascii="宋体" w:hAnsi="宋体" w:cs="宋体"/>
                <w:color w:val="auto"/>
                <w:kern w:val="0"/>
                <w:szCs w:val="21"/>
              </w:rPr>
              <w:t>（附件12）</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7"/>
              </w:numPr>
              <w:snapToGrid w:val="0"/>
              <w:spacing w:line="360" w:lineRule="auto"/>
              <w:jc w:val="center"/>
              <w:rPr>
                <w:rFonts w:ascii="宋体" w:hAnsi="宋体"/>
                <w:color w:val="auto"/>
                <w:kern w:val="0"/>
                <w:szCs w:val="21"/>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rPr>
            </w:pPr>
            <w:r>
              <w:rPr>
                <w:rFonts w:hint="eastAsia" w:ascii="宋体" w:hAnsi="宋体" w:cs="宋体"/>
                <w:color w:val="auto"/>
                <w:kern w:val="0"/>
                <w:szCs w:val="21"/>
              </w:rPr>
              <w:t>供应商基本情况表( 附件13)</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7"/>
              </w:numPr>
              <w:snapToGrid w:val="0"/>
              <w:spacing w:line="360" w:lineRule="auto"/>
              <w:jc w:val="center"/>
              <w:rPr>
                <w:rFonts w:ascii="宋体" w:hAnsi="宋体"/>
                <w:color w:val="auto"/>
                <w:kern w:val="0"/>
                <w:szCs w:val="21"/>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rPr>
            </w:pPr>
            <w:r>
              <w:rPr>
                <w:rFonts w:hint="eastAsia" w:ascii="宋体" w:hAnsi="宋体" w:cs="宋体"/>
                <w:color w:val="auto"/>
                <w:kern w:val="0"/>
                <w:szCs w:val="21"/>
              </w:rPr>
              <w:t>采购需求响应表( 附件14)</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7"/>
              </w:numPr>
              <w:snapToGrid w:val="0"/>
              <w:spacing w:line="360" w:lineRule="auto"/>
              <w:jc w:val="center"/>
              <w:rPr>
                <w:rFonts w:ascii="宋体" w:hAnsi="宋体"/>
                <w:color w:val="auto"/>
                <w:kern w:val="0"/>
                <w:szCs w:val="21"/>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rPr>
            </w:pPr>
            <w:r>
              <w:rPr>
                <w:rFonts w:hint="eastAsia" w:ascii="宋体" w:hAnsi="宋体" w:cs="宋体"/>
                <w:color w:val="auto"/>
                <w:kern w:val="0"/>
                <w:szCs w:val="21"/>
              </w:rPr>
              <w:t>合同条款响应一览表( 附件15)</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7"/>
              </w:numPr>
              <w:snapToGrid w:val="0"/>
              <w:spacing w:line="360" w:lineRule="auto"/>
              <w:jc w:val="center"/>
              <w:rPr>
                <w:rFonts w:ascii="宋体" w:hAnsi="宋体"/>
                <w:color w:val="auto"/>
                <w:kern w:val="0"/>
                <w:szCs w:val="21"/>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rPr>
            </w:pPr>
            <w:r>
              <w:rPr>
                <w:rFonts w:hint="eastAsia" w:ascii="宋体" w:hAnsi="宋体" w:cs="宋体"/>
                <w:color w:val="auto"/>
                <w:kern w:val="0"/>
                <w:szCs w:val="21"/>
              </w:rPr>
              <w:t>同类项目业绩一览表( 附件16)</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7"/>
              </w:numPr>
              <w:snapToGrid w:val="0"/>
              <w:spacing w:line="360" w:lineRule="auto"/>
              <w:jc w:val="center"/>
              <w:rPr>
                <w:rFonts w:ascii="宋体" w:hAnsi="宋体"/>
                <w:color w:val="auto"/>
                <w:kern w:val="0"/>
                <w:szCs w:val="21"/>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olor w:val="auto"/>
                <w:szCs w:val="21"/>
              </w:rPr>
            </w:pPr>
            <w:r>
              <w:rPr>
                <w:rFonts w:hint="eastAsia" w:ascii="宋体" w:hAnsi="宋体" w:cs="宋体"/>
                <w:color w:val="auto"/>
                <w:kern w:val="0"/>
                <w:szCs w:val="21"/>
              </w:rPr>
              <w:t>技术服务方案( 附件17)</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7"/>
              </w:numPr>
              <w:snapToGrid w:val="0"/>
              <w:spacing w:line="360" w:lineRule="auto"/>
              <w:jc w:val="center"/>
              <w:rPr>
                <w:rFonts w:ascii="宋体" w:hAnsi="宋体"/>
                <w:color w:val="auto"/>
                <w:kern w:val="0"/>
                <w:szCs w:val="21"/>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rPr>
            </w:pPr>
            <w:r>
              <w:rPr>
                <w:rFonts w:hint="eastAsia" w:ascii="宋体" w:hAnsi="宋体" w:cs="宋体"/>
                <w:color w:val="auto"/>
                <w:kern w:val="0"/>
                <w:szCs w:val="21"/>
              </w:rPr>
              <w:t>缴交采购代理服务费承诺书( 附件18)</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7"/>
              </w:numPr>
              <w:snapToGrid w:val="0"/>
              <w:spacing w:line="360" w:lineRule="auto"/>
              <w:jc w:val="center"/>
              <w:rPr>
                <w:rFonts w:ascii="宋体" w:hAnsi="宋体"/>
                <w:color w:val="auto"/>
                <w:kern w:val="0"/>
                <w:szCs w:val="21"/>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rPr>
            </w:pPr>
            <w:r>
              <w:rPr>
                <w:rFonts w:hint="eastAsia" w:ascii="宋体" w:hAnsi="宋体" w:cs="宋体"/>
                <w:color w:val="auto"/>
                <w:kern w:val="0"/>
                <w:szCs w:val="21"/>
              </w:rPr>
              <w:t>拟派本项目负责人及主要人员情况表（附件19)</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7"/>
              </w:numPr>
              <w:snapToGrid w:val="0"/>
              <w:spacing w:line="360" w:lineRule="auto"/>
              <w:jc w:val="center"/>
              <w:rPr>
                <w:rFonts w:ascii="宋体" w:hAnsi="宋体"/>
                <w:color w:val="auto"/>
                <w:kern w:val="0"/>
                <w:szCs w:val="21"/>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rPr>
            </w:pPr>
            <w:r>
              <w:rPr>
                <w:rFonts w:hint="eastAsia" w:ascii="宋体" w:hAnsi="宋体" w:cs="宋体"/>
                <w:color w:val="auto"/>
                <w:kern w:val="0"/>
                <w:szCs w:val="21"/>
              </w:rPr>
              <w:t>实质性条款响应一览表（附件20）</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7"/>
              </w:numPr>
              <w:snapToGrid w:val="0"/>
              <w:spacing w:line="360" w:lineRule="auto"/>
              <w:jc w:val="center"/>
              <w:rPr>
                <w:rFonts w:ascii="宋体" w:hAnsi="宋体"/>
                <w:color w:val="auto"/>
                <w:kern w:val="0"/>
                <w:szCs w:val="21"/>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rPr>
            </w:pPr>
            <w:r>
              <w:rPr>
                <w:rFonts w:hint="eastAsia" w:ascii="宋体" w:hAnsi="宋体" w:cs="宋体"/>
                <w:color w:val="auto"/>
                <w:kern w:val="0"/>
                <w:szCs w:val="21"/>
              </w:rPr>
              <w:t>采购人配合的条件及伴随服务(附件21)</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7"/>
              </w:numPr>
              <w:snapToGrid w:val="0"/>
              <w:spacing w:line="360" w:lineRule="auto"/>
              <w:jc w:val="center"/>
              <w:rPr>
                <w:rFonts w:ascii="宋体" w:hAnsi="宋体"/>
                <w:color w:val="auto"/>
                <w:kern w:val="0"/>
                <w:szCs w:val="21"/>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rPr>
            </w:pPr>
            <w:r>
              <w:rPr>
                <w:rFonts w:hint="eastAsia" w:ascii="宋体" w:hAnsi="宋体" w:cs="宋体"/>
                <w:color w:val="auto"/>
                <w:kern w:val="0"/>
                <w:szCs w:val="21"/>
              </w:rPr>
              <w:t>供应商认为有必要说明的其他文件(附件22)</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rPr>
            </w:pPr>
          </w:p>
        </w:tc>
      </w:tr>
    </w:tbl>
    <w:p>
      <w:pPr>
        <w:spacing w:line="360" w:lineRule="auto"/>
        <w:ind w:firstLine="422" w:firstLineChars="200"/>
        <w:rPr>
          <w:b/>
          <w:color w:val="auto"/>
          <w:szCs w:val="21"/>
        </w:rPr>
      </w:pPr>
      <w:r>
        <w:rPr>
          <w:rFonts w:hint="eastAsia"/>
          <w:b/>
          <w:color w:val="auto"/>
          <w:szCs w:val="21"/>
        </w:rPr>
        <w:t>注：如提交的文件为复印件，需加盖公章。所有证书类文件提供复印件且必须在有效期内。</w:t>
      </w:r>
    </w:p>
    <w:p>
      <w:pPr>
        <w:spacing w:line="360" w:lineRule="auto"/>
        <w:ind w:firstLine="422" w:firstLineChars="200"/>
        <w:rPr>
          <w:b/>
          <w:color w:val="auto"/>
          <w:szCs w:val="21"/>
        </w:rPr>
      </w:pPr>
    </w:p>
    <w:p>
      <w:pPr>
        <w:spacing w:line="360" w:lineRule="auto"/>
        <w:ind w:firstLine="422" w:firstLineChars="200"/>
        <w:rPr>
          <w:b/>
          <w:color w:val="auto"/>
          <w:szCs w:val="21"/>
        </w:rPr>
      </w:pPr>
    </w:p>
    <w:p>
      <w:pPr>
        <w:spacing w:line="360" w:lineRule="auto"/>
        <w:ind w:firstLine="422" w:firstLineChars="200"/>
        <w:rPr>
          <w:b/>
          <w:color w:val="auto"/>
          <w:szCs w:val="21"/>
        </w:rPr>
      </w:pPr>
    </w:p>
    <w:p>
      <w:pPr>
        <w:spacing w:line="360" w:lineRule="auto"/>
        <w:ind w:firstLine="422" w:firstLineChars="200"/>
        <w:rPr>
          <w:b/>
          <w:color w:val="auto"/>
          <w:szCs w:val="21"/>
        </w:rPr>
      </w:pPr>
    </w:p>
    <w:p>
      <w:pPr>
        <w:spacing w:line="360" w:lineRule="auto"/>
        <w:ind w:firstLine="422" w:firstLineChars="200"/>
        <w:rPr>
          <w:b/>
          <w:color w:val="auto"/>
          <w:szCs w:val="21"/>
        </w:rPr>
      </w:pPr>
    </w:p>
    <w:p>
      <w:pPr>
        <w:spacing w:line="360" w:lineRule="auto"/>
        <w:ind w:firstLine="422" w:firstLineChars="200"/>
        <w:rPr>
          <w:b/>
          <w:color w:val="auto"/>
          <w:szCs w:val="21"/>
        </w:rPr>
      </w:pPr>
    </w:p>
    <w:p>
      <w:pPr>
        <w:spacing w:line="360" w:lineRule="auto"/>
        <w:ind w:firstLine="422" w:firstLineChars="200"/>
        <w:rPr>
          <w:b/>
          <w:color w:val="auto"/>
          <w:szCs w:val="21"/>
        </w:rPr>
      </w:pPr>
    </w:p>
    <w:p>
      <w:pPr>
        <w:spacing w:line="360" w:lineRule="auto"/>
        <w:ind w:firstLine="422" w:firstLineChars="200"/>
        <w:rPr>
          <w:b/>
          <w:color w:val="auto"/>
          <w:szCs w:val="21"/>
        </w:rPr>
      </w:pPr>
    </w:p>
    <w:p>
      <w:pPr>
        <w:spacing w:line="360" w:lineRule="auto"/>
        <w:ind w:firstLine="422" w:firstLineChars="200"/>
        <w:rPr>
          <w:b/>
          <w:color w:val="auto"/>
          <w:szCs w:val="21"/>
        </w:rPr>
      </w:pPr>
    </w:p>
    <w:p>
      <w:pPr>
        <w:spacing w:line="360" w:lineRule="auto"/>
        <w:ind w:firstLine="422" w:firstLineChars="200"/>
        <w:rPr>
          <w:b/>
          <w:color w:val="auto"/>
          <w:szCs w:val="21"/>
        </w:rPr>
      </w:pPr>
    </w:p>
    <w:p>
      <w:pPr>
        <w:spacing w:line="360" w:lineRule="auto"/>
        <w:ind w:firstLine="422" w:firstLineChars="200"/>
        <w:rPr>
          <w:b/>
          <w:color w:val="auto"/>
          <w:szCs w:val="21"/>
        </w:rPr>
      </w:pPr>
    </w:p>
    <w:p>
      <w:pPr>
        <w:spacing w:line="360" w:lineRule="auto"/>
        <w:ind w:firstLine="422" w:firstLineChars="200"/>
        <w:rPr>
          <w:b/>
          <w:color w:val="auto"/>
          <w:szCs w:val="21"/>
        </w:rPr>
      </w:pPr>
    </w:p>
    <w:p>
      <w:pPr>
        <w:spacing w:line="360" w:lineRule="auto"/>
        <w:ind w:firstLine="422" w:firstLineChars="200"/>
        <w:rPr>
          <w:b/>
          <w:color w:val="auto"/>
          <w:szCs w:val="21"/>
        </w:rPr>
      </w:pPr>
    </w:p>
    <w:p>
      <w:pPr>
        <w:spacing w:line="360" w:lineRule="auto"/>
        <w:rPr>
          <w:b/>
          <w:color w:val="auto"/>
          <w:szCs w:val="21"/>
        </w:rPr>
      </w:pPr>
    </w:p>
    <w:p>
      <w:pPr>
        <w:pStyle w:val="2"/>
        <w:rPr>
          <w:color w:val="auto"/>
        </w:rPr>
      </w:pPr>
    </w:p>
    <w:p>
      <w:pPr>
        <w:pStyle w:val="5"/>
        <w:numPr>
          <w:ilvl w:val="0"/>
          <w:numId w:val="36"/>
        </w:numPr>
        <w:tabs>
          <w:tab w:val="left" w:pos="630"/>
          <w:tab w:val="clear" w:pos="420"/>
        </w:tabs>
        <w:autoSpaceDE w:val="0"/>
        <w:adjustRightInd/>
        <w:spacing w:before="48" w:after="48"/>
        <w:ind w:left="630" w:hanging="630"/>
        <w:jc w:val="left"/>
        <w:textAlignment w:val="auto"/>
        <w:rPr>
          <w:color w:val="auto"/>
          <w:szCs w:val="30"/>
        </w:rPr>
      </w:pPr>
      <w:r>
        <w:rPr>
          <w:rFonts w:hint="eastAsia"/>
          <w:color w:val="auto"/>
          <w:szCs w:val="30"/>
        </w:rPr>
        <w:t>报价信封内容</w:t>
      </w:r>
    </w:p>
    <w:p>
      <w:pPr>
        <w:spacing w:line="360" w:lineRule="auto"/>
        <w:jc w:val="center"/>
        <w:rPr>
          <w:rFonts w:ascii="宋体" w:hAnsi="宋体"/>
          <w:bCs/>
          <w:color w:val="auto"/>
          <w:sz w:val="24"/>
        </w:rPr>
      </w:pPr>
    </w:p>
    <w:p>
      <w:pPr>
        <w:spacing w:line="360" w:lineRule="auto"/>
        <w:ind w:firstLine="420" w:firstLineChars="200"/>
        <w:rPr>
          <w:rFonts w:ascii="宋体" w:hAnsi="宋体"/>
          <w:bCs/>
          <w:color w:val="auto"/>
          <w:szCs w:val="21"/>
        </w:rPr>
      </w:pPr>
      <w:r>
        <w:rPr>
          <w:rFonts w:hint="eastAsia" w:ascii="宋体" w:hAnsi="宋体"/>
          <w:bCs/>
          <w:color w:val="auto"/>
          <w:szCs w:val="21"/>
        </w:rPr>
        <w:t>报价信封必须单独密封（该信封不要放入其它信封内），封口加盖公章，与磋商响应文件一同递交，其内装以下内容：</w:t>
      </w:r>
    </w:p>
    <w:p>
      <w:pPr>
        <w:spacing w:line="360" w:lineRule="auto"/>
        <w:ind w:left="540"/>
        <w:rPr>
          <w:rFonts w:ascii="宋体" w:hAnsi="宋体"/>
          <w:bCs/>
          <w:color w:val="auto"/>
          <w:szCs w:val="21"/>
        </w:rPr>
      </w:pPr>
      <w:r>
        <w:rPr>
          <w:rFonts w:hint="eastAsia" w:ascii="宋体" w:hAnsi="宋体"/>
          <w:bCs/>
          <w:color w:val="auto"/>
          <w:szCs w:val="21"/>
        </w:rPr>
        <w:t>（1）报价一览表</w:t>
      </w:r>
    </w:p>
    <w:p>
      <w:pPr>
        <w:spacing w:line="360" w:lineRule="auto"/>
        <w:ind w:left="540"/>
        <w:rPr>
          <w:rFonts w:ascii="宋体" w:hAnsi="宋体"/>
          <w:bCs/>
          <w:color w:val="auto"/>
          <w:szCs w:val="21"/>
        </w:rPr>
      </w:pPr>
      <w:r>
        <w:rPr>
          <w:rFonts w:hint="eastAsia" w:ascii="宋体" w:hAnsi="宋体"/>
          <w:bCs/>
          <w:color w:val="auto"/>
          <w:szCs w:val="21"/>
        </w:rPr>
        <w:t>（2）电子文档一份</w:t>
      </w:r>
    </w:p>
    <w:p>
      <w:pPr>
        <w:spacing w:line="360" w:lineRule="auto"/>
        <w:ind w:left="540"/>
        <w:rPr>
          <w:rFonts w:ascii="宋体" w:hAnsi="宋体"/>
          <w:bCs/>
          <w:color w:val="auto"/>
          <w:szCs w:val="21"/>
        </w:rPr>
      </w:pPr>
      <w:r>
        <w:rPr>
          <w:rFonts w:hint="eastAsia" w:ascii="宋体" w:hAnsi="宋体"/>
          <w:bCs/>
          <w:color w:val="auto"/>
          <w:szCs w:val="21"/>
        </w:rPr>
        <w:t>（3）</w:t>
      </w:r>
      <w:r>
        <w:rPr>
          <w:rFonts w:hint="eastAsia" w:ascii="宋体" w:hAnsi="宋体" w:cs="宋体"/>
          <w:color w:val="auto"/>
          <w:kern w:val="0"/>
          <w:szCs w:val="21"/>
        </w:rPr>
        <w:t>法定代表人授权书</w:t>
      </w:r>
    </w:p>
    <w:p>
      <w:pPr>
        <w:spacing w:line="360" w:lineRule="auto"/>
        <w:ind w:left="540"/>
        <w:rPr>
          <w:rFonts w:ascii="宋体" w:hAnsi="宋体"/>
          <w:bCs/>
          <w:color w:val="auto"/>
          <w:szCs w:val="21"/>
        </w:rPr>
      </w:pPr>
    </w:p>
    <w:p>
      <w:pPr>
        <w:spacing w:line="360" w:lineRule="auto"/>
        <w:ind w:left="540"/>
        <w:rPr>
          <w:rFonts w:ascii="宋体" w:hAnsi="宋体"/>
          <w:bCs/>
          <w:color w:val="auto"/>
          <w:szCs w:val="21"/>
        </w:rPr>
      </w:pPr>
    </w:p>
    <w:p>
      <w:pPr>
        <w:spacing w:line="360" w:lineRule="auto"/>
        <w:ind w:left="540"/>
        <w:rPr>
          <w:rFonts w:ascii="宋体" w:hAnsi="宋体"/>
          <w:bCs/>
          <w:color w:val="auto"/>
          <w:szCs w:val="21"/>
        </w:rPr>
      </w:pPr>
    </w:p>
    <w:p>
      <w:pPr>
        <w:spacing w:line="360" w:lineRule="auto"/>
        <w:ind w:left="540"/>
        <w:rPr>
          <w:rFonts w:ascii="宋体" w:hAnsi="宋体"/>
          <w:bCs/>
          <w:color w:val="auto"/>
          <w:szCs w:val="21"/>
        </w:rPr>
      </w:pPr>
    </w:p>
    <w:p>
      <w:pPr>
        <w:spacing w:line="360" w:lineRule="auto"/>
        <w:ind w:left="540"/>
        <w:rPr>
          <w:rFonts w:ascii="宋体" w:hAnsi="宋体"/>
          <w:bCs/>
          <w:color w:val="auto"/>
          <w:szCs w:val="21"/>
        </w:rPr>
      </w:pPr>
    </w:p>
    <w:p>
      <w:pPr>
        <w:spacing w:line="360" w:lineRule="auto"/>
        <w:ind w:left="540"/>
        <w:rPr>
          <w:rFonts w:ascii="宋体" w:hAnsi="宋体"/>
          <w:bCs/>
          <w:color w:val="auto"/>
          <w:szCs w:val="21"/>
        </w:rPr>
      </w:pPr>
    </w:p>
    <w:p>
      <w:pPr>
        <w:spacing w:line="360" w:lineRule="auto"/>
        <w:ind w:left="540"/>
        <w:rPr>
          <w:rFonts w:ascii="宋体" w:hAnsi="宋体"/>
          <w:bCs/>
          <w:color w:val="auto"/>
          <w:szCs w:val="21"/>
        </w:rPr>
      </w:pPr>
    </w:p>
    <w:p>
      <w:pPr>
        <w:spacing w:line="360" w:lineRule="auto"/>
        <w:ind w:left="540"/>
        <w:rPr>
          <w:rFonts w:ascii="宋体" w:hAnsi="宋体"/>
          <w:bCs/>
          <w:color w:val="auto"/>
          <w:szCs w:val="21"/>
        </w:rPr>
      </w:pPr>
    </w:p>
    <w:p>
      <w:pPr>
        <w:spacing w:line="360" w:lineRule="auto"/>
        <w:ind w:left="540"/>
        <w:rPr>
          <w:rFonts w:ascii="宋体" w:hAnsi="宋体"/>
          <w:bCs/>
          <w:color w:val="auto"/>
          <w:szCs w:val="21"/>
        </w:rPr>
      </w:pPr>
    </w:p>
    <w:p>
      <w:pPr>
        <w:spacing w:line="360" w:lineRule="auto"/>
        <w:ind w:left="540"/>
        <w:rPr>
          <w:rFonts w:ascii="宋体" w:hAnsi="宋体"/>
          <w:bCs/>
          <w:color w:val="auto"/>
          <w:szCs w:val="21"/>
        </w:rPr>
      </w:pPr>
    </w:p>
    <w:p>
      <w:pPr>
        <w:spacing w:line="360" w:lineRule="auto"/>
        <w:ind w:left="540"/>
        <w:rPr>
          <w:rFonts w:ascii="宋体" w:hAnsi="宋体"/>
          <w:bCs/>
          <w:color w:val="auto"/>
          <w:szCs w:val="21"/>
        </w:rPr>
      </w:pPr>
    </w:p>
    <w:p>
      <w:pPr>
        <w:spacing w:line="360" w:lineRule="auto"/>
        <w:ind w:left="540"/>
        <w:rPr>
          <w:rFonts w:ascii="宋体" w:hAnsi="宋体"/>
          <w:bCs/>
          <w:color w:val="auto"/>
          <w:szCs w:val="21"/>
        </w:rPr>
      </w:pPr>
    </w:p>
    <w:p>
      <w:pPr>
        <w:spacing w:line="360" w:lineRule="auto"/>
        <w:ind w:left="540"/>
        <w:rPr>
          <w:rFonts w:ascii="宋体" w:hAnsi="宋体"/>
          <w:bCs/>
          <w:color w:val="auto"/>
          <w:szCs w:val="21"/>
        </w:rPr>
      </w:pPr>
    </w:p>
    <w:p>
      <w:pPr>
        <w:spacing w:line="360" w:lineRule="auto"/>
        <w:ind w:left="540"/>
        <w:rPr>
          <w:rFonts w:ascii="宋体" w:hAnsi="宋体"/>
          <w:bCs/>
          <w:color w:val="auto"/>
          <w:szCs w:val="21"/>
        </w:rPr>
      </w:pPr>
    </w:p>
    <w:p>
      <w:pPr>
        <w:spacing w:line="360" w:lineRule="auto"/>
        <w:ind w:left="540"/>
        <w:rPr>
          <w:rFonts w:ascii="宋体" w:hAnsi="宋体"/>
          <w:bCs/>
          <w:color w:val="auto"/>
          <w:szCs w:val="21"/>
        </w:rPr>
      </w:pPr>
    </w:p>
    <w:p>
      <w:pPr>
        <w:spacing w:line="360" w:lineRule="auto"/>
        <w:ind w:left="540"/>
        <w:rPr>
          <w:rFonts w:ascii="宋体" w:hAnsi="宋体"/>
          <w:bCs/>
          <w:color w:val="auto"/>
          <w:szCs w:val="21"/>
        </w:rPr>
      </w:pPr>
    </w:p>
    <w:p>
      <w:pPr>
        <w:spacing w:line="360" w:lineRule="auto"/>
        <w:ind w:left="540"/>
        <w:rPr>
          <w:rFonts w:ascii="宋体" w:hAnsi="宋体"/>
          <w:bCs/>
          <w:color w:val="auto"/>
          <w:szCs w:val="21"/>
        </w:rPr>
      </w:pPr>
    </w:p>
    <w:p>
      <w:pPr>
        <w:spacing w:line="360" w:lineRule="auto"/>
        <w:rPr>
          <w:rFonts w:ascii="宋体" w:hAnsi="宋体"/>
          <w:bCs/>
          <w:color w:val="auto"/>
          <w:szCs w:val="21"/>
        </w:rPr>
      </w:pPr>
    </w:p>
    <w:p>
      <w:pPr>
        <w:spacing w:line="360" w:lineRule="auto"/>
        <w:rPr>
          <w:rFonts w:ascii="宋体" w:hAnsi="宋体"/>
          <w:bCs/>
          <w:color w:val="auto"/>
          <w:szCs w:val="21"/>
        </w:rPr>
      </w:pPr>
    </w:p>
    <w:p>
      <w:pPr>
        <w:spacing w:line="360" w:lineRule="auto"/>
        <w:rPr>
          <w:rFonts w:ascii="宋体" w:hAnsi="宋体"/>
          <w:bCs/>
          <w:color w:val="auto"/>
          <w:szCs w:val="21"/>
        </w:rPr>
      </w:pPr>
    </w:p>
    <w:p>
      <w:pPr>
        <w:spacing w:line="360" w:lineRule="auto"/>
        <w:rPr>
          <w:rFonts w:ascii="宋体" w:hAnsi="宋体"/>
          <w:bCs/>
          <w:color w:val="auto"/>
          <w:szCs w:val="21"/>
        </w:rPr>
      </w:pPr>
    </w:p>
    <w:p>
      <w:pPr>
        <w:spacing w:line="360" w:lineRule="auto"/>
        <w:rPr>
          <w:rFonts w:ascii="宋体" w:hAnsi="宋体"/>
          <w:bCs/>
          <w:color w:val="auto"/>
          <w:szCs w:val="21"/>
        </w:rPr>
      </w:pPr>
    </w:p>
    <w:p>
      <w:pPr>
        <w:spacing w:line="360" w:lineRule="auto"/>
        <w:rPr>
          <w:rFonts w:ascii="宋体" w:hAnsi="宋体"/>
          <w:bCs/>
          <w:color w:val="auto"/>
          <w:szCs w:val="21"/>
        </w:rPr>
      </w:pPr>
    </w:p>
    <w:p>
      <w:pPr>
        <w:spacing w:line="360" w:lineRule="auto"/>
        <w:rPr>
          <w:rFonts w:ascii="宋体" w:hAnsi="宋体"/>
          <w:bCs/>
          <w:color w:val="auto"/>
          <w:szCs w:val="21"/>
        </w:rPr>
      </w:pPr>
    </w:p>
    <w:p>
      <w:pPr>
        <w:spacing w:line="360" w:lineRule="auto"/>
        <w:rPr>
          <w:rFonts w:ascii="宋体" w:hAnsi="宋体"/>
          <w:bCs/>
          <w:color w:val="auto"/>
          <w:szCs w:val="21"/>
        </w:rPr>
      </w:pPr>
    </w:p>
    <w:p>
      <w:pPr>
        <w:spacing w:line="360" w:lineRule="auto"/>
        <w:rPr>
          <w:rFonts w:ascii="宋体" w:hAnsi="宋体"/>
          <w:bCs/>
          <w:color w:val="auto"/>
          <w:szCs w:val="21"/>
        </w:rPr>
      </w:pPr>
    </w:p>
    <w:p>
      <w:pPr>
        <w:spacing w:line="360" w:lineRule="auto"/>
        <w:rPr>
          <w:rFonts w:ascii="宋体" w:hAnsi="宋体"/>
          <w:bCs/>
          <w:color w:val="auto"/>
          <w:szCs w:val="21"/>
        </w:rPr>
      </w:pPr>
    </w:p>
    <w:p>
      <w:pPr>
        <w:spacing w:line="360" w:lineRule="auto"/>
        <w:ind w:left="105"/>
        <w:rPr>
          <w:rFonts w:ascii="宋体" w:hAnsi="宋体"/>
          <w:bCs/>
          <w:color w:val="auto"/>
          <w:sz w:val="28"/>
          <w:szCs w:val="28"/>
        </w:rPr>
      </w:pPr>
      <w:r>
        <w:rPr>
          <w:rFonts w:hint="eastAsia" w:ascii="宋体" w:hAnsi="宋体"/>
          <w:b/>
          <w:bCs/>
          <w:color w:val="auto"/>
          <w:kern w:val="0"/>
          <w:sz w:val="28"/>
          <w:szCs w:val="28"/>
        </w:rPr>
        <w:t>附件1 竞争性磋商函</w:t>
      </w:r>
    </w:p>
    <w:p>
      <w:pPr>
        <w:spacing w:line="360" w:lineRule="auto"/>
        <w:jc w:val="left"/>
        <w:rPr>
          <w:rFonts w:ascii="宋体" w:hAnsi="宋体"/>
          <w:color w:val="auto"/>
          <w:szCs w:val="21"/>
        </w:rPr>
      </w:pPr>
      <w:r>
        <w:rPr>
          <w:rFonts w:hint="eastAsia" w:ascii="宋体" w:hAnsi="宋体"/>
          <w:color w:val="auto"/>
          <w:szCs w:val="21"/>
        </w:rPr>
        <w:t>致：广州市信怡招标代理有限公司</w:t>
      </w:r>
    </w:p>
    <w:p>
      <w:pPr>
        <w:autoSpaceDE w:val="0"/>
        <w:spacing w:line="360" w:lineRule="auto"/>
        <w:ind w:firstLine="480"/>
        <w:jc w:val="left"/>
        <w:rPr>
          <w:rFonts w:ascii="宋体" w:hAnsi="宋体"/>
          <w:color w:val="auto"/>
          <w:szCs w:val="21"/>
        </w:rPr>
      </w:pPr>
      <w:r>
        <w:rPr>
          <w:rFonts w:hint="eastAsia" w:ascii="宋体" w:hAnsi="宋体"/>
          <w:color w:val="auto"/>
          <w:szCs w:val="21"/>
        </w:rPr>
        <w:t>我方确认收到你方提供的</w:t>
      </w:r>
      <w:r>
        <w:rPr>
          <w:rFonts w:ascii="ZWAdobeF" w:hAnsi="ZWAdobeF" w:cs="ZWAdobeF"/>
          <w:color w:val="auto"/>
          <w:sz w:val="2"/>
          <w:szCs w:val="2"/>
        </w:rPr>
        <w:t>UUU</w:t>
      </w:r>
      <w:r>
        <w:rPr>
          <w:rFonts w:ascii="ZWAdobeF" w:hAnsi="ZWAdobeF" w:cs="ZWAdobeF"/>
          <w:color w:val="auto"/>
          <w:sz w:val="2"/>
          <w:szCs w:val="2"/>
          <w:u w:val="single"/>
        </w:rPr>
        <w:t>U</w:t>
      </w:r>
      <w:r>
        <w:rPr>
          <w:rFonts w:hint="eastAsia" w:ascii="宋体" w:hAnsi="宋体"/>
          <w:bCs/>
          <w:color w:val="auto"/>
          <w:u w:val="single"/>
        </w:rPr>
        <w:t xml:space="preserve">项目名称     </w:t>
      </w:r>
      <w:r>
        <w:rPr>
          <w:rFonts w:ascii="ZWAdobeF" w:hAnsi="ZWAdobeF" w:cs="ZWAdobeF"/>
          <w:color w:val="auto"/>
          <w:sz w:val="2"/>
          <w:szCs w:val="2"/>
          <w:u w:val="single"/>
        </w:rPr>
        <w:t>UU</w:t>
      </w:r>
      <w:r>
        <w:rPr>
          <w:rFonts w:ascii="ZWAdobeF" w:hAnsi="ZWAdobeF" w:cs="ZWAdobeF"/>
          <w:color w:val="auto"/>
          <w:sz w:val="2"/>
          <w:szCs w:val="2"/>
        </w:rPr>
        <w:t>UU</w:t>
      </w:r>
      <w:r>
        <w:rPr>
          <w:rFonts w:hint="eastAsia" w:ascii="宋体" w:hAnsi="宋体"/>
          <w:color w:val="auto"/>
          <w:szCs w:val="21"/>
        </w:rPr>
        <w:t>及其相关服务的竞争性磋商文件的全部内容。我方：</w:t>
      </w:r>
      <w:r>
        <w:rPr>
          <w:rFonts w:ascii="ZWAdobeF" w:hAnsi="ZWAdobeF" w:cs="ZWAdobeF"/>
          <w:color w:val="auto"/>
          <w:sz w:val="2"/>
          <w:szCs w:val="2"/>
        </w:rPr>
        <w:t>UUUU</w:t>
      </w:r>
      <w:r>
        <w:rPr>
          <w:rFonts w:hint="eastAsia" w:ascii="宋体" w:hAnsi="宋体"/>
          <w:color w:val="auto"/>
          <w:szCs w:val="21"/>
          <w:u w:val="single"/>
        </w:rPr>
        <w:t>（供应商名称）</w:t>
      </w:r>
      <w:r>
        <w:rPr>
          <w:rFonts w:ascii="ZWAdobeF" w:hAnsi="ZWAdobeF" w:cs="ZWAdobeF"/>
          <w:color w:val="auto"/>
          <w:sz w:val="2"/>
          <w:szCs w:val="2"/>
        </w:rPr>
        <w:t>UUUU</w:t>
      </w:r>
      <w:r>
        <w:rPr>
          <w:rFonts w:hint="eastAsia" w:ascii="宋体" w:hAnsi="宋体"/>
          <w:color w:val="auto"/>
          <w:szCs w:val="21"/>
        </w:rPr>
        <w:t>作为报价者正式授权</w:t>
      </w:r>
      <w:r>
        <w:rPr>
          <w:rFonts w:ascii="ZWAdobeF" w:hAnsi="ZWAdobeF" w:cs="ZWAdobeF"/>
          <w:color w:val="auto"/>
          <w:sz w:val="2"/>
          <w:szCs w:val="2"/>
        </w:rPr>
        <w:t>UUUU</w:t>
      </w:r>
      <w:r>
        <w:rPr>
          <w:rFonts w:hint="eastAsia" w:ascii="宋体" w:hAnsi="宋体"/>
          <w:color w:val="auto"/>
          <w:szCs w:val="21"/>
          <w:u w:val="single"/>
        </w:rPr>
        <w:t>（姓名、职位）</w:t>
      </w:r>
      <w:r>
        <w:rPr>
          <w:rFonts w:ascii="ZWAdobeF" w:hAnsi="ZWAdobeF" w:cs="ZWAdobeF"/>
          <w:color w:val="auto"/>
          <w:sz w:val="2"/>
          <w:szCs w:val="2"/>
        </w:rPr>
        <w:t>UUUU</w:t>
      </w:r>
      <w:r>
        <w:rPr>
          <w:rFonts w:hint="eastAsia" w:ascii="宋体" w:hAnsi="宋体"/>
          <w:color w:val="auto"/>
          <w:szCs w:val="21"/>
        </w:rPr>
        <w:t>代表我方进行有关报价的一切事宜。在此提交的报价文件，正本</w:t>
      </w:r>
      <w:r>
        <w:rPr>
          <w:rFonts w:hint="eastAsia" w:ascii="宋体" w:hAnsi="宋体"/>
          <w:color w:val="auto"/>
          <w:szCs w:val="21"/>
          <w:u w:val="single"/>
        </w:rPr>
        <w:t>壹</w:t>
      </w:r>
      <w:r>
        <w:rPr>
          <w:rFonts w:hint="eastAsia" w:ascii="宋体" w:hAnsi="宋体"/>
          <w:color w:val="auto"/>
          <w:szCs w:val="21"/>
        </w:rPr>
        <w:t>份，副本</w:t>
      </w:r>
      <w:r>
        <w:rPr>
          <w:rFonts w:hint="eastAsia" w:ascii="宋体" w:hAnsi="宋体"/>
          <w:color w:val="auto"/>
          <w:szCs w:val="21"/>
          <w:u w:val="single"/>
        </w:rPr>
        <w:t>贰</w:t>
      </w:r>
      <w:r>
        <w:rPr>
          <w:rFonts w:hint="eastAsia" w:ascii="宋体" w:hAnsi="宋体"/>
          <w:color w:val="auto"/>
          <w:szCs w:val="21"/>
        </w:rPr>
        <w:t>份。我方已完全明白竞争性</w:t>
      </w:r>
      <w:r>
        <w:rPr>
          <w:rFonts w:hint="eastAsia" w:ascii="宋体" w:hAnsi="宋体"/>
          <w:bCs/>
          <w:color w:val="auto"/>
          <w:szCs w:val="21"/>
        </w:rPr>
        <w:t>磋商</w:t>
      </w:r>
      <w:r>
        <w:rPr>
          <w:rFonts w:hint="eastAsia" w:ascii="宋体" w:hAnsi="宋体"/>
          <w:color w:val="auto"/>
          <w:szCs w:val="21"/>
        </w:rPr>
        <w:t>文件的所有条款要求，并重申以下几点：</w:t>
      </w:r>
    </w:p>
    <w:p>
      <w:pPr>
        <w:spacing w:line="360" w:lineRule="auto"/>
        <w:jc w:val="left"/>
        <w:rPr>
          <w:rFonts w:ascii="宋体" w:hAnsi="宋体"/>
          <w:color w:val="auto"/>
          <w:szCs w:val="21"/>
        </w:rPr>
      </w:pPr>
      <w:r>
        <w:rPr>
          <w:rFonts w:hint="eastAsia" w:ascii="宋体" w:hAnsi="宋体"/>
          <w:color w:val="auto"/>
          <w:szCs w:val="21"/>
        </w:rPr>
        <w:t>1.我方决定参加：项目编号为</w:t>
      </w:r>
      <w:r>
        <w:rPr>
          <w:rFonts w:hint="eastAsia" w:ascii="宋体" w:hAnsi="宋体"/>
          <w:color w:val="auto"/>
          <w:szCs w:val="21"/>
          <w:u w:val="single"/>
        </w:rPr>
        <w:t xml:space="preserve">     项目编号      </w:t>
      </w:r>
      <w:r>
        <w:rPr>
          <w:rFonts w:hint="eastAsia" w:ascii="宋体" w:hAnsi="宋体"/>
          <w:color w:val="auto"/>
          <w:szCs w:val="21"/>
        </w:rPr>
        <w:t>号的磋商响应。响应报价总价为</w:t>
      </w:r>
      <w:r>
        <w:rPr>
          <w:rFonts w:hint="eastAsia" w:ascii="宋体" w:hAnsi="宋体"/>
          <w:color w:val="auto"/>
          <w:szCs w:val="21"/>
          <w:u w:val="single"/>
        </w:rPr>
        <w:t xml:space="preserve">          </w:t>
      </w:r>
      <w:r>
        <w:rPr>
          <w:rFonts w:hint="eastAsia" w:ascii="宋体" w:hAnsi="宋体"/>
          <w:color w:val="auto"/>
          <w:szCs w:val="21"/>
        </w:rPr>
        <w:t>元；</w:t>
      </w:r>
    </w:p>
    <w:p>
      <w:pPr>
        <w:autoSpaceDE w:val="0"/>
        <w:spacing w:line="360" w:lineRule="auto"/>
        <w:ind w:left="240" w:hanging="240"/>
        <w:jc w:val="left"/>
        <w:rPr>
          <w:rFonts w:ascii="宋体" w:hAnsi="宋体"/>
          <w:color w:val="auto"/>
          <w:szCs w:val="21"/>
        </w:rPr>
      </w:pPr>
      <w:r>
        <w:rPr>
          <w:rFonts w:hint="eastAsia" w:ascii="宋体" w:hAnsi="宋体"/>
          <w:color w:val="auto"/>
          <w:szCs w:val="21"/>
        </w:rPr>
        <w:t>2.本报价文件的有效期为</w:t>
      </w:r>
      <w:r>
        <w:rPr>
          <w:rFonts w:hint="eastAsia" w:ascii="宋体" w:hAnsi="宋体"/>
          <w:color w:val="auto"/>
        </w:rPr>
        <w:t>磋商响应文件递交</w:t>
      </w:r>
      <w:r>
        <w:rPr>
          <w:rFonts w:hint="eastAsia" w:ascii="宋体" w:hAnsi="宋体"/>
          <w:color w:val="auto"/>
          <w:szCs w:val="21"/>
        </w:rPr>
        <w:t>截止日后</w:t>
      </w:r>
      <w:r>
        <w:rPr>
          <w:rFonts w:ascii="ZWAdobeF" w:hAnsi="ZWAdobeF" w:cs="ZWAdobeF"/>
          <w:color w:val="auto"/>
          <w:sz w:val="2"/>
          <w:szCs w:val="2"/>
        </w:rPr>
        <w:t>UUUU</w:t>
      </w:r>
      <w:r>
        <w:rPr>
          <w:rFonts w:hint="eastAsia" w:ascii="宋体" w:hAnsi="宋体"/>
          <w:color w:val="auto"/>
          <w:szCs w:val="21"/>
          <w:u w:val="single"/>
        </w:rPr>
        <w:t>90</w:t>
      </w:r>
      <w:r>
        <w:rPr>
          <w:rFonts w:ascii="ZWAdobeF" w:hAnsi="ZWAdobeF" w:cs="ZWAdobeF"/>
          <w:color w:val="auto"/>
          <w:sz w:val="2"/>
          <w:szCs w:val="2"/>
        </w:rPr>
        <w:t>UUUU</w:t>
      </w:r>
      <w:r>
        <w:rPr>
          <w:rFonts w:hint="eastAsia" w:ascii="宋体" w:hAnsi="宋体"/>
          <w:color w:val="auto"/>
          <w:szCs w:val="21"/>
        </w:rPr>
        <w:t>天有效，如被确定为供应商成交供应商，有效期将延至合同终止日为止；</w:t>
      </w:r>
    </w:p>
    <w:p>
      <w:pPr>
        <w:spacing w:line="360" w:lineRule="auto"/>
        <w:ind w:left="240" w:hanging="240"/>
        <w:jc w:val="left"/>
        <w:rPr>
          <w:rFonts w:ascii="宋体" w:hAnsi="宋体"/>
          <w:color w:val="auto"/>
          <w:szCs w:val="21"/>
        </w:rPr>
      </w:pPr>
      <w:r>
        <w:rPr>
          <w:rFonts w:hint="eastAsia" w:ascii="宋体" w:hAnsi="宋体"/>
          <w:color w:val="auto"/>
          <w:szCs w:val="21"/>
        </w:rPr>
        <w:t>3.我方已详细研究了竞争性磋商文件的所有内容包括修正（如果有）和所有已提供的参考资料以及有关格式并完全明白，我方放弃在此方面提出含糊意见或误解的一切权利；</w:t>
      </w:r>
    </w:p>
    <w:p>
      <w:pPr>
        <w:spacing w:line="360" w:lineRule="auto"/>
        <w:jc w:val="left"/>
        <w:rPr>
          <w:rFonts w:ascii="宋体" w:hAnsi="宋体"/>
          <w:color w:val="auto"/>
          <w:szCs w:val="21"/>
        </w:rPr>
      </w:pPr>
      <w:r>
        <w:rPr>
          <w:rFonts w:hint="eastAsia" w:ascii="宋体" w:hAnsi="宋体"/>
          <w:color w:val="auto"/>
          <w:szCs w:val="21"/>
        </w:rPr>
        <w:t>4.我方同意按照你方可能提出的要求提供与报价有关的任何其它数据或信息；</w:t>
      </w:r>
    </w:p>
    <w:p>
      <w:pPr>
        <w:spacing w:line="360" w:lineRule="auto"/>
        <w:jc w:val="left"/>
        <w:rPr>
          <w:rFonts w:ascii="宋体" w:hAnsi="宋体"/>
          <w:color w:val="auto"/>
          <w:szCs w:val="21"/>
        </w:rPr>
      </w:pPr>
      <w:r>
        <w:rPr>
          <w:rFonts w:hint="eastAsia" w:ascii="宋体" w:hAnsi="宋体"/>
          <w:color w:val="auto"/>
          <w:szCs w:val="21"/>
        </w:rPr>
        <w:t>5.我方理解磋商小组不一定接受最低报价或任何你方可能收到的报价；</w:t>
      </w:r>
    </w:p>
    <w:p>
      <w:pPr>
        <w:spacing w:line="360" w:lineRule="auto"/>
        <w:ind w:left="240" w:hanging="240"/>
        <w:jc w:val="left"/>
        <w:rPr>
          <w:rFonts w:ascii="宋体" w:hAnsi="宋体"/>
          <w:color w:val="auto"/>
          <w:szCs w:val="21"/>
        </w:rPr>
      </w:pPr>
      <w:r>
        <w:rPr>
          <w:rFonts w:hint="eastAsia" w:ascii="宋体" w:hAnsi="宋体"/>
          <w:color w:val="auto"/>
          <w:szCs w:val="21"/>
        </w:rPr>
        <w:t>6.我方如被确定为供应商成交供应商，将保证履行竞争性磋商文件以及竞争性磋商文件修改书（如有的话）中的全部责任和义务，按质、按量、按期完成《合同》中的全部任务；</w:t>
      </w:r>
    </w:p>
    <w:p>
      <w:pPr>
        <w:spacing w:line="360" w:lineRule="auto"/>
        <w:jc w:val="left"/>
        <w:rPr>
          <w:rFonts w:ascii="宋体" w:hAnsi="宋体"/>
          <w:color w:val="auto"/>
          <w:szCs w:val="21"/>
        </w:rPr>
      </w:pPr>
      <w:r>
        <w:rPr>
          <w:rFonts w:hint="eastAsia" w:ascii="宋体" w:hAnsi="宋体"/>
          <w:color w:val="auto"/>
          <w:szCs w:val="21"/>
        </w:rPr>
        <w:t>7.我方自行完全承担因报价文件错误、缺漏、不清晰而导致的一切后果；</w:t>
      </w:r>
    </w:p>
    <w:p>
      <w:pPr>
        <w:spacing w:line="360" w:lineRule="auto"/>
        <w:ind w:left="240" w:hanging="240"/>
        <w:jc w:val="left"/>
        <w:rPr>
          <w:rFonts w:ascii="宋体" w:hAnsi="宋体"/>
          <w:color w:val="auto"/>
          <w:szCs w:val="21"/>
        </w:rPr>
      </w:pPr>
      <w:r>
        <w:rPr>
          <w:rFonts w:hint="eastAsia" w:ascii="宋体" w:hAnsi="宋体"/>
          <w:color w:val="auto"/>
          <w:szCs w:val="21"/>
        </w:rPr>
        <w:t>8.我方确认此次磋商中提供的一切资料均是真实的，准确的，并完全承担因此产生的一切后果。</w:t>
      </w:r>
    </w:p>
    <w:p>
      <w:pPr>
        <w:spacing w:line="360" w:lineRule="auto"/>
        <w:jc w:val="left"/>
        <w:rPr>
          <w:rFonts w:ascii="宋体" w:hAnsi="宋体"/>
          <w:color w:val="auto"/>
          <w:szCs w:val="21"/>
        </w:rPr>
      </w:pPr>
      <w:r>
        <w:rPr>
          <w:rFonts w:hint="eastAsia" w:ascii="宋体" w:hAnsi="宋体"/>
          <w:color w:val="auto"/>
          <w:szCs w:val="21"/>
        </w:rPr>
        <w:t>9.我方的报价被接受，我方同意按照竞争性磋商文件规定向采购代理机构缴纳采购代理服务费。</w:t>
      </w:r>
    </w:p>
    <w:p>
      <w:pPr>
        <w:spacing w:line="360" w:lineRule="auto"/>
        <w:jc w:val="left"/>
        <w:rPr>
          <w:rFonts w:ascii="宋体" w:hAnsi="宋体"/>
          <w:color w:val="auto"/>
          <w:szCs w:val="21"/>
        </w:rPr>
      </w:pPr>
      <w:r>
        <w:rPr>
          <w:rFonts w:hint="eastAsia" w:ascii="宋体" w:hAnsi="宋体"/>
          <w:color w:val="auto"/>
          <w:szCs w:val="21"/>
        </w:rPr>
        <w:t>所有与本竞争性磋商文件有关的函件请发往下列地址：</w:t>
      </w:r>
    </w:p>
    <w:p>
      <w:pPr>
        <w:spacing w:line="360" w:lineRule="auto"/>
        <w:ind w:firstLine="210" w:firstLineChars="100"/>
        <w:jc w:val="left"/>
        <w:rPr>
          <w:rFonts w:ascii="宋体" w:hAnsi="宋体"/>
          <w:color w:val="auto"/>
          <w:szCs w:val="21"/>
        </w:rPr>
      </w:pPr>
    </w:p>
    <w:p>
      <w:pPr>
        <w:spacing w:line="360" w:lineRule="auto"/>
        <w:ind w:firstLine="420" w:firstLineChars="200"/>
        <w:jc w:val="left"/>
        <w:rPr>
          <w:rFonts w:ascii="宋体" w:hAnsi="宋体"/>
          <w:color w:val="auto"/>
          <w:szCs w:val="21"/>
          <w:u w:val="single"/>
        </w:rPr>
      </w:pPr>
      <w:r>
        <w:rPr>
          <w:rFonts w:hint="eastAsia" w:ascii="宋体" w:hAnsi="宋体"/>
          <w:color w:val="auto"/>
          <w:szCs w:val="21"/>
        </w:rPr>
        <w:t>供应商全称（加盖公章）：</w:t>
      </w:r>
    </w:p>
    <w:p>
      <w:pPr>
        <w:spacing w:line="360" w:lineRule="auto"/>
        <w:ind w:firstLine="420" w:firstLineChars="200"/>
        <w:jc w:val="left"/>
        <w:rPr>
          <w:rFonts w:ascii="宋体" w:hAnsi="宋体"/>
          <w:color w:val="auto"/>
          <w:szCs w:val="21"/>
          <w:u w:val="single"/>
        </w:rPr>
      </w:pPr>
      <w:r>
        <w:rPr>
          <w:rFonts w:hint="eastAsia" w:ascii="宋体" w:hAnsi="宋体"/>
          <w:color w:val="auto"/>
          <w:szCs w:val="21"/>
        </w:rPr>
        <w:t>地址：  邮政编码：</w:t>
      </w:r>
    </w:p>
    <w:p>
      <w:pPr>
        <w:spacing w:line="360" w:lineRule="auto"/>
        <w:ind w:firstLine="420" w:firstLineChars="200"/>
        <w:jc w:val="left"/>
        <w:rPr>
          <w:rFonts w:ascii="宋体" w:hAnsi="宋体"/>
          <w:color w:val="auto"/>
          <w:szCs w:val="21"/>
          <w:u w:val="single"/>
        </w:rPr>
      </w:pPr>
      <w:r>
        <w:rPr>
          <w:rFonts w:hint="eastAsia" w:ascii="宋体" w:hAnsi="宋体"/>
          <w:color w:val="auto"/>
          <w:szCs w:val="21"/>
        </w:rPr>
        <w:t>法定代表或其授权代表（签字或签章）：</w:t>
      </w:r>
    </w:p>
    <w:p>
      <w:pPr>
        <w:spacing w:line="360" w:lineRule="auto"/>
        <w:ind w:firstLine="420" w:firstLineChars="200"/>
        <w:jc w:val="left"/>
        <w:rPr>
          <w:rFonts w:ascii="宋体" w:hAnsi="宋体"/>
          <w:color w:val="auto"/>
        </w:rPr>
      </w:pPr>
      <w:r>
        <w:rPr>
          <w:rFonts w:hint="eastAsia" w:ascii="宋体" w:hAnsi="宋体"/>
          <w:color w:val="auto"/>
          <w:szCs w:val="21"/>
        </w:rPr>
        <w:t>日    期： 2020年  月  日</w:t>
      </w:r>
      <w:r>
        <w:rPr>
          <w:rFonts w:hint="eastAsia" w:ascii="宋体" w:hAnsi="宋体"/>
          <w:color w:val="auto"/>
        </w:rPr>
        <w:br w:type="page"/>
      </w:r>
      <w:bookmarkStart w:id="390" w:name="_Toc28489497"/>
      <w:bookmarkStart w:id="391" w:name="_Toc35834913"/>
      <w:bookmarkStart w:id="392" w:name="_Toc14450839"/>
      <w:bookmarkStart w:id="393" w:name="_Toc86065029"/>
      <w:bookmarkStart w:id="394" w:name="_Toc34535359"/>
      <w:bookmarkStart w:id="395" w:name="_Toc25224019"/>
      <w:bookmarkStart w:id="396" w:name="_Toc109467909"/>
      <w:bookmarkStart w:id="397" w:name="_Toc41448359"/>
      <w:bookmarkStart w:id="398" w:name="_Toc55816096"/>
    </w:p>
    <w:p>
      <w:pPr>
        <w:spacing w:line="360" w:lineRule="auto"/>
        <w:rPr>
          <w:rFonts w:ascii="宋体" w:hAnsi="宋体"/>
          <w:color w:val="auto"/>
        </w:rPr>
      </w:pPr>
      <w:r>
        <w:rPr>
          <w:rFonts w:hint="eastAsia" w:ascii="宋体" w:hAnsi="宋体"/>
          <w:b/>
          <w:bCs/>
          <w:color w:val="auto"/>
          <w:kern w:val="0"/>
          <w:sz w:val="28"/>
          <w:szCs w:val="28"/>
        </w:rPr>
        <w:t>附件2法定代表人证明书</w:t>
      </w:r>
    </w:p>
    <w:p>
      <w:pPr>
        <w:spacing w:line="360" w:lineRule="auto"/>
        <w:rPr>
          <w:rFonts w:ascii="宋体" w:hAnsi="宋体"/>
          <w:b/>
          <w:color w:val="auto"/>
          <w:sz w:val="24"/>
        </w:rPr>
      </w:pPr>
    </w:p>
    <w:p>
      <w:pPr>
        <w:pStyle w:val="46"/>
        <w:spacing w:line="360" w:lineRule="auto"/>
        <w:rPr>
          <w:rFonts w:hAnsi="宋体"/>
          <w:color w:val="auto"/>
          <w:szCs w:val="21"/>
        </w:rPr>
      </w:pPr>
      <w:bookmarkStart w:id="399" w:name="_Toc223939105"/>
      <w:r>
        <w:rPr>
          <w:rFonts w:hint="eastAsia" w:hAnsi="宋体"/>
          <w:color w:val="auto"/>
          <w:szCs w:val="21"/>
        </w:rPr>
        <w:t>现任我单位职务，为法定代表人，特此证明。</w:t>
      </w:r>
      <w:bookmarkEnd w:id="399"/>
      <w:bookmarkStart w:id="400" w:name="_Toc223939106"/>
    </w:p>
    <w:p>
      <w:pPr>
        <w:pStyle w:val="46"/>
        <w:spacing w:line="360" w:lineRule="auto"/>
        <w:rPr>
          <w:rFonts w:hAnsi="宋体"/>
          <w:color w:val="auto"/>
          <w:szCs w:val="21"/>
          <w:u w:val="single"/>
        </w:rPr>
      </w:pPr>
      <w:r>
        <w:rPr>
          <w:rFonts w:hint="eastAsia" w:hAnsi="宋体"/>
          <w:color w:val="auto"/>
          <w:szCs w:val="21"/>
        </w:rPr>
        <w:t>有效期限：</w:t>
      </w:r>
      <w:bookmarkEnd w:id="400"/>
      <w:bookmarkStart w:id="401" w:name="_Toc223939107"/>
    </w:p>
    <w:p>
      <w:pPr>
        <w:pStyle w:val="46"/>
        <w:spacing w:line="360" w:lineRule="auto"/>
        <w:ind w:left="359" w:leftChars="171"/>
        <w:rPr>
          <w:rFonts w:hAnsi="宋体"/>
          <w:color w:val="auto"/>
          <w:szCs w:val="21"/>
          <w:u w:val="single"/>
        </w:rPr>
      </w:pPr>
      <w:r>
        <w:rPr>
          <w:rFonts w:hint="eastAsia" w:hAnsi="宋体"/>
          <w:color w:val="auto"/>
          <w:szCs w:val="21"/>
        </w:rPr>
        <w:t>附：代表人性别：年龄：身份证号码：</w:t>
      </w:r>
      <w:bookmarkEnd w:id="401"/>
      <w:bookmarkStart w:id="402" w:name="_Toc223939108"/>
    </w:p>
    <w:p>
      <w:pPr>
        <w:pStyle w:val="46"/>
        <w:spacing w:line="360" w:lineRule="auto"/>
        <w:ind w:left="359" w:leftChars="171"/>
        <w:rPr>
          <w:rFonts w:hAnsi="宋体"/>
          <w:color w:val="auto"/>
          <w:szCs w:val="21"/>
          <w:u w:val="single"/>
        </w:rPr>
      </w:pPr>
      <w:r>
        <w:rPr>
          <w:rFonts w:hint="eastAsia" w:hAnsi="宋体"/>
          <w:color w:val="auto"/>
          <w:szCs w:val="21"/>
        </w:rPr>
        <w:t>工商注册号：</w:t>
      </w:r>
    </w:p>
    <w:p>
      <w:pPr>
        <w:pStyle w:val="46"/>
        <w:spacing w:line="360" w:lineRule="auto"/>
        <w:ind w:left="239" w:leftChars="114" w:firstLine="105" w:firstLineChars="50"/>
        <w:rPr>
          <w:rFonts w:hAnsi="宋体"/>
          <w:color w:val="auto"/>
          <w:szCs w:val="21"/>
        </w:rPr>
      </w:pPr>
      <w:r>
        <w:rPr>
          <w:rFonts w:hint="eastAsia" w:hAnsi="宋体"/>
          <w:color w:val="auto"/>
          <w:szCs w:val="21"/>
        </w:rPr>
        <w:t>企业类型：</w:t>
      </w:r>
      <w:r>
        <w:rPr>
          <w:rFonts w:hint="eastAsia" w:hAnsi="宋体"/>
          <w:color w:val="auto"/>
          <w:szCs w:val="21"/>
          <w:u w:val="single"/>
        </w:rPr>
        <w:t>_                     _</w:t>
      </w:r>
      <w:bookmarkEnd w:id="402"/>
      <w:bookmarkStart w:id="403" w:name="_Toc223939109"/>
    </w:p>
    <w:p>
      <w:pPr>
        <w:pStyle w:val="46"/>
        <w:spacing w:line="360" w:lineRule="auto"/>
        <w:ind w:left="239" w:leftChars="114" w:firstLine="105" w:firstLineChars="50"/>
        <w:rPr>
          <w:rFonts w:hAnsi="宋体"/>
          <w:b/>
          <w:color w:val="auto"/>
          <w:szCs w:val="21"/>
        </w:rPr>
      </w:pPr>
      <w:r>
        <w:rPr>
          <w:rFonts w:hint="eastAsia" w:hAnsi="宋体"/>
          <w:color w:val="auto"/>
          <w:szCs w:val="21"/>
        </w:rPr>
        <w:t>经营范围：</w:t>
      </w:r>
      <w:bookmarkEnd w:id="403"/>
    </w:p>
    <w:p>
      <w:pPr>
        <w:pStyle w:val="46"/>
        <w:spacing w:line="360" w:lineRule="auto"/>
        <w:jc w:val="center"/>
        <w:rPr>
          <w:rFonts w:hAnsi="宋体"/>
          <w:color w:val="auto"/>
          <w:szCs w:val="21"/>
        </w:rPr>
      </w:pPr>
    </w:p>
    <w:tbl>
      <w:tblPr>
        <w:tblStyle w:val="9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61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22" w:hRule="atLeast"/>
          <w:jc w:val="center"/>
        </w:trPr>
        <w:tc>
          <w:tcPr>
            <w:tcW w:w="6615" w:type="dxa"/>
            <w:tcBorders>
              <w:top w:val="single" w:color="auto" w:sz="6" w:space="0"/>
              <w:left w:val="single" w:color="auto" w:sz="6" w:space="0"/>
              <w:bottom w:val="single" w:color="auto" w:sz="6" w:space="0"/>
              <w:right w:val="single" w:color="auto" w:sz="6" w:space="0"/>
            </w:tcBorders>
          </w:tcPr>
          <w:p>
            <w:pPr>
              <w:pStyle w:val="46"/>
              <w:spacing w:line="360" w:lineRule="auto"/>
              <w:jc w:val="center"/>
              <w:rPr>
                <w:rFonts w:hAnsi="宋体"/>
                <w:color w:val="auto"/>
                <w:szCs w:val="21"/>
              </w:rPr>
            </w:pPr>
          </w:p>
          <w:p>
            <w:pPr>
              <w:pStyle w:val="46"/>
              <w:spacing w:line="360" w:lineRule="auto"/>
              <w:jc w:val="center"/>
              <w:rPr>
                <w:rFonts w:hAnsi="宋体"/>
                <w:color w:val="auto"/>
                <w:szCs w:val="21"/>
              </w:rPr>
            </w:pPr>
          </w:p>
          <w:p>
            <w:pPr>
              <w:pStyle w:val="46"/>
              <w:spacing w:line="360" w:lineRule="auto"/>
              <w:jc w:val="center"/>
              <w:rPr>
                <w:rFonts w:hAnsi="宋体"/>
                <w:b/>
                <w:color w:val="auto"/>
                <w:szCs w:val="21"/>
              </w:rPr>
            </w:pPr>
          </w:p>
          <w:p>
            <w:pPr>
              <w:pStyle w:val="46"/>
              <w:spacing w:line="360" w:lineRule="auto"/>
              <w:jc w:val="center"/>
              <w:rPr>
                <w:rFonts w:hAnsi="宋体"/>
                <w:b/>
                <w:color w:val="auto"/>
                <w:szCs w:val="21"/>
              </w:rPr>
            </w:pPr>
          </w:p>
          <w:p>
            <w:pPr>
              <w:pStyle w:val="46"/>
              <w:spacing w:line="360" w:lineRule="auto"/>
              <w:jc w:val="center"/>
              <w:rPr>
                <w:rFonts w:hAnsi="宋体"/>
                <w:b/>
                <w:color w:val="auto"/>
                <w:szCs w:val="21"/>
              </w:rPr>
            </w:pPr>
          </w:p>
          <w:p>
            <w:pPr>
              <w:pStyle w:val="46"/>
              <w:spacing w:line="360" w:lineRule="auto"/>
              <w:jc w:val="center"/>
              <w:rPr>
                <w:rFonts w:hAnsi="宋体"/>
                <w:b/>
                <w:color w:val="auto"/>
                <w:szCs w:val="21"/>
              </w:rPr>
            </w:pPr>
            <w:r>
              <w:rPr>
                <w:rFonts w:hint="eastAsia" w:hAnsi="宋体"/>
                <w:b/>
                <w:color w:val="auto"/>
                <w:szCs w:val="21"/>
              </w:rPr>
              <w:t>法定代表人</w:t>
            </w:r>
          </w:p>
          <w:p>
            <w:pPr>
              <w:pStyle w:val="46"/>
              <w:spacing w:line="360" w:lineRule="auto"/>
              <w:jc w:val="center"/>
              <w:rPr>
                <w:rFonts w:hAnsi="宋体"/>
                <w:b/>
                <w:color w:val="auto"/>
                <w:szCs w:val="21"/>
              </w:rPr>
            </w:pPr>
            <w:r>
              <w:rPr>
                <w:rFonts w:hint="eastAsia" w:hAnsi="宋体"/>
                <w:b/>
                <w:color w:val="auto"/>
                <w:szCs w:val="21"/>
              </w:rPr>
              <w:t>居民身份证复印件粘贴处</w:t>
            </w:r>
          </w:p>
          <w:p>
            <w:pPr>
              <w:pStyle w:val="46"/>
              <w:spacing w:line="360" w:lineRule="auto"/>
              <w:jc w:val="center"/>
              <w:rPr>
                <w:rFonts w:hAnsi="宋体"/>
                <w:b/>
                <w:color w:val="auto"/>
                <w:szCs w:val="21"/>
              </w:rPr>
            </w:pPr>
            <w:r>
              <w:rPr>
                <w:rFonts w:hint="eastAsia" w:hAnsi="宋体"/>
                <w:b/>
                <w:color w:val="auto"/>
                <w:szCs w:val="21"/>
              </w:rPr>
              <w:t>（正反面）</w:t>
            </w:r>
          </w:p>
          <w:p>
            <w:pPr>
              <w:pStyle w:val="46"/>
              <w:spacing w:line="360" w:lineRule="auto"/>
              <w:jc w:val="center"/>
              <w:rPr>
                <w:rFonts w:hAnsi="宋体"/>
                <w:color w:val="auto"/>
                <w:szCs w:val="21"/>
              </w:rPr>
            </w:pPr>
          </w:p>
        </w:tc>
      </w:tr>
    </w:tbl>
    <w:p>
      <w:pPr>
        <w:tabs>
          <w:tab w:val="left" w:pos="3780"/>
        </w:tabs>
        <w:spacing w:line="360" w:lineRule="auto"/>
        <w:rPr>
          <w:rFonts w:ascii="宋体" w:hAnsi="宋体"/>
          <w:color w:val="auto"/>
          <w:szCs w:val="21"/>
        </w:rPr>
      </w:pPr>
    </w:p>
    <w:p>
      <w:pPr>
        <w:tabs>
          <w:tab w:val="left" w:pos="3780"/>
        </w:tabs>
        <w:spacing w:line="360" w:lineRule="auto"/>
        <w:rPr>
          <w:rFonts w:ascii="宋体" w:hAnsi="宋体"/>
          <w:b/>
          <w:color w:val="auto"/>
          <w:szCs w:val="21"/>
        </w:rPr>
      </w:pPr>
      <w:r>
        <w:rPr>
          <w:rFonts w:hint="eastAsia" w:ascii="宋体" w:hAnsi="宋体"/>
          <w:b/>
          <w:color w:val="auto"/>
          <w:szCs w:val="21"/>
        </w:rPr>
        <w:t>注：本表格须附在正副的磋商响应文件中，并另封装一份在“报价信封”内。</w:t>
      </w:r>
    </w:p>
    <w:p>
      <w:pPr>
        <w:tabs>
          <w:tab w:val="left" w:pos="3780"/>
        </w:tabs>
        <w:spacing w:line="360" w:lineRule="auto"/>
        <w:rPr>
          <w:rFonts w:ascii="宋体" w:hAnsi="宋体"/>
          <w:color w:val="auto"/>
          <w:sz w:val="24"/>
        </w:rPr>
      </w:pPr>
    </w:p>
    <w:p>
      <w:pPr>
        <w:spacing w:line="360" w:lineRule="auto"/>
        <w:rPr>
          <w:rFonts w:ascii="宋体" w:hAnsi="宋体"/>
          <w:bCs/>
          <w:color w:val="auto"/>
          <w:szCs w:val="21"/>
        </w:rPr>
      </w:pPr>
      <w:r>
        <w:rPr>
          <w:rFonts w:hint="eastAsia" w:ascii="宋体" w:hAnsi="宋体" w:cs="宋体"/>
          <w:color w:val="auto"/>
          <w:kern w:val="0"/>
          <w:szCs w:val="21"/>
        </w:rPr>
        <w:t>供应商</w:t>
      </w:r>
      <w:r>
        <w:rPr>
          <w:rFonts w:hint="eastAsia" w:ascii="宋体" w:hAnsi="宋体"/>
          <w:bCs/>
          <w:color w:val="auto"/>
          <w:szCs w:val="21"/>
        </w:rPr>
        <w:t>全称（加盖公章）:</w:t>
      </w:r>
    </w:p>
    <w:p>
      <w:pPr>
        <w:spacing w:line="360" w:lineRule="auto"/>
        <w:rPr>
          <w:rFonts w:ascii="宋体" w:hAnsi="宋体"/>
          <w:bCs/>
          <w:color w:val="auto"/>
          <w:szCs w:val="21"/>
        </w:rPr>
      </w:pPr>
      <w:r>
        <w:rPr>
          <w:rFonts w:hint="eastAsia" w:ascii="宋体" w:hAnsi="宋体"/>
          <w:bCs/>
          <w:color w:val="auto"/>
          <w:szCs w:val="21"/>
        </w:rPr>
        <w:t>法定代表或其授权代表(</w:t>
      </w:r>
      <w:r>
        <w:rPr>
          <w:rFonts w:hint="eastAsia" w:ascii="宋体" w:hAnsi="宋体"/>
          <w:color w:val="auto"/>
          <w:szCs w:val="21"/>
        </w:rPr>
        <w:t>签字或签章</w:t>
      </w:r>
      <w:r>
        <w:rPr>
          <w:rFonts w:hint="eastAsia" w:ascii="宋体" w:hAnsi="宋体"/>
          <w:bCs/>
          <w:color w:val="auto"/>
          <w:szCs w:val="21"/>
        </w:rPr>
        <w:t>)：</w:t>
      </w:r>
    </w:p>
    <w:p>
      <w:pPr>
        <w:spacing w:line="360" w:lineRule="auto"/>
        <w:rPr>
          <w:rFonts w:ascii="宋体" w:hAnsi="宋体"/>
          <w:b/>
          <w:bCs/>
          <w:color w:val="auto"/>
          <w:kern w:val="0"/>
          <w:sz w:val="28"/>
          <w:szCs w:val="28"/>
        </w:rPr>
      </w:pPr>
      <w:r>
        <w:rPr>
          <w:rFonts w:hint="eastAsia" w:ascii="宋体" w:hAnsi="宋体"/>
          <w:color w:val="auto"/>
          <w:szCs w:val="21"/>
        </w:rPr>
        <w:t>日    期： 2020年  月  日</w:t>
      </w:r>
    </w:p>
    <w:p>
      <w:pPr>
        <w:spacing w:line="360" w:lineRule="auto"/>
        <w:rPr>
          <w:rFonts w:ascii="宋体" w:hAnsi="宋体"/>
          <w:b/>
          <w:bCs/>
          <w:color w:val="auto"/>
          <w:kern w:val="0"/>
          <w:sz w:val="28"/>
          <w:szCs w:val="28"/>
        </w:rPr>
      </w:pPr>
    </w:p>
    <w:p>
      <w:pPr>
        <w:spacing w:line="360" w:lineRule="auto"/>
        <w:rPr>
          <w:rFonts w:ascii="宋体" w:hAnsi="宋体"/>
          <w:b/>
          <w:bCs/>
          <w:color w:val="auto"/>
          <w:kern w:val="0"/>
          <w:sz w:val="28"/>
          <w:szCs w:val="28"/>
        </w:rPr>
      </w:pPr>
    </w:p>
    <w:p>
      <w:pPr>
        <w:spacing w:line="360" w:lineRule="auto"/>
        <w:rPr>
          <w:rFonts w:ascii="宋体" w:hAnsi="宋体"/>
          <w:b/>
          <w:bCs/>
          <w:color w:val="auto"/>
          <w:kern w:val="0"/>
          <w:sz w:val="28"/>
          <w:szCs w:val="28"/>
        </w:rPr>
      </w:pPr>
    </w:p>
    <w:p>
      <w:pPr>
        <w:spacing w:line="360" w:lineRule="auto"/>
        <w:rPr>
          <w:rFonts w:ascii="宋体" w:hAnsi="宋体"/>
          <w:b/>
          <w:bCs/>
          <w:color w:val="auto"/>
          <w:kern w:val="0"/>
          <w:sz w:val="28"/>
          <w:szCs w:val="28"/>
        </w:rPr>
      </w:pPr>
    </w:p>
    <w:p>
      <w:pPr>
        <w:spacing w:line="360" w:lineRule="auto"/>
        <w:rPr>
          <w:rFonts w:ascii="宋体" w:hAnsi="宋体"/>
          <w:b/>
          <w:bCs/>
          <w:color w:val="auto"/>
          <w:kern w:val="0"/>
          <w:sz w:val="28"/>
          <w:szCs w:val="28"/>
        </w:rPr>
      </w:pPr>
    </w:p>
    <w:p>
      <w:pPr>
        <w:spacing w:line="360" w:lineRule="auto"/>
        <w:rPr>
          <w:rFonts w:ascii="宋体" w:hAnsi="宋体"/>
          <w:b/>
          <w:bCs/>
          <w:color w:val="auto"/>
          <w:kern w:val="0"/>
          <w:sz w:val="28"/>
          <w:szCs w:val="28"/>
        </w:rPr>
      </w:pPr>
    </w:p>
    <w:p>
      <w:pPr>
        <w:widowControl/>
        <w:jc w:val="left"/>
        <w:rPr>
          <w:rFonts w:ascii="宋体" w:hAnsi="宋体"/>
          <w:b/>
          <w:bCs/>
          <w:color w:val="auto"/>
          <w:kern w:val="0"/>
          <w:sz w:val="28"/>
          <w:szCs w:val="28"/>
        </w:rPr>
      </w:pPr>
      <w:r>
        <w:rPr>
          <w:rFonts w:ascii="宋体" w:hAnsi="宋体"/>
          <w:b/>
          <w:bCs/>
          <w:color w:val="auto"/>
          <w:kern w:val="0"/>
          <w:sz w:val="28"/>
          <w:szCs w:val="28"/>
        </w:rPr>
        <w:br w:type="page"/>
      </w:r>
    </w:p>
    <w:p>
      <w:pPr>
        <w:spacing w:line="360" w:lineRule="auto"/>
        <w:jc w:val="left"/>
        <w:rPr>
          <w:rFonts w:ascii="宋体" w:hAnsi="宋体"/>
          <w:b/>
          <w:bCs/>
          <w:color w:val="auto"/>
        </w:rPr>
      </w:pPr>
      <w:r>
        <w:rPr>
          <w:rFonts w:hint="eastAsia" w:ascii="宋体" w:hAnsi="宋体"/>
          <w:b/>
          <w:bCs/>
          <w:color w:val="auto"/>
          <w:kern w:val="0"/>
          <w:sz w:val="28"/>
          <w:szCs w:val="28"/>
        </w:rPr>
        <w:t>附件3法定代表人授权书</w:t>
      </w:r>
    </w:p>
    <w:p>
      <w:pPr>
        <w:pStyle w:val="46"/>
        <w:spacing w:line="360" w:lineRule="auto"/>
        <w:jc w:val="left"/>
        <w:rPr>
          <w:rFonts w:hAnsi="宋体"/>
          <w:b/>
          <w:color w:val="auto"/>
          <w:sz w:val="24"/>
          <w:szCs w:val="24"/>
        </w:rPr>
      </w:pPr>
    </w:p>
    <w:p>
      <w:pPr>
        <w:pStyle w:val="46"/>
        <w:spacing w:line="360" w:lineRule="auto"/>
        <w:jc w:val="left"/>
        <w:rPr>
          <w:rFonts w:hAnsi="宋体"/>
          <w:b/>
          <w:color w:val="auto"/>
          <w:sz w:val="24"/>
          <w:szCs w:val="24"/>
        </w:rPr>
      </w:pPr>
    </w:p>
    <w:p>
      <w:pPr>
        <w:pStyle w:val="46"/>
        <w:spacing w:line="360" w:lineRule="auto"/>
        <w:jc w:val="left"/>
        <w:rPr>
          <w:rFonts w:hAnsi="宋体"/>
          <w:b/>
          <w:color w:val="auto"/>
          <w:szCs w:val="21"/>
        </w:rPr>
      </w:pPr>
      <w:r>
        <w:rPr>
          <w:rFonts w:hint="eastAsia" w:hAnsi="宋体"/>
          <w:b/>
          <w:color w:val="auto"/>
          <w:szCs w:val="21"/>
        </w:rPr>
        <w:t>致:广州市信怡招标代理有限公司</w:t>
      </w:r>
      <w:r>
        <w:rPr>
          <w:rFonts w:hint="eastAsia" w:hAnsi="宋体"/>
          <w:color w:val="auto"/>
          <w:szCs w:val="21"/>
        </w:rPr>
        <w:tab/>
      </w:r>
    </w:p>
    <w:p>
      <w:pPr>
        <w:pStyle w:val="46"/>
        <w:spacing w:line="360" w:lineRule="auto"/>
        <w:ind w:firstLine="420" w:firstLineChars="200"/>
        <w:jc w:val="left"/>
        <w:rPr>
          <w:rFonts w:hAnsi="宋体"/>
          <w:color w:val="auto"/>
          <w:szCs w:val="21"/>
        </w:rPr>
      </w:pPr>
    </w:p>
    <w:p>
      <w:pPr>
        <w:pStyle w:val="46"/>
        <w:autoSpaceDE w:val="0"/>
        <w:spacing w:line="360" w:lineRule="auto"/>
        <w:ind w:firstLine="420" w:firstLineChars="200"/>
        <w:jc w:val="left"/>
        <w:rPr>
          <w:rFonts w:hAnsi="宋体"/>
          <w:color w:val="auto"/>
          <w:szCs w:val="21"/>
        </w:rPr>
      </w:pPr>
      <w:r>
        <w:rPr>
          <w:rFonts w:hint="eastAsia" w:hAnsi="宋体"/>
          <w:color w:val="auto"/>
          <w:szCs w:val="21"/>
        </w:rPr>
        <w:t>本授权书声明：</w:t>
      </w:r>
      <w:r>
        <w:rPr>
          <w:rFonts w:ascii="ZWAdobeF" w:hAnsi="ZWAdobeF" w:cs="ZWAdobeF"/>
          <w:color w:val="auto"/>
          <w:sz w:val="2"/>
          <w:szCs w:val="2"/>
        </w:rPr>
        <w:t>UU UUUU</w:t>
      </w:r>
      <w:r>
        <w:rPr>
          <w:rFonts w:hint="eastAsia" w:hAnsi="宋体"/>
          <w:color w:val="auto"/>
          <w:szCs w:val="21"/>
        </w:rPr>
        <w:t>是注册于的法定代表人，现任</w:t>
      </w:r>
      <w:r>
        <w:rPr>
          <w:rFonts w:ascii="ZWAdobeF" w:hAnsi="ZWAdobeF" w:cs="ZWAdobeF"/>
          <w:color w:val="auto"/>
          <w:sz w:val="2"/>
          <w:szCs w:val="2"/>
        </w:rPr>
        <w:t>UUUU UUUU</w:t>
      </w:r>
      <w:r>
        <w:rPr>
          <w:rFonts w:hint="eastAsia" w:hAnsi="宋体"/>
          <w:color w:val="auto"/>
          <w:szCs w:val="21"/>
        </w:rPr>
        <w:t>。在此授权</w:t>
      </w:r>
      <w:r>
        <w:rPr>
          <w:rFonts w:ascii="ZWAdobeF" w:hAnsi="ZWAdobeF" w:cs="ZWAdobeF"/>
          <w:color w:val="auto"/>
          <w:sz w:val="2"/>
          <w:szCs w:val="2"/>
        </w:rPr>
        <w:t>UUUU</w:t>
      </w:r>
      <w:r>
        <w:rPr>
          <w:rFonts w:hint="eastAsia" w:hAnsi="宋体"/>
          <w:i/>
          <w:color w:val="auto"/>
          <w:szCs w:val="21"/>
          <w:u w:val="single"/>
        </w:rPr>
        <w:t>（姓名、职位）</w:t>
      </w:r>
      <w:r>
        <w:rPr>
          <w:rFonts w:ascii="ZWAdobeF" w:hAnsi="ZWAdobeF" w:cs="ZWAdobeF"/>
          <w:color w:val="auto"/>
          <w:sz w:val="2"/>
          <w:szCs w:val="2"/>
        </w:rPr>
        <w:t>UUUU</w:t>
      </w:r>
      <w:r>
        <w:rPr>
          <w:rFonts w:hint="eastAsia" w:hAnsi="宋体"/>
          <w:color w:val="auto"/>
          <w:szCs w:val="21"/>
        </w:rPr>
        <w:t>作为我公司的全权代理人，在</w:t>
      </w:r>
      <w:r>
        <w:rPr>
          <w:rFonts w:ascii="ZWAdobeF" w:hAnsi="ZWAdobeF" w:cs="ZWAdobeF"/>
          <w:color w:val="auto"/>
          <w:sz w:val="2"/>
          <w:szCs w:val="2"/>
        </w:rPr>
        <w:t>UUUU UUU</w:t>
      </w:r>
      <w:r>
        <w:rPr>
          <w:rFonts w:hint="eastAsia" w:hAnsi="宋体"/>
          <w:color w:val="auto"/>
          <w:szCs w:val="21"/>
        </w:rPr>
        <w:t>的磋商响应（项目编号为：）及其合同执行过程中，以我公司的名义处理一切与之有关的事务。</w:t>
      </w:r>
    </w:p>
    <w:p>
      <w:pPr>
        <w:pStyle w:val="46"/>
        <w:spacing w:line="360" w:lineRule="auto"/>
        <w:jc w:val="left"/>
        <w:rPr>
          <w:rFonts w:hAnsi="宋体"/>
          <w:color w:val="auto"/>
          <w:szCs w:val="21"/>
        </w:rPr>
      </w:pPr>
    </w:p>
    <w:p>
      <w:pPr>
        <w:spacing w:line="360" w:lineRule="auto"/>
        <w:ind w:firstLine="420" w:firstLineChars="200"/>
        <w:jc w:val="left"/>
        <w:rPr>
          <w:rFonts w:ascii="宋体" w:hAnsi="宋体"/>
          <w:color w:val="auto"/>
          <w:szCs w:val="21"/>
        </w:rPr>
      </w:pPr>
      <w:r>
        <w:rPr>
          <w:rFonts w:hint="eastAsia" w:ascii="宋体" w:hAnsi="宋体"/>
          <w:color w:val="auto"/>
          <w:szCs w:val="21"/>
        </w:rPr>
        <w:t>本授权书于  2020 年  月  日签字生效，特此声明。</w:t>
      </w:r>
    </w:p>
    <w:p>
      <w:pPr>
        <w:spacing w:line="360" w:lineRule="auto"/>
        <w:ind w:firstLine="105" w:firstLineChars="50"/>
        <w:jc w:val="left"/>
        <w:rPr>
          <w:rFonts w:ascii="宋体" w:hAnsi="宋体"/>
          <w:color w:val="auto"/>
          <w:szCs w:val="21"/>
        </w:rPr>
      </w:pPr>
    </w:p>
    <w:p>
      <w:pPr>
        <w:spacing w:line="360" w:lineRule="auto"/>
        <w:ind w:firstLine="105" w:firstLineChars="50"/>
        <w:jc w:val="left"/>
        <w:rPr>
          <w:rFonts w:ascii="宋体" w:hAnsi="宋体"/>
          <w:color w:val="auto"/>
          <w:szCs w:val="21"/>
        </w:rPr>
      </w:pPr>
      <w:r>
        <w:rPr>
          <w:rFonts w:hint="eastAsia" w:ascii="宋体" w:hAnsi="宋体" w:cs="宋体"/>
          <w:color w:val="auto"/>
          <w:kern w:val="0"/>
          <w:szCs w:val="21"/>
        </w:rPr>
        <w:t>供应商</w:t>
      </w:r>
      <w:r>
        <w:rPr>
          <w:rFonts w:hint="eastAsia" w:ascii="宋体" w:hAnsi="宋体"/>
          <w:color w:val="auto"/>
          <w:szCs w:val="21"/>
        </w:rPr>
        <w:t>全称（加盖公章）：</w:t>
      </w:r>
    </w:p>
    <w:p>
      <w:pPr>
        <w:tabs>
          <w:tab w:val="left" w:pos="2535"/>
        </w:tabs>
        <w:spacing w:line="360" w:lineRule="auto"/>
        <w:ind w:firstLine="105" w:firstLineChars="50"/>
        <w:jc w:val="left"/>
        <w:rPr>
          <w:rFonts w:ascii="宋体" w:hAnsi="宋体"/>
          <w:color w:val="auto"/>
          <w:szCs w:val="21"/>
        </w:rPr>
      </w:pPr>
      <w:r>
        <w:rPr>
          <w:rFonts w:hint="eastAsia" w:ascii="宋体" w:hAnsi="宋体"/>
          <w:color w:val="auto"/>
          <w:szCs w:val="21"/>
        </w:rPr>
        <w:t>地       址：</w:t>
      </w:r>
      <w:r>
        <w:rPr>
          <w:rFonts w:hint="eastAsia" w:ascii="宋体" w:hAnsi="宋体"/>
          <w:color w:val="auto"/>
          <w:szCs w:val="21"/>
        </w:rPr>
        <w:tab/>
      </w:r>
    </w:p>
    <w:p>
      <w:pPr>
        <w:spacing w:line="360" w:lineRule="auto"/>
        <w:ind w:firstLine="105" w:firstLineChars="50"/>
        <w:jc w:val="left"/>
        <w:rPr>
          <w:rFonts w:ascii="宋体" w:hAnsi="宋体"/>
          <w:color w:val="auto"/>
          <w:szCs w:val="21"/>
        </w:rPr>
      </w:pPr>
      <w:r>
        <w:rPr>
          <w:rFonts w:hint="eastAsia" w:ascii="宋体" w:hAnsi="宋体"/>
          <w:color w:val="auto"/>
          <w:szCs w:val="21"/>
        </w:rPr>
        <w:t>法定代表人</w:t>
      </w:r>
      <w:r>
        <w:rPr>
          <w:rFonts w:hint="eastAsia" w:ascii="宋体" w:hAnsi="宋体"/>
          <w:bCs/>
          <w:color w:val="auto"/>
          <w:szCs w:val="21"/>
        </w:rPr>
        <w:t>(</w:t>
      </w:r>
      <w:r>
        <w:rPr>
          <w:rFonts w:hint="eastAsia" w:ascii="宋体" w:hAnsi="宋体"/>
          <w:color w:val="auto"/>
          <w:szCs w:val="21"/>
        </w:rPr>
        <w:t>签字或签章</w:t>
      </w:r>
      <w:r>
        <w:rPr>
          <w:rFonts w:hint="eastAsia" w:ascii="宋体" w:hAnsi="宋体"/>
          <w:bCs/>
          <w:color w:val="auto"/>
          <w:szCs w:val="21"/>
        </w:rPr>
        <w:t>)</w:t>
      </w:r>
      <w:r>
        <w:rPr>
          <w:rFonts w:hint="eastAsia" w:ascii="宋体" w:hAnsi="宋体"/>
          <w:color w:val="auto"/>
          <w:szCs w:val="21"/>
        </w:rPr>
        <w:t>：</w:t>
      </w:r>
    </w:p>
    <w:p>
      <w:pPr>
        <w:spacing w:line="360" w:lineRule="auto"/>
        <w:ind w:firstLine="105" w:firstLineChars="50"/>
        <w:jc w:val="left"/>
        <w:rPr>
          <w:rFonts w:ascii="宋体" w:hAnsi="宋体"/>
          <w:color w:val="auto"/>
          <w:szCs w:val="21"/>
        </w:rPr>
      </w:pPr>
      <w:r>
        <w:rPr>
          <w:rFonts w:hint="eastAsia" w:ascii="宋体" w:hAnsi="宋体"/>
          <w:color w:val="auto"/>
          <w:szCs w:val="21"/>
        </w:rPr>
        <w:t>被授权人(</w:t>
      </w:r>
      <w:r>
        <w:rPr>
          <w:rFonts w:hint="eastAsia" w:ascii="宋体" w:hAnsi="宋体" w:cs="宋体"/>
          <w:color w:val="auto"/>
          <w:kern w:val="0"/>
          <w:szCs w:val="21"/>
        </w:rPr>
        <w:t>供应商</w:t>
      </w:r>
      <w:r>
        <w:rPr>
          <w:rFonts w:hint="eastAsia" w:ascii="宋体" w:hAnsi="宋体"/>
          <w:color w:val="auto"/>
          <w:szCs w:val="21"/>
        </w:rPr>
        <w:t>授权代表)</w:t>
      </w:r>
      <w:r>
        <w:rPr>
          <w:rFonts w:hint="eastAsia" w:ascii="宋体" w:hAnsi="宋体"/>
          <w:bCs/>
          <w:color w:val="auto"/>
          <w:szCs w:val="21"/>
        </w:rPr>
        <w:t xml:space="preserve"> (</w:t>
      </w:r>
      <w:r>
        <w:rPr>
          <w:rFonts w:hint="eastAsia" w:ascii="宋体" w:hAnsi="宋体"/>
          <w:color w:val="auto"/>
          <w:szCs w:val="21"/>
        </w:rPr>
        <w:t>签字或签章</w:t>
      </w:r>
      <w:r>
        <w:rPr>
          <w:rFonts w:hint="eastAsia" w:ascii="宋体" w:hAnsi="宋体"/>
          <w:bCs/>
          <w:color w:val="auto"/>
          <w:szCs w:val="21"/>
        </w:rPr>
        <w:t>)</w:t>
      </w:r>
      <w:r>
        <w:rPr>
          <w:rFonts w:hint="eastAsia" w:ascii="宋体" w:hAnsi="宋体"/>
          <w:color w:val="auto"/>
          <w:szCs w:val="21"/>
        </w:rPr>
        <w:t>：</w:t>
      </w:r>
    </w:p>
    <w:tbl>
      <w:tblPr>
        <w:tblStyle w:val="9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73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373" w:hRule="atLeast"/>
          <w:jc w:val="center"/>
        </w:trPr>
        <w:tc>
          <w:tcPr>
            <w:tcW w:w="5730" w:type="dxa"/>
            <w:tcBorders>
              <w:top w:val="single" w:color="auto" w:sz="6" w:space="0"/>
              <w:left w:val="single" w:color="auto" w:sz="6" w:space="0"/>
              <w:bottom w:val="single" w:color="auto" w:sz="6" w:space="0"/>
              <w:right w:val="single" w:color="auto" w:sz="6" w:space="0"/>
            </w:tcBorders>
            <w:vAlign w:val="center"/>
          </w:tcPr>
          <w:p>
            <w:pPr>
              <w:pStyle w:val="46"/>
              <w:spacing w:line="360" w:lineRule="auto"/>
              <w:jc w:val="left"/>
              <w:rPr>
                <w:rFonts w:hAnsi="宋体"/>
                <w:b/>
                <w:color w:val="auto"/>
                <w:szCs w:val="21"/>
              </w:rPr>
            </w:pPr>
          </w:p>
          <w:p>
            <w:pPr>
              <w:pStyle w:val="46"/>
              <w:spacing w:line="360" w:lineRule="auto"/>
              <w:jc w:val="center"/>
              <w:rPr>
                <w:rFonts w:hAnsi="宋体"/>
                <w:b/>
                <w:color w:val="auto"/>
                <w:szCs w:val="21"/>
              </w:rPr>
            </w:pPr>
            <w:r>
              <w:rPr>
                <w:rFonts w:hint="eastAsia" w:hAnsi="宋体"/>
                <w:b/>
                <w:color w:val="auto"/>
                <w:szCs w:val="21"/>
              </w:rPr>
              <w:t>被授权人(供应商授权代表)</w:t>
            </w:r>
          </w:p>
          <w:p>
            <w:pPr>
              <w:pStyle w:val="46"/>
              <w:spacing w:line="360" w:lineRule="auto"/>
              <w:jc w:val="center"/>
              <w:rPr>
                <w:rFonts w:hAnsi="宋体"/>
                <w:b/>
                <w:color w:val="auto"/>
                <w:szCs w:val="21"/>
              </w:rPr>
            </w:pPr>
            <w:r>
              <w:rPr>
                <w:rFonts w:hint="eastAsia" w:hAnsi="宋体"/>
                <w:b/>
                <w:color w:val="auto"/>
                <w:szCs w:val="21"/>
              </w:rPr>
              <w:t>居民身份证复印件粘贴处</w:t>
            </w:r>
          </w:p>
          <w:p>
            <w:pPr>
              <w:pStyle w:val="46"/>
              <w:spacing w:line="360" w:lineRule="auto"/>
              <w:jc w:val="center"/>
              <w:rPr>
                <w:rFonts w:hAnsi="宋体"/>
                <w:b/>
                <w:color w:val="auto"/>
                <w:szCs w:val="21"/>
              </w:rPr>
            </w:pPr>
            <w:r>
              <w:rPr>
                <w:rFonts w:hint="eastAsia" w:hAnsi="宋体"/>
                <w:b/>
                <w:color w:val="auto"/>
                <w:szCs w:val="21"/>
              </w:rPr>
              <w:t>（正反面）</w:t>
            </w:r>
          </w:p>
          <w:p>
            <w:pPr>
              <w:pStyle w:val="46"/>
              <w:spacing w:line="360" w:lineRule="auto"/>
              <w:jc w:val="left"/>
              <w:rPr>
                <w:rFonts w:hAnsi="宋体"/>
                <w:color w:val="auto"/>
                <w:szCs w:val="21"/>
              </w:rPr>
            </w:pPr>
          </w:p>
        </w:tc>
      </w:tr>
    </w:tbl>
    <w:p>
      <w:pPr>
        <w:pStyle w:val="46"/>
        <w:spacing w:line="360" w:lineRule="auto"/>
        <w:ind w:firstLine="422"/>
        <w:jc w:val="left"/>
        <w:rPr>
          <w:rFonts w:hAnsi="宋体"/>
          <w:b/>
          <w:color w:val="auto"/>
          <w:szCs w:val="21"/>
        </w:rPr>
      </w:pPr>
    </w:p>
    <w:p>
      <w:pPr>
        <w:pStyle w:val="46"/>
        <w:spacing w:line="360" w:lineRule="auto"/>
        <w:ind w:firstLine="422"/>
        <w:jc w:val="left"/>
        <w:rPr>
          <w:rFonts w:hAnsi="宋体"/>
          <w:b/>
          <w:color w:val="auto"/>
          <w:szCs w:val="21"/>
        </w:rPr>
      </w:pPr>
      <w:r>
        <w:rPr>
          <w:rFonts w:hint="eastAsia" w:hAnsi="宋体"/>
          <w:b/>
          <w:color w:val="auto"/>
          <w:szCs w:val="21"/>
        </w:rPr>
        <w:t>注：本表格须附在正副的磋商响应文件中，并另封装一份在 “报价信封”内。如是法定代表人作为供应商代表，则无需提交此资料。</w:t>
      </w:r>
    </w:p>
    <w:p>
      <w:pPr>
        <w:spacing w:line="360" w:lineRule="auto"/>
        <w:rPr>
          <w:rFonts w:ascii="宋体" w:hAnsi="宋体"/>
          <w:b/>
          <w:bCs/>
          <w:color w:val="auto"/>
          <w:kern w:val="0"/>
          <w:sz w:val="28"/>
          <w:szCs w:val="28"/>
        </w:rPr>
      </w:pPr>
    </w:p>
    <w:p>
      <w:pPr>
        <w:spacing w:line="360" w:lineRule="auto"/>
        <w:rPr>
          <w:rFonts w:ascii="宋体" w:hAnsi="宋体"/>
          <w:b/>
          <w:bCs/>
          <w:color w:val="auto"/>
          <w:kern w:val="0"/>
          <w:sz w:val="28"/>
          <w:szCs w:val="28"/>
        </w:rPr>
      </w:pPr>
    </w:p>
    <w:p>
      <w:pPr>
        <w:spacing w:line="360" w:lineRule="auto"/>
        <w:rPr>
          <w:rFonts w:ascii="宋体" w:hAnsi="宋体"/>
          <w:b/>
          <w:bCs/>
          <w:color w:val="auto"/>
          <w:kern w:val="0"/>
          <w:sz w:val="28"/>
          <w:szCs w:val="28"/>
        </w:rPr>
      </w:pPr>
    </w:p>
    <w:p>
      <w:pPr>
        <w:spacing w:line="360" w:lineRule="auto"/>
        <w:rPr>
          <w:rFonts w:ascii="宋体" w:hAnsi="宋体"/>
          <w:b/>
          <w:bCs/>
          <w:color w:val="auto"/>
          <w:kern w:val="0"/>
          <w:sz w:val="28"/>
          <w:szCs w:val="28"/>
        </w:rPr>
      </w:pPr>
    </w:p>
    <w:p>
      <w:pPr>
        <w:spacing w:line="360" w:lineRule="auto"/>
        <w:rPr>
          <w:rFonts w:ascii="宋体" w:hAnsi="宋体"/>
          <w:b/>
          <w:bCs/>
          <w:color w:val="auto"/>
          <w:kern w:val="0"/>
          <w:sz w:val="28"/>
          <w:szCs w:val="28"/>
        </w:rPr>
      </w:pPr>
    </w:p>
    <w:p>
      <w:pPr>
        <w:spacing w:line="360" w:lineRule="auto"/>
        <w:rPr>
          <w:rFonts w:ascii="宋体" w:hAnsi="宋体"/>
          <w:b/>
          <w:bCs/>
          <w:color w:val="auto"/>
          <w:kern w:val="0"/>
          <w:sz w:val="28"/>
          <w:szCs w:val="28"/>
        </w:rPr>
      </w:pPr>
    </w:p>
    <w:p>
      <w:pPr>
        <w:widowControl/>
        <w:jc w:val="left"/>
        <w:rPr>
          <w:rFonts w:ascii="宋体" w:hAnsi="宋体"/>
          <w:b/>
          <w:bCs/>
          <w:color w:val="auto"/>
          <w:kern w:val="0"/>
          <w:sz w:val="28"/>
          <w:szCs w:val="28"/>
        </w:rPr>
      </w:pPr>
      <w:r>
        <w:rPr>
          <w:rFonts w:ascii="宋体" w:hAnsi="宋体"/>
          <w:b/>
          <w:bCs/>
          <w:color w:val="auto"/>
          <w:kern w:val="0"/>
          <w:sz w:val="28"/>
          <w:szCs w:val="28"/>
        </w:rPr>
        <w:br w:type="page"/>
      </w:r>
    </w:p>
    <w:p>
      <w:pPr>
        <w:spacing w:line="360" w:lineRule="auto"/>
        <w:jc w:val="left"/>
        <w:rPr>
          <w:rFonts w:ascii="宋体" w:hAnsi="宋体"/>
          <w:b/>
          <w:color w:val="auto"/>
          <w:sz w:val="24"/>
        </w:rPr>
      </w:pPr>
      <w:r>
        <w:rPr>
          <w:rFonts w:hint="eastAsia" w:ascii="宋体" w:hAnsi="宋体"/>
          <w:b/>
          <w:bCs/>
          <w:color w:val="auto"/>
          <w:kern w:val="0"/>
          <w:sz w:val="28"/>
          <w:szCs w:val="28"/>
        </w:rPr>
        <w:t>附件4</w:t>
      </w:r>
      <w:r>
        <w:rPr>
          <w:rFonts w:hint="eastAsia" w:ascii="宋体" w:hAnsi="宋体"/>
          <w:b/>
          <w:bCs/>
          <w:color w:val="auto"/>
          <w:sz w:val="28"/>
          <w:szCs w:val="28"/>
        </w:rPr>
        <w:t>资格声明函</w:t>
      </w:r>
    </w:p>
    <w:p>
      <w:pPr>
        <w:spacing w:line="360" w:lineRule="auto"/>
        <w:jc w:val="left"/>
        <w:rPr>
          <w:rFonts w:ascii="宋体" w:hAnsi="宋体"/>
          <w:b/>
          <w:color w:val="auto"/>
          <w:sz w:val="24"/>
        </w:rPr>
      </w:pPr>
    </w:p>
    <w:p>
      <w:pPr>
        <w:spacing w:line="360" w:lineRule="auto"/>
        <w:jc w:val="left"/>
        <w:rPr>
          <w:rFonts w:ascii="宋体" w:hAnsi="宋体"/>
          <w:b/>
          <w:color w:val="auto"/>
          <w:szCs w:val="21"/>
        </w:rPr>
      </w:pPr>
      <w:r>
        <w:rPr>
          <w:rFonts w:hint="eastAsia" w:ascii="宋体" w:hAnsi="宋体"/>
          <w:b/>
          <w:color w:val="auto"/>
          <w:szCs w:val="21"/>
        </w:rPr>
        <w:t>广州市信怡招标代理有限公司：</w:t>
      </w:r>
    </w:p>
    <w:p>
      <w:pPr>
        <w:autoSpaceDE w:val="0"/>
        <w:snapToGrid w:val="0"/>
        <w:spacing w:beforeLines="50" w:line="360" w:lineRule="auto"/>
        <w:ind w:firstLine="525" w:firstLineChars="250"/>
        <w:jc w:val="left"/>
        <w:rPr>
          <w:rFonts w:ascii="宋体" w:hAnsi="宋体"/>
          <w:color w:val="auto"/>
          <w:szCs w:val="21"/>
        </w:rPr>
      </w:pPr>
      <w:r>
        <w:rPr>
          <w:rFonts w:hint="eastAsia" w:ascii="宋体" w:hAnsi="宋体"/>
          <w:color w:val="auto"/>
          <w:szCs w:val="21"/>
        </w:rPr>
        <w:t>关于贵公司</w:t>
      </w:r>
      <w:r>
        <w:rPr>
          <w:rFonts w:ascii="ZWAdobeF" w:hAnsi="ZWAdobeF" w:cs="ZWAdobeF"/>
          <w:color w:val="auto"/>
          <w:sz w:val="2"/>
          <w:szCs w:val="2"/>
        </w:rPr>
        <w:t>UUUU</w:t>
      </w:r>
      <w:r>
        <w:rPr>
          <w:rFonts w:hint="eastAsia" w:ascii="宋体" w:hAnsi="宋体"/>
          <w:color w:val="auto"/>
          <w:szCs w:val="21"/>
        </w:rPr>
        <w:t>发布</w:t>
      </w:r>
      <w:r>
        <w:rPr>
          <w:rFonts w:hint="eastAsia" w:ascii="宋体" w:hAnsi="宋体"/>
          <w:color w:val="auto"/>
          <w:u w:val="single"/>
        </w:rPr>
        <w:t xml:space="preserve">    项目名称   </w:t>
      </w:r>
      <w:r>
        <w:rPr>
          <w:rFonts w:hint="eastAsia" w:ascii="宋体" w:hAnsi="宋体"/>
          <w:color w:val="auto"/>
          <w:szCs w:val="21"/>
        </w:rPr>
        <w:t>项目（项目编号：</w:t>
      </w:r>
      <w:r>
        <w:rPr>
          <w:rFonts w:hint="eastAsia" w:ascii="宋体" w:hAnsi="宋体"/>
          <w:color w:val="auto"/>
          <w:szCs w:val="21"/>
          <w:u w:val="single"/>
        </w:rPr>
        <w:t xml:space="preserve">   项目编号   </w:t>
      </w:r>
      <w:r>
        <w:rPr>
          <w:rFonts w:hint="eastAsia" w:ascii="宋体" w:hAnsi="宋体"/>
          <w:color w:val="auto"/>
          <w:szCs w:val="21"/>
        </w:rPr>
        <w:t>）的磋商公告，本公司（企业）愿意参加磋商响应，并声明：</w:t>
      </w:r>
    </w:p>
    <w:p>
      <w:pPr>
        <w:snapToGrid w:val="0"/>
        <w:spacing w:line="360" w:lineRule="auto"/>
        <w:ind w:firstLine="420" w:firstLineChars="200"/>
        <w:jc w:val="left"/>
        <w:rPr>
          <w:color w:val="auto"/>
          <w:szCs w:val="21"/>
        </w:rPr>
      </w:pPr>
      <w:r>
        <w:rPr>
          <w:rFonts w:hint="eastAsia"/>
          <w:color w:val="auto"/>
          <w:szCs w:val="21"/>
        </w:rPr>
        <w:t>本公司（企业）具备《中华人民共和国政府采购法》第二十二条资格条件，并已清楚竞争性磋商文件的要求及有关文件规定。并承诺在本次招标采购活动中，如有违法、违规、弄虚作假行为，所造成的损失、不良后果及法律责任，一律由我公司（企业）承担。</w:t>
      </w:r>
    </w:p>
    <w:p>
      <w:pPr>
        <w:snapToGrid w:val="0"/>
        <w:spacing w:line="360" w:lineRule="auto"/>
        <w:ind w:firstLine="420" w:firstLineChars="200"/>
        <w:jc w:val="left"/>
        <w:rPr>
          <w:color w:val="auto"/>
          <w:szCs w:val="21"/>
        </w:rPr>
      </w:pPr>
      <w:r>
        <w:rPr>
          <w:rFonts w:hint="eastAsia"/>
          <w:color w:val="auto"/>
          <w:szCs w:val="21"/>
        </w:rPr>
        <w:t>本公司（企业）政府采购活动前三年内，在经营活动中没有重大违法或违纪记录，也没有正在被司法机关立案调查。</w:t>
      </w:r>
    </w:p>
    <w:p>
      <w:pPr>
        <w:snapToGrid w:val="0"/>
        <w:spacing w:line="360" w:lineRule="auto"/>
        <w:ind w:firstLine="420" w:firstLineChars="200"/>
        <w:jc w:val="left"/>
        <w:rPr>
          <w:color w:val="auto"/>
          <w:szCs w:val="21"/>
        </w:rPr>
      </w:pPr>
    </w:p>
    <w:p>
      <w:pPr>
        <w:spacing w:line="360" w:lineRule="auto"/>
        <w:ind w:firstLine="420"/>
        <w:jc w:val="left"/>
        <w:rPr>
          <w:color w:val="auto"/>
          <w:szCs w:val="21"/>
        </w:rPr>
      </w:pPr>
      <w:r>
        <w:rPr>
          <w:rFonts w:hint="eastAsia"/>
          <w:color w:val="auto"/>
          <w:szCs w:val="21"/>
        </w:rPr>
        <w:t>特此声明！</w:t>
      </w:r>
    </w:p>
    <w:p>
      <w:pPr>
        <w:spacing w:line="360" w:lineRule="auto"/>
        <w:jc w:val="left"/>
        <w:rPr>
          <w:rFonts w:ascii="宋体" w:hAnsi="宋体"/>
          <w:color w:val="auto"/>
          <w:szCs w:val="21"/>
        </w:rPr>
      </w:pPr>
    </w:p>
    <w:p>
      <w:pPr>
        <w:adjustRightInd w:val="0"/>
        <w:snapToGrid w:val="0"/>
        <w:spacing w:line="360" w:lineRule="auto"/>
        <w:ind w:left="-2" w:leftChars="-1"/>
        <w:jc w:val="left"/>
        <w:rPr>
          <w:rFonts w:ascii="宋体" w:hAnsi="宋体"/>
          <w:color w:val="auto"/>
          <w:szCs w:val="21"/>
        </w:rPr>
      </w:pPr>
    </w:p>
    <w:p>
      <w:pPr>
        <w:pStyle w:val="46"/>
        <w:tabs>
          <w:tab w:val="left" w:pos="7260"/>
        </w:tabs>
        <w:spacing w:line="360" w:lineRule="auto"/>
        <w:ind w:left="-2" w:leftChars="-1" w:firstLine="539" w:firstLineChars="257"/>
        <w:jc w:val="left"/>
        <w:rPr>
          <w:rFonts w:hAnsi="宋体"/>
          <w:color w:val="auto"/>
          <w:szCs w:val="21"/>
          <w:u w:val="single"/>
        </w:rPr>
      </w:pPr>
      <w:r>
        <w:rPr>
          <w:rFonts w:hint="eastAsia" w:hAnsi="宋体" w:cs="宋体"/>
          <w:color w:val="auto"/>
          <w:kern w:val="0"/>
          <w:szCs w:val="21"/>
        </w:rPr>
        <w:t>供应商</w:t>
      </w:r>
      <w:r>
        <w:rPr>
          <w:rFonts w:hint="eastAsia" w:hAnsi="宋体"/>
          <w:color w:val="auto"/>
          <w:szCs w:val="21"/>
        </w:rPr>
        <w:t>全称（加盖公章）：</w:t>
      </w:r>
    </w:p>
    <w:p>
      <w:pPr>
        <w:pStyle w:val="46"/>
        <w:tabs>
          <w:tab w:val="left" w:pos="4500"/>
        </w:tabs>
        <w:spacing w:line="360" w:lineRule="auto"/>
        <w:ind w:left="-2" w:leftChars="-1" w:firstLine="539" w:firstLineChars="257"/>
        <w:jc w:val="left"/>
        <w:rPr>
          <w:rFonts w:hAnsi="宋体"/>
          <w:color w:val="auto"/>
          <w:szCs w:val="21"/>
          <w:u w:val="single"/>
        </w:rPr>
      </w:pPr>
      <w:r>
        <w:rPr>
          <w:rFonts w:hint="eastAsia" w:hAnsi="宋体"/>
          <w:color w:val="auto"/>
          <w:szCs w:val="21"/>
        </w:rPr>
        <w:t>法定代表人或其授权代表</w:t>
      </w:r>
      <w:r>
        <w:rPr>
          <w:rFonts w:hint="eastAsia" w:hAnsi="宋体"/>
          <w:bCs/>
          <w:color w:val="auto"/>
          <w:szCs w:val="21"/>
        </w:rPr>
        <w:t>(</w:t>
      </w:r>
      <w:r>
        <w:rPr>
          <w:rFonts w:hint="eastAsia" w:hAnsi="宋体"/>
          <w:color w:val="auto"/>
          <w:szCs w:val="21"/>
        </w:rPr>
        <w:t>签字或签章</w:t>
      </w:r>
      <w:r>
        <w:rPr>
          <w:rFonts w:hint="eastAsia" w:hAnsi="宋体"/>
          <w:bCs/>
          <w:color w:val="auto"/>
          <w:szCs w:val="21"/>
        </w:rPr>
        <w:t>)</w:t>
      </w:r>
      <w:r>
        <w:rPr>
          <w:rFonts w:hint="eastAsia" w:hAnsi="宋体"/>
          <w:color w:val="auto"/>
          <w:szCs w:val="21"/>
        </w:rPr>
        <w:t>:</w:t>
      </w:r>
    </w:p>
    <w:p>
      <w:pPr>
        <w:pStyle w:val="46"/>
        <w:tabs>
          <w:tab w:val="left" w:pos="4500"/>
        </w:tabs>
        <w:spacing w:line="360" w:lineRule="auto"/>
        <w:ind w:left="-2" w:leftChars="-1" w:firstLine="539" w:firstLineChars="257"/>
        <w:jc w:val="left"/>
        <w:rPr>
          <w:rFonts w:hAnsi="宋体"/>
          <w:color w:val="auto"/>
          <w:szCs w:val="21"/>
          <w:u w:val="single"/>
        </w:rPr>
      </w:pPr>
      <w:r>
        <w:rPr>
          <w:rFonts w:hint="eastAsia" w:hAnsi="宋体"/>
          <w:color w:val="auto"/>
          <w:szCs w:val="21"/>
        </w:rPr>
        <w:t>地址：</w:t>
      </w:r>
      <w:r>
        <w:rPr>
          <w:rFonts w:hint="eastAsia" w:hAnsi="宋体"/>
          <w:color w:val="auto"/>
          <w:szCs w:val="21"/>
        </w:rPr>
        <w:tab/>
      </w:r>
      <w:r>
        <w:rPr>
          <w:rFonts w:hint="eastAsia" w:hAnsi="宋体"/>
          <w:color w:val="auto"/>
          <w:szCs w:val="21"/>
        </w:rPr>
        <w:t>邮编：</w:t>
      </w:r>
    </w:p>
    <w:p>
      <w:pPr>
        <w:tabs>
          <w:tab w:val="left" w:pos="4500"/>
        </w:tabs>
        <w:spacing w:line="360" w:lineRule="auto"/>
        <w:ind w:left="-2" w:leftChars="-1" w:firstLine="539" w:firstLineChars="257"/>
        <w:jc w:val="left"/>
        <w:rPr>
          <w:rFonts w:ascii="宋体" w:hAnsi="宋体"/>
          <w:color w:val="auto"/>
          <w:szCs w:val="21"/>
          <w:u w:val="single"/>
        </w:rPr>
      </w:pPr>
      <w:r>
        <w:rPr>
          <w:rFonts w:hint="eastAsia" w:ascii="宋体" w:hAnsi="宋体"/>
          <w:color w:val="auto"/>
          <w:szCs w:val="21"/>
        </w:rPr>
        <w:t xml:space="preserve">电话：  </w:t>
      </w:r>
      <w:r>
        <w:rPr>
          <w:rFonts w:hint="eastAsia" w:ascii="宋体" w:hAnsi="宋体"/>
          <w:color w:val="auto"/>
          <w:szCs w:val="21"/>
        </w:rPr>
        <w:tab/>
      </w:r>
      <w:r>
        <w:rPr>
          <w:rFonts w:hint="eastAsia" w:ascii="宋体" w:hAnsi="宋体"/>
          <w:color w:val="auto"/>
          <w:szCs w:val="21"/>
        </w:rPr>
        <w:t>传真：</w:t>
      </w:r>
    </w:p>
    <w:p>
      <w:pPr>
        <w:spacing w:line="360" w:lineRule="auto"/>
        <w:ind w:firstLine="525" w:firstLineChars="250"/>
        <w:jc w:val="left"/>
        <w:rPr>
          <w:rFonts w:ascii="宋体" w:hAnsi="宋体"/>
          <w:b/>
          <w:bCs/>
          <w:color w:val="auto"/>
          <w:kern w:val="0"/>
          <w:sz w:val="28"/>
          <w:szCs w:val="28"/>
        </w:rPr>
      </w:pPr>
      <w:r>
        <w:rPr>
          <w:rFonts w:hint="eastAsia" w:ascii="宋体" w:hAnsi="宋体"/>
          <w:color w:val="auto"/>
          <w:szCs w:val="21"/>
        </w:rPr>
        <w:t xml:space="preserve">日    期： </w:t>
      </w:r>
      <w:r>
        <w:rPr>
          <w:rFonts w:hint="eastAsia" w:ascii="宋体" w:hAnsi="宋体"/>
          <w:color w:val="auto"/>
          <w:szCs w:val="21"/>
          <w:u w:val="single"/>
        </w:rPr>
        <w:t>2020年  月  日</w:t>
      </w:r>
    </w:p>
    <w:p>
      <w:pPr>
        <w:spacing w:line="360" w:lineRule="auto"/>
        <w:jc w:val="left"/>
        <w:rPr>
          <w:rFonts w:ascii="宋体" w:hAnsi="宋体"/>
          <w:color w:val="auto"/>
        </w:rPr>
      </w:pPr>
    </w:p>
    <w:p>
      <w:pPr>
        <w:spacing w:line="360" w:lineRule="auto"/>
        <w:rPr>
          <w:rFonts w:ascii="宋体" w:hAnsi="宋体"/>
          <w:color w:val="auto"/>
        </w:rPr>
      </w:pPr>
    </w:p>
    <w:p>
      <w:pPr>
        <w:spacing w:line="360" w:lineRule="auto"/>
        <w:rPr>
          <w:rFonts w:ascii="宋体" w:hAnsi="宋体"/>
          <w:color w:val="auto"/>
        </w:rPr>
      </w:pPr>
    </w:p>
    <w:p>
      <w:pPr>
        <w:spacing w:line="360" w:lineRule="auto"/>
        <w:rPr>
          <w:rFonts w:ascii="宋体" w:hAnsi="宋体"/>
          <w:color w:val="auto"/>
        </w:rPr>
      </w:pPr>
    </w:p>
    <w:p>
      <w:pPr>
        <w:spacing w:line="360" w:lineRule="auto"/>
        <w:rPr>
          <w:rFonts w:ascii="宋体" w:hAnsi="宋体"/>
          <w:color w:val="auto"/>
        </w:rPr>
      </w:pPr>
    </w:p>
    <w:p>
      <w:pPr>
        <w:spacing w:line="360" w:lineRule="auto"/>
        <w:rPr>
          <w:rFonts w:ascii="宋体" w:hAnsi="宋体"/>
          <w:color w:val="auto"/>
        </w:rPr>
      </w:pPr>
    </w:p>
    <w:p>
      <w:pPr>
        <w:spacing w:line="360" w:lineRule="auto"/>
        <w:rPr>
          <w:rFonts w:ascii="宋体" w:hAnsi="宋体"/>
          <w:color w:val="auto"/>
        </w:rPr>
      </w:pPr>
    </w:p>
    <w:p>
      <w:pPr>
        <w:spacing w:line="360" w:lineRule="auto"/>
        <w:rPr>
          <w:rFonts w:ascii="宋体" w:hAnsi="宋体"/>
          <w:color w:val="auto"/>
        </w:rPr>
      </w:pPr>
    </w:p>
    <w:p>
      <w:pPr>
        <w:spacing w:line="360" w:lineRule="auto"/>
        <w:rPr>
          <w:rFonts w:ascii="宋体" w:hAnsi="宋体"/>
          <w:color w:val="auto"/>
        </w:rPr>
      </w:pPr>
    </w:p>
    <w:p>
      <w:pPr>
        <w:spacing w:line="360" w:lineRule="auto"/>
        <w:rPr>
          <w:rFonts w:ascii="宋体" w:hAnsi="宋体"/>
          <w:color w:val="auto"/>
        </w:rPr>
      </w:pPr>
    </w:p>
    <w:p>
      <w:pPr>
        <w:spacing w:line="360" w:lineRule="auto"/>
        <w:rPr>
          <w:rFonts w:ascii="宋体" w:hAnsi="宋体"/>
          <w:color w:val="auto"/>
        </w:rPr>
      </w:pPr>
    </w:p>
    <w:p>
      <w:pPr>
        <w:spacing w:line="360" w:lineRule="auto"/>
        <w:rPr>
          <w:rFonts w:ascii="宋体" w:hAnsi="宋体"/>
          <w:color w:val="auto"/>
        </w:rPr>
      </w:pPr>
    </w:p>
    <w:p>
      <w:pPr>
        <w:spacing w:line="360" w:lineRule="auto"/>
        <w:rPr>
          <w:rFonts w:ascii="宋体" w:hAnsi="宋体"/>
          <w:color w:val="auto"/>
        </w:rPr>
      </w:pPr>
    </w:p>
    <w:p>
      <w:pPr>
        <w:spacing w:line="360" w:lineRule="auto"/>
        <w:rPr>
          <w:rFonts w:ascii="宋体" w:hAnsi="宋体"/>
          <w:color w:val="auto"/>
        </w:rPr>
      </w:pPr>
    </w:p>
    <w:p>
      <w:pPr>
        <w:spacing w:line="360" w:lineRule="auto"/>
        <w:rPr>
          <w:rFonts w:ascii="宋体" w:hAnsi="宋体"/>
          <w:color w:val="auto"/>
        </w:rPr>
      </w:pPr>
    </w:p>
    <w:p>
      <w:pPr>
        <w:spacing w:line="360" w:lineRule="auto"/>
        <w:rPr>
          <w:rFonts w:ascii="宋体" w:hAnsi="宋体"/>
          <w:color w:val="auto"/>
        </w:rPr>
      </w:pPr>
    </w:p>
    <w:p>
      <w:pPr>
        <w:spacing w:line="360" w:lineRule="auto"/>
        <w:jc w:val="left"/>
        <w:rPr>
          <w:rFonts w:ascii="宋体" w:hAnsi="宋体" w:cs="Arial"/>
          <w:color w:val="auto"/>
          <w:sz w:val="32"/>
          <w:szCs w:val="32"/>
        </w:rPr>
      </w:pPr>
      <w:r>
        <w:rPr>
          <w:rFonts w:hint="eastAsia" w:ascii="宋体" w:hAnsi="宋体"/>
          <w:b/>
          <w:bCs/>
          <w:color w:val="auto"/>
          <w:kern w:val="0"/>
          <w:sz w:val="28"/>
          <w:szCs w:val="28"/>
        </w:rPr>
        <w:t>附件5同意竞争性磋商文件条款说明</w:t>
      </w:r>
    </w:p>
    <w:p>
      <w:pPr>
        <w:spacing w:line="360" w:lineRule="auto"/>
        <w:jc w:val="left"/>
        <w:rPr>
          <w:rFonts w:ascii="宋体" w:hAnsi="宋体" w:cs="Arial"/>
          <w:color w:val="auto"/>
          <w:szCs w:val="21"/>
        </w:rPr>
      </w:pPr>
    </w:p>
    <w:p>
      <w:pPr>
        <w:widowControl/>
        <w:spacing w:line="360" w:lineRule="auto"/>
        <w:jc w:val="left"/>
        <w:rPr>
          <w:rFonts w:ascii="宋体" w:hAnsi="宋体" w:cs="Arial"/>
          <w:color w:val="auto"/>
          <w:szCs w:val="21"/>
        </w:rPr>
      </w:pPr>
      <w:r>
        <w:rPr>
          <w:rFonts w:hint="eastAsia" w:ascii="宋体" w:hAnsi="宋体" w:cs="宋体"/>
          <w:color w:val="auto"/>
          <w:kern w:val="0"/>
          <w:szCs w:val="21"/>
        </w:rPr>
        <w:t>致：广州市信怡招标代理有限公司</w:t>
      </w:r>
    </w:p>
    <w:p>
      <w:pPr>
        <w:spacing w:line="360" w:lineRule="auto"/>
        <w:jc w:val="left"/>
        <w:rPr>
          <w:rFonts w:ascii="宋体" w:hAnsi="宋体" w:cs="Arial"/>
          <w:color w:val="auto"/>
          <w:szCs w:val="21"/>
        </w:rPr>
      </w:pPr>
    </w:p>
    <w:p>
      <w:pPr>
        <w:spacing w:line="360" w:lineRule="auto"/>
        <w:jc w:val="left"/>
        <w:rPr>
          <w:rFonts w:ascii="宋体" w:hAnsi="宋体" w:cs="Arial"/>
          <w:color w:val="auto"/>
          <w:szCs w:val="21"/>
        </w:rPr>
      </w:pPr>
    </w:p>
    <w:p>
      <w:pPr>
        <w:spacing w:line="360" w:lineRule="auto"/>
        <w:ind w:firstLine="478" w:firstLineChars="228"/>
        <w:jc w:val="left"/>
        <w:rPr>
          <w:rFonts w:ascii="宋体" w:hAnsi="宋体" w:cs="Arial"/>
          <w:color w:val="auto"/>
          <w:szCs w:val="21"/>
        </w:rPr>
      </w:pPr>
      <w:r>
        <w:rPr>
          <w:rFonts w:hint="eastAsia" w:ascii="宋体" w:hAnsi="宋体" w:cs="宋体"/>
          <w:color w:val="auto"/>
          <w:kern w:val="0"/>
          <w:szCs w:val="21"/>
        </w:rPr>
        <w:t>为响应你方组织的项目名称：</w:t>
      </w:r>
      <w:r>
        <w:rPr>
          <w:rFonts w:hint="eastAsia" w:ascii="宋体" w:hAnsi="宋体"/>
          <w:color w:val="auto"/>
          <w:u w:val="single"/>
        </w:rPr>
        <w:t xml:space="preserve">       项目名称      </w:t>
      </w:r>
      <w:r>
        <w:rPr>
          <w:rFonts w:hint="eastAsia" w:ascii="宋体" w:hAnsi="宋体" w:cs="宋体"/>
          <w:color w:val="auto"/>
          <w:kern w:val="0"/>
          <w:szCs w:val="21"/>
        </w:rPr>
        <w:t>项目的磋商（项目编号：</w:t>
      </w:r>
      <w:r>
        <w:rPr>
          <w:rFonts w:hint="eastAsia" w:ascii="宋体" w:hAnsi="宋体" w:cs="Arial"/>
          <w:color w:val="auto"/>
          <w:kern w:val="28"/>
          <w:szCs w:val="21"/>
          <w:u w:val="single"/>
        </w:rPr>
        <w:t xml:space="preserve">   项目编号   </w:t>
      </w:r>
      <w:r>
        <w:rPr>
          <w:rFonts w:hint="eastAsia" w:ascii="宋体" w:hAnsi="宋体" w:cs="宋体"/>
          <w:color w:val="auto"/>
          <w:kern w:val="0"/>
          <w:szCs w:val="21"/>
        </w:rPr>
        <w:t>），我方在参与报价前已详细研究了竞争性磋商文件的所有内容，包括修改文件（如果有的话）和所有已提供的参考资料以及有关附件，我方完全明白并认为此竞争性磋商文件没有倾向性，也没有存在排斥潜在供应商的内容，我方并同意竞争性磋商文件的相关条款。</w:t>
      </w:r>
    </w:p>
    <w:p>
      <w:pPr>
        <w:spacing w:line="360" w:lineRule="auto"/>
        <w:ind w:firstLine="478" w:firstLineChars="228"/>
        <w:jc w:val="left"/>
        <w:rPr>
          <w:rFonts w:ascii="宋体" w:hAnsi="宋体" w:cs="宋体"/>
          <w:color w:val="auto"/>
          <w:kern w:val="0"/>
          <w:szCs w:val="21"/>
        </w:rPr>
      </w:pPr>
      <w:r>
        <w:rPr>
          <w:rFonts w:hint="eastAsia" w:ascii="宋体" w:hAnsi="宋体" w:cs="宋体"/>
          <w:color w:val="auto"/>
          <w:kern w:val="0"/>
          <w:szCs w:val="21"/>
        </w:rPr>
        <w:t>特此声明。</w:t>
      </w:r>
    </w:p>
    <w:p>
      <w:pPr>
        <w:spacing w:line="360" w:lineRule="auto"/>
        <w:jc w:val="left"/>
        <w:rPr>
          <w:rFonts w:ascii="宋体" w:hAnsi="宋体"/>
          <w:bCs/>
          <w:color w:val="auto"/>
          <w:szCs w:val="21"/>
        </w:rPr>
      </w:pPr>
    </w:p>
    <w:p>
      <w:pPr>
        <w:spacing w:line="360" w:lineRule="auto"/>
        <w:jc w:val="left"/>
        <w:rPr>
          <w:rFonts w:ascii="宋体" w:hAnsi="宋体"/>
          <w:bCs/>
          <w:color w:val="auto"/>
          <w:szCs w:val="21"/>
        </w:rPr>
      </w:pPr>
    </w:p>
    <w:p>
      <w:pPr>
        <w:spacing w:line="360" w:lineRule="auto"/>
        <w:jc w:val="left"/>
        <w:rPr>
          <w:rFonts w:ascii="宋体" w:hAnsi="宋体"/>
          <w:bCs/>
          <w:color w:val="auto"/>
          <w:szCs w:val="21"/>
        </w:rPr>
      </w:pPr>
      <w:r>
        <w:rPr>
          <w:rFonts w:hint="eastAsia" w:ascii="宋体" w:hAnsi="宋体" w:cs="宋体"/>
          <w:color w:val="auto"/>
          <w:kern w:val="0"/>
          <w:szCs w:val="21"/>
        </w:rPr>
        <w:t>供应商</w:t>
      </w:r>
      <w:r>
        <w:rPr>
          <w:rFonts w:hint="eastAsia" w:ascii="宋体" w:hAnsi="宋体"/>
          <w:bCs/>
          <w:color w:val="auto"/>
          <w:szCs w:val="21"/>
        </w:rPr>
        <w:t>全称（加盖公章）:</w:t>
      </w:r>
    </w:p>
    <w:p>
      <w:pPr>
        <w:spacing w:line="360" w:lineRule="auto"/>
        <w:jc w:val="left"/>
        <w:rPr>
          <w:rFonts w:ascii="宋体" w:hAnsi="宋体"/>
          <w:bCs/>
          <w:color w:val="auto"/>
          <w:szCs w:val="21"/>
        </w:rPr>
      </w:pPr>
      <w:r>
        <w:rPr>
          <w:rFonts w:hint="eastAsia" w:ascii="宋体" w:hAnsi="宋体"/>
          <w:bCs/>
          <w:color w:val="auto"/>
          <w:szCs w:val="21"/>
        </w:rPr>
        <w:t>法定代表或其授权代表(</w:t>
      </w:r>
      <w:r>
        <w:rPr>
          <w:rFonts w:hint="eastAsia" w:ascii="宋体" w:hAnsi="宋体"/>
          <w:color w:val="auto"/>
          <w:szCs w:val="21"/>
        </w:rPr>
        <w:t>签字或签章</w:t>
      </w:r>
      <w:r>
        <w:rPr>
          <w:rFonts w:hint="eastAsia" w:ascii="宋体" w:hAnsi="宋体"/>
          <w:bCs/>
          <w:color w:val="auto"/>
          <w:szCs w:val="21"/>
        </w:rPr>
        <w:t>)：</w:t>
      </w:r>
    </w:p>
    <w:p>
      <w:pPr>
        <w:spacing w:line="360" w:lineRule="auto"/>
        <w:jc w:val="left"/>
        <w:rPr>
          <w:rFonts w:ascii="宋体" w:hAnsi="宋体"/>
          <w:b/>
          <w:bCs/>
          <w:color w:val="auto"/>
          <w:kern w:val="0"/>
          <w:sz w:val="28"/>
          <w:szCs w:val="28"/>
        </w:rPr>
      </w:pPr>
      <w:r>
        <w:rPr>
          <w:rFonts w:hint="eastAsia" w:ascii="宋体" w:hAnsi="宋体"/>
          <w:color w:val="auto"/>
          <w:szCs w:val="21"/>
        </w:rPr>
        <w:t>日    期： 2020年  月  日</w:t>
      </w:r>
    </w:p>
    <w:p>
      <w:pPr>
        <w:spacing w:line="360" w:lineRule="auto"/>
        <w:rPr>
          <w:rFonts w:ascii="宋体" w:hAnsi="宋体"/>
          <w:b/>
          <w:bCs/>
          <w:color w:val="auto"/>
          <w:kern w:val="0"/>
          <w:sz w:val="28"/>
          <w:szCs w:val="28"/>
        </w:rPr>
      </w:pPr>
    </w:p>
    <w:p>
      <w:pPr>
        <w:spacing w:line="360" w:lineRule="auto"/>
        <w:rPr>
          <w:rFonts w:ascii="宋体" w:hAnsi="宋体"/>
          <w:b/>
          <w:bCs/>
          <w:color w:val="auto"/>
          <w:kern w:val="0"/>
          <w:sz w:val="28"/>
          <w:szCs w:val="28"/>
        </w:rPr>
      </w:pPr>
    </w:p>
    <w:p>
      <w:pPr>
        <w:spacing w:line="360" w:lineRule="auto"/>
        <w:rPr>
          <w:rFonts w:ascii="宋体" w:hAnsi="宋体"/>
          <w:b/>
          <w:bCs/>
          <w:color w:val="auto"/>
          <w:kern w:val="0"/>
          <w:sz w:val="28"/>
          <w:szCs w:val="28"/>
        </w:rPr>
      </w:pPr>
    </w:p>
    <w:p>
      <w:pPr>
        <w:spacing w:line="360" w:lineRule="auto"/>
        <w:rPr>
          <w:rFonts w:ascii="宋体" w:hAnsi="宋体"/>
          <w:b/>
          <w:bCs/>
          <w:color w:val="auto"/>
          <w:kern w:val="0"/>
          <w:sz w:val="28"/>
          <w:szCs w:val="28"/>
        </w:rPr>
      </w:pPr>
    </w:p>
    <w:p>
      <w:pPr>
        <w:spacing w:line="360" w:lineRule="auto"/>
        <w:rPr>
          <w:rFonts w:ascii="宋体" w:hAnsi="宋体"/>
          <w:b/>
          <w:bCs/>
          <w:color w:val="auto"/>
          <w:kern w:val="0"/>
          <w:sz w:val="28"/>
          <w:szCs w:val="28"/>
        </w:rPr>
      </w:pPr>
    </w:p>
    <w:p>
      <w:pPr>
        <w:spacing w:line="360" w:lineRule="auto"/>
        <w:rPr>
          <w:rFonts w:ascii="宋体" w:hAnsi="宋体"/>
          <w:b/>
          <w:bCs/>
          <w:color w:val="auto"/>
          <w:kern w:val="0"/>
          <w:sz w:val="28"/>
          <w:szCs w:val="28"/>
        </w:rPr>
      </w:pPr>
    </w:p>
    <w:p>
      <w:pPr>
        <w:spacing w:line="360" w:lineRule="auto"/>
        <w:rPr>
          <w:rFonts w:ascii="宋体" w:hAnsi="宋体"/>
          <w:b/>
          <w:bCs/>
          <w:color w:val="auto"/>
          <w:kern w:val="0"/>
          <w:sz w:val="28"/>
          <w:szCs w:val="28"/>
        </w:rPr>
      </w:pPr>
    </w:p>
    <w:p>
      <w:pPr>
        <w:spacing w:line="360" w:lineRule="auto"/>
        <w:rPr>
          <w:rFonts w:ascii="宋体" w:hAnsi="宋体"/>
          <w:b/>
          <w:bCs/>
          <w:color w:val="auto"/>
          <w:kern w:val="0"/>
          <w:sz w:val="28"/>
          <w:szCs w:val="28"/>
        </w:rPr>
      </w:pPr>
    </w:p>
    <w:p>
      <w:pPr>
        <w:spacing w:line="360" w:lineRule="auto"/>
        <w:rPr>
          <w:rFonts w:ascii="宋体" w:hAnsi="宋体"/>
          <w:b/>
          <w:bCs/>
          <w:color w:val="auto"/>
          <w:kern w:val="0"/>
          <w:sz w:val="28"/>
          <w:szCs w:val="28"/>
        </w:rPr>
      </w:pPr>
    </w:p>
    <w:p>
      <w:pPr>
        <w:spacing w:line="360" w:lineRule="auto"/>
        <w:rPr>
          <w:rFonts w:ascii="宋体" w:hAnsi="宋体"/>
          <w:b/>
          <w:bCs/>
          <w:color w:val="auto"/>
          <w:kern w:val="0"/>
          <w:sz w:val="28"/>
          <w:szCs w:val="28"/>
        </w:rPr>
      </w:pPr>
    </w:p>
    <w:p>
      <w:pPr>
        <w:spacing w:line="360" w:lineRule="auto"/>
        <w:rPr>
          <w:rFonts w:ascii="宋体" w:hAnsi="宋体"/>
          <w:b/>
          <w:bCs/>
          <w:color w:val="auto"/>
          <w:kern w:val="0"/>
          <w:sz w:val="28"/>
          <w:szCs w:val="28"/>
        </w:rPr>
      </w:pPr>
    </w:p>
    <w:p>
      <w:pPr>
        <w:spacing w:line="360" w:lineRule="auto"/>
        <w:rPr>
          <w:rFonts w:ascii="宋体" w:hAnsi="宋体"/>
          <w:b/>
          <w:bCs/>
          <w:color w:val="auto"/>
          <w:kern w:val="0"/>
          <w:sz w:val="28"/>
          <w:szCs w:val="28"/>
        </w:rPr>
      </w:pPr>
    </w:p>
    <w:p>
      <w:pPr>
        <w:spacing w:line="360" w:lineRule="auto"/>
        <w:rPr>
          <w:rFonts w:ascii="宋体" w:hAnsi="宋体"/>
          <w:b/>
          <w:bCs/>
          <w:color w:val="auto"/>
          <w:kern w:val="0"/>
          <w:sz w:val="28"/>
          <w:szCs w:val="28"/>
        </w:rPr>
      </w:pPr>
    </w:p>
    <w:p>
      <w:pPr>
        <w:spacing w:line="360" w:lineRule="auto"/>
        <w:rPr>
          <w:rFonts w:ascii="宋体" w:hAnsi="宋体"/>
          <w:b/>
          <w:bCs/>
          <w:color w:val="auto"/>
          <w:kern w:val="0"/>
          <w:sz w:val="28"/>
          <w:szCs w:val="28"/>
        </w:rPr>
      </w:pPr>
    </w:p>
    <w:p>
      <w:pPr>
        <w:widowControl/>
        <w:jc w:val="left"/>
        <w:rPr>
          <w:rFonts w:ascii="宋体" w:hAnsi="宋体"/>
          <w:b/>
          <w:bCs/>
          <w:color w:val="auto"/>
          <w:kern w:val="0"/>
          <w:sz w:val="28"/>
          <w:szCs w:val="28"/>
        </w:rPr>
      </w:pPr>
      <w:r>
        <w:rPr>
          <w:rFonts w:ascii="宋体" w:hAnsi="宋体"/>
          <w:b/>
          <w:bCs/>
          <w:color w:val="auto"/>
          <w:kern w:val="0"/>
          <w:sz w:val="28"/>
          <w:szCs w:val="28"/>
        </w:rPr>
        <w:br w:type="page"/>
      </w:r>
    </w:p>
    <w:p>
      <w:pPr>
        <w:spacing w:line="360" w:lineRule="auto"/>
        <w:rPr>
          <w:rFonts w:ascii="宋体" w:hAnsi="宋体"/>
          <w:b/>
          <w:bCs/>
          <w:color w:val="auto"/>
          <w:kern w:val="0"/>
          <w:sz w:val="28"/>
          <w:szCs w:val="28"/>
        </w:rPr>
      </w:pPr>
      <w:r>
        <w:rPr>
          <w:rFonts w:hint="eastAsia" w:ascii="宋体" w:hAnsi="宋体"/>
          <w:b/>
          <w:bCs/>
          <w:color w:val="auto"/>
          <w:kern w:val="0"/>
          <w:sz w:val="28"/>
          <w:szCs w:val="28"/>
        </w:rPr>
        <w:t>附件6  公平竞争承诺书</w:t>
      </w:r>
    </w:p>
    <w:p>
      <w:pPr>
        <w:spacing w:line="360" w:lineRule="auto"/>
        <w:rPr>
          <w:rFonts w:ascii="宋体" w:hAnsi="宋体"/>
          <w:b/>
          <w:bCs/>
          <w:color w:val="auto"/>
          <w:kern w:val="0"/>
          <w:sz w:val="28"/>
          <w:szCs w:val="28"/>
        </w:rPr>
      </w:pPr>
    </w:p>
    <w:p>
      <w:pPr>
        <w:spacing w:line="360" w:lineRule="auto"/>
        <w:rPr>
          <w:rFonts w:ascii="宋体" w:hAnsi="宋体"/>
          <w:b/>
          <w:bCs/>
          <w:color w:val="auto"/>
          <w:kern w:val="0"/>
          <w:sz w:val="28"/>
          <w:szCs w:val="28"/>
        </w:rPr>
      </w:pPr>
    </w:p>
    <w:p>
      <w:pPr>
        <w:autoSpaceDE w:val="0"/>
        <w:autoSpaceDN w:val="0"/>
        <w:adjustRightInd w:val="0"/>
        <w:spacing w:line="360" w:lineRule="auto"/>
        <w:ind w:firstLine="525" w:firstLineChars="250"/>
        <w:jc w:val="left"/>
        <w:rPr>
          <w:rFonts w:ascii="宋体" w:hAnsi="宋体" w:cs="宋体"/>
          <w:color w:val="auto"/>
          <w:kern w:val="0"/>
          <w:szCs w:val="21"/>
        </w:rPr>
      </w:pPr>
      <w:r>
        <w:rPr>
          <w:rFonts w:hint="eastAsia" w:ascii="宋体" w:hAnsi="宋体" w:cs="宋体"/>
          <w:color w:val="auto"/>
          <w:kern w:val="0"/>
          <w:szCs w:val="21"/>
        </w:rPr>
        <w:t xml:space="preserve">本公司郑重承诺：本公司保证所提交的相关资质文件和证明材料的真实性，有良好的历史诚信记录，并将依法参与 </w:t>
      </w:r>
      <w:r>
        <w:rPr>
          <w:rFonts w:hint="eastAsia" w:ascii="宋体" w:hAnsi="宋体"/>
          <w:color w:val="auto"/>
          <w:u w:val="single"/>
        </w:rPr>
        <w:t xml:space="preserve">    项目名称     </w:t>
      </w:r>
      <w:r>
        <w:rPr>
          <w:rFonts w:hint="eastAsia" w:ascii="宋体" w:hAnsi="宋体" w:cs="宋体"/>
          <w:color w:val="auto"/>
          <w:kern w:val="0"/>
          <w:szCs w:val="21"/>
        </w:rPr>
        <w:t>项目的公平竞争，不以任何不正当行为谋取不当利益，否则承担相应的法律责任。</w:t>
      </w:r>
    </w:p>
    <w:p>
      <w:pPr>
        <w:autoSpaceDE w:val="0"/>
        <w:autoSpaceDN w:val="0"/>
        <w:adjustRightInd w:val="0"/>
        <w:spacing w:line="360" w:lineRule="auto"/>
        <w:jc w:val="right"/>
        <w:rPr>
          <w:rFonts w:ascii="宋体" w:hAnsi="宋体" w:cs="宋体"/>
          <w:color w:val="auto"/>
          <w:kern w:val="0"/>
          <w:szCs w:val="21"/>
        </w:rPr>
      </w:pPr>
    </w:p>
    <w:p>
      <w:pPr>
        <w:wordWrap w:val="0"/>
        <w:spacing w:line="360" w:lineRule="auto"/>
        <w:ind w:right="900"/>
        <w:rPr>
          <w:rFonts w:ascii="宋体" w:hAnsi="宋体" w:cs="宋体"/>
          <w:color w:val="auto"/>
          <w:kern w:val="0"/>
          <w:szCs w:val="21"/>
        </w:rPr>
      </w:pPr>
    </w:p>
    <w:p>
      <w:pPr>
        <w:spacing w:line="360" w:lineRule="auto"/>
        <w:ind w:right="900"/>
        <w:jc w:val="center"/>
        <w:rPr>
          <w:rFonts w:ascii="宋体" w:hAnsi="宋体" w:cs="宋体"/>
          <w:color w:val="auto"/>
          <w:kern w:val="0"/>
          <w:szCs w:val="21"/>
          <w:u w:val="single"/>
        </w:rPr>
      </w:pPr>
    </w:p>
    <w:p>
      <w:pPr>
        <w:spacing w:line="360" w:lineRule="auto"/>
        <w:ind w:firstLine="6300" w:firstLineChars="3000"/>
        <w:rPr>
          <w:rFonts w:ascii="宋体" w:hAnsi="宋体"/>
          <w:b/>
          <w:bCs/>
          <w:color w:val="auto"/>
          <w:kern w:val="0"/>
          <w:sz w:val="28"/>
          <w:szCs w:val="28"/>
        </w:rPr>
      </w:pPr>
      <w:r>
        <w:rPr>
          <w:rFonts w:hint="eastAsia" w:ascii="宋体" w:hAnsi="宋体"/>
          <w:color w:val="auto"/>
          <w:szCs w:val="21"/>
        </w:rPr>
        <w:t>日    期： 2020年  月  日</w:t>
      </w:r>
    </w:p>
    <w:p>
      <w:pPr>
        <w:spacing w:line="360" w:lineRule="auto"/>
        <w:jc w:val="left"/>
        <w:rPr>
          <w:rFonts w:ascii="宋体" w:hAnsi="宋体"/>
          <w:b/>
          <w:bCs/>
          <w:color w:val="auto"/>
          <w:kern w:val="0"/>
          <w:sz w:val="28"/>
          <w:szCs w:val="28"/>
        </w:rPr>
      </w:pPr>
    </w:p>
    <w:p>
      <w:pPr>
        <w:spacing w:line="360" w:lineRule="auto"/>
        <w:jc w:val="left"/>
        <w:rPr>
          <w:rFonts w:ascii="宋体" w:hAnsi="宋体"/>
          <w:b/>
          <w:bCs/>
          <w:color w:val="auto"/>
          <w:kern w:val="0"/>
          <w:sz w:val="28"/>
          <w:szCs w:val="28"/>
        </w:rPr>
      </w:pPr>
    </w:p>
    <w:p>
      <w:pPr>
        <w:spacing w:line="360" w:lineRule="auto"/>
        <w:jc w:val="left"/>
        <w:rPr>
          <w:rFonts w:ascii="宋体" w:hAnsi="宋体"/>
          <w:b/>
          <w:bCs/>
          <w:color w:val="auto"/>
          <w:kern w:val="0"/>
          <w:sz w:val="28"/>
          <w:szCs w:val="28"/>
        </w:rPr>
      </w:pPr>
    </w:p>
    <w:p>
      <w:pPr>
        <w:spacing w:line="360" w:lineRule="auto"/>
        <w:jc w:val="left"/>
        <w:rPr>
          <w:rFonts w:ascii="宋体" w:hAnsi="宋体"/>
          <w:b/>
          <w:bCs/>
          <w:color w:val="auto"/>
          <w:kern w:val="0"/>
          <w:sz w:val="28"/>
          <w:szCs w:val="28"/>
        </w:rPr>
      </w:pPr>
    </w:p>
    <w:p>
      <w:pPr>
        <w:spacing w:line="360" w:lineRule="auto"/>
        <w:jc w:val="left"/>
        <w:rPr>
          <w:rFonts w:ascii="宋体" w:hAnsi="宋体"/>
          <w:b/>
          <w:bCs/>
          <w:color w:val="auto"/>
          <w:kern w:val="0"/>
          <w:sz w:val="28"/>
          <w:szCs w:val="28"/>
        </w:rPr>
      </w:pPr>
    </w:p>
    <w:p>
      <w:pPr>
        <w:spacing w:line="360" w:lineRule="auto"/>
        <w:jc w:val="left"/>
        <w:rPr>
          <w:rFonts w:ascii="宋体" w:hAnsi="宋体"/>
          <w:b/>
          <w:bCs/>
          <w:color w:val="auto"/>
          <w:kern w:val="0"/>
          <w:sz w:val="28"/>
          <w:szCs w:val="28"/>
        </w:rPr>
      </w:pPr>
    </w:p>
    <w:p>
      <w:pPr>
        <w:spacing w:line="360" w:lineRule="auto"/>
        <w:jc w:val="left"/>
        <w:rPr>
          <w:rFonts w:ascii="宋体" w:hAnsi="宋体"/>
          <w:b/>
          <w:bCs/>
          <w:color w:val="auto"/>
          <w:kern w:val="0"/>
          <w:sz w:val="28"/>
          <w:szCs w:val="28"/>
        </w:rPr>
      </w:pPr>
    </w:p>
    <w:p>
      <w:pPr>
        <w:spacing w:line="360" w:lineRule="auto"/>
        <w:jc w:val="left"/>
        <w:rPr>
          <w:rFonts w:ascii="宋体" w:hAnsi="宋体"/>
          <w:b/>
          <w:bCs/>
          <w:color w:val="auto"/>
          <w:kern w:val="0"/>
          <w:sz w:val="28"/>
          <w:szCs w:val="28"/>
        </w:rPr>
      </w:pPr>
    </w:p>
    <w:p>
      <w:pPr>
        <w:spacing w:line="360" w:lineRule="auto"/>
        <w:jc w:val="left"/>
        <w:rPr>
          <w:rFonts w:ascii="宋体" w:hAnsi="宋体"/>
          <w:b/>
          <w:bCs/>
          <w:color w:val="auto"/>
          <w:kern w:val="0"/>
          <w:sz w:val="28"/>
          <w:szCs w:val="28"/>
        </w:rPr>
      </w:pPr>
    </w:p>
    <w:p>
      <w:pPr>
        <w:spacing w:line="360" w:lineRule="auto"/>
        <w:jc w:val="left"/>
        <w:rPr>
          <w:rFonts w:ascii="宋体" w:hAnsi="宋体"/>
          <w:b/>
          <w:bCs/>
          <w:color w:val="auto"/>
          <w:kern w:val="0"/>
          <w:sz w:val="28"/>
          <w:szCs w:val="28"/>
        </w:rPr>
      </w:pPr>
    </w:p>
    <w:p>
      <w:pPr>
        <w:spacing w:line="360" w:lineRule="auto"/>
        <w:jc w:val="left"/>
        <w:rPr>
          <w:rFonts w:ascii="宋体" w:hAnsi="宋体"/>
          <w:b/>
          <w:bCs/>
          <w:color w:val="auto"/>
          <w:kern w:val="0"/>
          <w:sz w:val="28"/>
          <w:szCs w:val="28"/>
        </w:rPr>
      </w:pPr>
    </w:p>
    <w:p>
      <w:pPr>
        <w:spacing w:line="360" w:lineRule="auto"/>
        <w:jc w:val="left"/>
        <w:rPr>
          <w:rFonts w:ascii="宋体" w:hAnsi="宋体"/>
          <w:b/>
          <w:bCs/>
          <w:color w:val="auto"/>
          <w:kern w:val="0"/>
          <w:sz w:val="28"/>
          <w:szCs w:val="28"/>
        </w:rPr>
      </w:pPr>
    </w:p>
    <w:p>
      <w:pPr>
        <w:spacing w:line="360" w:lineRule="auto"/>
        <w:jc w:val="left"/>
        <w:rPr>
          <w:rFonts w:ascii="宋体" w:hAnsi="宋体"/>
          <w:b/>
          <w:bCs/>
          <w:color w:val="auto"/>
          <w:kern w:val="0"/>
          <w:sz w:val="28"/>
          <w:szCs w:val="28"/>
        </w:rPr>
      </w:pPr>
    </w:p>
    <w:p>
      <w:pPr>
        <w:spacing w:line="360" w:lineRule="auto"/>
        <w:jc w:val="left"/>
        <w:rPr>
          <w:rFonts w:ascii="宋体" w:hAnsi="宋体"/>
          <w:b/>
          <w:bCs/>
          <w:color w:val="auto"/>
          <w:kern w:val="0"/>
          <w:sz w:val="28"/>
          <w:szCs w:val="28"/>
        </w:rPr>
      </w:pPr>
    </w:p>
    <w:p>
      <w:pPr>
        <w:spacing w:line="360" w:lineRule="auto"/>
        <w:jc w:val="left"/>
        <w:rPr>
          <w:rFonts w:ascii="宋体" w:hAnsi="宋体"/>
          <w:b/>
          <w:bCs/>
          <w:color w:val="auto"/>
          <w:kern w:val="0"/>
          <w:sz w:val="28"/>
          <w:szCs w:val="28"/>
        </w:rPr>
      </w:pPr>
    </w:p>
    <w:p>
      <w:pPr>
        <w:spacing w:line="360" w:lineRule="auto"/>
        <w:jc w:val="left"/>
        <w:rPr>
          <w:rFonts w:ascii="宋体" w:hAnsi="宋体"/>
          <w:b/>
          <w:bCs/>
          <w:color w:val="auto"/>
          <w:kern w:val="0"/>
          <w:sz w:val="28"/>
          <w:szCs w:val="28"/>
        </w:rPr>
      </w:pPr>
    </w:p>
    <w:p>
      <w:pPr>
        <w:spacing w:line="360" w:lineRule="auto"/>
        <w:jc w:val="left"/>
        <w:rPr>
          <w:rFonts w:ascii="宋体" w:hAnsi="宋体"/>
          <w:b/>
          <w:bCs/>
          <w:color w:val="auto"/>
          <w:kern w:val="0"/>
          <w:sz w:val="28"/>
          <w:szCs w:val="28"/>
        </w:rPr>
      </w:pPr>
    </w:p>
    <w:p>
      <w:pPr>
        <w:spacing w:line="360" w:lineRule="auto"/>
        <w:jc w:val="left"/>
        <w:rPr>
          <w:rFonts w:ascii="宋体" w:hAnsi="宋体"/>
          <w:b/>
          <w:bCs/>
          <w:color w:val="auto"/>
          <w:kern w:val="0"/>
          <w:sz w:val="28"/>
          <w:szCs w:val="28"/>
        </w:rPr>
      </w:pPr>
    </w:p>
    <w:p>
      <w:pPr>
        <w:widowControl/>
        <w:jc w:val="left"/>
        <w:rPr>
          <w:rFonts w:ascii="宋体" w:hAnsi="宋体"/>
          <w:b/>
          <w:bCs/>
          <w:color w:val="auto"/>
          <w:kern w:val="0"/>
          <w:sz w:val="28"/>
          <w:szCs w:val="28"/>
        </w:rPr>
      </w:pPr>
    </w:p>
    <w:p>
      <w:pPr>
        <w:spacing w:line="360" w:lineRule="auto"/>
        <w:jc w:val="left"/>
        <w:rPr>
          <w:rFonts w:ascii="宋体" w:hAnsi="宋体"/>
          <w:b/>
          <w:bCs/>
          <w:color w:val="auto"/>
          <w:kern w:val="0"/>
          <w:sz w:val="28"/>
          <w:szCs w:val="28"/>
        </w:rPr>
      </w:pPr>
      <w:r>
        <w:rPr>
          <w:rFonts w:hint="eastAsia" w:ascii="宋体" w:hAnsi="宋体"/>
          <w:b/>
          <w:bCs/>
          <w:color w:val="auto"/>
          <w:kern w:val="0"/>
          <w:sz w:val="28"/>
          <w:szCs w:val="28"/>
        </w:rPr>
        <w:t>附件7  报价一览表</w:t>
      </w:r>
    </w:p>
    <w:p>
      <w:pPr>
        <w:pStyle w:val="46"/>
        <w:spacing w:line="360" w:lineRule="auto"/>
        <w:ind w:right="480"/>
        <w:jc w:val="left"/>
        <w:rPr>
          <w:rFonts w:hAnsi="宋体"/>
          <w:color w:val="auto"/>
        </w:rPr>
      </w:pPr>
    </w:p>
    <w:p>
      <w:pPr>
        <w:pStyle w:val="46"/>
        <w:spacing w:line="360" w:lineRule="auto"/>
        <w:ind w:right="482"/>
        <w:jc w:val="left"/>
        <w:rPr>
          <w:rFonts w:hAnsi="宋体"/>
          <w:color w:val="auto"/>
          <w:szCs w:val="21"/>
        </w:rPr>
      </w:pPr>
      <w:r>
        <w:rPr>
          <w:rFonts w:hint="eastAsia" w:hAnsi="宋体"/>
          <w:color w:val="auto"/>
          <w:szCs w:val="21"/>
        </w:rPr>
        <w:t xml:space="preserve">项目名称：                       </w:t>
      </w:r>
    </w:p>
    <w:p>
      <w:pPr>
        <w:pStyle w:val="46"/>
        <w:spacing w:line="360" w:lineRule="auto"/>
        <w:ind w:right="482"/>
        <w:jc w:val="left"/>
        <w:rPr>
          <w:rFonts w:hAnsi="宋体" w:cs="宋体"/>
          <w:color w:val="auto"/>
          <w:szCs w:val="21"/>
        </w:rPr>
      </w:pPr>
      <w:r>
        <w:rPr>
          <w:rFonts w:hint="eastAsia" w:hAnsi="宋体" w:cs="宋体"/>
          <w:color w:val="auto"/>
          <w:szCs w:val="21"/>
        </w:rPr>
        <w:t xml:space="preserve">项目编号： </w:t>
      </w:r>
    </w:p>
    <w:p>
      <w:pPr>
        <w:pStyle w:val="46"/>
        <w:spacing w:line="360" w:lineRule="auto"/>
        <w:ind w:right="482"/>
        <w:jc w:val="left"/>
        <w:rPr>
          <w:rFonts w:hAnsi="宋体" w:cs="宋体"/>
          <w:color w:val="auto"/>
          <w:szCs w:val="21"/>
        </w:rPr>
      </w:pPr>
    </w:p>
    <w:tbl>
      <w:tblPr>
        <w:tblStyle w:val="9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5"/>
        <w:gridCol w:w="3260"/>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2445" w:type="dxa"/>
            <w:vAlign w:val="center"/>
          </w:tcPr>
          <w:p>
            <w:pPr>
              <w:widowControl/>
              <w:spacing w:line="360" w:lineRule="auto"/>
              <w:jc w:val="center"/>
              <w:rPr>
                <w:rFonts w:ascii="宋体" w:hAnsi="宋体" w:cs="宋体"/>
                <w:b/>
                <w:color w:val="auto"/>
                <w:kern w:val="0"/>
                <w:szCs w:val="21"/>
              </w:rPr>
            </w:pPr>
            <w:r>
              <w:rPr>
                <w:rFonts w:hint="eastAsia" w:ascii="宋体" w:hAnsi="宋体" w:cs="宋体"/>
                <w:b/>
                <w:color w:val="auto"/>
                <w:kern w:val="0"/>
                <w:szCs w:val="21"/>
              </w:rPr>
              <w:t>供应商</w:t>
            </w:r>
          </w:p>
        </w:tc>
        <w:tc>
          <w:tcPr>
            <w:tcW w:w="3260" w:type="dxa"/>
            <w:vAlign w:val="center"/>
          </w:tcPr>
          <w:p>
            <w:pPr>
              <w:widowControl/>
              <w:spacing w:line="360" w:lineRule="auto"/>
              <w:jc w:val="center"/>
              <w:rPr>
                <w:rFonts w:ascii="宋体" w:hAnsi="宋体" w:cs="宋体"/>
                <w:b/>
                <w:color w:val="auto"/>
                <w:kern w:val="0"/>
                <w:szCs w:val="21"/>
              </w:rPr>
            </w:pPr>
            <w:r>
              <w:rPr>
                <w:rFonts w:hint="eastAsia" w:ascii="宋体" w:hAnsi="宋体" w:cs="宋体"/>
                <w:b/>
                <w:color w:val="auto"/>
                <w:kern w:val="0"/>
                <w:szCs w:val="21"/>
              </w:rPr>
              <w:t>投标总报价（元）</w:t>
            </w:r>
          </w:p>
        </w:tc>
        <w:tc>
          <w:tcPr>
            <w:tcW w:w="2410" w:type="dxa"/>
            <w:vAlign w:val="center"/>
          </w:tcPr>
          <w:p>
            <w:pPr>
              <w:widowControl/>
              <w:spacing w:line="360" w:lineRule="auto"/>
              <w:jc w:val="center"/>
              <w:rPr>
                <w:rFonts w:ascii="宋体" w:hAnsi="宋体" w:cs="宋体"/>
                <w:b/>
                <w:color w:val="auto"/>
                <w:kern w:val="0"/>
                <w:szCs w:val="21"/>
              </w:rPr>
            </w:pPr>
            <w:r>
              <w:rPr>
                <w:rFonts w:hint="eastAsia" w:ascii="宋体" w:hAnsi="宋体" w:cs="宋体"/>
                <w:b/>
                <w:color w:val="auto"/>
                <w:kern w:val="0"/>
                <w:szCs w:val="21"/>
              </w:rPr>
              <w:t>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2445" w:type="dxa"/>
            <w:vMerge w:val="restart"/>
            <w:vAlign w:val="center"/>
          </w:tcPr>
          <w:p>
            <w:pPr>
              <w:widowControl/>
              <w:spacing w:line="360" w:lineRule="auto"/>
              <w:jc w:val="left"/>
              <w:rPr>
                <w:rFonts w:ascii="宋体" w:hAnsi="宋体" w:cs="宋体"/>
                <w:color w:val="auto"/>
                <w:kern w:val="0"/>
                <w:szCs w:val="21"/>
              </w:rPr>
            </w:pPr>
          </w:p>
        </w:tc>
        <w:tc>
          <w:tcPr>
            <w:tcW w:w="3260" w:type="dxa"/>
            <w:vAlign w:val="center"/>
          </w:tcPr>
          <w:p>
            <w:pPr>
              <w:spacing w:line="360" w:lineRule="auto"/>
              <w:jc w:val="left"/>
              <w:rPr>
                <w:rFonts w:ascii="宋体" w:hAnsi="宋体" w:cs="宋体"/>
                <w:color w:val="auto"/>
                <w:kern w:val="0"/>
                <w:szCs w:val="21"/>
              </w:rPr>
            </w:pPr>
            <w:r>
              <w:rPr>
                <w:rFonts w:hint="eastAsia" w:ascii="宋体" w:hAnsi="宋体" w:cs="宋体"/>
                <w:color w:val="auto"/>
                <w:kern w:val="0"/>
                <w:szCs w:val="21"/>
              </w:rPr>
              <w:t>小写：</w:t>
            </w:r>
          </w:p>
        </w:tc>
        <w:tc>
          <w:tcPr>
            <w:tcW w:w="2410" w:type="dxa"/>
            <w:vMerge w:val="restart"/>
            <w:vAlign w:val="center"/>
          </w:tcPr>
          <w:p>
            <w:pPr>
              <w:spacing w:line="360" w:lineRule="auto"/>
              <w:jc w:val="center"/>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jc w:val="center"/>
        </w:trPr>
        <w:tc>
          <w:tcPr>
            <w:tcW w:w="2445" w:type="dxa"/>
            <w:vMerge w:val="continue"/>
            <w:vAlign w:val="center"/>
          </w:tcPr>
          <w:p>
            <w:pPr>
              <w:widowControl/>
              <w:spacing w:line="360" w:lineRule="auto"/>
              <w:jc w:val="left"/>
              <w:rPr>
                <w:rFonts w:ascii="宋体" w:hAnsi="宋体" w:cs="宋体"/>
                <w:color w:val="auto"/>
                <w:kern w:val="0"/>
                <w:szCs w:val="21"/>
              </w:rPr>
            </w:pPr>
          </w:p>
        </w:tc>
        <w:tc>
          <w:tcPr>
            <w:tcW w:w="3260" w:type="dxa"/>
            <w:vAlign w:val="center"/>
          </w:tcPr>
          <w:p>
            <w:pPr>
              <w:spacing w:line="360" w:lineRule="auto"/>
              <w:jc w:val="left"/>
              <w:rPr>
                <w:rFonts w:ascii="宋体" w:hAnsi="宋体" w:cs="宋体"/>
                <w:color w:val="auto"/>
                <w:kern w:val="0"/>
                <w:szCs w:val="21"/>
              </w:rPr>
            </w:pPr>
            <w:r>
              <w:rPr>
                <w:rFonts w:hint="eastAsia" w:ascii="宋体" w:hAnsi="宋体" w:cs="宋体"/>
                <w:color w:val="auto"/>
                <w:kern w:val="0"/>
                <w:szCs w:val="21"/>
              </w:rPr>
              <w:t xml:space="preserve">大写： </w:t>
            </w:r>
          </w:p>
        </w:tc>
        <w:tc>
          <w:tcPr>
            <w:tcW w:w="2410" w:type="dxa"/>
            <w:vMerge w:val="continue"/>
            <w:vAlign w:val="center"/>
          </w:tcPr>
          <w:p>
            <w:pPr>
              <w:spacing w:line="360" w:lineRule="auto"/>
              <w:jc w:val="left"/>
              <w:rPr>
                <w:rFonts w:ascii="宋体" w:hAnsi="宋体" w:cs="宋体"/>
                <w:color w:val="auto"/>
                <w:kern w:val="0"/>
                <w:szCs w:val="21"/>
              </w:rPr>
            </w:pPr>
          </w:p>
        </w:tc>
      </w:tr>
    </w:tbl>
    <w:p>
      <w:pPr>
        <w:spacing w:line="360" w:lineRule="auto"/>
        <w:ind w:left="1206" w:leftChars="195" w:hanging="797" w:hangingChars="294"/>
        <w:jc w:val="left"/>
        <w:rPr>
          <w:rStyle w:val="93"/>
          <w:rFonts w:ascii="Verdana" w:hAnsi="Verdana"/>
          <w:color w:val="auto"/>
          <w:sz w:val="27"/>
          <w:szCs w:val="27"/>
          <w:shd w:val="clear" w:color="auto" w:fill="FFFFFF"/>
        </w:rPr>
      </w:pPr>
    </w:p>
    <w:p>
      <w:pPr>
        <w:adjustRightInd w:val="0"/>
        <w:snapToGrid w:val="0"/>
        <w:spacing w:line="360" w:lineRule="auto"/>
        <w:ind w:left="630" w:hanging="630" w:hangingChars="299"/>
        <w:jc w:val="left"/>
        <w:rPr>
          <w:rFonts w:ascii="宋体" w:hAnsi="宋体"/>
          <w:b/>
          <w:color w:val="auto"/>
          <w:szCs w:val="21"/>
        </w:rPr>
      </w:pPr>
    </w:p>
    <w:p>
      <w:pPr>
        <w:adjustRightInd w:val="0"/>
        <w:snapToGrid w:val="0"/>
        <w:spacing w:line="360" w:lineRule="auto"/>
        <w:jc w:val="left"/>
        <w:rPr>
          <w:rFonts w:ascii="宋体" w:hAnsi="宋体"/>
          <w:b/>
          <w:color w:val="auto"/>
          <w:szCs w:val="21"/>
        </w:rPr>
      </w:pPr>
      <w:r>
        <w:rPr>
          <w:rFonts w:hint="eastAsia" w:ascii="宋体" w:hAnsi="宋体"/>
          <w:b/>
          <w:color w:val="auto"/>
          <w:szCs w:val="21"/>
        </w:rPr>
        <w:t>注:1.供应商应按“采购人需求”的要求，根据实际情况进行报价。本表内的</w:t>
      </w:r>
      <w:r>
        <w:rPr>
          <w:rFonts w:hint="eastAsia" w:ascii="宋体" w:hAnsi="宋体" w:cs="宋体"/>
          <w:b/>
          <w:color w:val="auto"/>
          <w:kern w:val="0"/>
          <w:szCs w:val="21"/>
        </w:rPr>
        <w:t>响应报价为第一次报价</w:t>
      </w:r>
      <w:r>
        <w:rPr>
          <w:rFonts w:hint="eastAsia" w:ascii="宋体" w:hAnsi="宋体"/>
          <w:b/>
          <w:color w:val="auto"/>
          <w:szCs w:val="21"/>
        </w:rPr>
        <w:t>；</w:t>
      </w:r>
    </w:p>
    <w:p>
      <w:pPr>
        <w:adjustRightInd w:val="0"/>
        <w:snapToGrid w:val="0"/>
        <w:spacing w:line="360" w:lineRule="auto"/>
        <w:jc w:val="left"/>
        <w:rPr>
          <w:rFonts w:ascii="宋体" w:hAnsi="宋体"/>
          <w:b/>
          <w:color w:val="auto"/>
          <w:szCs w:val="21"/>
        </w:rPr>
      </w:pPr>
      <w:r>
        <w:rPr>
          <w:rFonts w:hint="eastAsia" w:ascii="宋体" w:hAnsi="宋体"/>
          <w:b/>
          <w:color w:val="auto"/>
          <w:szCs w:val="21"/>
        </w:rPr>
        <w:t>2.供应商报价高于采购项目预算金额和垃圾处理单价的报价响应无效；</w:t>
      </w:r>
    </w:p>
    <w:p>
      <w:pPr>
        <w:adjustRightInd w:val="0"/>
        <w:snapToGrid w:val="0"/>
        <w:spacing w:line="360" w:lineRule="auto"/>
        <w:jc w:val="left"/>
        <w:rPr>
          <w:rFonts w:ascii="宋体" w:hAnsi="宋体"/>
          <w:b/>
          <w:color w:val="auto"/>
          <w:szCs w:val="21"/>
        </w:rPr>
      </w:pPr>
      <w:r>
        <w:rPr>
          <w:rFonts w:hint="eastAsia" w:ascii="宋体" w:hAnsi="宋体"/>
          <w:b/>
          <w:color w:val="auto"/>
          <w:szCs w:val="21"/>
        </w:rPr>
        <w:t>3.根据最后报价单价与实际处理量计算出的结算价包含了采购项目的全部费用，供应商不得再向采购人收取任何费用；</w:t>
      </w:r>
    </w:p>
    <w:p>
      <w:pPr>
        <w:adjustRightInd w:val="0"/>
        <w:snapToGrid w:val="0"/>
        <w:spacing w:line="360" w:lineRule="auto"/>
        <w:ind w:left="630" w:hanging="630" w:hangingChars="299"/>
        <w:jc w:val="left"/>
        <w:rPr>
          <w:rFonts w:ascii="宋体" w:hAnsi="宋体"/>
          <w:b/>
          <w:color w:val="auto"/>
          <w:szCs w:val="21"/>
        </w:rPr>
      </w:pPr>
      <w:r>
        <w:rPr>
          <w:rFonts w:hint="eastAsia" w:ascii="宋体" w:hAnsi="宋体"/>
          <w:b/>
          <w:color w:val="auto"/>
          <w:szCs w:val="21"/>
        </w:rPr>
        <w:t>4.本表格须附在正副的响应文件中，并另封装一份在 “唱标信封”内。</w:t>
      </w:r>
    </w:p>
    <w:p>
      <w:pPr>
        <w:pStyle w:val="46"/>
        <w:tabs>
          <w:tab w:val="left" w:pos="3960"/>
        </w:tabs>
        <w:spacing w:line="360" w:lineRule="auto"/>
        <w:ind w:firstLine="4330" w:firstLineChars="2062"/>
        <w:jc w:val="left"/>
        <w:rPr>
          <w:rFonts w:hAnsi="宋体"/>
          <w:color w:val="auto"/>
          <w:szCs w:val="21"/>
        </w:rPr>
      </w:pPr>
    </w:p>
    <w:p>
      <w:pPr>
        <w:pStyle w:val="46"/>
        <w:tabs>
          <w:tab w:val="left" w:pos="3960"/>
        </w:tabs>
        <w:spacing w:line="360" w:lineRule="auto"/>
        <w:ind w:firstLine="4330" w:firstLineChars="2062"/>
        <w:jc w:val="left"/>
        <w:rPr>
          <w:rFonts w:hAnsi="宋体"/>
          <w:color w:val="auto"/>
          <w:szCs w:val="21"/>
        </w:rPr>
      </w:pPr>
    </w:p>
    <w:p>
      <w:pPr>
        <w:spacing w:line="360" w:lineRule="auto"/>
        <w:jc w:val="left"/>
        <w:rPr>
          <w:rFonts w:ascii="宋体" w:hAnsi="宋体"/>
          <w:bCs/>
          <w:color w:val="auto"/>
          <w:szCs w:val="21"/>
        </w:rPr>
      </w:pPr>
      <w:r>
        <w:rPr>
          <w:rFonts w:hint="eastAsia" w:ascii="宋体" w:hAnsi="宋体"/>
          <w:bCs/>
          <w:color w:val="auto"/>
          <w:szCs w:val="21"/>
        </w:rPr>
        <w:t>供应商全称（加盖公章）:</w:t>
      </w:r>
    </w:p>
    <w:p>
      <w:pPr>
        <w:spacing w:line="360" w:lineRule="auto"/>
        <w:jc w:val="left"/>
        <w:rPr>
          <w:rFonts w:ascii="宋体" w:hAnsi="宋体"/>
          <w:bCs/>
          <w:color w:val="auto"/>
          <w:szCs w:val="21"/>
        </w:rPr>
      </w:pPr>
      <w:r>
        <w:rPr>
          <w:rFonts w:hint="eastAsia" w:ascii="宋体" w:hAnsi="宋体"/>
          <w:bCs/>
          <w:color w:val="auto"/>
          <w:szCs w:val="21"/>
        </w:rPr>
        <w:t>法定代表或其授权代表(</w:t>
      </w:r>
      <w:r>
        <w:rPr>
          <w:rFonts w:hint="eastAsia" w:ascii="宋体" w:hAnsi="宋体"/>
          <w:color w:val="auto"/>
          <w:szCs w:val="21"/>
        </w:rPr>
        <w:t>签字或签章</w:t>
      </w:r>
      <w:r>
        <w:rPr>
          <w:rFonts w:hint="eastAsia" w:ascii="宋体" w:hAnsi="宋体"/>
          <w:bCs/>
          <w:color w:val="auto"/>
          <w:szCs w:val="21"/>
        </w:rPr>
        <w:t>)：</w:t>
      </w:r>
    </w:p>
    <w:p>
      <w:pPr>
        <w:spacing w:line="360" w:lineRule="auto"/>
        <w:jc w:val="left"/>
        <w:rPr>
          <w:rFonts w:ascii="宋体" w:hAnsi="宋体"/>
          <w:b/>
          <w:color w:val="auto"/>
          <w:szCs w:val="21"/>
        </w:rPr>
      </w:pPr>
      <w:r>
        <w:rPr>
          <w:rFonts w:hint="eastAsia" w:ascii="宋体" w:hAnsi="宋体"/>
          <w:bCs/>
          <w:color w:val="auto"/>
          <w:szCs w:val="21"/>
        </w:rPr>
        <w:t>日    期：     年   月   日</w:t>
      </w:r>
    </w:p>
    <w:p>
      <w:pPr>
        <w:pStyle w:val="46"/>
        <w:tabs>
          <w:tab w:val="left" w:pos="3960"/>
        </w:tabs>
        <w:spacing w:line="360" w:lineRule="auto"/>
        <w:ind w:firstLine="4330" w:firstLineChars="2062"/>
        <w:rPr>
          <w:rFonts w:hAnsi="宋体"/>
          <w:color w:val="auto"/>
        </w:rPr>
      </w:pPr>
    </w:p>
    <w:p>
      <w:pPr>
        <w:pStyle w:val="46"/>
        <w:tabs>
          <w:tab w:val="left" w:pos="3960"/>
        </w:tabs>
        <w:spacing w:line="360" w:lineRule="auto"/>
        <w:ind w:firstLine="4330" w:firstLineChars="2062"/>
        <w:rPr>
          <w:rFonts w:hAnsi="宋体"/>
          <w:color w:val="auto"/>
        </w:rPr>
      </w:pPr>
    </w:p>
    <w:p>
      <w:pPr>
        <w:pStyle w:val="46"/>
        <w:tabs>
          <w:tab w:val="left" w:pos="3960"/>
        </w:tabs>
        <w:spacing w:line="360" w:lineRule="auto"/>
        <w:ind w:firstLine="4330" w:firstLineChars="2062"/>
        <w:rPr>
          <w:rFonts w:hAnsi="宋体"/>
          <w:color w:val="auto"/>
        </w:rPr>
      </w:pPr>
    </w:p>
    <w:p>
      <w:pPr>
        <w:pStyle w:val="46"/>
        <w:tabs>
          <w:tab w:val="left" w:pos="3960"/>
        </w:tabs>
        <w:spacing w:line="360" w:lineRule="auto"/>
        <w:ind w:firstLine="4330" w:firstLineChars="2062"/>
        <w:rPr>
          <w:rFonts w:hAnsi="宋体"/>
          <w:color w:val="auto"/>
        </w:rPr>
      </w:pPr>
    </w:p>
    <w:p>
      <w:pPr>
        <w:pStyle w:val="46"/>
        <w:tabs>
          <w:tab w:val="left" w:pos="3960"/>
        </w:tabs>
        <w:spacing w:line="360" w:lineRule="auto"/>
        <w:ind w:firstLine="4330" w:firstLineChars="2062"/>
        <w:rPr>
          <w:rFonts w:hAnsi="宋体"/>
          <w:color w:val="auto"/>
        </w:rPr>
      </w:pPr>
    </w:p>
    <w:p>
      <w:pPr>
        <w:pStyle w:val="46"/>
        <w:tabs>
          <w:tab w:val="left" w:pos="3960"/>
        </w:tabs>
        <w:spacing w:line="360" w:lineRule="auto"/>
        <w:ind w:firstLine="4330" w:firstLineChars="2062"/>
        <w:rPr>
          <w:rFonts w:hAnsi="宋体"/>
          <w:color w:val="auto"/>
        </w:rPr>
      </w:pPr>
    </w:p>
    <w:p>
      <w:pPr>
        <w:pStyle w:val="46"/>
        <w:tabs>
          <w:tab w:val="left" w:pos="3960"/>
        </w:tabs>
        <w:spacing w:line="360" w:lineRule="auto"/>
        <w:ind w:firstLine="4330" w:firstLineChars="2062"/>
        <w:rPr>
          <w:rFonts w:hAnsi="宋体"/>
          <w:color w:val="auto"/>
        </w:rPr>
      </w:pPr>
    </w:p>
    <w:p>
      <w:pPr>
        <w:pStyle w:val="46"/>
        <w:tabs>
          <w:tab w:val="left" w:pos="3960"/>
        </w:tabs>
        <w:spacing w:line="360" w:lineRule="auto"/>
        <w:ind w:firstLine="4330" w:firstLineChars="2062"/>
        <w:rPr>
          <w:rFonts w:hAnsi="宋体"/>
          <w:color w:val="auto"/>
        </w:rPr>
      </w:pPr>
    </w:p>
    <w:p>
      <w:pPr>
        <w:pStyle w:val="46"/>
        <w:tabs>
          <w:tab w:val="left" w:pos="3960"/>
        </w:tabs>
        <w:spacing w:line="360" w:lineRule="auto"/>
        <w:ind w:firstLine="4330" w:firstLineChars="2062"/>
        <w:rPr>
          <w:rFonts w:hAnsi="宋体"/>
          <w:color w:val="auto"/>
        </w:rPr>
      </w:pPr>
    </w:p>
    <w:p>
      <w:pPr>
        <w:pStyle w:val="46"/>
        <w:tabs>
          <w:tab w:val="left" w:pos="3960"/>
        </w:tabs>
        <w:spacing w:line="360" w:lineRule="auto"/>
        <w:ind w:firstLine="4330" w:firstLineChars="2062"/>
        <w:rPr>
          <w:rFonts w:hAnsi="宋体"/>
          <w:color w:val="auto"/>
        </w:rPr>
      </w:pPr>
    </w:p>
    <w:p>
      <w:pPr>
        <w:pStyle w:val="46"/>
        <w:tabs>
          <w:tab w:val="left" w:pos="3960"/>
        </w:tabs>
        <w:spacing w:line="360" w:lineRule="auto"/>
        <w:rPr>
          <w:rFonts w:hAnsi="宋体"/>
          <w:color w:val="auto"/>
        </w:rPr>
      </w:pPr>
    </w:p>
    <w:p>
      <w:pPr>
        <w:widowControl/>
        <w:jc w:val="left"/>
        <w:rPr>
          <w:rFonts w:ascii="宋体" w:hAnsi="宋体"/>
          <w:b/>
          <w:bCs/>
          <w:color w:val="auto"/>
          <w:kern w:val="0"/>
          <w:sz w:val="28"/>
          <w:szCs w:val="28"/>
        </w:rPr>
      </w:pPr>
    </w:p>
    <w:p>
      <w:pPr>
        <w:spacing w:line="360" w:lineRule="auto"/>
        <w:jc w:val="left"/>
        <w:rPr>
          <w:rFonts w:ascii="宋体" w:hAnsi="宋体"/>
          <w:b/>
          <w:bCs/>
          <w:color w:val="auto"/>
          <w:kern w:val="0"/>
          <w:sz w:val="28"/>
          <w:szCs w:val="28"/>
        </w:rPr>
      </w:pPr>
      <w:r>
        <w:rPr>
          <w:rFonts w:hint="eastAsia" w:ascii="宋体" w:hAnsi="宋体"/>
          <w:b/>
          <w:bCs/>
          <w:color w:val="auto"/>
          <w:kern w:val="0"/>
          <w:sz w:val="28"/>
          <w:szCs w:val="28"/>
        </w:rPr>
        <w:t>附件8  磋商分项报价表（如有）</w:t>
      </w:r>
    </w:p>
    <w:p>
      <w:pPr>
        <w:spacing w:line="360" w:lineRule="auto"/>
        <w:jc w:val="left"/>
        <w:rPr>
          <w:rFonts w:ascii="宋体" w:hAnsi="宋体"/>
          <w:bCs/>
          <w:color w:val="auto"/>
          <w:sz w:val="28"/>
          <w:szCs w:val="28"/>
        </w:rPr>
      </w:pPr>
    </w:p>
    <w:p>
      <w:pPr>
        <w:pStyle w:val="46"/>
        <w:spacing w:line="360" w:lineRule="auto"/>
        <w:ind w:right="482"/>
        <w:jc w:val="left"/>
        <w:rPr>
          <w:rFonts w:hAnsi="宋体" w:cs="宋体"/>
          <w:color w:val="auto"/>
          <w:kern w:val="0"/>
          <w:szCs w:val="21"/>
        </w:rPr>
      </w:pPr>
      <w:r>
        <w:rPr>
          <w:rFonts w:hint="eastAsia" w:hAnsi="宋体" w:cs="宋体"/>
          <w:color w:val="auto"/>
          <w:kern w:val="0"/>
          <w:szCs w:val="21"/>
        </w:rPr>
        <w:t xml:space="preserve">项目名称： </w:t>
      </w:r>
    </w:p>
    <w:p>
      <w:pPr>
        <w:pStyle w:val="46"/>
        <w:spacing w:line="360" w:lineRule="auto"/>
        <w:ind w:right="482"/>
        <w:jc w:val="left"/>
        <w:rPr>
          <w:rFonts w:hAnsi="宋体" w:cs="宋体"/>
          <w:color w:val="auto"/>
          <w:kern w:val="0"/>
          <w:szCs w:val="21"/>
        </w:rPr>
      </w:pPr>
      <w:r>
        <w:rPr>
          <w:rFonts w:hint="eastAsia" w:hAnsi="宋体" w:cs="宋体"/>
          <w:color w:val="auto"/>
          <w:kern w:val="0"/>
          <w:szCs w:val="21"/>
        </w:rPr>
        <w:t>项目编号：</w:t>
      </w:r>
    </w:p>
    <w:tbl>
      <w:tblPr>
        <w:tblStyle w:val="90"/>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40"/>
        <w:gridCol w:w="1604"/>
        <w:gridCol w:w="1980"/>
        <w:gridCol w:w="908"/>
        <w:gridCol w:w="908"/>
        <w:gridCol w:w="925"/>
        <w:gridCol w:w="1328"/>
        <w:gridCol w:w="90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1240" w:type="dxa"/>
            <w:tcBorders>
              <w:top w:val="single" w:color="auto" w:sz="4" w:space="0"/>
              <w:left w:val="single" w:color="auto" w:sz="4" w:space="0"/>
              <w:bottom w:val="single" w:color="auto" w:sz="4" w:space="0"/>
              <w:right w:val="single" w:color="auto" w:sz="4" w:space="0"/>
            </w:tcBorders>
            <w:vAlign w:val="center"/>
          </w:tcPr>
          <w:p>
            <w:pPr>
              <w:pStyle w:val="46"/>
              <w:spacing w:line="360" w:lineRule="auto"/>
              <w:ind w:right="482"/>
              <w:jc w:val="left"/>
              <w:rPr>
                <w:rFonts w:hAnsi="宋体" w:cs="宋体"/>
                <w:color w:val="auto"/>
                <w:kern w:val="0"/>
                <w:szCs w:val="21"/>
              </w:rPr>
            </w:pPr>
            <w:r>
              <w:rPr>
                <w:rFonts w:hint="eastAsia" w:hAnsi="宋体" w:cs="宋体"/>
                <w:color w:val="auto"/>
                <w:kern w:val="0"/>
                <w:szCs w:val="21"/>
              </w:rPr>
              <w:t>序号</w:t>
            </w:r>
          </w:p>
        </w:tc>
        <w:tc>
          <w:tcPr>
            <w:tcW w:w="1604" w:type="dxa"/>
            <w:tcBorders>
              <w:top w:val="single" w:color="auto" w:sz="4" w:space="0"/>
              <w:left w:val="single" w:color="auto" w:sz="4" w:space="0"/>
              <w:bottom w:val="single" w:color="auto" w:sz="4" w:space="0"/>
              <w:right w:val="single" w:color="auto" w:sz="4" w:space="0"/>
            </w:tcBorders>
            <w:vAlign w:val="center"/>
          </w:tcPr>
          <w:p>
            <w:pPr>
              <w:pStyle w:val="46"/>
              <w:spacing w:line="360" w:lineRule="auto"/>
              <w:ind w:right="482"/>
              <w:jc w:val="left"/>
              <w:rPr>
                <w:rFonts w:hAnsi="宋体" w:cs="宋体"/>
                <w:color w:val="auto"/>
                <w:kern w:val="0"/>
                <w:szCs w:val="21"/>
              </w:rPr>
            </w:pPr>
            <w:r>
              <w:rPr>
                <w:rFonts w:hint="eastAsia" w:hAnsi="宋体" w:cs="宋体"/>
                <w:color w:val="auto"/>
                <w:kern w:val="0"/>
                <w:szCs w:val="21"/>
              </w:rPr>
              <w:t>分项名称</w:t>
            </w:r>
          </w:p>
        </w:tc>
        <w:tc>
          <w:tcPr>
            <w:tcW w:w="1980" w:type="dxa"/>
            <w:tcBorders>
              <w:top w:val="single" w:color="auto" w:sz="4" w:space="0"/>
              <w:left w:val="single" w:color="auto" w:sz="4" w:space="0"/>
              <w:bottom w:val="single" w:color="auto" w:sz="4" w:space="0"/>
              <w:right w:val="single" w:color="auto" w:sz="4" w:space="0"/>
            </w:tcBorders>
            <w:vAlign w:val="center"/>
          </w:tcPr>
          <w:p>
            <w:pPr>
              <w:pStyle w:val="46"/>
              <w:spacing w:line="360" w:lineRule="auto"/>
              <w:ind w:right="482"/>
              <w:jc w:val="left"/>
              <w:rPr>
                <w:rFonts w:hAnsi="宋体" w:cs="宋体"/>
                <w:color w:val="auto"/>
                <w:kern w:val="0"/>
                <w:szCs w:val="21"/>
              </w:rPr>
            </w:pPr>
            <w:r>
              <w:rPr>
                <w:rFonts w:hint="eastAsia" w:hAnsi="宋体" w:cs="宋体"/>
                <w:color w:val="auto"/>
                <w:kern w:val="0"/>
                <w:szCs w:val="21"/>
              </w:rPr>
              <w:t>具体内容</w:t>
            </w:r>
          </w:p>
        </w:tc>
        <w:tc>
          <w:tcPr>
            <w:tcW w:w="908" w:type="dxa"/>
            <w:tcBorders>
              <w:top w:val="single" w:color="auto" w:sz="4" w:space="0"/>
              <w:left w:val="single" w:color="auto" w:sz="4" w:space="0"/>
              <w:bottom w:val="single" w:color="auto" w:sz="4" w:space="0"/>
              <w:right w:val="single" w:color="auto" w:sz="4" w:space="0"/>
            </w:tcBorders>
            <w:vAlign w:val="center"/>
          </w:tcPr>
          <w:p>
            <w:pPr>
              <w:pStyle w:val="46"/>
              <w:spacing w:line="360" w:lineRule="auto"/>
              <w:ind w:right="482"/>
              <w:jc w:val="left"/>
              <w:rPr>
                <w:rFonts w:hAnsi="宋体" w:cs="宋体"/>
                <w:color w:val="auto"/>
                <w:kern w:val="0"/>
                <w:szCs w:val="21"/>
              </w:rPr>
            </w:pPr>
            <w:r>
              <w:rPr>
                <w:rFonts w:hint="eastAsia" w:hAnsi="宋体" w:cs="宋体"/>
                <w:color w:val="auto"/>
                <w:kern w:val="0"/>
                <w:szCs w:val="21"/>
              </w:rPr>
              <w:t>单位</w:t>
            </w:r>
          </w:p>
        </w:tc>
        <w:tc>
          <w:tcPr>
            <w:tcW w:w="908" w:type="dxa"/>
            <w:tcBorders>
              <w:top w:val="single" w:color="auto" w:sz="4" w:space="0"/>
              <w:left w:val="single" w:color="auto" w:sz="4" w:space="0"/>
              <w:bottom w:val="single" w:color="auto" w:sz="4" w:space="0"/>
              <w:right w:val="single" w:color="auto" w:sz="4" w:space="0"/>
            </w:tcBorders>
            <w:vAlign w:val="center"/>
          </w:tcPr>
          <w:p>
            <w:pPr>
              <w:pStyle w:val="46"/>
              <w:spacing w:line="360" w:lineRule="auto"/>
              <w:ind w:right="482"/>
              <w:jc w:val="left"/>
              <w:rPr>
                <w:rFonts w:hAnsi="宋体" w:cs="宋体"/>
                <w:color w:val="auto"/>
                <w:kern w:val="0"/>
                <w:szCs w:val="21"/>
              </w:rPr>
            </w:pPr>
            <w:r>
              <w:rPr>
                <w:rFonts w:hint="eastAsia" w:hAnsi="宋体" w:cs="宋体"/>
                <w:color w:val="auto"/>
                <w:kern w:val="0"/>
                <w:szCs w:val="21"/>
              </w:rPr>
              <w:t>数量</w:t>
            </w:r>
          </w:p>
        </w:tc>
        <w:tc>
          <w:tcPr>
            <w:tcW w:w="925" w:type="dxa"/>
            <w:tcBorders>
              <w:top w:val="single" w:color="auto" w:sz="4" w:space="0"/>
              <w:left w:val="single" w:color="auto" w:sz="4" w:space="0"/>
              <w:bottom w:val="single" w:color="auto" w:sz="4" w:space="0"/>
              <w:right w:val="single" w:color="auto" w:sz="4" w:space="0"/>
            </w:tcBorders>
            <w:vAlign w:val="center"/>
          </w:tcPr>
          <w:p>
            <w:pPr>
              <w:pStyle w:val="46"/>
              <w:spacing w:line="360" w:lineRule="auto"/>
              <w:ind w:right="482"/>
              <w:jc w:val="left"/>
              <w:rPr>
                <w:rFonts w:hAnsi="宋体" w:cs="宋体"/>
                <w:color w:val="auto"/>
                <w:kern w:val="0"/>
                <w:szCs w:val="21"/>
              </w:rPr>
            </w:pPr>
            <w:r>
              <w:rPr>
                <w:rFonts w:hint="eastAsia" w:hAnsi="宋体" w:cs="宋体"/>
                <w:color w:val="auto"/>
                <w:kern w:val="0"/>
                <w:szCs w:val="21"/>
              </w:rPr>
              <w:t>单价</w:t>
            </w:r>
          </w:p>
        </w:tc>
        <w:tc>
          <w:tcPr>
            <w:tcW w:w="1328" w:type="dxa"/>
            <w:tcBorders>
              <w:top w:val="single" w:color="auto" w:sz="4" w:space="0"/>
              <w:left w:val="single" w:color="auto" w:sz="4" w:space="0"/>
              <w:bottom w:val="single" w:color="auto" w:sz="4" w:space="0"/>
              <w:right w:val="single" w:color="auto" w:sz="4" w:space="0"/>
            </w:tcBorders>
            <w:vAlign w:val="center"/>
          </w:tcPr>
          <w:p>
            <w:pPr>
              <w:pStyle w:val="46"/>
              <w:spacing w:line="360" w:lineRule="auto"/>
              <w:ind w:right="482"/>
              <w:jc w:val="left"/>
              <w:rPr>
                <w:rFonts w:hAnsi="宋体" w:cs="宋体"/>
                <w:color w:val="auto"/>
                <w:kern w:val="0"/>
                <w:szCs w:val="21"/>
              </w:rPr>
            </w:pPr>
            <w:r>
              <w:rPr>
                <w:rFonts w:hint="eastAsia" w:hAnsi="宋体" w:cs="宋体"/>
                <w:color w:val="auto"/>
                <w:kern w:val="0"/>
                <w:szCs w:val="21"/>
              </w:rPr>
              <w:t>合计（元）</w:t>
            </w:r>
          </w:p>
        </w:tc>
        <w:tc>
          <w:tcPr>
            <w:tcW w:w="908" w:type="dxa"/>
            <w:tcBorders>
              <w:top w:val="single" w:color="auto" w:sz="4" w:space="0"/>
              <w:left w:val="single" w:color="auto" w:sz="4" w:space="0"/>
              <w:bottom w:val="single" w:color="auto" w:sz="4" w:space="0"/>
              <w:right w:val="single" w:color="auto" w:sz="4" w:space="0"/>
            </w:tcBorders>
            <w:vAlign w:val="center"/>
          </w:tcPr>
          <w:p>
            <w:pPr>
              <w:pStyle w:val="46"/>
              <w:spacing w:line="360" w:lineRule="auto"/>
              <w:ind w:right="482"/>
              <w:jc w:val="left"/>
              <w:rPr>
                <w:rFonts w:hAnsi="宋体" w:cs="宋体"/>
                <w:color w:val="auto"/>
                <w:kern w:val="0"/>
                <w:szCs w:val="21"/>
              </w:rPr>
            </w:pPr>
            <w:r>
              <w:rPr>
                <w:rFonts w:hint="eastAsia" w:hAnsi="宋体" w:cs="宋体"/>
                <w:color w:val="auto"/>
                <w:kern w:val="0"/>
                <w:szCs w:val="21"/>
              </w:rPr>
              <w:t>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40" w:type="dxa"/>
            <w:tcBorders>
              <w:top w:val="single" w:color="auto" w:sz="4" w:space="0"/>
              <w:left w:val="single" w:color="auto" w:sz="4" w:space="0"/>
              <w:bottom w:val="single" w:color="auto" w:sz="4" w:space="0"/>
              <w:right w:val="single" w:color="auto" w:sz="4" w:space="0"/>
            </w:tcBorders>
            <w:vAlign w:val="center"/>
          </w:tcPr>
          <w:p>
            <w:pPr>
              <w:pStyle w:val="46"/>
              <w:spacing w:line="360" w:lineRule="auto"/>
              <w:ind w:right="482"/>
              <w:jc w:val="left"/>
              <w:rPr>
                <w:rFonts w:hAnsi="宋体" w:cs="宋体"/>
                <w:color w:val="auto"/>
                <w:kern w:val="0"/>
                <w:szCs w:val="21"/>
              </w:rPr>
            </w:pPr>
            <w:r>
              <w:rPr>
                <w:rFonts w:hint="eastAsia" w:hAnsi="宋体" w:cs="宋体"/>
                <w:color w:val="auto"/>
                <w:kern w:val="0"/>
                <w:szCs w:val="21"/>
              </w:rPr>
              <w:t>1</w:t>
            </w:r>
          </w:p>
        </w:tc>
        <w:tc>
          <w:tcPr>
            <w:tcW w:w="1604" w:type="dxa"/>
            <w:tcBorders>
              <w:top w:val="single" w:color="auto" w:sz="4" w:space="0"/>
              <w:left w:val="single" w:color="auto" w:sz="4" w:space="0"/>
              <w:bottom w:val="single" w:color="auto" w:sz="4" w:space="0"/>
              <w:right w:val="single" w:color="auto" w:sz="4" w:space="0"/>
            </w:tcBorders>
            <w:vAlign w:val="center"/>
          </w:tcPr>
          <w:p>
            <w:pPr>
              <w:pStyle w:val="46"/>
              <w:spacing w:line="360" w:lineRule="auto"/>
              <w:ind w:right="482"/>
              <w:jc w:val="left"/>
              <w:rPr>
                <w:rFonts w:hAnsi="宋体" w:cs="宋体"/>
                <w:color w:val="auto"/>
                <w:kern w:val="0"/>
                <w:szCs w:val="21"/>
              </w:rPr>
            </w:pPr>
          </w:p>
        </w:tc>
        <w:tc>
          <w:tcPr>
            <w:tcW w:w="1980" w:type="dxa"/>
            <w:tcBorders>
              <w:top w:val="single" w:color="auto" w:sz="4" w:space="0"/>
              <w:left w:val="single" w:color="auto" w:sz="4" w:space="0"/>
              <w:bottom w:val="single" w:color="auto" w:sz="4" w:space="0"/>
              <w:right w:val="single" w:color="auto" w:sz="4" w:space="0"/>
            </w:tcBorders>
            <w:vAlign w:val="center"/>
          </w:tcPr>
          <w:p>
            <w:pPr>
              <w:pStyle w:val="46"/>
              <w:spacing w:line="360" w:lineRule="auto"/>
              <w:ind w:right="482"/>
              <w:jc w:val="left"/>
              <w:rPr>
                <w:rFonts w:hAnsi="宋体" w:cs="宋体"/>
                <w:color w:val="auto"/>
                <w:kern w:val="0"/>
                <w:szCs w:val="21"/>
              </w:rPr>
            </w:pPr>
          </w:p>
        </w:tc>
        <w:tc>
          <w:tcPr>
            <w:tcW w:w="908" w:type="dxa"/>
            <w:tcBorders>
              <w:top w:val="single" w:color="auto" w:sz="4" w:space="0"/>
              <w:left w:val="single" w:color="auto" w:sz="4" w:space="0"/>
              <w:bottom w:val="single" w:color="auto" w:sz="4" w:space="0"/>
              <w:right w:val="single" w:color="auto" w:sz="4" w:space="0"/>
            </w:tcBorders>
            <w:vAlign w:val="center"/>
          </w:tcPr>
          <w:p>
            <w:pPr>
              <w:pStyle w:val="46"/>
              <w:spacing w:line="360" w:lineRule="auto"/>
              <w:ind w:right="482"/>
              <w:jc w:val="left"/>
              <w:rPr>
                <w:rFonts w:hAnsi="宋体" w:cs="宋体"/>
                <w:color w:val="auto"/>
                <w:kern w:val="0"/>
                <w:szCs w:val="21"/>
              </w:rPr>
            </w:pPr>
          </w:p>
        </w:tc>
        <w:tc>
          <w:tcPr>
            <w:tcW w:w="908" w:type="dxa"/>
            <w:tcBorders>
              <w:top w:val="single" w:color="auto" w:sz="4" w:space="0"/>
              <w:left w:val="single" w:color="auto" w:sz="4" w:space="0"/>
              <w:bottom w:val="single" w:color="auto" w:sz="4" w:space="0"/>
              <w:right w:val="single" w:color="auto" w:sz="4" w:space="0"/>
            </w:tcBorders>
            <w:vAlign w:val="center"/>
          </w:tcPr>
          <w:p>
            <w:pPr>
              <w:pStyle w:val="46"/>
              <w:spacing w:line="360" w:lineRule="auto"/>
              <w:ind w:right="482"/>
              <w:jc w:val="left"/>
              <w:rPr>
                <w:rFonts w:hAnsi="宋体" w:cs="宋体"/>
                <w:color w:val="auto"/>
                <w:kern w:val="0"/>
                <w:szCs w:val="21"/>
              </w:rPr>
            </w:pPr>
          </w:p>
        </w:tc>
        <w:tc>
          <w:tcPr>
            <w:tcW w:w="925" w:type="dxa"/>
            <w:tcBorders>
              <w:top w:val="single" w:color="auto" w:sz="4" w:space="0"/>
              <w:left w:val="single" w:color="auto" w:sz="4" w:space="0"/>
              <w:bottom w:val="single" w:color="auto" w:sz="4" w:space="0"/>
              <w:right w:val="single" w:color="auto" w:sz="4" w:space="0"/>
            </w:tcBorders>
            <w:vAlign w:val="center"/>
          </w:tcPr>
          <w:p>
            <w:pPr>
              <w:pStyle w:val="46"/>
              <w:spacing w:line="360" w:lineRule="auto"/>
              <w:ind w:right="482"/>
              <w:jc w:val="left"/>
              <w:rPr>
                <w:rFonts w:hAnsi="宋体" w:cs="宋体"/>
                <w:color w:val="auto"/>
                <w:kern w:val="0"/>
                <w:szCs w:val="21"/>
              </w:rPr>
            </w:pPr>
          </w:p>
        </w:tc>
        <w:tc>
          <w:tcPr>
            <w:tcW w:w="1328" w:type="dxa"/>
            <w:tcBorders>
              <w:top w:val="single" w:color="auto" w:sz="4" w:space="0"/>
              <w:left w:val="single" w:color="auto" w:sz="4" w:space="0"/>
              <w:bottom w:val="single" w:color="auto" w:sz="4" w:space="0"/>
              <w:right w:val="single" w:color="auto" w:sz="4" w:space="0"/>
            </w:tcBorders>
            <w:vAlign w:val="center"/>
          </w:tcPr>
          <w:p>
            <w:pPr>
              <w:pStyle w:val="46"/>
              <w:spacing w:line="360" w:lineRule="auto"/>
              <w:ind w:right="482"/>
              <w:jc w:val="left"/>
              <w:rPr>
                <w:rFonts w:hAnsi="宋体" w:cs="宋体"/>
                <w:color w:val="auto"/>
                <w:kern w:val="0"/>
                <w:szCs w:val="21"/>
              </w:rPr>
            </w:pPr>
          </w:p>
        </w:tc>
        <w:tc>
          <w:tcPr>
            <w:tcW w:w="908" w:type="dxa"/>
            <w:tcBorders>
              <w:top w:val="single" w:color="auto" w:sz="4" w:space="0"/>
              <w:left w:val="single" w:color="auto" w:sz="4" w:space="0"/>
              <w:bottom w:val="single" w:color="auto" w:sz="4" w:space="0"/>
              <w:right w:val="single" w:color="auto" w:sz="4" w:space="0"/>
            </w:tcBorders>
            <w:vAlign w:val="center"/>
          </w:tcPr>
          <w:p>
            <w:pPr>
              <w:pStyle w:val="46"/>
              <w:spacing w:line="360" w:lineRule="auto"/>
              <w:ind w:right="482"/>
              <w:jc w:val="left"/>
              <w:rPr>
                <w:rFonts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40" w:type="dxa"/>
            <w:tcBorders>
              <w:top w:val="single" w:color="auto" w:sz="4" w:space="0"/>
              <w:left w:val="single" w:color="auto" w:sz="4" w:space="0"/>
              <w:bottom w:val="single" w:color="auto" w:sz="4" w:space="0"/>
              <w:right w:val="single" w:color="auto" w:sz="4" w:space="0"/>
            </w:tcBorders>
            <w:vAlign w:val="center"/>
          </w:tcPr>
          <w:p>
            <w:pPr>
              <w:pStyle w:val="46"/>
              <w:spacing w:line="360" w:lineRule="auto"/>
              <w:ind w:right="482"/>
              <w:jc w:val="left"/>
              <w:rPr>
                <w:rFonts w:hAnsi="宋体" w:cs="宋体"/>
                <w:color w:val="auto"/>
                <w:kern w:val="0"/>
                <w:szCs w:val="21"/>
              </w:rPr>
            </w:pPr>
            <w:r>
              <w:rPr>
                <w:rFonts w:hint="eastAsia" w:hAnsi="宋体" w:cs="宋体"/>
                <w:color w:val="auto"/>
                <w:kern w:val="0"/>
                <w:szCs w:val="21"/>
              </w:rPr>
              <w:t>2</w:t>
            </w:r>
          </w:p>
        </w:tc>
        <w:tc>
          <w:tcPr>
            <w:tcW w:w="1604" w:type="dxa"/>
            <w:tcBorders>
              <w:top w:val="single" w:color="auto" w:sz="4" w:space="0"/>
              <w:left w:val="single" w:color="auto" w:sz="4" w:space="0"/>
              <w:bottom w:val="single" w:color="auto" w:sz="4" w:space="0"/>
              <w:right w:val="single" w:color="auto" w:sz="4" w:space="0"/>
            </w:tcBorders>
            <w:vAlign w:val="center"/>
          </w:tcPr>
          <w:p>
            <w:pPr>
              <w:pStyle w:val="46"/>
              <w:spacing w:line="360" w:lineRule="auto"/>
              <w:ind w:right="482"/>
              <w:jc w:val="left"/>
              <w:rPr>
                <w:rFonts w:hAnsi="宋体" w:cs="宋体"/>
                <w:color w:val="auto"/>
                <w:kern w:val="0"/>
                <w:szCs w:val="21"/>
              </w:rPr>
            </w:pPr>
          </w:p>
        </w:tc>
        <w:tc>
          <w:tcPr>
            <w:tcW w:w="1980" w:type="dxa"/>
            <w:tcBorders>
              <w:top w:val="single" w:color="auto" w:sz="4" w:space="0"/>
              <w:left w:val="single" w:color="auto" w:sz="4" w:space="0"/>
              <w:bottom w:val="single" w:color="auto" w:sz="4" w:space="0"/>
              <w:right w:val="single" w:color="auto" w:sz="4" w:space="0"/>
            </w:tcBorders>
            <w:vAlign w:val="center"/>
          </w:tcPr>
          <w:p>
            <w:pPr>
              <w:pStyle w:val="46"/>
              <w:spacing w:line="360" w:lineRule="auto"/>
              <w:ind w:right="482"/>
              <w:jc w:val="left"/>
              <w:rPr>
                <w:rFonts w:hAnsi="宋体" w:cs="宋体"/>
                <w:color w:val="auto"/>
                <w:kern w:val="0"/>
                <w:szCs w:val="21"/>
              </w:rPr>
            </w:pPr>
          </w:p>
        </w:tc>
        <w:tc>
          <w:tcPr>
            <w:tcW w:w="908" w:type="dxa"/>
            <w:tcBorders>
              <w:top w:val="single" w:color="auto" w:sz="4" w:space="0"/>
              <w:left w:val="single" w:color="auto" w:sz="4" w:space="0"/>
              <w:bottom w:val="single" w:color="auto" w:sz="4" w:space="0"/>
              <w:right w:val="single" w:color="auto" w:sz="4" w:space="0"/>
            </w:tcBorders>
            <w:vAlign w:val="center"/>
          </w:tcPr>
          <w:p>
            <w:pPr>
              <w:pStyle w:val="46"/>
              <w:spacing w:line="360" w:lineRule="auto"/>
              <w:ind w:right="482"/>
              <w:jc w:val="left"/>
              <w:rPr>
                <w:rFonts w:hAnsi="宋体" w:cs="宋体"/>
                <w:color w:val="auto"/>
                <w:kern w:val="0"/>
                <w:szCs w:val="21"/>
              </w:rPr>
            </w:pPr>
          </w:p>
        </w:tc>
        <w:tc>
          <w:tcPr>
            <w:tcW w:w="908" w:type="dxa"/>
            <w:tcBorders>
              <w:top w:val="single" w:color="auto" w:sz="4" w:space="0"/>
              <w:left w:val="single" w:color="auto" w:sz="4" w:space="0"/>
              <w:bottom w:val="single" w:color="auto" w:sz="4" w:space="0"/>
              <w:right w:val="single" w:color="auto" w:sz="4" w:space="0"/>
            </w:tcBorders>
            <w:vAlign w:val="center"/>
          </w:tcPr>
          <w:p>
            <w:pPr>
              <w:pStyle w:val="46"/>
              <w:spacing w:line="360" w:lineRule="auto"/>
              <w:ind w:right="482"/>
              <w:jc w:val="left"/>
              <w:rPr>
                <w:rFonts w:hAnsi="宋体" w:cs="宋体"/>
                <w:color w:val="auto"/>
                <w:kern w:val="0"/>
                <w:szCs w:val="21"/>
              </w:rPr>
            </w:pPr>
          </w:p>
        </w:tc>
        <w:tc>
          <w:tcPr>
            <w:tcW w:w="925" w:type="dxa"/>
            <w:tcBorders>
              <w:top w:val="single" w:color="auto" w:sz="4" w:space="0"/>
              <w:left w:val="single" w:color="auto" w:sz="4" w:space="0"/>
              <w:bottom w:val="single" w:color="auto" w:sz="4" w:space="0"/>
              <w:right w:val="single" w:color="auto" w:sz="4" w:space="0"/>
            </w:tcBorders>
            <w:vAlign w:val="center"/>
          </w:tcPr>
          <w:p>
            <w:pPr>
              <w:pStyle w:val="46"/>
              <w:spacing w:line="360" w:lineRule="auto"/>
              <w:ind w:right="482"/>
              <w:jc w:val="left"/>
              <w:rPr>
                <w:rFonts w:hAnsi="宋体" w:cs="宋体"/>
                <w:color w:val="auto"/>
                <w:kern w:val="0"/>
                <w:szCs w:val="21"/>
              </w:rPr>
            </w:pPr>
          </w:p>
        </w:tc>
        <w:tc>
          <w:tcPr>
            <w:tcW w:w="1328" w:type="dxa"/>
            <w:tcBorders>
              <w:top w:val="single" w:color="auto" w:sz="4" w:space="0"/>
              <w:left w:val="single" w:color="auto" w:sz="4" w:space="0"/>
              <w:bottom w:val="single" w:color="auto" w:sz="4" w:space="0"/>
              <w:right w:val="single" w:color="auto" w:sz="4" w:space="0"/>
            </w:tcBorders>
            <w:vAlign w:val="center"/>
          </w:tcPr>
          <w:p>
            <w:pPr>
              <w:pStyle w:val="46"/>
              <w:spacing w:line="360" w:lineRule="auto"/>
              <w:ind w:right="482"/>
              <w:jc w:val="left"/>
              <w:rPr>
                <w:rFonts w:hAnsi="宋体" w:cs="宋体"/>
                <w:color w:val="auto"/>
                <w:kern w:val="0"/>
                <w:szCs w:val="21"/>
              </w:rPr>
            </w:pPr>
          </w:p>
        </w:tc>
        <w:tc>
          <w:tcPr>
            <w:tcW w:w="908" w:type="dxa"/>
            <w:tcBorders>
              <w:top w:val="single" w:color="auto" w:sz="4" w:space="0"/>
              <w:left w:val="single" w:color="auto" w:sz="4" w:space="0"/>
              <w:bottom w:val="single" w:color="auto" w:sz="4" w:space="0"/>
              <w:right w:val="single" w:color="auto" w:sz="4" w:space="0"/>
            </w:tcBorders>
            <w:vAlign w:val="center"/>
          </w:tcPr>
          <w:p>
            <w:pPr>
              <w:pStyle w:val="46"/>
              <w:spacing w:line="360" w:lineRule="auto"/>
              <w:ind w:right="482"/>
              <w:jc w:val="left"/>
              <w:rPr>
                <w:rFonts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40" w:type="dxa"/>
            <w:tcBorders>
              <w:top w:val="single" w:color="auto" w:sz="4" w:space="0"/>
              <w:left w:val="single" w:color="auto" w:sz="4" w:space="0"/>
              <w:bottom w:val="single" w:color="auto" w:sz="4" w:space="0"/>
              <w:right w:val="single" w:color="auto" w:sz="4" w:space="0"/>
            </w:tcBorders>
            <w:vAlign w:val="center"/>
          </w:tcPr>
          <w:p>
            <w:pPr>
              <w:pStyle w:val="46"/>
              <w:spacing w:line="360" w:lineRule="auto"/>
              <w:ind w:right="482"/>
              <w:jc w:val="left"/>
              <w:rPr>
                <w:rFonts w:hAnsi="宋体" w:cs="宋体"/>
                <w:color w:val="auto"/>
                <w:kern w:val="0"/>
                <w:szCs w:val="21"/>
              </w:rPr>
            </w:pPr>
            <w:r>
              <w:rPr>
                <w:rFonts w:hint="eastAsia" w:hAnsi="宋体" w:cs="宋体"/>
                <w:color w:val="auto"/>
                <w:kern w:val="0"/>
                <w:szCs w:val="21"/>
              </w:rPr>
              <w:t>3</w:t>
            </w:r>
          </w:p>
        </w:tc>
        <w:tc>
          <w:tcPr>
            <w:tcW w:w="1604" w:type="dxa"/>
            <w:tcBorders>
              <w:top w:val="single" w:color="auto" w:sz="4" w:space="0"/>
              <w:left w:val="single" w:color="auto" w:sz="4" w:space="0"/>
              <w:bottom w:val="single" w:color="auto" w:sz="4" w:space="0"/>
              <w:right w:val="single" w:color="auto" w:sz="4" w:space="0"/>
            </w:tcBorders>
            <w:vAlign w:val="center"/>
          </w:tcPr>
          <w:p>
            <w:pPr>
              <w:pStyle w:val="46"/>
              <w:spacing w:line="360" w:lineRule="auto"/>
              <w:ind w:right="482"/>
              <w:jc w:val="left"/>
              <w:rPr>
                <w:rFonts w:hAnsi="宋体" w:cs="宋体"/>
                <w:color w:val="auto"/>
                <w:kern w:val="0"/>
                <w:szCs w:val="21"/>
              </w:rPr>
            </w:pPr>
          </w:p>
        </w:tc>
        <w:tc>
          <w:tcPr>
            <w:tcW w:w="1980" w:type="dxa"/>
            <w:tcBorders>
              <w:top w:val="single" w:color="auto" w:sz="4" w:space="0"/>
              <w:left w:val="single" w:color="auto" w:sz="4" w:space="0"/>
              <w:bottom w:val="single" w:color="auto" w:sz="4" w:space="0"/>
              <w:right w:val="single" w:color="auto" w:sz="4" w:space="0"/>
            </w:tcBorders>
            <w:vAlign w:val="center"/>
          </w:tcPr>
          <w:p>
            <w:pPr>
              <w:pStyle w:val="46"/>
              <w:spacing w:line="360" w:lineRule="auto"/>
              <w:ind w:right="482"/>
              <w:jc w:val="left"/>
              <w:rPr>
                <w:rFonts w:hAnsi="宋体" w:cs="宋体"/>
                <w:color w:val="auto"/>
                <w:kern w:val="0"/>
                <w:szCs w:val="21"/>
              </w:rPr>
            </w:pPr>
          </w:p>
        </w:tc>
        <w:tc>
          <w:tcPr>
            <w:tcW w:w="908" w:type="dxa"/>
            <w:tcBorders>
              <w:top w:val="single" w:color="auto" w:sz="4" w:space="0"/>
              <w:left w:val="single" w:color="auto" w:sz="4" w:space="0"/>
              <w:bottom w:val="single" w:color="auto" w:sz="4" w:space="0"/>
              <w:right w:val="single" w:color="auto" w:sz="4" w:space="0"/>
            </w:tcBorders>
            <w:vAlign w:val="center"/>
          </w:tcPr>
          <w:p>
            <w:pPr>
              <w:pStyle w:val="46"/>
              <w:spacing w:line="360" w:lineRule="auto"/>
              <w:ind w:right="482"/>
              <w:jc w:val="left"/>
              <w:rPr>
                <w:rFonts w:hAnsi="宋体" w:cs="宋体"/>
                <w:color w:val="auto"/>
                <w:kern w:val="0"/>
                <w:szCs w:val="21"/>
              </w:rPr>
            </w:pPr>
          </w:p>
        </w:tc>
        <w:tc>
          <w:tcPr>
            <w:tcW w:w="908" w:type="dxa"/>
            <w:tcBorders>
              <w:top w:val="single" w:color="auto" w:sz="4" w:space="0"/>
              <w:left w:val="single" w:color="auto" w:sz="4" w:space="0"/>
              <w:bottom w:val="single" w:color="auto" w:sz="4" w:space="0"/>
              <w:right w:val="single" w:color="auto" w:sz="4" w:space="0"/>
            </w:tcBorders>
            <w:vAlign w:val="center"/>
          </w:tcPr>
          <w:p>
            <w:pPr>
              <w:pStyle w:val="46"/>
              <w:spacing w:line="360" w:lineRule="auto"/>
              <w:ind w:right="482"/>
              <w:jc w:val="left"/>
              <w:rPr>
                <w:rFonts w:hAnsi="宋体" w:cs="宋体"/>
                <w:color w:val="auto"/>
                <w:kern w:val="0"/>
                <w:szCs w:val="21"/>
              </w:rPr>
            </w:pPr>
          </w:p>
        </w:tc>
        <w:tc>
          <w:tcPr>
            <w:tcW w:w="925" w:type="dxa"/>
            <w:tcBorders>
              <w:top w:val="single" w:color="auto" w:sz="4" w:space="0"/>
              <w:left w:val="single" w:color="auto" w:sz="4" w:space="0"/>
              <w:bottom w:val="single" w:color="auto" w:sz="4" w:space="0"/>
              <w:right w:val="single" w:color="auto" w:sz="4" w:space="0"/>
            </w:tcBorders>
            <w:vAlign w:val="center"/>
          </w:tcPr>
          <w:p>
            <w:pPr>
              <w:pStyle w:val="46"/>
              <w:spacing w:line="360" w:lineRule="auto"/>
              <w:ind w:right="482"/>
              <w:jc w:val="left"/>
              <w:rPr>
                <w:rFonts w:hAnsi="宋体" w:cs="宋体"/>
                <w:color w:val="auto"/>
                <w:kern w:val="0"/>
                <w:szCs w:val="21"/>
              </w:rPr>
            </w:pPr>
          </w:p>
        </w:tc>
        <w:tc>
          <w:tcPr>
            <w:tcW w:w="1328" w:type="dxa"/>
            <w:tcBorders>
              <w:top w:val="single" w:color="auto" w:sz="4" w:space="0"/>
              <w:left w:val="single" w:color="auto" w:sz="4" w:space="0"/>
              <w:bottom w:val="single" w:color="auto" w:sz="4" w:space="0"/>
              <w:right w:val="single" w:color="auto" w:sz="4" w:space="0"/>
            </w:tcBorders>
            <w:vAlign w:val="center"/>
          </w:tcPr>
          <w:p>
            <w:pPr>
              <w:pStyle w:val="46"/>
              <w:spacing w:line="360" w:lineRule="auto"/>
              <w:ind w:right="482"/>
              <w:jc w:val="left"/>
              <w:rPr>
                <w:rFonts w:hAnsi="宋体" w:cs="宋体"/>
                <w:color w:val="auto"/>
                <w:kern w:val="0"/>
                <w:szCs w:val="21"/>
              </w:rPr>
            </w:pPr>
          </w:p>
        </w:tc>
        <w:tc>
          <w:tcPr>
            <w:tcW w:w="908" w:type="dxa"/>
            <w:tcBorders>
              <w:top w:val="single" w:color="auto" w:sz="4" w:space="0"/>
              <w:left w:val="single" w:color="auto" w:sz="4" w:space="0"/>
              <w:bottom w:val="single" w:color="auto" w:sz="4" w:space="0"/>
              <w:right w:val="single" w:color="auto" w:sz="4" w:space="0"/>
            </w:tcBorders>
            <w:vAlign w:val="center"/>
          </w:tcPr>
          <w:p>
            <w:pPr>
              <w:pStyle w:val="46"/>
              <w:spacing w:line="360" w:lineRule="auto"/>
              <w:ind w:right="482"/>
              <w:jc w:val="left"/>
              <w:rPr>
                <w:rFonts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40" w:type="dxa"/>
            <w:tcBorders>
              <w:top w:val="single" w:color="auto" w:sz="4" w:space="0"/>
              <w:left w:val="single" w:color="auto" w:sz="4" w:space="0"/>
              <w:bottom w:val="single" w:color="auto" w:sz="4" w:space="0"/>
              <w:right w:val="single" w:color="auto" w:sz="4" w:space="0"/>
            </w:tcBorders>
            <w:vAlign w:val="center"/>
          </w:tcPr>
          <w:p>
            <w:pPr>
              <w:pStyle w:val="46"/>
              <w:spacing w:line="360" w:lineRule="auto"/>
              <w:ind w:right="482"/>
              <w:jc w:val="left"/>
              <w:rPr>
                <w:rFonts w:hAnsi="宋体" w:cs="宋体"/>
                <w:color w:val="auto"/>
                <w:kern w:val="0"/>
                <w:szCs w:val="21"/>
              </w:rPr>
            </w:pPr>
            <w:r>
              <w:rPr>
                <w:rFonts w:hint="eastAsia" w:hAnsi="宋体" w:cs="宋体"/>
                <w:color w:val="auto"/>
                <w:kern w:val="0"/>
                <w:szCs w:val="21"/>
              </w:rPr>
              <w:t>总计</w:t>
            </w:r>
          </w:p>
        </w:tc>
        <w:tc>
          <w:tcPr>
            <w:tcW w:w="8561" w:type="dxa"/>
            <w:gridSpan w:val="7"/>
            <w:tcBorders>
              <w:top w:val="single" w:color="auto" w:sz="4" w:space="0"/>
              <w:left w:val="single" w:color="auto" w:sz="4" w:space="0"/>
              <w:bottom w:val="single" w:color="auto" w:sz="4" w:space="0"/>
              <w:right w:val="single" w:color="auto" w:sz="4" w:space="0"/>
            </w:tcBorders>
            <w:vAlign w:val="center"/>
          </w:tcPr>
          <w:p>
            <w:pPr>
              <w:pStyle w:val="46"/>
              <w:spacing w:line="360" w:lineRule="auto"/>
              <w:ind w:right="482"/>
              <w:jc w:val="left"/>
              <w:rPr>
                <w:rFonts w:hAnsi="宋体" w:cs="宋体"/>
                <w:color w:val="auto"/>
                <w:kern w:val="0"/>
                <w:szCs w:val="21"/>
              </w:rPr>
            </w:pPr>
            <w:r>
              <w:rPr>
                <w:rFonts w:hint="eastAsia" w:hAnsi="宋体" w:cs="宋体"/>
                <w:color w:val="auto"/>
                <w:kern w:val="0"/>
                <w:szCs w:val="21"/>
              </w:rPr>
              <w:t>￥：大写：</w:t>
            </w:r>
          </w:p>
        </w:tc>
      </w:tr>
    </w:tbl>
    <w:p>
      <w:pPr>
        <w:pStyle w:val="46"/>
        <w:spacing w:line="360" w:lineRule="auto"/>
        <w:ind w:left="720" w:hanging="720"/>
        <w:jc w:val="left"/>
        <w:rPr>
          <w:rFonts w:hAnsi="宋体"/>
          <w:color w:val="auto"/>
          <w:sz w:val="24"/>
          <w:szCs w:val="24"/>
        </w:rPr>
      </w:pPr>
    </w:p>
    <w:p>
      <w:pPr>
        <w:spacing w:line="360" w:lineRule="auto"/>
        <w:ind w:left="753" w:hanging="753" w:hangingChars="357"/>
        <w:jc w:val="left"/>
        <w:rPr>
          <w:rFonts w:ascii="宋体" w:hAnsi="宋体"/>
          <w:b/>
          <w:color w:val="auto"/>
          <w:szCs w:val="21"/>
        </w:rPr>
      </w:pPr>
      <w:r>
        <w:rPr>
          <w:rFonts w:hint="eastAsia" w:ascii="宋体" w:hAnsi="宋体"/>
          <w:b/>
          <w:color w:val="auto"/>
          <w:szCs w:val="21"/>
        </w:rPr>
        <w:t>注：1. 此表为《报价一览表》的报价明细表。</w:t>
      </w:r>
    </w:p>
    <w:p>
      <w:pPr>
        <w:spacing w:line="360" w:lineRule="auto"/>
        <w:ind w:left="751" w:leftChars="200" w:hanging="331" w:hangingChars="157"/>
        <w:jc w:val="left"/>
        <w:rPr>
          <w:rFonts w:ascii="宋体" w:hAnsi="宋体"/>
          <w:b/>
          <w:color w:val="auto"/>
          <w:szCs w:val="21"/>
        </w:rPr>
      </w:pPr>
      <w:r>
        <w:rPr>
          <w:rFonts w:hint="eastAsia" w:ascii="宋体" w:hAnsi="宋体"/>
          <w:b/>
          <w:color w:val="auto"/>
          <w:szCs w:val="21"/>
        </w:rPr>
        <w:t>2. 所有价格均以人民币作为货币单位填写及计算。对于有配件、耗材、选件和特殊工具的货物，还应填报提供的货物配件、耗材、选件表和备件及特殊工具清单，注明品牌、型号、产地、功能、单价等内容，该表格式由供应商自行设计。供应商按照上述要求分类报价，其目的是便于评标，但在任何情况下并不限制采购人以任何条款签订合同的权利。</w:t>
      </w:r>
    </w:p>
    <w:p>
      <w:pPr>
        <w:spacing w:line="360" w:lineRule="auto"/>
        <w:ind w:left="540" w:leftChars="200" w:hanging="120" w:hangingChars="57"/>
        <w:jc w:val="left"/>
        <w:rPr>
          <w:rFonts w:ascii="宋体" w:hAnsi="宋体"/>
          <w:b/>
          <w:color w:val="auto"/>
          <w:szCs w:val="21"/>
        </w:rPr>
      </w:pPr>
      <w:r>
        <w:rPr>
          <w:rFonts w:hint="eastAsia" w:ascii="宋体" w:hAnsi="宋体"/>
          <w:b/>
          <w:color w:val="auto"/>
          <w:szCs w:val="21"/>
        </w:rPr>
        <w:t>3. 该表格式仅作参考，供应商的详细报价表格式可自定。</w:t>
      </w:r>
    </w:p>
    <w:p>
      <w:pPr>
        <w:spacing w:line="360" w:lineRule="auto"/>
        <w:jc w:val="left"/>
        <w:rPr>
          <w:rFonts w:ascii="宋体" w:hAnsi="宋体"/>
          <w:b/>
          <w:bCs/>
          <w:color w:val="auto"/>
          <w:kern w:val="0"/>
          <w:sz w:val="28"/>
          <w:szCs w:val="28"/>
        </w:rPr>
      </w:pPr>
    </w:p>
    <w:p>
      <w:pPr>
        <w:spacing w:line="360" w:lineRule="auto"/>
        <w:jc w:val="left"/>
        <w:rPr>
          <w:rFonts w:ascii="宋体" w:hAnsi="宋体"/>
          <w:b/>
          <w:bCs/>
          <w:color w:val="auto"/>
          <w:kern w:val="0"/>
          <w:sz w:val="28"/>
          <w:szCs w:val="28"/>
        </w:rPr>
      </w:pPr>
    </w:p>
    <w:p>
      <w:pPr>
        <w:pStyle w:val="46"/>
        <w:tabs>
          <w:tab w:val="left" w:pos="3960"/>
        </w:tabs>
        <w:spacing w:line="360" w:lineRule="auto"/>
        <w:ind w:firstLine="4330" w:firstLineChars="2062"/>
        <w:jc w:val="left"/>
        <w:rPr>
          <w:rFonts w:hAnsi="宋体"/>
          <w:color w:val="auto"/>
        </w:rPr>
      </w:pPr>
    </w:p>
    <w:p>
      <w:pPr>
        <w:spacing w:line="360" w:lineRule="auto"/>
        <w:jc w:val="left"/>
        <w:rPr>
          <w:rFonts w:ascii="宋体" w:hAnsi="宋体"/>
          <w:bCs/>
          <w:color w:val="auto"/>
          <w:szCs w:val="21"/>
        </w:rPr>
      </w:pPr>
      <w:r>
        <w:rPr>
          <w:rFonts w:hint="eastAsia" w:ascii="宋体" w:hAnsi="宋体"/>
          <w:bCs/>
          <w:color w:val="auto"/>
          <w:szCs w:val="21"/>
        </w:rPr>
        <w:t>供应商全称（加盖公章）:</w:t>
      </w:r>
    </w:p>
    <w:p>
      <w:pPr>
        <w:spacing w:line="360" w:lineRule="auto"/>
        <w:jc w:val="left"/>
        <w:rPr>
          <w:rFonts w:ascii="宋体" w:hAnsi="宋体"/>
          <w:bCs/>
          <w:color w:val="auto"/>
          <w:szCs w:val="21"/>
        </w:rPr>
      </w:pPr>
      <w:r>
        <w:rPr>
          <w:rFonts w:hint="eastAsia" w:ascii="宋体" w:hAnsi="宋体"/>
          <w:bCs/>
          <w:color w:val="auto"/>
          <w:szCs w:val="21"/>
        </w:rPr>
        <w:t>法定代表或其授权代表(</w:t>
      </w:r>
      <w:r>
        <w:rPr>
          <w:rFonts w:hint="eastAsia" w:ascii="宋体" w:hAnsi="宋体"/>
          <w:color w:val="auto"/>
          <w:szCs w:val="21"/>
        </w:rPr>
        <w:t>签字或签章</w:t>
      </w:r>
      <w:r>
        <w:rPr>
          <w:rFonts w:hint="eastAsia" w:ascii="宋体" w:hAnsi="宋体"/>
          <w:bCs/>
          <w:color w:val="auto"/>
          <w:szCs w:val="21"/>
        </w:rPr>
        <w:t>)：</w:t>
      </w:r>
    </w:p>
    <w:p>
      <w:pPr>
        <w:spacing w:line="360" w:lineRule="auto"/>
        <w:jc w:val="left"/>
        <w:rPr>
          <w:rFonts w:ascii="宋体" w:hAnsi="宋体"/>
          <w:bCs/>
          <w:color w:val="auto"/>
          <w:szCs w:val="21"/>
        </w:rPr>
        <w:sectPr>
          <w:headerReference r:id="rId21" w:type="default"/>
          <w:pgSz w:w="11906" w:h="16838"/>
          <w:pgMar w:top="567" w:right="1304" w:bottom="567" w:left="1361" w:header="567" w:footer="737" w:gutter="0"/>
          <w:cols w:space="720" w:num="1"/>
          <w:docGrid w:linePitch="312" w:charSpace="0"/>
        </w:sectPr>
      </w:pPr>
      <w:r>
        <w:rPr>
          <w:rFonts w:hint="eastAsia" w:ascii="宋体" w:hAnsi="宋体"/>
          <w:bCs/>
          <w:color w:val="auto"/>
          <w:szCs w:val="21"/>
        </w:rPr>
        <w:t>日    期： 2020年  月  日</w:t>
      </w:r>
    </w:p>
    <w:p>
      <w:pPr>
        <w:spacing w:line="360" w:lineRule="auto"/>
        <w:rPr>
          <w:rFonts w:ascii="宋体" w:hAnsi="宋体"/>
          <w:b/>
          <w:bCs/>
          <w:color w:val="auto"/>
          <w:kern w:val="0"/>
          <w:sz w:val="28"/>
          <w:szCs w:val="28"/>
        </w:rPr>
      </w:pPr>
      <w:r>
        <w:rPr>
          <w:rFonts w:hint="eastAsia" w:ascii="宋体" w:hAnsi="宋体"/>
          <w:b/>
          <w:bCs/>
          <w:color w:val="auto"/>
          <w:kern w:val="0"/>
          <w:sz w:val="28"/>
          <w:szCs w:val="28"/>
        </w:rPr>
        <w:t>附件9  产品适用政府采购政策情况表</w:t>
      </w:r>
    </w:p>
    <w:p>
      <w:pPr>
        <w:spacing w:line="360" w:lineRule="auto"/>
        <w:rPr>
          <w:rFonts w:ascii="宋体" w:hAnsi="宋体"/>
          <w:b/>
          <w:bCs/>
          <w:color w:val="auto"/>
          <w:kern w:val="0"/>
          <w:sz w:val="24"/>
        </w:rPr>
      </w:pPr>
    </w:p>
    <w:p>
      <w:pPr>
        <w:spacing w:line="360" w:lineRule="auto"/>
        <w:jc w:val="center"/>
        <w:rPr>
          <w:rFonts w:ascii="宋体" w:hAnsi="宋体"/>
          <w:bCs/>
          <w:color w:val="auto"/>
          <w:kern w:val="0"/>
          <w:sz w:val="24"/>
        </w:rPr>
      </w:pPr>
      <w:r>
        <w:rPr>
          <w:rFonts w:hint="eastAsia" w:ascii="宋体" w:hAnsi="宋体"/>
          <w:bCs/>
          <w:color w:val="auto"/>
          <w:kern w:val="0"/>
          <w:sz w:val="24"/>
        </w:rPr>
        <w:t>产品适用政府采购政策情况表</w:t>
      </w:r>
    </w:p>
    <w:tbl>
      <w:tblPr>
        <w:tblStyle w:val="9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2350"/>
        <w:gridCol w:w="392"/>
        <w:gridCol w:w="1279"/>
        <w:gridCol w:w="822"/>
        <w:gridCol w:w="1798"/>
        <w:gridCol w:w="16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39" w:type="dxa"/>
            <w:vMerge w:val="restart"/>
            <w:tcBorders>
              <w:top w:val="single" w:color="auto" w:sz="4" w:space="0"/>
              <w:left w:val="single" w:color="auto" w:sz="4" w:space="0"/>
              <w:bottom w:val="single" w:color="auto" w:sz="4" w:space="0"/>
              <w:right w:val="single" w:color="auto" w:sz="4" w:space="0"/>
            </w:tcBorders>
            <w:vAlign w:val="center"/>
          </w:tcPr>
          <w:p>
            <w:pPr>
              <w:tabs>
                <w:tab w:val="left" w:pos="1260"/>
              </w:tabs>
              <w:spacing w:before="156" w:after="156" w:line="360" w:lineRule="auto"/>
              <w:jc w:val="left"/>
              <w:rPr>
                <w:rFonts w:ascii="宋体" w:hAnsi="宋体"/>
                <w:color w:val="auto"/>
                <w:szCs w:val="21"/>
                <w:lang w:val="en-GB"/>
              </w:rPr>
            </w:pPr>
            <w:r>
              <w:rPr>
                <w:rFonts w:hint="eastAsia" w:ascii="宋体" w:hAnsi="宋体"/>
                <w:color w:val="auto"/>
                <w:szCs w:val="21"/>
                <w:lang w:val="en-GB"/>
              </w:rPr>
              <w:t>中小企业扶持政策</w:t>
            </w:r>
          </w:p>
        </w:tc>
        <w:tc>
          <w:tcPr>
            <w:tcW w:w="8299" w:type="dxa"/>
            <w:gridSpan w:val="6"/>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lang w:val="en-GB"/>
              </w:rPr>
            </w:pPr>
            <w:r>
              <w:rPr>
                <w:rFonts w:hint="eastAsia" w:ascii="宋体" w:hAnsi="宋体"/>
                <w:color w:val="auto"/>
                <w:szCs w:val="21"/>
                <w:lang w:val="en-GB"/>
              </w:rPr>
              <w:t>如属所列情形的，请在括号内打“√”：</w:t>
            </w:r>
          </w:p>
          <w:p>
            <w:pPr>
              <w:tabs>
                <w:tab w:val="left" w:pos="1260"/>
              </w:tabs>
              <w:spacing w:before="40" w:after="40" w:line="360" w:lineRule="auto"/>
              <w:jc w:val="left"/>
              <w:rPr>
                <w:rFonts w:ascii="宋体" w:hAnsi="宋体"/>
                <w:color w:val="auto"/>
                <w:szCs w:val="21"/>
              </w:rPr>
            </w:pPr>
            <w:r>
              <w:rPr>
                <w:rFonts w:hint="eastAsia" w:ascii="宋体" w:hAnsi="宋体"/>
                <w:color w:val="auto"/>
                <w:szCs w:val="21"/>
              </w:rPr>
              <w:t>（  ）小微企业投标且提供其它小型、微型企业产品的，请填写下表内容(如供应商为中小企业，请填写下面的《中小企业声明函》一起提交)：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3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auto"/>
                <w:szCs w:val="21"/>
                <w:lang w:val="en-GB"/>
              </w:rPr>
            </w:pPr>
          </w:p>
        </w:tc>
        <w:tc>
          <w:tcPr>
            <w:tcW w:w="2742"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lang w:val="en-GB"/>
              </w:rPr>
            </w:pPr>
            <w:r>
              <w:rPr>
                <w:rFonts w:hint="eastAsia" w:ascii="宋体" w:hAnsi="宋体"/>
                <w:color w:val="auto"/>
                <w:szCs w:val="21"/>
                <w:lang w:val="en-GB"/>
              </w:rPr>
              <w:t>产品名称（品牌、型号）</w:t>
            </w:r>
          </w:p>
        </w:tc>
        <w:tc>
          <w:tcPr>
            <w:tcW w:w="2101"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lang w:val="en-GB"/>
              </w:rPr>
            </w:pPr>
            <w:r>
              <w:rPr>
                <w:rFonts w:hint="eastAsia" w:ascii="宋体" w:hAnsi="宋体"/>
                <w:color w:val="auto"/>
                <w:szCs w:val="21"/>
                <w:lang w:val="en-GB"/>
              </w:rPr>
              <w:t>制造商</w:t>
            </w:r>
          </w:p>
        </w:tc>
        <w:tc>
          <w:tcPr>
            <w:tcW w:w="179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lang w:val="en-GB"/>
              </w:rPr>
            </w:pPr>
            <w:r>
              <w:rPr>
                <w:rFonts w:hint="eastAsia" w:ascii="宋体" w:hAnsi="宋体"/>
                <w:color w:val="auto"/>
                <w:szCs w:val="21"/>
                <w:lang w:val="en-GB"/>
              </w:rPr>
              <w:t>制造商</w:t>
            </w:r>
          </w:p>
          <w:p>
            <w:pPr>
              <w:tabs>
                <w:tab w:val="left" w:pos="1260"/>
              </w:tabs>
              <w:spacing w:before="40" w:after="40" w:line="360" w:lineRule="auto"/>
              <w:jc w:val="left"/>
              <w:rPr>
                <w:rFonts w:ascii="宋体" w:hAnsi="宋体"/>
                <w:color w:val="auto"/>
                <w:szCs w:val="21"/>
                <w:lang w:val="en-GB"/>
              </w:rPr>
            </w:pPr>
            <w:r>
              <w:rPr>
                <w:rFonts w:hint="eastAsia" w:ascii="宋体" w:hAnsi="宋体"/>
                <w:color w:val="auto"/>
                <w:szCs w:val="21"/>
                <w:lang w:val="en-GB"/>
              </w:rPr>
              <w:t>企业类型</w:t>
            </w:r>
          </w:p>
        </w:tc>
        <w:tc>
          <w:tcPr>
            <w:tcW w:w="165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lang w:val="en-GB"/>
              </w:rPr>
            </w:pPr>
            <w:r>
              <w:rPr>
                <w:rFonts w:hint="eastAsia" w:ascii="宋体" w:hAnsi="宋体"/>
                <w:color w:val="auto"/>
                <w:szCs w:val="21"/>
                <w:lang w:val="en-GB"/>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auto"/>
                <w:szCs w:val="21"/>
                <w:lang w:val="en-GB"/>
              </w:rPr>
            </w:pPr>
          </w:p>
        </w:tc>
        <w:tc>
          <w:tcPr>
            <w:tcW w:w="2742"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lang w:val="en-GB"/>
              </w:rPr>
            </w:pPr>
          </w:p>
        </w:tc>
        <w:tc>
          <w:tcPr>
            <w:tcW w:w="2101"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lang w:val="en-GB"/>
              </w:rPr>
            </w:pPr>
          </w:p>
        </w:tc>
        <w:tc>
          <w:tcPr>
            <w:tcW w:w="179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lang w:val="en-GB"/>
              </w:rPr>
            </w:pPr>
          </w:p>
        </w:tc>
        <w:tc>
          <w:tcPr>
            <w:tcW w:w="165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auto"/>
                <w:szCs w:val="21"/>
                <w:lang w:val="en-GB"/>
              </w:rPr>
            </w:pPr>
          </w:p>
        </w:tc>
        <w:tc>
          <w:tcPr>
            <w:tcW w:w="2742"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lang w:val="en-GB"/>
              </w:rPr>
            </w:pPr>
          </w:p>
        </w:tc>
        <w:tc>
          <w:tcPr>
            <w:tcW w:w="2101"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lang w:val="en-GB"/>
              </w:rPr>
            </w:pPr>
          </w:p>
        </w:tc>
        <w:tc>
          <w:tcPr>
            <w:tcW w:w="179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lang w:val="en-GB"/>
              </w:rPr>
            </w:pPr>
          </w:p>
        </w:tc>
        <w:tc>
          <w:tcPr>
            <w:tcW w:w="165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auto"/>
                <w:szCs w:val="21"/>
                <w:lang w:val="en-GB"/>
              </w:rPr>
            </w:pPr>
          </w:p>
        </w:tc>
        <w:tc>
          <w:tcPr>
            <w:tcW w:w="2742"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lang w:val="en-GB"/>
              </w:rPr>
            </w:pPr>
          </w:p>
        </w:tc>
        <w:tc>
          <w:tcPr>
            <w:tcW w:w="2101"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lang w:val="en-GB"/>
              </w:rPr>
            </w:pPr>
          </w:p>
        </w:tc>
        <w:tc>
          <w:tcPr>
            <w:tcW w:w="179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lang w:val="en-GB"/>
              </w:rPr>
            </w:pPr>
          </w:p>
        </w:tc>
        <w:tc>
          <w:tcPr>
            <w:tcW w:w="165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3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auto"/>
                <w:szCs w:val="21"/>
                <w:lang w:val="en-GB"/>
              </w:rPr>
            </w:pPr>
          </w:p>
        </w:tc>
        <w:tc>
          <w:tcPr>
            <w:tcW w:w="6641" w:type="dxa"/>
            <w:gridSpan w:val="5"/>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lang w:val="en-GB"/>
              </w:rPr>
            </w:pPr>
            <w:r>
              <w:rPr>
                <w:rFonts w:hint="eastAsia" w:ascii="宋体" w:hAnsi="宋体"/>
                <w:color w:val="auto"/>
                <w:szCs w:val="21"/>
              </w:rPr>
              <w:t>小型、微型企业产品</w:t>
            </w:r>
            <w:r>
              <w:rPr>
                <w:rFonts w:hint="eastAsia" w:ascii="宋体" w:hAnsi="宋体"/>
                <w:color w:val="auto"/>
                <w:szCs w:val="21"/>
                <w:lang w:val="en-GB"/>
              </w:rPr>
              <w:t>金额合计</w:t>
            </w:r>
          </w:p>
        </w:tc>
        <w:tc>
          <w:tcPr>
            <w:tcW w:w="165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39"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bCs/>
                <w:color w:val="auto"/>
                <w:szCs w:val="21"/>
              </w:rPr>
            </w:pPr>
            <w:r>
              <w:rPr>
                <w:rFonts w:hint="eastAsia" w:ascii="宋体" w:hAnsi="宋体"/>
                <w:bCs/>
                <w:color w:val="auto"/>
                <w:szCs w:val="21"/>
              </w:rPr>
              <w:t>环境标志产品</w:t>
            </w:r>
          </w:p>
        </w:tc>
        <w:tc>
          <w:tcPr>
            <w:tcW w:w="2350"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olor w:val="auto"/>
                <w:szCs w:val="21"/>
              </w:rPr>
            </w:pPr>
            <w:r>
              <w:rPr>
                <w:rFonts w:hint="eastAsia" w:ascii="宋体" w:hAnsi="宋体"/>
                <w:bCs/>
                <w:color w:val="auto"/>
                <w:szCs w:val="21"/>
              </w:rPr>
              <w:t>主要产品/技术名称（规格型号、注册商标）</w:t>
            </w:r>
          </w:p>
        </w:tc>
        <w:tc>
          <w:tcPr>
            <w:tcW w:w="1671"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rPr>
            </w:pPr>
            <w:r>
              <w:rPr>
                <w:rFonts w:hint="eastAsia" w:ascii="宋体" w:hAnsi="宋体"/>
                <w:bCs/>
                <w:color w:val="auto"/>
                <w:szCs w:val="21"/>
              </w:rPr>
              <w:t>制造商/开发商</w:t>
            </w:r>
          </w:p>
        </w:tc>
        <w:tc>
          <w:tcPr>
            <w:tcW w:w="2620"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rPr>
            </w:pPr>
            <w:r>
              <w:rPr>
                <w:rFonts w:hint="eastAsia" w:ascii="宋体" w:hAnsi="宋体"/>
                <w:bCs/>
                <w:color w:val="auto"/>
                <w:szCs w:val="21"/>
              </w:rPr>
              <w:t>认证证书编号</w:t>
            </w:r>
          </w:p>
        </w:tc>
        <w:tc>
          <w:tcPr>
            <w:tcW w:w="1658"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bCs/>
                <w:color w:val="auto"/>
                <w:szCs w:val="21"/>
              </w:rPr>
            </w:pPr>
            <w:r>
              <w:rPr>
                <w:rFonts w:hint="eastAsia" w:ascii="宋体" w:hAnsi="宋体"/>
                <w:bCs/>
                <w:color w:val="auto"/>
                <w:szCs w:val="21"/>
              </w:rPr>
              <w:t>使用价值量占总金额比重</w:t>
            </w:r>
          </w:p>
          <w:p>
            <w:pPr>
              <w:spacing w:line="360" w:lineRule="auto"/>
              <w:jc w:val="left"/>
              <w:rPr>
                <w:rFonts w:ascii="宋体" w:hAnsi="宋体"/>
                <w:bCs/>
                <w:color w:val="auto"/>
                <w:szCs w:val="21"/>
              </w:rPr>
            </w:pPr>
            <w:r>
              <w:rPr>
                <w:rFonts w:hint="eastAsia" w:ascii="宋体" w:hAnsi="宋体"/>
                <w:bCs/>
                <w:color w:val="auto"/>
                <w:szCs w:val="21"/>
              </w:rPr>
              <w:t>（累计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bCs/>
                <w:color w:val="auto"/>
                <w:szCs w:val="21"/>
              </w:rPr>
            </w:pPr>
          </w:p>
        </w:tc>
        <w:tc>
          <w:tcPr>
            <w:tcW w:w="2350"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rPr>
            </w:pPr>
          </w:p>
        </w:tc>
        <w:tc>
          <w:tcPr>
            <w:tcW w:w="1671"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rPr>
            </w:pPr>
          </w:p>
        </w:tc>
        <w:tc>
          <w:tcPr>
            <w:tcW w:w="2620"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rPr>
            </w:pPr>
          </w:p>
        </w:tc>
        <w:tc>
          <w:tcPr>
            <w:tcW w:w="165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bCs/>
                <w:color w:val="auto"/>
                <w:szCs w:val="21"/>
              </w:rPr>
            </w:pPr>
          </w:p>
        </w:tc>
        <w:tc>
          <w:tcPr>
            <w:tcW w:w="2350"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rPr>
            </w:pPr>
          </w:p>
        </w:tc>
        <w:tc>
          <w:tcPr>
            <w:tcW w:w="1671"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rPr>
            </w:pPr>
          </w:p>
        </w:tc>
        <w:tc>
          <w:tcPr>
            <w:tcW w:w="2620"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rPr>
            </w:pPr>
          </w:p>
        </w:tc>
        <w:tc>
          <w:tcPr>
            <w:tcW w:w="165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9"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bCs/>
                <w:color w:val="auto"/>
                <w:szCs w:val="21"/>
              </w:rPr>
            </w:pPr>
            <w:r>
              <w:rPr>
                <w:rFonts w:hint="eastAsia" w:ascii="宋体" w:hAnsi="宋体"/>
                <w:bCs/>
                <w:color w:val="auto"/>
                <w:szCs w:val="21"/>
              </w:rPr>
              <w:t>节能产品</w:t>
            </w:r>
          </w:p>
        </w:tc>
        <w:tc>
          <w:tcPr>
            <w:tcW w:w="2350"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rPr>
            </w:pPr>
          </w:p>
        </w:tc>
        <w:tc>
          <w:tcPr>
            <w:tcW w:w="1671"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rPr>
            </w:pPr>
          </w:p>
        </w:tc>
        <w:tc>
          <w:tcPr>
            <w:tcW w:w="2620"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rPr>
            </w:pPr>
          </w:p>
        </w:tc>
        <w:tc>
          <w:tcPr>
            <w:tcW w:w="165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bCs/>
                <w:color w:val="auto"/>
                <w:szCs w:val="21"/>
              </w:rPr>
            </w:pPr>
          </w:p>
        </w:tc>
        <w:tc>
          <w:tcPr>
            <w:tcW w:w="2350"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rPr>
            </w:pPr>
          </w:p>
        </w:tc>
        <w:tc>
          <w:tcPr>
            <w:tcW w:w="1671"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rPr>
            </w:pPr>
          </w:p>
        </w:tc>
        <w:tc>
          <w:tcPr>
            <w:tcW w:w="2620"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rPr>
            </w:pPr>
          </w:p>
        </w:tc>
        <w:tc>
          <w:tcPr>
            <w:tcW w:w="165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bCs/>
                <w:color w:val="auto"/>
                <w:szCs w:val="21"/>
              </w:rPr>
            </w:pPr>
          </w:p>
        </w:tc>
        <w:tc>
          <w:tcPr>
            <w:tcW w:w="2350"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rPr>
            </w:pPr>
          </w:p>
        </w:tc>
        <w:tc>
          <w:tcPr>
            <w:tcW w:w="1671"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rPr>
            </w:pPr>
          </w:p>
        </w:tc>
        <w:tc>
          <w:tcPr>
            <w:tcW w:w="2620"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rPr>
            </w:pPr>
          </w:p>
        </w:tc>
        <w:tc>
          <w:tcPr>
            <w:tcW w:w="165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lang w:val="en-GB"/>
              </w:rPr>
            </w:pPr>
          </w:p>
        </w:tc>
      </w:tr>
    </w:tbl>
    <w:p>
      <w:pPr>
        <w:adjustRightInd w:val="0"/>
        <w:snapToGrid w:val="0"/>
        <w:spacing w:line="360" w:lineRule="auto"/>
        <w:jc w:val="left"/>
        <w:rPr>
          <w:rFonts w:ascii="宋体" w:hAnsi="宋体"/>
          <w:bCs/>
          <w:color w:val="auto"/>
          <w:szCs w:val="21"/>
        </w:rPr>
      </w:pPr>
    </w:p>
    <w:p>
      <w:pPr>
        <w:spacing w:line="360" w:lineRule="auto"/>
        <w:jc w:val="left"/>
        <w:rPr>
          <w:rFonts w:ascii="宋体" w:hAnsi="宋体"/>
          <w:bCs/>
          <w:color w:val="auto"/>
          <w:szCs w:val="21"/>
        </w:rPr>
      </w:pPr>
      <w:r>
        <w:rPr>
          <w:rFonts w:hint="eastAsia" w:ascii="宋体" w:hAnsi="宋体" w:cs="宋体"/>
          <w:color w:val="auto"/>
          <w:kern w:val="0"/>
          <w:szCs w:val="21"/>
        </w:rPr>
        <w:t>供应商</w:t>
      </w:r>
      <w:r>
        <w:rPr>
          <w:rFonts w:hint="eastAsia" w:ascii="宋体" w:hAnsi="宋体"/>
          <w:bCs/>
          <w:color w:val="auto"/>
          <w:szCs w:val="21"/>
        </w:rPr>
        <w:t>全称（加盖公章）:</w:t>
      </w:r>
    </w:p>
    <w:p>
      <w:pPr>
        <w:spacing w:line="360" w:lineRule="auto"/>
        <w:jc w:val="left"/>
        <w:rPr>
          <w:rFonts w:ascii="宋体" w:hAnsi="宋体"/>
          <w:bCs/>
          <w:color w:val="auto"/>
          <w:szCs w:val="21"/>
        </w:rPr>
      </w:pPr>
      <w:r>
        <w:rPr>
          <w:rFonts w:hint="eastAsia" w:ascii="宋体" w:hAnsi="宋体"/>
          <w:bCs/>
          <w:color w:val="auto"/>
          <w:szCs w:val="21"/>
        </w:rPr>
        <w:t>法定代表或其授权代表(</w:t>
      </w:r>
      <w:r>
        <w:rPr>
          <w:rFonts w:hint="eastAsia" w:ascii="宋体" w:hAnsi="宋体"/>
          <w:color w:val="auto"/>
          <w:szCs w:val="21"/>
        </w:rPr>
        <w:t>签字或签章</w:t>
      </w:r>
      <w:r>
        <w:rPr>
          <w:rFonts w:hint="eastAsia" w:ascii="宋体" w:hAnsi="宋体"/>
          <w:bCs/>
          <w:color w:val="auto"/>
          <w:szCs w:val="21"/>
        </w:rPr>
        <w:t>)：</w:t>
      </w:r>
    </w:p>
    <w:p>
      <w:pPr>
        <w:spacing w:line="360" w:lineRule="auto"/>
        <w:jc w:val="left"/>
        <w:rPr>
          <w:rFonts w:ascii="宋体" w:hAnsi="宋体"/>
          <w:bCs/>
          <w:color w:val="auto"/>
          <w:szCs w:val="21"/>
        </w:rPr>
      </w:pPr>
      <w:r>
        <w:rPr>
          <w:rFonts w:hint="eastAsia" w:ascii="宋体" w:hAnsi="宋体"/>
          <w:bCs/>
          <w:color w:val="auto"/>
          <w:szCs w:val="21"/>
        </w:rPr>
        <w:t>日    期： 2020年  月  日</w:t>
      </w:r>
    </w:p>
    <w:p>
      <w:pPr>
        <w:spacing w:line="360" w:lineRule="auto"/>
        <w:jc w:val="left"/>
        <w:rPr>
          <w:rFonts w:ascii="宋体" w:hAnsi="宋体"/>
          <w:bCs/>
          <w:color w:val="auto"/>
          <w:szCs w:val="21"/>
        </w:rPr>
      </w:pPr>
    </w:p>
    <w:p>
      <w:pPr>
        <w:spacing w:line="360" w:lineRule="auto"/>
        <w:jc w:val="left"/>
        <w:rPr>
          <w:rFonts w:ascii="宋体" w:hAnsi="宋体"/>
          <w:bCs/>
          <w:color w:val="auto"/>
          <w:szCs w:val="21"/>
        </w:rPr>
      </w:pPr>
    </w:p>
    <w:p>
      <w:pPr>
        <w:spacing w:line="360" w:lineRule="auto"/>
        <w:ind w:left="721" w:hanging="721" w:hangingChars="342"/>
        <w:jc w:val="left"/>
        <w:rPr>
          <w:rFonts w:ascii="宋体" w:hAnsi="宋体"/>
          <w:b/>
          <w:color w:val="auto"/>
          <w:szCs w:val="21"/>
          <w:lang w:val="en-GB"/>
        </w:rPr>
      </w:pPr>
      <w:r>
        <w:rPr>
          <w:rFonts w:hint="eastAsia" w:ascii="宋体" w:hAnsi="宋体"/>
          <w:b/>
          <w:color w:val="auto"/>
          <w:szCs w:val="21"/>
          <w:lang w:val="en-GB"/>
        </w:rPr>
        <w:t>填报要求：</w:t>
      </w:r>
    </w:p>
    <w:p>
      <w:pPr>
        <w:widowControl/>
        <w:numPr>
          <w:ilvl w:val="0"/>
          <w:numId w:val="38"/>
        </w:numPr>
        <w:tabs>
          <w:tab w:val="left" w:pos="0"/>
        </w:tabs>
        <w:spacing w:line="360" w:lineRule="auto"/>
        <w:ind w:left="0" w:right="84" w:rightChars="40" w:firstLine="0"/>
        <w:jc w:val="left"/>
        <w:rPr>
          <w:rFonts w:ascii="宋体" w:hAnsi="宋体"/>
          <w:color w:val="auto"/>
          <w:szCs w:val="21"/>
          <w:lang w:val="en-GB"/>
        </w:rPr>
      </w:pPr>
      <w:r>
        <w:rPr>
          <w:rFonts w:hint="eastAsia" w:ascii="宋体" w:hAnsi="宋体"/>
          <w:color w:val="auto"/>
          <w:szCs w:val="21"/>
          <w:lang w:val="en-GB"/>
        </w:rPr>
        <w:t>本表的产品名称、规格型号和注册商标、金额应与《报价明细表》一致。</w:t>
      </w:r>
    </w:p>
    <w:p>
      <w:pPr>
        <w:spacing w:line="360" w:lineRule="auto"/>
        <w:ind w:firstLine="420" w:firstLineChars="200"/>
        <w:jc w:val="left"/>
        <w:rPr>
          <w:rFonts w:ascii="宋体" w:hAnsi="宋体"/>
          <w:color w:val="auto"/>
          <w:szCs w:val="21"/>
          <w:lang w:val="en-GB"/>
        </w:rPr>
      </w:pPr>
      <w:r>
        <w:rPr>
          <w:rFonts w:hint="eastAsia" w:ascii="宋体" w:hAnsi="宋体"/>
          <w:color w:val="auto"/>
          <w:szCs w:val="21"/>
          <w:lang w:val="en-GB"/>
        </w:rPr>
        <w:t>制造商为小型或微型企业时才需要填“制造商企业类型”栏，填写内容为“小型”或“微型”。</w:t>
      </w:r>
    </w:p>
    <w:p>
      <w:pPr>
        <w:pStyle w:val="36"/>
        <w:tabs>
          <w:tab w:val="left" w:pos="1080"/>
          <w:tab w:val="left" w:pos="1680"/>
        </w:tabs>
        <w:spacing w:line="360" w:lineRule="auto"/>
        <w:ind w:left="735" w:hanging="315" w:hangingChars="150"/>
        <w:jc w:val="left"/>
        <w:rPr>
          <w:rFonts w:ascii="宋体" w:hAnsi="宋体"/>
          <w:color w:val="auto"/>
          <w:szCs w:val="21"/>
        </w:rPr>
      </w:pPr>
      <w:r>
        <w:rPr>
          <w:rFonts w:hint="eastAsia" w:ascii="宋体" w:hAnsi="宋体"/>
          <w:color w:val="auto"/>
          <w:szCs w:val="21"/>
        </w:rPr>
        <w:t>2. 根据《国务院办公厅关于建立政府强制采购节能产品制度的通知》（国办发[2007]51号）和财政部、发展改革委发布的《节能产品政府采购实施意见》（财库[2004]185号）的规定，若投标产品属于“节能产品政府采购清单”中品目的产品，提供有效期内的中国节能产品认证证书复印件及最新一期“节能产品政府采购清单”中投标产品所在清单页并均加盖</w:t>
      </w:r>
      <w:r>
        <w:rPr>
          <w:rFonts w:hint="eastAsia" w:ascii="宋体" w:hAnsi="宋体" w:cs="宋体"/>
          <w:color w:val="auto"/>
          <w:kern w:val="0"/>
          <w:szCs w:val="21"/>
        </w:rPr>
        <w:t>供应商</w:t>
      </w:r>
      <w:r>
        <w:rPr>
          <w:rFonts w:hint="eastAsia" w:ascii="宋体" w:hAnsi="宋体"/>
          <w:color w:val="auto"/>
          <w:szCs w:val="21"/>
        </w:rPr>
        <w:t>公章，节能清单在中国政府采购网（http：//www.ccgp.gov .cn/）、国家发展改革委网站（</w:t>
      </w:r>
      <w:r>
        <w:rPr>
          <w:color w:val="auto"/>
        </w:rPr>
        <w:fldChar w:fldCharType="begin"/>
      </w:r>
      <w:r>
        <w:rPr>
          <w:color w:val="auto"/>
        </w:rPr>
        <w:instrText xml:space="preserve"> HYPERLINK "http://hzs.nd/" </w:instrText>
      </w:r>
      <w:r>
        <w:rPr>
          <w:color w:val="auto"/>
        </w:rPr>
        <w:fldChar w:fldCharType="separate"/>
      </w:r>
      <w:r>
        <w:rPr>
          <w:rStyle w:val="95"/>
          <w:rFonts w:hint="eastAsia" w:ascii="宋体" w:hAnsi="宋体"/>
          <w:color w:val="auto"/>
          <w:szCs w:val="21"/>
        </w:rPr>
        <w:t>http://hzs.nd</w:t>
      </w:r>
      <w:r>
        <w:rPr>
          <w:rStyle w:val="95"/>
          <w:rFonts w:hint="eastAsia" w:ascii="宋体" w:hAnsi="宋体"/>
          <w:color w:val="auto"/>
          <w:szCs w:val="21"/>
        </w:rPr>
        <w:fldChar w:fldCharType="end"/>
      </w:r>
      <w:r>
        <w:rPr>
          <w:rFonts w:hint="eastAsia" w:ascii="宋体" w:hAnsi="宋体"/>
          <w:color w:val="auto"/>
          <w:szCs w:val="21"/>
        </w:rPr>
        <w:t xml:space="preserve"> rc.gv.cn/）和中国质量认证中心网站（http://www.cqc.com.cn/）上发布。</w:t>
      </w:r>
    </w:p>
    <w:p>
      <w:pPr>
        <w:pStyle w:val="36"/>
        <w:tabs>
          <w:tab w:val="left" w:pos="1080"/>
          <w:tab w:val="left" w:pos="1680"/>
        </w:tabs>
        <w:spacing w:line="360" w:lineRule="auto"/>
        <w:ind w:left="630" w:hanging="210" w:hangingChars="100"/>
        <w:jc w:val="left"/>
        <w:rPr>
          <w:rFonts w:ascii="宋体" w:hAnsi="宋体"/>
          <w:color w:val="auto"/>
          <w:szCs w:val="21"/>
        </w:rPr>
      </w:pPr>
      <w:r>
        <w:rPr>
          <w:rFonts w:hint="eastAsia" w:ascii="宋体" w:hAnsi="宋体"/>
          <w:color w:val="auto"/>
          <w:szCs w:val="21"/>
        </w:rPr>
        <w:t>3.根据《财政部、国家环保总局联合印发〈关于环境标志产品政府采购实施意见〉》（财库[2006]90号）的规定，若投标产品属于“环境标志产品政府采购清单”中品目的产品，提供有效期内的中国环境标志产品认证证书复印件及最新一期“环境标志产品政府采购清单”中投标产品所在清单页并均加盖</w:t>
      </w:r>
      <w:r>
        <w:rPr>
          <w:rFonts w:hint="eastAsia" w:ascii="宋体" w:hAnsi="宋体" w:cs="宋体"/>
          <w:color w:val="auto"/>
          <w:kern w:val="0"/>
          <w:szCs w:val="21"/>
        </w:rPr>
        <w:t>供应商</w:t>
      </w:r>
      <w:r>
        <w:rPr>
          <w:rFonts w:hint="eastAsia" w:ascii="宋体" w:hAnsi="宋体"/>
          <w:color w:val="auto"/>
          <w:szCs w:val="21"/>
        </w:rPr>
        <w:t>公章，清单在中国政府采购网（http://www.ccgp.gov.cn/）、国家环境保护总局网（http://www.sepa.gov.cn/）、中国绿色采购网（http://www.cgpn. cn/）上发布。</w:t>
      </w:r>
    </w:p>
    <w:p>
      <w:pPr>
        <w:widowControl/>
        <w:spacing w:line="360" w:lineRule="auto"/>
        <w:ind w:left="315" w:right="84" w:rightChars="40" w:hanging="315" w:hangingChars="150"/>
        <w:jc w:val="left"/>
        <w:rPr>
          <w:rFonts w:ascii="宋体" w:hAnsi="宋体"/>
          <w:color w:val="auto"/>
          <w:szCs w:val="21"/>
          <w:lang w:val="en-GB"/>
        </w:rPr>
      </w:pPr>
      <w:r>
        <w:rPr>
          <w:rFonts w:hint="eastAsia" w:ascii="宋体" w:hAnsi="宋体"/>
          <w:color w:val="auto"/>
          <w:szCs w:val="21"/>
        </w:rPr>
        <w:t>4.</w:t>
      </w:r>
      <w:r>
        <w:rPr>
          <w:rFonts w:hint="eastAsia" w:ascii="宋体" w:hAnsi="宋体"/>
          <w:color w:val="auto"/>
          <w:szCs w:val="21"/>
          <w:lang w:val="en-GB"/>
        </w:rPr>
        <w:t xml:space="preserve"> 请</w:t>
      </w:r>
      <w:r>
        <w:rPr>
          <w:rFonts w:hint="eastAsia" w:ascii="宋体" w:hAnsi="宋体" w:cs="宋体"/>
          <w:color w:val="auto"/>
          <w:kern w:val="0"/>
          <w:szCs w:val="21"/>
        </w:rPr>
        <w:t>供应商</w:t>
      </w:r>
      <w:r>
        <w:rPr>
          <w:rFonts w:hint="eastAsia" w:ascii="宋体" w:hAnsi="宋体"/>
          <w:color w:val="auto"/>
          <w:szCs w:val="21"/>
          <w:lang w:val="en-GB"/>
        </w:rPr>
        <w:t>正确填写本表，所填内容将作为评分的依据。其内容或数据应与对应的证明资料相符，如果不一致，可能导致该项的得分为0分。</w:t>
      </w:r>
    </w:p>
    <w:p>
      <w:pPr>
        <w:spacing w:line="360" w:lineRule="auto"/>
        <w:jc w:val="left"/>
        <w:rPr>
          <w:rFonts w:ascii="宋体" w:hAnsi="宋体"/>
          <w:b/>
          <w:bCs/>
          <w:color w:val="auto"/>
          <w:kern w:val="0"/>
          <w:sz w:val="28"/>
          <w:szCs w:val="28"/>
        </w:rPr>
      </w:pPr>
      <w:r>
        <w:rPr>
          <w:rFonts w:hint="eastAsia" w:ascii="宋体" w:hAnsi="宋体"/>
          <w:color w:val="auto"/>
          <w:szCs w:val="21"/>
          <w:lang w:val="en-GB"/>
        </w:rPr>
        <w:t>5.</w:t>
      </w:r>
      <w:r>
        <w:rPr>
          <w:rFonts w:hint="eastAsia" w:ascii="宋体" w:hAnsi="宋体"/>
          <w:bCs/>
          <w:color w:val="auto"/>
          <w:szCs w:val="21"/>
        </w:rPr>
        <w:t>上述文件均加盖</w:t>
      </w:r>
      <w:r>
        <w:rPr>
          <w:rFonts w:hint="eastAsia" w:ascii="宋体" w:hAnsi="宋体" w:cs="宋体"/>
          <w:color w:val="auto"/>
          <w:kern w:val="0"/>
          <w:szCs w:val="21"/>
        </w:rPr>
        <w:t>供应商</w:t>
      </w:r>
      <w:r>
        <w:rPr>
          <w:rFonts w:hint="eastAsia" w:ascii="宋体" w:hAnsi="宋体"/>
          <w:bCs/>
          <w:color w:val="auto"/>
          <w:szCs w:val="21"/>
        </w:rPr>
        <w:t>公章。</w:t>
      </w:r>
    </w:p>
    <w:p>
      <w:pPr>
        <w:adjustRightInd w:val="0"/>
        <w:snapToGrid w:val="0"/>
        <w:spacing w:line="360" w:lineRule="auto"/>
        <w:rPr>
          <w:rFonts w:ascii="宋体" w:hAnsi="宋体"/>
          <w:b/>
          <w:bCs/>
          <w:color w:val="auto"/>
          <w:kern w:val="0"/>
          <w:sz w:val="28"/>
          <w:szCs w:val="28"/>
        </w:rPr>
      </w:pPr>
    </w:p>
    <w:p>
      <w:pPr>
        <w:adjustRightInd w:val="0"/>
        <w:snapToGrid w:val="0"/>
        <w:spacing w:line="360" w:lineRule="auto"/>
        <w:rPr>
          <w:rFonts w:ascii="宋体" w:hAnsi="宋体"/>
          <w:b/>
          <w:bCs/>
          <w:color w:val="auto"/>
          <w:kern w:val="0"/>
          <w:sz w:val="28"/>
          <w:szCs w:val="28"/>
        </w:rPr>
      </w:pPr>
    </w:p>
    <w:p>
      <w:pPr>
        <w:adjustRightInd w:val="0"/>
        <w:snapToGrid w:val="0"/>
        <w:spacing w:line="360" w:lineRule="auto"/>
        <w:rPr>
          <w:rFonts w:ascii="宋体" w:hAnsi="宋体"/>
          <w:b/>
          <w:bCs/>
          <w:color w:val="auto"/>
          <w:kern w:val="0"/>
          <w:sz w:val="28"/>
          <w:szCs w:val="28"/>
        </w:rPr>
      </w:pPr>
    </w:p>
    <w:p>
      <w:pPr>
        <w:adjustRightInd w:val="0"/>
        <w:snapToGrid w:val="0"/>
        <w:spacing w:line="360" w:lineRule="auto"/>
        <w:rPr>
          <w:rFonts w:ascii="宋体" w:hAnsi="宋体"/>
          <w:b/>
          <w:bCs/>
          <w:color w:val="auto"/>
          <w:kern w:val="0"/>
          <w:sz w:val="28"/>
          <w:szCs w:val="28"/>
        </w:rPr>
      </w:pPr>
    </w:p>
    <w:p>
      <w:pPr>
        <w:adjustRightInd w:val="0"/>
        <w:snapToGrid w:val="0"/>
        <w:spacing w:line="360" w:lineRule="auto"/>
        <w:rPr>
          <w:rFonts w:ascii="宋体" w:hAnsi="宋体"/>
          <w:b/>
          <w:bCs/>
          <w:color w:val="auto"/>
          <w:kern w:val="0"/>
          <w:sz w:val="28"/>
          <w:szCs w:val="28"/>
        </w:rPr>
      </w:pPr>
    </w:p>
    <w:p>
      <w:pPr>
        <w:adjustRightInd w:val="0"/>
        <w:snapToGrid w:val="0"/>
        <w:spacing w:line="360" w:lineRule="auto"/>
        <w:rPr>
          <w:rFonts w:ascii="宋体" w:hAnsi="宋体"/>
          <w:b/>
          <w:bCs/>
          <w:color w:val="auto"/>
          <w:kern w:val="0"/>
          <w:sz w:val="28"/>
          <w:szCs w:val="28"/>
        </w:rPr>
      </w:pPr>
    </w:p>
    <w:p>
      <w:pPr>
        <w:adjustRightInd w:val="0"/>
        <w:snapToGrid w:val="0"/>
        <w:spacing w:line="360" w:lineRule="auto"/>
        <w:rPr>
          <w:rFonts w:ascii="宋体" w:hAnsi="宋体"/>
          <w:b/>
          <w:bCs/>
          <w:color w:val="auto"/>
          <w:kern w:val="0"/>
          <w:sz w:val="28"/>
          <w:szCs w:val="28"/>
        </w:rPr>
      </w:pPr>
    </w:p>
    <w:p>
      <w:pPr>
        <w:adjustRightInd w:val="0"/>
        <w:snapToGrid w:val="0"/>
        <w:spacing w:line="360" w:lineRule="auto"/>
        <w:rPr>
          <w:rFonts w:ascii="宋体" w:hAnsi="宋体"/>
          <w:b/>
          <w:bCs/>
          <w:color w:val="auto"/>
          <w:kern w:val="0"/>
          <w:sz w:val="28"/>
          <w:szCs w:val="28"/>
        </w:rPr>
      </w:pPr>
    </w:p>
    <w:p>
      <w:pPr>
        <w:adjustRightInd w:val="0"/>
        <w:snapToGrid w:val="0"/>
        <w:spacing w:line="360" w:lineRule="auto"/>
        <w:rPr>
          <w:rFonts w:ascii="宋体" w:hAnsi="宋体"/>
          <w:b/>
          <w:bCs/>
          <w:color w:val="auto"/>
          <w:kern w:val="0"/>
          <w:sz w:val="28"/>
          <w:szCs w:val="28"/>
        </w:rPr>
      </w:pPr>
    </w:p>
    <w:p>
      <w:pPr>
        <w:adjustRightInd w:val="0"/>
        <w:snapToGrid w:val="0"/>
        <w:spacing w:line="360" w:lineRule="auto"/>
        <w:rPr>
          <w:rFonts w:ascii="宋体" w:hAnsi="宋体"/>
          <w:b/>
          <w:bCs/>
          <w:color w:val="auto"/>
          <w:kern w:val="0"/>
          <w:sz w:val="28"/>
          <w:szCs w:val="28"/>
        </w:rPr>
      </w:pPr>
    </w:p>
    <w:p>
      <w:pPr>
        <w:adjustRightInd w:val="0"/>
        <w:snapToGrid w:val="0"/>
        <w:spacing w:line="360" w:lineRule="auto"/>
        <w:rPr>
          <w:rFonts w:ascii="宋体" w:hAnsi="宋体"/>
          <w:b/>
          <w:bCs/>
          <w:color w:val="auto"/>
          <w:kern w:val="0"/>
          <w:sz w:val="28"/>
          <w:szCs w:val="28"/>
        </w:rPr>
      </w:pPr>
    </w:p>
    <w:p>
      <w:pPr>
        <w:adjustRightInd w:val="0"/>
        <w:snapToGrid w:val="0"/>
        <w:spacing w:line="360" w:lineRule="auto"/>
        <w:rPr>
          <w:rFonts w:ascii="宋体" w:hAnsi="宋体"/>
          <w:b/>
          <w:bCs/>
          <w:color w:val="auto"/>
          <w:kern w:val="0"/>
          <w:sz w:val="28"/>
          <w:szCs w:val="28"/>
        </w:rPr>
      </w:pPr>
    </w:p>
    <w:p>
      <w:pPr>
        <w:adjustRightInd w:val="0"/>
        <w:snapToGrid w:val="0"/>
        <w:spacing w:line="360" w:lineRule="auto"/>
        <w:rPr>
          <w:rFonts w:ascii="宋体" w:hAnsi="宋体"/>
          <w:b/>
          <w:bCs/>
          <w:color w:val="auto"/>
          <w:kern w:val="0"/>
          <w:sz w:val="28"/>
          <w:szCs w:val="28"/>
        </w:rPr>
      </w:pPr>
    </w:p>
    <w:p>
      <w:pPr>
        <w:adjustRightInd w:val="0"/>
        <w:snapToGrid w:val="0"/>
        <w:spacing w:line="360" w:lineRule="auto"/>
        <w:rPr>
          <w:rFonts w:ascii="宋体" w:hAnsi="宋体"/>
          <w:b/>
          <w:bCs/>
          <w:color w:val="auto"/>
          <w:kern w:val="0"/>
          <w:sz w:val="28"/>
          <w:szCs w:val="28"/>
        </w:rPr>
      </w:pPr>
    </w:p>
    <w:p>
      <w:pPr>
        <w:adjustRightInd w:val="0"/>
        <w:snapToGrid w:val="0"/>
        <w:spacing w:line="360" w:lineRule="auto"/>
        <w:rPr>
          <w:rFonts w:ascii="宋体" w:hAnsi="宋体"/>
          <w:b/>
          <w:bCs/>
          <w:color w:val="auto"/>
          <w:kern w:val="0"/>
          <w:sz w:val="28"/>
          <w:szCs w:val="28"/>
        </w:rPr>
      </w:pPr>
    </w:p>
    <w:p>
      <w:pPr>
        <w:spacing w:line="360" w:lineRule="auto"/>
        <w:rPr>
          <w:rFonts w:ascii="宋体" w:hAnsi="宋体"/>
          <w:b/>
          <w:bCs/>
          <w:color w:val="auto"/>
          <w:kern w:val="0"/>
          <w:sz w:val="28"/>
          <w:szCs w:val="28"/>
        </w:rPr>
      </w:pPr>
    </w:p>
    <w:p>
      <w:pPr>
        <w:spacing w:line="360" w:lineRule="auto"/>
        <w:rPr>
          <w:rFonts w:ascii="宋体" w:hAnsi="宋体"/>
          <w:b/>
          <w:bCs/>
          <w:color w:val="auto"/>
          <w:kern w:val="0"/>
          <w:sz w:val="28"/>
          <w:szCs w:val="28"/>
        </w:rPr>
      </w:pPr>
      <w:r>
        <w:rPr>
          <w:rFonts w:hint="eastAsia" w:ascii="宋体" w:hAnsi="宋体"/>
          <w:b/>
          <w:bCs/>
          <w:color w:val="auto"/>
          <w:kern w:val="0"/>
          <w:sz w:val="28"/>
          <w:szCs w:val="28"/>
        </w:rPr>
        <w:t>附件10  中小企业声明函</w:t>
      </w:r>
    </w:p>
    <w:p>
      <w:pPr>
        <w:spacing w:line="360" w:lineRule="auto"/>
        <w:ind w:firstLine="3360" w:firstLineChars="1600"/>
        <w:rPr>
          <w:rFonts w:ascii="宋体" w:hAnsi="宋体"/>
          <w:color w:val="auto"/>
        </w:rPr>
      </w:pPr>
    </w:p>
    <w:p>
      <w:pPr>
        <w:spacing w:line="360" w:lineRule="auto"/>
        <w:ind w:firstLine="3360" w:firstLineChars="1600"/>
        <w:rPr>
          <w:rFonts w:ascii="宋体" w:hAnsi="宋体"/>
          <w:color w:val="auto"/>
        </w:rPr>
      </w:pPr>
      <w:r>
        <w:rPr>
          <w:rFonts w:hint="eastAsia" w:ascii="宋体" w:hAnsi="宋体"/>
          <w:color w:val="auto"/>
        </w:rPr>
        <w:t>中小企业声明函</w:t>
      </w:r>
    </w:p>
    <w:p>
      <w:pPr>
        <w:spacing w:line="360" w:lineRule="auto"/>
        <w:ind w:firstLine="420" w:firstLineChars="200"/>
        <w:rPr>
          <w:rFonts w:ascii="宋体" w:hAnsi="宋体"/>
          <w:color w:val="auto"/>
        </w:rPr>
      </w:pPr>
      <w:r>
        <w:rPr>
          <w:rFonts w:hint="eastAsia" w:ascii="宋体" w:hAnsi="宋体"/>
          <w:color w:val="auto"/>
        </w:rPr>
        <w:t>本公司郑重声明，根据《政府采购促进中小企业发展暂行办法》（财库[2011]181号）的规定，本公司为（请填写：中型、小型、微型）企业。即，本公司同时满足以下条件：</w:t>
      </w:r>
    </w:p>
    <w:p>
      <w:pPr>
        <w:spacing w:line="360" w:lineRule="auto"/>
        <w:ind w:left="315" w:hanging="315" w:hangingChars="150"/>
        <w:rPr>
          <w:rFonts w:ascii="宋体" w:hAnsi="宋体"/>
          <w:color w:val="auto"/>
        </w:rPr>
      </w:pPr>
      <w:r>
        <w:rPr>
          <w:rFonts w:hint="eastAsia" w:ascii="宋体" w:hAnsi="宋体"/>
          <w:color w:val="auto"/>
        </w:rPr>
        <w:t>1、根据《工业和信息化部、国家统计局、国家发展和改革委员会、财政部关于印发中小企业划型标准规定的通知》（工信部联企业[2011]300号）规定的划分标准，本公司为（请填写：中型、小型、微型）企业。</w:t>
      </w:r>
    </w:p>
    <w:p>
      <w:pPr>
        <w:spacing w:line="360" w:lineRule="auto"/>
        <w:ind w:left="315" w:hanging="315" w:hangingChars="150"/>
        <w:rPr>
          <w:rFonts w:ascii="宋体" w:hAnsi="宋体"/>
          <w:bCs/>
          <w:color w:val="auto"/>
          <w:szCs w:val="21"/>
        </w:rPr>
      </w:pPr>
      <w:r>
        <w:rPr>
          <w:rFonts w:hint="eastAsia" w:ascii="宋体" w:hAnsi="宋体"/>
          <w:color w:val="auto"/>
        </w:rPr>
        <w:t>2、本公司参加</w:t>
      </w:r>
      <w:r>
        <w:rPr>
          <w:rFonts w:hint="eastAsia" w:ascii="宋体" w:hAnsi="宋体"/>
          <w:color w:val="auto"/>
          <w:u w:val="single"/>
        </w:rPr>
        <w:t xml:space="preserve">     (采购人单位名称)    </w:t>
      </w:r>
      <w:r>
        <w:rPr>
          <w:rFonts w:hint="eastAsia" w:ascii="宋体" w:hAnsi="宋体"/>
          <w:color w:val="auto"/>
        </w:rPr>
        <w:t>的</w:t>
      </w:r>
      <w:r>
        <w:rPr>
          <w:rFonts w:hint="eastAsia" w:ascii="宋体" w:hAnsi="宋体"/>
          <w:color w:val="auto"/>
          <w:u w:val="single"/>
        </w:rPr>
        <w:t xml:space="preserve">   (项目名称)      </w:t>
      </w:r>
      <w:r>
        <w:rPr>
          <w:rFonts w:hint="eastAsia" w:ascii="宋体" w:hAnsi="宋体"/>
          <w:color w:val="auto"/>
        </w:rPr>
        <w:t xml:space="preserve"> 采购活动提供本企业制造的货物，由本企业承担工程、提供服务，或者提供其他（请填写：中型、小型、微型）企业制造的货物。本条所称货物不包括使用大型企业注册商标的货物。</w:t>
      </w:r>
      <w:r>
        <w:rPr>
          <w:rFonts w:hint="eastAsia" w:ascii="宋体" w:hAnsi="宋体"/>
          <w:color w:val="auto"/>
        </w:rPr>
        <w:br w:type="textWrapping"/>
      </w:r>
      <w:r>
        <w:rPr>
          <w:rFonts w:hint="eastAsia" w:ascii="宋体" w:hAnsi="宋体"/>
          <w:color w:val="auto"/>
        </w:rPr>
        <w:t>本公司对上述声明的真实性负责。如有虚假，将依法承担相应责任。</w:t>
      </w:r>
    </w:p>
    <w:p>
      <w:pPr>
        <w:spacing w:line="360" w:lineRule="auto"/>
        <w:rPr>
          <w:rFonts w:ascii="宋体" w:hAnsi="宋体"/>
          <w:bCs/>
          <w:color w:val="auto"/>
          <w:szCs w:val="21"/>
        </w:rPr>
      </w:pPr>
    </w:p>
    <w:p>
      <w:pPr>
        <w:spacing w:line="360" w:lineRule="auto"/>
        <w:rPr>
          <w:rFonts w:ascii="宋体" w:hAnsi="宋体"/>
          <w:bCs/>
          <w:color w:val="auto"/>
          <w:szCs w:val="21"/>
        </w:rPr>
      </w:pPr>
      <w:r>
        <w:rPr>
          <w:rFonts w:hint="eastAsia" w:ascii="宋体" w:hAnsi="宋体" w:cs="宋体"/>
          <w:color w:val="auto"/>
          <w:kern w:val="0"/>
          <w:szCs w:val="21"/>
        </w:rPr>
        <w:t>供应商</w:t>
      </w:r>
      <w:r>
        <w:rPr>
          <w:rFonts w:hint="eastAsia" w:ascii="宋体" w:hAnsi="宋体"/>
          <w:bCs/>
          <w:color w:val="auto"/>
          <w:szCs w:val="21"/>
        </w:rPr>
        <w:t xml:space="preserve">全称（加盖公章）: </w:t>
      </w:r>
    </w:p>
    <w:p>
      <w:pPr>
        <w:spacing w:line="360" w:lineRule="auto"/>
        <w:rPr>
          <w:rFonts w:ascii="宋体" w:hAnsi="宋体"/>
          <w:bCs/>
          <w:color w:val="auto"/>
          <w:szCs w:val="21"/>
        </w:rPr>
      </w:pPr>
      <w:r>
        <w:rPr>
          <w:rFonts w:hint="eastAsia" w:ascii="宋体" w:hAnsi="宋体"/>
          <w:bCs/>
          <w:color w:val="auto"/>
          <w:szCs w:val="21"/>
        </w:rPr>
        <w:t>法定代表或其授权代表(</w:t>
      </w:r>
      <w:r>
        <w:rPr>
          <w:rFonts w:hint="eastAsia" w:ascii="宋体" w:hAnsi="宋体"/>
          <w:color w:val="auto"/>
          <w:szCs w:val="21"/>
        </w:rPr>
        <w:t>签字或签章</w:t>
      </w:r>
      <w:r>
        <w:rPr>
          <w:rFonts w:hint="eastAsia" w:ascii="宋体" w:hAnsi="宋体"/>
          <w:bCs/>
          <w:color w:val="auto"/>
          <w:szCs w:val="21"/>
        </w:rPr>
        <w:t>)：</w:t>
      </w:r>
    </w:p>
    <w:p>
      <w:pPr>
        <w:spacing w:line="360" w:lineRule="auto"/>
        <w:rPr>
          <w:rFonts w:ascii="宋体" w:cs="宋体"/>
          <w:color w:val="auto"/>
          <w:szCs w:val="21"/>
        </w:rPr>
      </w:pPr>
      <w:r>
        <w:rPr>
          <w:rFonts w:hint="eastAsia" w:ascii="宋体" w:hAnsi="宋体"/>
          <w:bCs/>
          <w:color w:val="auto"/>
          <w:szCs w:val="21"/>
        </w:rPr>
        <w:t>日    期： 2020年  月  日</w:t>
      </w:r>
    </w:p>
    <w:p>
      <w:pPr>
        <w:autoSpaceDE w:val="0"/>
        <w:autoSpaceDN w:val="0"/>
        <w:adjustRightInd w:val="0"/>
        <w:spacing w:line="360" w:lineRule="auto"/>
        <w:ind w:left="630" w:hanging="630"/>
        <w:rPr>
          <w:rFonts w:ascii="宋体" w:cs="宋体"/>
          <w:color w:val="auto"/>
          <w:szCs w:val="21"/>
        </w:rPr>
      </w:pPr>
    </w:p>
    <w:p>
      <w:pPr>
        <w:autoSpaceDE w:val="0"/>
        <w:autoSpaceDN w:val="0"/>
        <w:adjustRightInd w:val="0"/>
        <w:spacing w:line="360" w:lineRule="auto"/>
        <w:ind w:left="630" w:hanging="630"/>
        <w:rPr>
          <w:rFonts w:ascii="宋体" w:cs="宋体"/>
          <w:color w:val="auto"/>
          <w:szCs w:val="21"/>
        </w:rPr>
      </w:pPr>
    </w:p>
    <w:p>
      <w:pPr>
        <w:autoSpaceDE w:val="0"/>
        <w:autoSpaceDN w:val="0"/>
        <w:adjustRightInd w:val="0"/>
        <w:spacing w:line="360" w:lineRule="auto"/>
        <w:ind w:left="630" w:hanging="630"/>
        <w:rPr>
          <w:rFonts w:ascii="宋体" w:cs="宋体"/>
          <w:color w:val="auto"/>
          <w:szCs w:val="21"/>
        </w:rPr>
      </w:pPr>
    </w:p>
    <w:p>
      <w:pPr>
        <w:autoSpaceDE w:val="0"/>
        <w:autoSpaceDN w:val="0"/>
        <w:adjustRightInd w:val="0"/>
        <w:spacing w:line="360" w:lineRule="auto"/>
        <w:rPr>
          <w:rFonts w:ascii="宋体" w:cs="宋体"/>
          <w:color w:val="auto"/>
          <w:szCs w:val="21"/>
        </w:rPr>
      </w:pPr>
    </w:p>
    <w:p>
      <w:pPr>
        <w:autoSpaceDE w:val="0"/>
        <w:autoSpaceDN w:val="0"/>
        <w:adjustRightInd w:val="0"/>
        <w:spacing w:line="360" w:lineRule="auto"/>
        <w:rPr>
          <w:rFonts w:ascii="宋体" w:cs="宋体"/>
          <w:color w:val="auto"/>
          <w:szCs w:val="21"/>
        </w:rPr>
      </w:pPr>
    </w:p>
    <w:p>
      <w:pPr>
        <w:autoSpaceDE w:val="0"/>
        <w:autoSpaceDN w:val="0"/>
        <w:adjustRightInd w:val="0"/>
        <w:spacing w:line="360" w:lineRule="auto"/>
        <w:ind w:left="630" w:hanging="630"/>
        <w:rPr>
          <w:rFonts w:ascii="宋体" w:cs="宋体"/>
          <w:color w:val="auto"/>
          <w:szCs w:val="21"/>
        </w:rPr>
      </w:pPr>
      <w:r>
        <w:rPr>
          <w:rFonts w:hint="eastAsia" w:ascii="宋体" w:cs="宋体"/>
          <w:b/>
          <w:color w:val="auto"/>
          <w:szCs w:val="21"/>
        </w:rPr>
        <w:t>说明：</w:t>
      </w:r>
      <w:r>
        <w:rPr>
          <w:rFonts w:hint="eastAsia" w:ascii="宋体" w:cs="宋体"/>
          <w:color w:val="auto"/>
          <w:szCs w:val="21"/>
        </w:rPr>
        <w:t>依据《工业和信息化部、国家统计局、国家发展和改革委员会、财政部关于印发中小企业划型标准规定的通知》（工信部联企业[2011]300号）规定的划分标准，</w:t>
      </w:r>
      <w:r>
        <w:rPr>
          <w:rFonts w:hint="eastAsia" w:ascii="宋体" w:hAnsi="宋体" w:cs="宋体"/>
          <w:color w:val="auto"/>
          <w:kern w:val="0"/>
          <w:szCs w:val="21"/>
        </w:rPr>
        <w:t>供应商</w:t>
      </w:r>
      <w:r>
        <w:rPr>
          <w:rFonts w:hint="eastAsia" w:ascii="宋体" w:cs="宋体"/>
          <w:color w:val="auto"/>
          <w:szCs w:val="21"/>
        </w:rPr>
        <w:t>须提供以下资料证明为中/小/微型企业：</w:t>
      </w:r>
    </w:p>
    <w:p>
      <w:pPr>
        <w:tabs>
          <w:tab w:val="left" w:pos="360"/>
        </w:tabs>
        <w:autoSpaceDE w:val="0"/>
        <w:autoSpaceDN w:val="0"/>
        <w:adjustRightInd w:val="0"/>
        <w:spacing w:line="360" w:lineRule="auto"/>
        <w:ind w:left="360" w:hanging="360"/>
        <w:rPr>
          <w:color w:val="auto"/>
          <w:szCs w:val="21"/>
        </w:rPr>
      </w:pPr>
      <w:r>
        <w:rPr>
          <w:rFonts w:hint="eastAsia" w:ascii="宋体" w:cs="宋体"/>
          <w:color w:val="auto"/>
          <w:szCs w:val="21"/>
        </w:rPr>
        <w:t>a、</w:t>
      </w:r>
      <w:r>
        <w:rPr>
          <w:rFonts w:hint="eastAsia" w:ascii="宋体" w:hAnsi="宋体" w:cs="宋体"/>
          <w:color w:val="auto"/>
          <w:kern w:val="0"/>
          <w:szCs w:val="21"/>
        </w:rPr>
        <w:t>供应商</w:t>
      </w:r>
      <w:r>
        <w:rPr>
          <w:rFonts w:hint="eastAsia" w:ascii="宋体" w:cs="宋体"/>
          <w:color w:val="auto"/>
          <w:szCs w:val="21"/>
        </w:rPr>
        <w:t>必须明确企业所属类型，请在下列选项"□"勾注"√"</w:t>
      </w:r>
    </w:p>
    <w:p>
      <w:pPr>
        <w:autoSpaceDE w:val="0"/>
        <w:autoSpaceDN w:val="0"/>
        <w:adjustRightInd w:val="0"/>
        <w:spacing w:line="360" w:lineRule="auto"/>
        <w:ind w:left="363" w:leftChars="173"/>
        <w:rPr>
          <w:color w:val="auto"/>
          <w:szCs w:val="21"/>
        </w:rPr>
      </w:pPr>
      <w:r>
        <w:rPr>
          <w:rFonts w:hint="eastAsia" w:ascii="宋体" w:cs="宋体"/>
          <w:color w:val="auto"/>
          <w:szCs w:val="21"/>
        </w:rPr>
        <w:t>□农、林、牧、渔业  □工业  □建筑业  □批发业  □零售业  □交通运输业  □仓储业  □邮政业  □住宿业  □餐饮业  □信息传输业  □软件和信息技术服务业  □房地产开发经营  □物业管理  □租赁和商务服务业  □其他未列明行业。</w:t>
      </w:r>
    </w:p>
    <w:p>
      <w:pPr>
        <w:tabs>
          <w:tab w:val="left" w:pos="360"/>
        </w:tabs>
        <w:autoSpaceDE w:val="0"/>
        <w:autoSpaceDN w:val="0"/>
        <w:adjustRightInd w:val="0"/>
        <w:spacing w:line="360" w:lineRule="auto"/>
        <w:ind w:left="360" w:hanging="360"/>
        <w:rPr>
          <w:color w:val="auto"/>
          <w:szCs w:val="21"/>
        </w:rPr>
      </w:pPr>
      <w:r>
        <w:rPr>
          <w:rFonts w:hint="eastAsia" w:ascii="宋体" w:cs="宋体"/>
          <w:color w:val="auto"/>
          <w:szCs w:val="21"/>
        </w:rPr>
        <w:t>b、</w:t>
      </w:r>
      <w:r>
        <w:rPr>
          <w:rFonts w:hint="eastAsia" w:ascii="宋体" w:hAnsi="宋体" w:cs="宋体"/>
          <w:color w:val="auto"/>
          <w:kern w:val="0"/>
          <w:szCs w:val="21"/>
        </w:rPr>
        <w:t>供应商</w:t>
      </w:r>
      <w:r>
        <w:rPr>
          <w:rFonts w:hint="eastAsia" w:ascii="宋体" w:cs="宋体"/>
          <w:color w:val="auto"/>
          <w:szCs w:val="21"/>
        </w:rPr>
        <w:t>提供本《中小企业声明函》并加盖</w:t>
      </w:r>
      <w:r>
        <w:rPr>
          <w:rFonts w:hint="eastAsia" w:ascii="宋体" w:hAnsi="宋体" w:cs="宋体"/>
          <w:color w:val="auto"/>
          <w:kern w:val="0"/>
          <w:szCs w:val="21"/>
        </w:rPr>
        <w:t>供应商</w:t>
      </w:r>
      <w:r>
        <w:rPr>
          <w:rFonts w:hint="eastAsia" w:ascii="宋体" w:cs="宋体"/>
          <w:color w:val="auto"/>
          <w:szCs w:val="21"/>
        </w:rPr>
        <w:t>公章。</w:t>
      </w:r>
    </w:p>
    <w:p>
      <w:pPr>
        <w:spacing w:line="360" w:lineRule="auto"/>
        <w:ind w:left="359" w:hanging="359" w:hangingChars="171"/>
        <w:rPr>
          <w:rFonts w:ascii="宋体" w:hAnsi="宋体"/>
          <w:color w:val="auto"/>
          <w:szCs w:val="21"/>
          <w:lang w:val="en-GB"/>
        </w:rPr>
      </w:pPr>
      <w:r>
        <w:rPr>
          <w:rFonts w:hint="eastAsia" w:ascii="宋体" w:cs="宋体"/>
          <w:color w:val="auto"/>
          <w:szCs w:val="21"/>
        </w:rPr>
        <w:t>c、</w:t>
      </w:r>
      <w:r>
        <w:rPr>
          <w:rFonts w:hint="eastAsia" w:ascii="宋体" w:hAnsi="宋体" w:cs="宋体"/>
          <w:color w:val="auto"/>
          <w:kern w:val="0"/>
          <w:szCs w:val="21"/>
        </w:rPr>
        <w:t>供应商</w:t>
      </w:r>
      <w:r>
        <w:rPr>
          <w:rFonts w:hint="eastAsia" w:ascii="宋体" w:cs="宋体"/>
          <w:color w:val="auto"/>
          <w:szCs w:val="21"/>
        </w:rPr>
        <w:t>提供本企业的从业人员数量(以社保局或税务局开具的证明文件为准)、营业收入和资产总额（以会计师事务所审计的财务报告或税务部门审核的财务报告为准）证明文件（加盖公章）。</w:t>
      </w:r>
    </w:p>
    <w:p>
      <w:pPr>
        <w:spacing w:line="360" w:lineRule="auto"/>
        <w:ind w:left="718" w:hanging="718" w:hangingChars="342"/>
        <w:rPr>
          <w:rFonts w:ascii="宋体" w:hAnsi="宋体"/>
          <w:color w:val="auto"/>
          <w:szCs w:val="21"/>
          <w:lang w:val="en-GB"/>
        </w:rPr>
      </w:pPr>
    </w:p>
    <w:p>
      <w:pPr>
        <w:pStyle w:val="6"/>
        <w:rPr>
          <w:bCs/>
          <w:color w:val="auto"/>
          <w:szCs w:val="28"/>
        </w:rPr>
      </w:pPr>
      <w:r>
        <w:rPr>
          <w:b w:val="0"/>
          <w:bCs/>
          <w:color w:val="auto"/>
          <w:szCs w:val="28"/>
        </w:rPr>
        <w:br w:type="page"/>
      </w:r>
      <w:r>
        <w:rPr>
          <w:rFonts w:hint="eastAsia"/>
          <w:bCs/>
          <w:color w:val="auto"/>
          <w:szCs w:val="28"/>
        </w:rPr>
        <w:t>附件11 监狱企业的证明文件（如适用）</w:t>
      </w:r>
    </w:p>
    <w:p>
      <w:pPr>
        <w:spacing w:line="360" w:lineRule="auto"/>
        <w:rPr>
          <w:rFonts w:ascii="宋体" w:hAnsi="宋体"/>
          <w:color w:val="auto"/>
          <w:sz w:val="24"/>
        </w:rPr>
      </w:pPr>
    </w:p>
    <w:p>
      <w:pPr>
        <w:spacing w:line="360" w:lineRule="auto"/>
        <w:ind w:firstLine="480" w:firstLineChars="200"/>
        <w:rPr>
          <w:rFonts w:ascii="宋体" w:hAnsi="宋体"/>
          <w:color w:val="auto"/>
          <w:sz w:val="24"/>
        </w:rPr>
      </w:pPr>
      <w:r>
        <w:rPr>
          <w:rFonts w:hint="eastAsia" w:ascii="宋体" w:hAnsi="宋体"/>
          <w:color w:val="auto"/>
          <w:sz w:val="24"/>
        </w:rPr>
        <w:t>说明：监狱企业参加政府采购活动时，应当提供由省级以上监狱管理局、戒毒管理局（含新疆生产建设兵团）出具的属于监狱企业的证明文件。</w:t>
      </w:r>
    </w:p>
    <w:p>
      <w:pPr>
        <w:pStyle w:val="6"/>
        <w:ind w:firstLine="482" w:firstLineChars="200"/>
        <w:rPr>
          <w:color w:val="auto"/>
          <w:sz w:val="24"/>
          <w:szCs w:val="24"/>
        </w:rPr>
      </w:pPr>
      <w:bookmarkStart w:id="404" w:name="OLE_LINK14"/>
      <w:bookmarkStart w:id="405" w:name="OLE_LINK13"/>
    </w:p>
    <w:p>
      <w:pPr>
        <w:pStyle w:val="6"/>
        <w:rPr>
          <w:color w:val="auto"/>
          <w:sz w:val="24"/>
          <w:szCs w:val="24"/>
        </w:rPr>
      </w:pPr>
    </w:p>
    <w:p>
      <w:pPr>
        <w:pStyle w:val="6"/>
        <w:rPr>
          <w:b w:val="0"/>
          <w:bCs/>
          <w:color w:val="auto"/>
          <w:sz w:val="21"/>
          <w:szCs w:val="21"/>
        </w:rPr>
      </w:pPr>
      <w:r>
        <w:rPr>
          <w:rFonts w:hint="eastAsia"/>
          <w:b w:val="0"/>
          <w:bCs/>
          <w:color w:val="auto"/>
          <w:sz w:val="21"/>
          <w:szCs w:val="21"/>
        </w:rPr>
        <w:t>报价人全称（加盖公章）:</w:t>
      </w:r>
      <w:r>
        <w:rPr>
          <w:rFonts w:hint="eastAsia"/>
          <w:b w:val="0"/>
          <w:bCs/>
          <w:color w:val="auto"/>
          <w:sz w:val="21"/>
          <w:szCs w:val="21"/>
          <w:u w:val="single"/>
        </w:rPr>
        <w:t xml:space="preserve">                         </w:t>
      </w:r>
    </w:p>
    <w:p>
      <w:pPr>
        <w:pStyle w:val="6"/>
        <w:rPr>
          <w:b w:val="0"/>
          <w:bCs/>
          <w:color w:val="auto"/>
          <w:sz w:val="21"/>
          <w:szCs w:val="21"/>
        </w:rPr>
      </w:pPr>
      <w:r>
        <w:rPr>
          <w:rFonts w:hint="eastAsia"/>
          <w:b w:val="0"/>
          <w:bCs/>
          <w:color w:val="auto"/>
          <w:sz w:val="21"/>
          <w:szCs w:val="21"/>
        </w:rPr>
        <w:t>法定代表或其授权代表(签字或签章)：</w:t>
      </w:r>
      <w:r>
        <w:rPr>
          <w:rFonts w:hint="eastAsia"/>
          <w:b w:val="0"/>
          <w:bCs/>
          <w:color w:val="auto"/>
          <w:sz w:val="21"/>
          <w:szCs w:val="21"/>
          <w:u w:val="single"/>
        </w:rPr>
        <w:t xml:space="preserve">                        </w:t>
      </w:r>
    </w:p>
    <w:p>
      <w:pPr>
        <w:pStyle w:val="6"/>
        <w:rPr>
          <w:color w:val="auto"/>
          <w:sz w:val="24"/>
          <w:szCs w:val="24"/>
        </w:rPr>
      </w:pPr>
      <w:r>
        <w:rPr>
          <w:rFonts w:hint="eastAsia"/>
          <w:b w:val="0"/>
          <w:bCs/>
          <w:color w:val="auto"/>
          <w:sz w:val="21"/>
          <w:szCs w:val="21"/>
        </w:rPr>
        <w:t>日    期： 2020年  月  日</w:t>
      </w:r>
      <w:r>
        <w:rPr>
          <w:rFonts w:hint="eastAsia"/>
          <w:color w:val="auto"/>
          <w:sz w:val="24"/>
          <w:szCs w:val="24"/>
        </w:rPr>
        <w:br w:type="page"/>
      </w:r>
      <w:bookmarkStart w:id="406" w:name="_Toc512331248"/>
    </w:p>
    <w:p>
      <w:pPr>
        <w:pStyle w:val="6"/>
        <w:rPr>
          <w:bCs/>
          <w:color w:val="auto"/>
          <w:szCs w:val="28"/>
        </w:rPr>
      </w:pPr>
      <w:r>
        <w:rPr>
          <w:rFonts w:hint="eastAsia"/>
          <w:bCs/>
          <w:color w:val="auto"/>
          <w:szCs w:val="28"/>
        </w:rPr>
        <w:t>附件12 残疾人福利性单位声明函（如适用）</w:t>
      </w:r>
      <w:bookmarkEnd w:id="406"/>
    </w:p>
    <w:p>
      <w:pPr>
        <w:rPr>
          <w:color w:val="auto"/>
        </w:rPr>
      </w:pPr>
    </w:p>
    <w:bookmarkEnd w:id="404"/>
    <w:bookmarkEnd w:id="405"/>
    <w:p>
      <w:pPr>
        <w:spacing w:line="360" w:lineRule="auto"/>
        <w:ind w:firstLine="504" w:firstLineChars="200"/>
        <w:rPr>
          <w:rFonts w:ascii="宋体" w:hAnsi="宋体"/>
          <w:color w:val="auto"/>
          <w:spacing w:val="6"/>
          <w:sz w:val="24"/>
        </w:rPr>
      </w:pPr>
      <w:r>
        <w:rPr>
          <w:rFonts w:hint="eastAsia" w:ascii="宋体" w:hAnsi="宋体"/>
          <w:color w:val="auto"/>
          <w:spacing w:val="6"/>
          <w:sz w:val="24"/>
        </w:rPr>
        <w:t>本单位郑重声明，根据《财政部 民政部 中国残疾人联合会关于促进残疾人就业政府采购政策的通知》（财库</w:t>
      </w:r>
      <w:r>
        <w:rPr>
          <w:rFonts w:hint="eastAsia" w:ascii="宋体" w:hAnsi="宋体"/>
          <w:color w:val="auto"/>
          <w:sz w:val="24"/>
        </w:rPr>
        <w:t>〔2017〕 141</w:t>
      </w:r>
      <w:r>
        <w:rPr>
          <w:rFonts w:hint="eastAsia" w:ascii="宋体" w:hAnsi="宋体"/>
          <w:color w:val="auto"/>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504" w:firstLineChars="200"/>
        <w:rPr>
          <w:rFonts w:ascii="宋体" w:hAnsi="宋体"/>
          <w:color w:val="auto"/>
          <w:spacing w:val="6"/>
          <w:sz w:val="24"/>
        </w:rPr>
      </w:pPr>
      <w:r>
        <w:rPr>
          <w:rFonts w:hint="eastAsia" w:ascii="宋体" w:hAnsi="宋体"/>
          <w:color w:val="auto"/>
          <w:spacing w:val="6"/>
          <w:sz w:val="24"/>
        </w:rPr>
        <w:t>本单位对上述声明的真实性负责。如有虚假，将依法承担相应责任。</w:t>
      </w:r>
    </w:p>
    <w:p>
      <w:pPr>
        <w:spacing w:line="360" w:lineRule="auto"/>
        <w:ind w:firstLine="504" w:firstLineChars="200"/>
        <w:rPr>
          <w:rFonts w:ascii="宋体" w:hAnsi="宋体"/>
          <w:color w:val="auto"/>
          <w:spacing w:val="6"/>
          <w:sz w:val="24"/>
        </w:rPr>
      </w:pPr>
    </w:p>
    <w:p>
      <w:pPr>
        <w:spacing w:line="360" w:lineRule="auto"/>
        <w:ind w:firstLine="504" w:firstLineChars="200"/>
        <w:rPr>
          <w:rFonts w:ascii="宋体" w:hAnsi="宋体"/>
          <w:color w:val="auto"/>
          <w:spacing w:val="6"/>
          <w:sz w:val="24"/>
        </w:rPr>
      </w:pPr>
    </w:p>
    <w:p>
      <w:pPr>
        <w:tabs>
          <w:tab w:val="left" w:pos="4860"/>
        </w:tabs>
        <w:spacing w:line="360" w:lineRule="auto"/>
        <w:ind w:firstLine="4536" w:firstLineChars="1800"/>
        <w:jc w:val="left"/>
        <w:rPr>
          <w:rFonts w:ascii="宋体" w:hAnsi="宋体"/>
          <w:color w:val="auto"/>
          <w:spacing w:val="6"/>
          <w:sz w:val="24"/>
        </w:rPr>
      </w:pPr>
      <w:r>
        <w:rPr>
          <w:rFonts w:hint="eastAsia" w:ascii="宋体" w:hAnsi="宋体"/>
          <w:color w:val="auto"/>
          <w:spacing w:val="6"/>
          <w:sz w:val="24"/>
        </w:rPr>
        <w:t>单位名称（盖章）：</w:t>
      </w:r>
      <w:r>
        <w:rPr>
          <w:rFonts w:hint="eastAsia" w:ascii="宋体" w:hAnsi="宋体"/>
          <w:color w:val="auto"/>
          <w:spacing w:val="6"/>
          <w:sz w:val="24"/>
          <w:u w:val="single"/>
        </w:rPr>
        <w:t xml:space="preserve">                     </w:t>
      </w:r>
    </w:p>
    <w:p>
      <w:pPr>
        <w:tabs>
          <w:tab w:val="left" w:pos="4860"/>
        </w:tabs>
        <w:ind w:firstLine="4536" w:firstLineChars="1800"/>
        <w:jc w:val="left"/>
        <w:rPr>
          <w:rFonts w:ascii="宋体" w:hAnsi="宋体"/>
          <w:color w:val="auto"/>
          <w:spacing w:val="6"/>
          <w:sz w:val="24"/>
        </w:rPr>
      </w:pPr>
      <w:r>
        <w:rPr>
          <w:rFonts w:hint="eastAsia" w:ascii="宋体" w:hAnsi="宋体"/>
          <w:color w:val="auto"/>
          <w:spacing w:val="6"/>
          <w:sz w:val="24"/>
        </w:rPr>
        <w:t>日  期：</w:t>
      </w:r>
    </w:p>
    <w:p>
      <w:pPr>
        <w:spacing w:line="360" w:lineRule="auto"/>
        <w:rPr>
          <w:rFonts w:ascii="宋体" w:hAnsi="宋体"/>
          <w:bCs/>
          <w:color w:val="auto"/>
          <w:sz w:val="28"/>
          <w:szCs w:val="28"/>
        </w:rPr>
      </w:pPr>
      <w:r>
        <w:rPr>
          <w:rFonts w:hint="eastAsia" w:ascii="宋体" w:hAnsi="宋体"/>
          <w:b/>
          <w:bCs/>
          <w:color w:val="auto"/>
          <w:kern w:val="0"/>
          <w:sz w:val="28"/>
          <w:szCs w:val="28"/>
        </w:rPr>
        <w:br w:type="page"/>
      </w:r>
      <w:r>
        <w:rPr>
          <w:rFonts w:hint="eastAsia" w:ascii="宋体" w:hAnsi="宋体"/>
          <w:b/>
          <w:bCs/>
          <w:color w:val="auto"/>
          <w:kern w:val="0"/>
          <w:sz w:val="28"/>
          <w:szCs w:val="28"/>
        </w:rPr>
        <w:t>附件13 供应商基本情况表</w:t>
      </w:r>
    </w:p>
    <w:p>
      <w:pPr>
        <w:pStyle w:val="144"/>
        <w:rPr>
          <w:color w:val="auto"/>
          <w:sz w:val="21"/>
          <w:szCs w:val="21"/>
        </w:rPr>
      </w:pPr>
    </w:p>
    <w:p>
      <w:pPr>
        <w:spacing w:line="360" w:lineRule="auto"/>
        <w:rPr>
          <w:rFonts w:ascii="宋体" w:hAnsi="宋体"/>
          <w:color w:val="auto"/>
          <w:szCs w:val="21"/>
          <w:u w:val="single"/>
        </w:rPr>
      </w:pPr>
      <w:r>
        <w:rPr>
          <w:rFonts w:hint="eastAsia" w:ascii="宋体" w:hAnsi="宋体"/>
          <w:color w:val="auto"/>
          <w:szCs w:val="21"/>
        </w:rPr>
        <w:t>1、公司名称：                     电话号码：</w:t>
      </w:r>
    </w:p>
    <w:p>
      <w:pPr>
        <w:spacing w:line="360" w:lineRule="auto"/>
        <w:rPr>
          <w:rFonts w:ascii="宋体" w:hAnsi="宋体"/>
          <w:color w:val="auto"/>
          <w:szCs w:val="21"/>
          <w:u w:val="single"/>
        </w:rPr>
      </w:pPr>
      <w:r>
        <w:rPr>
          <w:rFonts w:hint="eastAsia" w:ascii="宋体" w:hAnsi="宋体"/>
          <w:color w:val="auto"/>
          <w:szCs w:val="21"/>
        </w:rPr>
        <w:t>2、地    址：                     传    真：</w:t>
      </w:r>
    </w:p>
    <w:p>
      <w:pPr>
        <w:spacing w:line="360" w:lineRule="auto"/>
        <w:rPr>
          <w:rFonts w:ascii="宋体" w:hAnsi="宋体"/>
          <w:color w:val="auto"/>
          <w:szCs w:val="21"/>
          <w:u w:val="single"/>
        </w:rPr>
      </w:pPr>
      <w:r>
        <w:rPr>
          <w:rFonts w:hint="eastAsia" w:ascii="宋体" w:hAnsi="宋体"/>
          <w:color w:val="auto"/>
          <w:szCs w:val="21"/>
        </w:rPr>
        <w:t>3、注册资金：                     经济性质：</w:t>
      </w:r>
    </w:p>
    <w:p>
      <w:pPr>
        <w:spacing w:line="360" w:lineRule="auto"/>
        <w:rPr>
          <w:rFonts w:ascii="宋体" w:hAnsi="宋体"/>
          <w:color w:val="auto"/>
          <w:szCs w:val="21"/>
        </w:rPr>
      </w:pPr>
      <w:r>
        <w:rPr>
          <w:rFonts w:hint="eastAsia" w:ascii="宋体" w:hAnsi="宋体"/>
          <w:color w:val="auto"/>
          <w:szCs w:val="21"/>
        </w:rPr>
        <w:t xml:space="preserve">4、公司开户银行名称及帐户：                 </w:t>
      </w:r>
    </w:p>
    <w:p>
      <w:pPr>
        <w:pStyle w:val="144"/>
        <w:rPr>
          <w:color w:val="auto"/>
          <w:sz w:val="21"/>
          <w:szCs w:val="21"/>
        </w:rPr>
      </w:pPr>
      <w:r>
        <w:rPr>
          <w:rFonts w:hint="eastAsia"/>
          <w:color w:val="auto"/>
          <w:sz w:val="21"/>
          <w:szCs w:val="21"/>
        </w:rPr>
        <w:t xml:space="preserve">   名称：</w:t>
      </w:r>
    </w:p>
    <w:p>
      <w:pPr>
        <w:spacing w:line="360" w:lineRule="auto"/>
        <w:ind w:firstLine="315" w:firstLineChars="150"/>
        <w:rPr>
          <w:rFonts w:ascii="宋体" w:hAnsi="宋体"/>
          <w:color w:val="auto"/>
          <w:szCs w:val="21"/>
          <w:u w:val="single"/>
        </w:rPr>
      </w:pPr>
      <w:r>
        <w:rPr>
          <w:rFonts w:hint="eastAsia" w:ascii="宋体" w:hAnsi="宋体"/>
          <w:color w:val="auto"/>
          <w:szCs w:val="21"/>
        </w:rPr>
        <w:t>帐户：</w:t>
      </w:r>
    </w:p>
    <w:p>
      <w:pPr>
        <w:autoSpaceDE w:val="0"/>
        <w:spacing w:line="360" w:lineRule="auto"/>
        <w:rPr>
          <w:rFonts w:ascii="宋体" w:hAnsi="宋体"/>
          <w:color w:val="auto"/>
          <w:szCs w:val="21"/>
        </w:rPr>
      </w:pPr>
      <w:r>
        <w:rPr>
          <w:rFonts w:hint="eastAsia" w:ascii="宋体" w:hAnsi="宋体" w:cs="ZWAdobeF"/>
          <w:color w:val="auto"/>
          <w:sz w:val="2"/>
          <w:szCs w:val="2"/>
        </w:rPr>
        <w:t>UUUU</w:t>
      </w:r>
      <w:r>
        <w:rPr>
          <w:rFonts w:hint="eastAsia" w:ascii="宋体" w:hAnsi="宋体"/>
          <w:color w:val="auto"/>
          <w:szCs w:val="21"/>
        </w:rPr>
        <w:t xml:space="preserve">5、公司综合实力： </w:t>
      </w:r>
    </w:p>
    <w:p>
      <w:pPr>
        <w:spacing w:line="360" w:lineRule="auto"/>
        <w:rPr>
          <w:rFonts w:ascii="宋体" w:hAnsi="宋体"/>
          <w:color w:val="auto"/>
          <w:szCs w:val="21"/>
        </w:rPr>
      </w:pPr>
      <w:r>
        <w:rPr>
          <w:rFonts w:hint="eastAsia" w:ascii="宋体" w:hAnsi="宋体"/>
          <w:color w:val="auto"/>
          <w:szCs w:val="21"/>
        </w:rPr>
        <w:t>6、</w:t>
      </w:r>
      <w:r>
        <w:rPr>
          <w:rFonts w:hint="eastAsia" w:ascii="宋体" w:hAnsi="宋体" w:cs="宋体"/>
          <w:color w:val="auto"/>
          <w:kern w:val="0"/>
          <w:szCs w:val="21"/>
        </w:rPr>
        <w:t>供应商</w:t>
      </w:r>
      <w:r>
        <w:rPr>
          <w:rFonts w:hint="eastAsia" w:ascii="宋体" w:hAnsi="宋体"/>
          <w:color w:val="auto"/>
          <w:szCs w:val="21"/>
        </w:rPr>
        <w:t>获得资质和荣誉证书复印件一览表（后附相关证书复印件加盖公章）</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5"/>
        <w:gridCol w:w="2364"/>
        <w:gridCol w:w="2364"/>
        <w:gridCol w:w="2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rPr>
            </w:pPr>
            <w:r>
              <w:rPr>
                <w:rFonts w:hint="eastAsia" w:ascii="宋体" w:hAnsi="宋体"/>
                <w:color w:val="auto"/>
                <w:szCs w:val="21"/>
              </w:rPr>
              <w:t>证书名称</w:t>
            </w:r>
          </w:p>
        </w:tc>
        <w:tc>
          <w:tcPr>
            <w:tcW w:w="236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rPr>
            </w:pPr>
            <w:r>
              <w:rPr>
                <w:rFonts w:hint="eastAsia" w:ascii="宋体" w:hAnsi="宋体"/>
                <w:color w:val="auto"/>
                <w:szCs w:val="21"/>
              </w:rPr>
              <w:t>发证单位</w:t>
            </w:r>
          </w:p>
        </w:tc>
        <w:tc>
          <w:tcPr>
            <w:tcW w:w="236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rPr>
            </w:pPr>
            <w:r>
              <w:rPr>
                <w:rFonts w:hint="eastAsia" w:ascii="宋体" w:hAnsi="宋体"/>
                <w:color w:val="auto"/>
                <w:szCs w:val="21"/>
              </w:rPr>
              <w:t>证书等级</w:t>
            </w:r>
          </w:p>
        </w:tc>
        <w:tc>
          <w:tcPr>
            <w:tcW w:w="236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rPr>
            </w:pPr>
            <w:r>
              <w:rPr>
                <w:rFonts w:hint="eastAsia" w:ascii="宋体" w:hAnsi="宋体"/>
                <w:color w:val="auto"/>
                <w:szCs w:val="21"/>
              </w:rPr>
              <w:t>证书有效期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5"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Cs w:val="21"/>
              </w:rPr>
            </w:pPr>
          </w:p>
        </w:tc>
        <w:tc>
          <w:tcPr>
            <w:tcW w:w="236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Cs w:val="21"/>
              </w:rPr>
            </w:pPr>
          </w:p>
        </w:tc>
        <w:tc>
          <w:tcPr>
            <w:tcW w:w="236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Cs w:val="21"/>
              </w:rPr>
            </w:pPr>
          </w:p>
        </w:tc>
        <w:tc>
          <w:tcPr>
            <w:tcW w:w="236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5"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Cs w:val="21"/>
              </w:rPr>
            </w:pPr>
          </w:p>
        </w:tc>
        <w:tc>
          <w:tcPr>
            <w:tcW w:w="236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Cs w:val="21"/>
              </w:rPr>
            </w:pPr>
          </w:p>
        </w:tc>
        <w:tc>
          <w:tcPr>
            <w:tcW w:w="236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Cs w:val="21"/>
              </w:rPr>
            </w:pPr>
          </w:p>
        </w:tc>
        <w:tc>
          <w:tcPr>
            <w:tcW w:w="236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5"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Cs w:val="21"/>
              </w:rPr>
            </w:pPr>
          </w:p>
        </w:tc>
        <w:tc>
          <w:tcPr>
            <w:tcW w:w="236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Cs w:val="21"/>
              </w:rPr>
            </w:pPr>
          </w:p>
        </w:tc>
        <w:tc>
          <w:tcPr>
            <w:tcW w:w="236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Cs w:val="21"/>
              </w:rPr>
            </w:pPr>
          </w:p>
        </w:tc>
        <w:tc>
          <w:tcPr>
            <w:tcW w:w="236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Cs w:val="21"/>
              </w:rPr>
            </w:pPr>
          </w:p>
        </w:tc>
      </w:tr>
    </w:tbl>
    <w:p>
      <w:pPr>
        <w:spacing w:line="360" w:lineRule="auto"/>
        <w:rPr>
          <w:rFonts w:ascii="宋体" w:hAnsi="宋体"/>
          <w:color w:val="auto"/>
          <w:szCs w:val="21"/>
        </w:rPr>
      </w:pPr>
    </w:p>
    <w:p>
      <w:pPr>
        <w:spacing w:line="360" w:lineRule="auto"/>
        <w:rPr>
          <w:rFonts w:ascii="宋体" w:hAnsi="宋体"/>
          <w:color w:val="auto"/>
          <w:szCs w:val="21"/>
        </w:rPr>
      </w:pPr>
    </w:p>
    <w:p>
      <w:pPr>
        <w:spacing w:line="360" w:lineRule="auto"/>
        <w:rPr>
          <w:rFonts w:ascii="宋体" w:hAnsi="宋体"/>
          <w:color w:val="auto"/>
          <w:szCs w:val="21"/>
        </w:rPr>
      </w:pPr>
      <w:r>
        <w:rPr>
          <w:rFonts w:hint="eastAsia" w:ascii="宋体" w:hAnsi="宋体"/>
          <w:color w:val="auto"/>
          <w:szCs w:val="21"/>
        </w:rPr>
        <w:t>我/我们声明以上所述准确无误，您有权进行您认为有必要的所有调查。</w:t>
      </w:r>
    </w:p>
    <w:p>
      <w:pPr>
        <w:spacing w:line="360" w:lineRule="auto"/>
        <w:rPr>
          <w:rFonts w:ascii="宋体" w:hAnsi="宋体"/>
          <w:color w:val="auto"/>
          <w:szCs w:val="21"/>
        </w:rPr>
      </w:pPr>
    </w:p>
    <w:p>
      <w:pPr>
        <w:spacing w:line="360" w:lineRule="auto"/>
        <w:rPr>
          <w:rFonts w:ascii="宋体" w:hAnsi="宋体"/>
          <w:color w:val="auto"/>
          <w:szCs w:val="21"/>
        </w:rPr>
      </w:pPr>
    </w:p>
    <w:p>
      <w:pPr>
        <w:spacing w:line="360" w:lineRule="auto"/>
        <w:rPr>
          <w:rFonts w:ascii="宋体" w:hAnsi="宋体"/>
          <w:color w:val="auto"/>
          <w:szCs w:val="21"/>
        </w:rPr>
      </w:pPr>
    </w:p>
    <w:p>
      <w:pPr>
        <w:spacing w:line="360" w:lineRule="auto"/>
        <w:rPr>
          <w:rFonts w:ascii="宋体" w:hAnsi="宋体"/>
          <w:bCs/>
          <w:color w:val="auto"/>
          <w:szCs w:val="21"/>
        </w:rPr>
      </w:pPr>
      <w:r>
        <w:rPr>
          <w:rFonts w:hint="eastAsia" w:ascii="宋体" w:hAnsi="宋体" w:cs="宋体"/>
          <w:color w:val="auto"/>
          <w:kern w:val="0"/>
          <w:szCs w:val="21"/>
        </w:rPr>
        <w:t>供应商</w:t>
      </w:r>
      <w:r>
        <w:rPr>
          <w:rFonts w:hint="eastAsia" w:ascii="宋体" w:hAnsi="宋体"/>
          <w:bCs/>
          <w:color w:val="auto"/>
          <w:szCs w:val="21"/>
        </w:rPr>
        <w:t>全称（加盖公章）:</w:t>
      </w:r>
    </w:p>
    <w:p>
      <w:pPr>
        <w:spacing w:line="360" w:lineRule="auto"/>
        <w:rPr>
          <w:rFonts w:ascii="宋体" w:hAnsi="宋体"/>
          <w:bCs/>
          <w:color w:val="auto"/>
          <w:szCs w:val="21"/>
        </w:rPr>
      </w:pPr>
      <w:r>
        <w:rPr>
          <w:rFonts w:hint="eastAsia" w:ascii="宋体" w:hAnsi="宋体"/>
          <w:bCs/>
          <w:color w:val="auto"/>
          <w:szCs w:val="21"/>
        </w:rPr>
        <w:t>法定代表或其授权代表(</w:t>
      </w:r>
      <w:r>
        <w:rPr>
          <w:rFonts w:hint="eastAsia" w:ascii="宋体" w:hAnsi="宋体"/>
          <w:color w:val="auto"/>
          <w:szCs w:val="21"/>
        </w:rPr>
        <w:t>签字或签章</w:t>
      </w:r>
      <w:r>
        <w:rPr>
          <w:rFonts w:hint="eastAsia" w:ascii="宋体" w:hAnsi="宋体"/>
          <w:bCs/>
          <w:color w:val="auto"/>
          <w:szCs w:val="21"/>
        </w:rPr>
        <w:t>)：</w:t>
      </w:r>
    </w:p>
    <w:p>
      <w:pPr>
        <w:spacing w:line="360" w:lineRule="auto"/>
        <w:rPr>
          <w:rFonts w:ascii="宋体" w:hAnsi="宋体"/>
          <w:bCs/>
          <w:color w:val="auto"/>
          <w:szCs w:val="21"/>
        </w:rPr>
      </w:pPr>
      <w:r>
        <w:rPr>
          <w:rFonts w:hint="eastAsia" w:ascii="宋体" w:hAnsi="宋体"/>
          <w:bCs/>
          <w:color w:val="auto"/>
          <w:szCs w:val="21"/>
        </w:rPr>
        <w:t>日    期： 2020年  月  日</w:t>
      </w:r>
    </w:p>
    <w:p>
      <w:pPr>
        <w:spacing w:line="360" w:lineRule="auto"/>
        <w:rPr>
          <w:rFonts w:ascii="宋体" w:hAnsi="宋体"/>
          <w:bCs/>
          <w:color w:val="auto"/>
          <w:szCs w:val="21"/>
        </w:rPr>
      </w:pPr>
    </w:p>
    <w:p>
      <w:pPr>
        <w:spacing w:line="360" w:lineRule="auto"/>
        <w:rPr>
          <w:rFonts w:ascii="宋体" w:hAnsi="宋体"/>
          <w:color w:val="auto"/>
          <w:szCs w:val="21"/>
        </w:rPr>
      </w:pPr>
      <w:r>
        <w:rPr>
          <w:rFonts w:hint="eastAsia" w:ascii="宋体" w:hAnsi="宋体"/>
          <w:color w:val="auto"/>
          <w:szCs w:val="21"/>
        </w:rPr>
        <w:br w:type="page"/>
      </w:r>
      <w:bookmarkStart w:id="407" w:name="_Toc109467914"/>
      <w:bookmarkStart w:id="408" w:name="_Toc81142098"/>
    </w:p>
    <w:p>
      <w:pPr>
        <w:spacing w:line="360" w:lineRule="auto"/>
        <w:rPr>
          <w:rFonts w:ascii="宋体" w:hAnsi="宋体"/>
          <w:color w:val="auto"/>
          <w:szCs w:val="21"/>
        </w:rPr>
      </w:pPr>
      <w:r>
        <w:rPr>
          <w:rFonts w:hint="eastAsia" w:ascii="宋体" w:hAnsi="宋体"/>
          <w:b/>
          <w:bCs/>
          <w:color w:val="auto"/>
          <w:kern w:val="0"/>
          <w:sz w:val="28"/>
          <w:szCs w:val="28"/>
        </w:rPr>
        <w:t>附件14  采购需求响应表</w:t>
      </w:r>
    </w:p>
    <w:p>
      <w:pPr>
        <w:pStyle w:val="46"/>
        <w:spacing w:line="360" w:lineRule="auto"/>
        <w:ind w:right="482"/>
        <w:rPr>
          <w:rFonts w:hAnsi="宋体"/>
          <w:color w:val="auto"/>
          <w:szCs w:val="21"/>
        </w:rPr>
      </w:pPr>
    </w:p>
    <w:p>
      <w:pPr>
        <w:pStyle w:val="46"/>
        <w:spacing w:line="360" w:lineRule="auto"/>
        <w:ind w:right="482"/>
        <w:rPr>
          <w:rFonts w:hAnsi="宋体"/>
          <w:color w:val="auto"/>
          <w:szCs w:val="21"/>
        </w:rPr>
      </w:pPr>
      <w:r>
        <w:rPr>
          <w:rFonts w:hint="eastAsia" w:hAnsi="宋体"/>
          <w:color w:val="auto"/>
          <w:szCs w:val="21"/>
        </w:rPr>
        <w:t xml:space="preserve">项目名称： </w:t>
      </w:r>
    </w:p>
    <w:p>
      <w:pPr>
        <w:pStyle w:val="46"/>
        <w:spacing w:line="360" w:lineRule="auto"/>
        <w:ind w:right="482"/>
        <w:rPr>
          <w:rFonts w:hAnsi="宋体" w:cs="宋体"/>
          <w:color w:val="auto"/>
          <w:szCs w:val="21"/>
        </w:rPr>
      </w:pPr>
      <w:r>
        <w:rPr>
          <w:rFonts w:hint="eastAsia" w:hAnsi="宋体" w:cs="宋体"/>
          <w:color w:val="auto"/>
          <w:szCs w:val="21"/>
        </w:rPr>
        <w:t>项目编号：</w:t>
      </w:r>
    </w:p>
    <w:p>
      <w:pPr>
        <w:pStyle w:val="144"/>
        <w:rPr>
          <w:color w:val="auto"/>
          <w:sz w:val="21"/>
          <w:szCs w:val="21"/>
        </w:rPr>
      </w:pPr>
    </w:p>
    <w:tbl>
      <w:tblPr>
        <w:tblStyle w:val="90"/>
        <w:tblW w:w="0" w:type="auto"/>
        <w:tblInd w:w="0" w:type="dxa"/>
        <w:tblLayout w:type="fixed"/>
        <w:tblCellMar>
          <w:top w:w="0" w:type="dxa"/>
          <w:left w:w="30" w:type="dxa"/>
          <w:bottom w:w="0" w:type="dxa"/>
          <w:right w:w="30" w:type="dxa"/>
        </w:tblCellMar>
      </w:tblPr>
      <w:tblGrid>
        <w:gridCol w:w="930"/>
        <w:gridCol w:w="4680"/>
        <w:gridCol w:w="1080"/>
        <w:gridCol w:w="2520"/>
      </w:tblGrid>
      <w:tr>
        <w:tblPrEx>
          <w:tblCellMar>
            <w:top w:w="0" w:type="dxa"/>
            <w:left w:w="30" w:type="dxa"/>
            <w:bottom w:w="0" w:type="dxa"/>
            <w:right w:w="30" w:type="dxa"/>
          </w:tblCellMar>
        </w:tblPrEx>
        <w:trPr>
          <w:cantSplit/>
          <w:trHeight w:val="433" w:hRule="atLeast"/>
        </w:trPr>
        <w:tc>
          <w:tcPr>
            <w:tcW w:w="930" w:type="dxa"/>
            <w:tcBorders>
              <w:top w:val="single" w:color="auto" w:sz="4" w:space="0"/>
              <w:left w:val="single" w:color="auto" w:sz="4" w:space="0"/>
              <w:bottom w:val="single" w:color="auto" w:sz="4" w:space="0"/>
              <w:right w:val="single" w:color="000000" w:sz="2" w:space="0"/>
            </w:tcBorders>
            <w:vAlign w:val="center"/>
          </w:tcPr>
          <w:p>
            <w:pPr>
              <w:autoSpaceDE w:val="0"/>
              <w:autoSpaceDN w:val="0"/>
              <w:adjustRightInd w:val="0"/>
              <w:spacing w:line="360" w:lineRule="auto"/>
              <w:jc w:val="center"/>
              <w:rPr>
                <w:rFonts w:ascii="宋体" w:hAnsi="宋体" w:cs="Arial"/>
                <w:color w:val="auto"/>
                <w:szCs w:val="21"/>
              </w:rPr>
            </w:pPr>
            <w:r>
              <w:rPr>
                <w:rFonts w:hint="eastAsia" w:ascii="宋体" w:hAnsi="宋体" w:cs="Arial"/>
                <w:color w:val="auto"/>
                <w:szCs w:val="21"/>
              </w:rPr>
              <w:t>序号</w:t>
            </w:r>
          </w:p>
        </w:tc>
        <w:tc>
          <w:tcPr>
            <w:tcW w:w="4680" w:type="dxa"/>
            <w:tcBorders>
              <w:top w:val="single" w:color="auto" w:sz="4" w:space="0"/>
              <w:left w:val="single" w:color="auto" w:sz="4" w:space="0"/>
              <w:bottom w:val="single" w:color="auto" w:sz="4" w:space="0"/>
              <w:right w:val="single" w:color="000000" w:sz="2" w:space="0"/>
            </w:tcBorders>
            <w:vAlign w:val="center"/>
          </w:tcPr>
          <w:p>
            <w:pPr>
              <w:autoSpaceDE w:val="0"/>
              <w:autoSpaceDN w:val="0"/>
              <w:adjustRightInd w:val="0"/>
              <w:spacing w:line="360" w:lineRule="auto"/>
              <w:jc w:val="center"/>
              <w:rPr>
                <w:rFonts w:ascii="宋体" w:hAnsi="宋体" w:cs="Arial"/>
                <w:color w:val="auto"/>
                <w:szCs w:val="21"/>
              </w:rPr>
            </w:pPr>
            <w:r>
              <w:rPr>
                <w:rFonts w:hint="eastAsia" w:ascii="宋体" w:hAnsi="宋体" w:cs="Arial"/>
                <w:color w:val="auto"/>
                <w:szCs w:val="21"/>
              </w:rPr>
              <w:t>内容</w:t>
            </w:r>
            <w:r>
              <w:rPr>
                <w:rFonts w:hint="eastAsia" w:ascii="宋体" w:hAnsi="宋体"/>
                <w:bCs/>
                <w:color w:val="auto"/>
                <w:szCs w:val="21"/>
              </w:rPr>
              <w:t>需求</w:t>
            </w:r>
          </w:p>
        </w:tc>
        <w:tc>
          <w:tcPr>
            <w:tcW w:w="1080" w:type="dxa"/>
            <w:tcBorders>
              <w:top w:val="single" w:color="auto" w:sz="4" w:space="0"/>
              <w:left w:val="single" w:color="auto" w:sz="6" w:space="0"/>
              <w:bottom w:val="single" w:color="auto" w:sz="4" w:space="0"/>
              <w:right w:val="single" w:color="000000" w:sz="2" w:space="0"/>
            </w:tcBorders>
            <w:vAlign w:val="center"/>
          </w:tcPr>
          <w:p>
            <w:pPr>
              <w:autoSpaceDE w:val="0"/>
              <w:autoSpaceDN w:val="0"/>
              <w:adjustRightInd w:val="0"/>
              <w:spacing w:line="360" w:lineRule="auto"/>
              <w:jc w:val="center"/>
              <w:rPr>
                <w:rFonts w:ascii="宋体" w:hAnsi="宋体" w:cs="Arial"/>
                <w:color w:val="auto"/>
                <w:szCs w:val="21"/>
              </w:rPr>
            </w:pPr>
            <w:r>
              <w:rPr>
                <w:rFonts w:hint="eastAsia" w:ascii="宋体" w:hAnsi="宋体" w:cs="Arial"/>
                <w:color w:val="auto"/>
                <w:szCs w:val="21"/>
              </w:rPr>
              <w:t>是否响应</w:t>
            </w:r>
          </w:p>
        </w:tc>
        <w:tc>
          <w:tcPr>
            <w:tcW w:w="2520" w:type="dxa"/>
            <w:tcBorders>
              <w:top w:val="single" w:color="auto" w:sz="4" w:space="0"/>
              <w:left w:val="single" w:color="auto" w:sz="6" w:space="0"/>
              <w:bottom w:val="single" w:color="auto" w:sz="4" w:space="0"/>
              <w:right w:val="single" w:color="000000" w:sz="2" w:space="0"/>
            </w:tcBorders>
            <w:vAlign w:val="center"/>
          </w:tcPr>
          <w:p>
            <w:pPr>
              <w:autoSpaceDE w:val="0"/>
              <w:autoSpaceDN w:val="0"/>
              <w:adjustRightInd w:val="0"/>
              <w:spacing w:line="360" w:lineRule="auto"/>
              <w:jc w:val="center"/>
              <w:rPr>
                <w:rFonts w:ascii="宋体" w:hAnsi="宋体" w:cs="Arial"/>
                <w:color w:val="auto"/>
                <w:szCs w:val="21"/>
              </w:rPr>
            </w:pPr>
            <w:r>
              <w:rPr>
                <w:rFonts w:hint="eastAsia" w:ascii="宋体" w:hAnsi="宋体" w:cs="Arial"/>
                <w:color w:val="auto"/>
                <w:szCs w:val="21"/>
              </w:rPr>
              <w:t>差异</w:t>
            </w:r>
          </w:p>
        </w:tc>
      </w:tr>
      <w:tr>
        <w:tblPrEx>
          <w:tblCellMar>
            <w:top w:w="0" w:type="dxa"/>
            <w:left w:w="30" w:type="dxa"/>
            <w:bottom w:w="0" w:type="dxa"/>
            <w:right w:w="30" w:type="dxa"/>
          </w:tblCellMar>
        </w:tblPrEx>
        <w:trPr>
          <w:trHeight w:val="434" w:hRule="atLeast"/>
        </w:trPr>
        <w:tc>
          <w:tcPr>
            <w:tcW w:w="930" w:type="dxa"/>
            <w:tcBorders>
              <w:top w:val="single" w:color="auto" w:sz="4" w:space="0"/>
              <w:left w:val="single" w:color="auto" w:sz="4" w:space="0"/>
              <w:bottom w:val="single" w:color="auto" w:sz="4" w:space="0"/>
              <w:right w:val="single" w:color="auto" w:sz="6" w:space="0"/>
            </w:tcBorders>
            <w:vAlign w:val="center"/>
          </w:tcPr>
          <w:p>
            <w:pPr>
              <w:autoSpaceDE w:val="0"/>
              <w:autoSpaceDN w:val="0"/>
              <w:adjustRightInd w:val="0"/>
              <w:spacing w:line="360" w:lineRule="auto"/>
              <w:jc w:val="center"/>
              <w:rPr>
                <w:rFonts w:ascii="宋体" w:hAnsi="宋体" w:cs="Arial"/>
                <w:color w:val="auto"/>
                <w:szCs w:val="21"/>
              </w:rPr>
            </w:pPr>
            <w:r>
              <w:rPr>
                <w:rFonts w:hint="eastAsia" w:ascii="宋体" w:hAnsi="宋体" w:cs="Arial"/>
                <w:color w:val="auto"/>
                <w:szCs w:val="21"/>
              </w:rPr>
              <w:t>1</w:t>
            </w:r>
          </w:p>
        </w:tc>
        <w:tc>
          <w:tcPr>
            <w:tcW w:w="468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line="360" w:lineRule="auto"/>
              <w:rPr>
                <w:rFonts w:ascii="宋体" w:hAnsi="宋体" w:cs="Arial"/>
                <w:color w:val="auto"/>
                <w:szCs w:val="21"/>
              </w:rPr>
            </w:pPr>
          </w:p>
        </w:tc>
        <w:tc>
          <w:tcPr>
            <w:tcW w:w="1080" w:type="dxa"/>
            <w:tcBorders>
              <w:top w:val="single" w:color="auto" w:sz="4" w:space="0"/>
              <w:left w:val="single" w:color="auto" w:sz="6" w:space="0"/>
              <w:bottom w:val="single" w:color="auto" w:sz="4" w:space="0"/>
              <w:right w:val="single" w:color="auto" w:sz="6" w:space="0"/>
            </w:tcBorders>
          </w:tcPr>
          <w:p>
            <w:pPr>
              <w:spacing w:line="360" w:lineRule="auto"/>
              <w:jc w:val="center"/>
              <w:rPr>
                <w:color w:val="auto"/>
                <w:szCs w:val="21"/>
              </w:rPr>
            </w:pPr>
          </w:p>
        </w:tc>
        <w:tc>
          <w:tcPr>
            <w:tcW w:w="2520" w:type="dxa"/>
            <w:tcBorders>
              <w:top w:val="single" w:color="auto" w:sz="4" w:space="0"/>
              <w:left w:val="single" w:color="auto" w:sz="6"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Arial"/>
                <w:color w:val="auto"/>
                <w:szCs w:val="21"/>
              </w:rPr>
            </w:pPr>
          </w:p>
        </w:tc>
      </w:tr>
      <w:tr>
        <w:tblPrEx>
          <w:tblCellMar>
            <w:top w:w="0" w:type="dxa"/>
            <w:left w:w="30" w:type="dxa"/>
            <w:bottom w:w="0" w:type="dxa"/>
            <w:right w:w="30" w:type="dxa"/>
          </w:tblCellMar>
        </w:tblPrEx>
        <w:trPr>
          <w:trHeight w:val="434" w:hRule="atLeast"/>
        </w:trPr>
        <w:tc>
          <w:tcPr>
            <w:tcW w:w="930" w:type="dxa"/>
            <w:tcBorders>
              <w:top w:val="single" w:color="auto" w:sz="4" w:space="0"/>
              <w:left w:val="single" w:color="auto" w:sz="4" w:space="0"/>
              <w:bottom w:val="single" w:color="auto" w:sz="4" w:space="0"/>
              <w:right w:val="single" w:color="auto" w:sz="6" w:space="0"/>
            </w:tcBorders>
            <w:vAlign w:val="center"/>
          </w:tcPr>
          <w:p>
            <w:pPr>
              <w:autoSpaceDE w:val="0"/>
              <w:autoSpaceDN w:val="0"/>
              <w:adjustRightInd w:val="0"/>
              <w:spacing w:line="360" w:lineRule="auto"/>
              <w:jc w:val="center"/>
              <w:rPr>
                <w:rFonts w:ascii="宋体" w:hAnsi="宋体" w:cs="Arial"/>
                <w:color w:val="auto"/>
                <w:szCs w:val="21"/>
              </w:rPr>
            </w:pPr>
            <w:r>
              <w:rPr>
                <w:rFonts w:hint="eastAsia" w:ascii="宋体" w:hAnsi="宋体" w:cs="Arial"/>
                <w:color w:val="auto"/>
                <w:szCs w:val="21"/>
              </w:rPr>
              <w:t>2</w:t>
            </w:r>
          </w:p>
        </w:tc>
        <w:tc>
          <w:tcPr>
            <w:tcW w:w="468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line="360" w:lineRule="auto"/>
              <w:rPr>
                <w:rFonts w:ascii="宋体" w:hAnsi="宋体" w:cs="Arial"/>
                <w:color w:val="auto"/>
                <w:szCs w:val="21"/>
              </w:rPr>
            </w:pPr>
          </w:p>
        </w:tc>
        <w:tc>
          <w:tcPr>
            <w:tcW w:w="1080" w:type="dxa"/>
            <w:tcBorders>
              <w:top w:val="single" w:color="auto" w:sz="4" w:space="0"/>
              <w:left w:val="single" w:color="auto" w:sz="6" w:space="0"/>
              <w:bottom w:val="single" w:color="auto" w:sz="4" w:space="0"/>
              <w:right w:val="single" w:color="auto" w:sz="6" w:space="0"/>
            </w:tcBorders>
          </w:tcPr>
          <w:p>
            <w:pPr>
              <w:spacing w:line="360" w:lineRule="auto"/>
              <w:jc w:val="center"/>
              <w:rPr>
                <w:color w:val="auto"/>
                <w:szCs w:val="21"/>
              </w:rPr>
            </w:pPr>
          </w:p>
        </w:tc>
        <w:tc>
          <w:tcPr>
            <w:tcW w:w="2520" w:type="dxa"/>
            <w:tcBorders>
              <w:top w:val="single" w:color="auto" w:sz="4" w:space="0"/>
              <w:left w:val="single" w:color="auto" w:sz="6" w:space="0"/>
              <w:bottom w:val="single" w:color="auto" w:sz="4" w:space="0"/>
              <w:right w:val="single" w:color="auto" w:sz="4" w:space="0"/>
            </w:tcBorders>
          </w:tcPr>
          <w:p>
            <w:pPr>
              <w:spacing w:line="360" w:lineRule="auto"/>
              <w:jc w:val="center"/>
              <w:rPr>
                <w:color w:val="auto"/>
                <w:szCs w:val="21"/>
              </w:rPr>
            </w:pPr>
          </w:p>
        </w:tc>
      </w:tr>
      <w:tr>
        <w:tblPrEx>
          <w:tblCellMar>
            <w:top w:w="0" w:type="dxa"/>
            <w:left w:w="30" w:type="dxa"/>
            <w:bottom w:w="0" w:type="dxa"/>
            <w:right w:w="30" w:type="dxa"/>
          </w:tblCellMar>
        </w:tblPrEx>
        <w:trPr>
          <w:trHeight w:val="434" w:hRule="atLeast"/>
        </w:trPr>
        <w:tc>
          <w:tcPr>
            <w:tcW w:w="930" w:type="dxa"/>
            <w:tcBorders>
              <w:top w:val="single" w:color="auto" w:sz="4" w:space="0"/>
              <w:left w:val="single" w:color="auto" w:sz="4" w:space="0"/>
              <w:bottom w:val="single" w:color="auto" w:sz="4" w:space="0"/>
              <w:right w:val="single" w:color="auto" w:sz="6" w:space="0"/>
            </w:tcBorders>
            <w:vAlign w:val="center"/>
          </w:tcPr>
          <w:p>
            <w:pPr>
              <w:autoSpaceDE w:val="0"/>
              <w:autoSpaceDN w:val="0"/>
              <w:adjustRightInd w:val="0"/>
              <w:spacing w:line="360" w:lineRule="auto"/>
              <w:jc w:val="center"/>
              <w:rPr>
                <w:rFonts w:ascii="宋体" w:hAnsi="宋体" w:cs="Arial"/>
                <w:color w:val="auto"/>
                <w:szCs w:val="21"/>
              </w:rPr>
            </w:pPr>
            <w:r>
              <w:rPr>
                <w:rFonts w:hint="eastAsia" w:ascii="宋体" w:hAnsi="宋体" w:cs="Arial"/>
                <w:color w:val="auto"/>
                <w:szCs w:val="21"/>
              </w:rPr>
              <w:t>3</w:t>
            </w:r>
          </w:p>
        </w:tc>
        <w:tc>
          <w:tcPr>
            <w:tcW w:w="468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line="360" w:lineRule="auto"/>
              <w:rPr>
                <w:rFonts w:ascii="宋体" w:hAnsi="宋体"/>
                <w:bCs/>
                <w:color w:val="auto"/>
                <w:szCs w:val="21"/>
              </w:rPr>
            </w:pPr>
          </w:p>
        </w:tc>
        <w:tc>
          <w:tcPr>
            <w:tcW w:w="1080" w:type="dxa"/>
            <w:tcBorders>
              <w:top w:val="single" w:color="auto" w:sz="4" w:space="0"/>
              <w:left w:val="single" w:color="auto" w:sz="6" w:space="0"/>
              <w:bottom w:val="single" w:color="auto" w:sz="4" w:space="0"/>
              <w:right w:val="single" w:color="auto" w:sz="6" w:space="0"/>
            </w:tcBorders>
          </w:tcPr>
          <w:p>
            <w:pPr>
              <w:spacing w:line="360" w:lineRule="auto"/>
              <w:jc w:val="center"/>
              <w:rPr>
                <w:color w:val="auto"/>
                <w:szCs w:val="21"/>
              </w:rPr>
            </w:pPr>
          </w:p>
        </w:tc>
        <w:tc>
          <w:tcPr>
            <w:tcW w:w="2520" w:type="dxa"/>
            <w:tcBorders>
              <w:top w:val="single" w:color="auto" w:sz="4" w:space="0"/>
              <w:left w:val="single" w:color="auto" w:sz="6" w:space="0"/>
              <w:bottom w:val="single" w:color="auto" w:sz="4" w:space="0"/>
              <w:right w:val="single" w:color="auto" w:sz="4" w:space="0"/>
            </w:tcBorders>
          </w:tcPr>
          <w:p>
            <w:pPr>
              <w:spacing w:line="360" w:lineRule="auto"/>
              <w:jc w:val="center"/>
              <w:rPr>
                <w:color w:val="auto"/>
                <w:szCs w:val="21"/>
              </w:rPr>
            </w:pPr>
          </w:p>
        </w:tc>
      </w:tr>
      <w:tr>
        <w:tblPrEx>
          <w:tblCellMar>
            <w:top w:w="0" w:type="dxa"/>
            <w:left w:w="30" w:type="dxa"/>
            <w:bottom w:w="0" w:type="dxa"/>
            <w:right w:w="30" w:type="dxa"/>
          </w:tblCellMar>
        </w:tblPrEx>
        <w:trPr>
          <w:trHeight w:val="433" w:hRule="atLeast"/>
        </w:trPr>
        <w:tc>
          <w:tcPr>
            <w:tcW w:w="930" w:type="dxa"/>
            <w:tcBorders>
              <w:top w:val="single" w:color="auto" w:sz="4" w:space="0"/>
              <w:left w:val="single" w:color="auto" w:sz="4" w:space="0"/>
              <w:bottom w:val="single" w:color="auto" w:sz="4" w:space="0"/>
              <w:right w:val="single" w:color="auto" w:sz="6" w:space="0"/>
            </w:tcBorders>
            <w:vAlign w:val="center"/>
          </w:tcPr>
          <w:p>
            <w:pPr>
              <w:autoSpaceDE w:val="0"/>
              <w:autoSpaceDN w:val="0"/>
              <w:adjustRightInd w:val="0"/>
              <w:spacing w:line="360" w:lineRule="auto"/>
              <w:jc w:val="center"/>
              <w:rPr>
                <w:rFonts w:ascii="宋体" w:hAnsi="宋体" w:cs="Arial"/>
                <w:color w:val="auto"/>
                <w:szCs w:val="21"/>
              </w:rPr>
            </w:pPr>
            <w:r>
              <w:rPr>
                <w:rFonts w:hint="eastAsia" w:ascii="宋体" w:hAnsi="宋体" w:cs="Arial"/>
                <w:color w:val="auto"/>
                <w:szCs w:val="21"/>
              </w:rPr>
              <w:t>4</w:t>
            </w:r>
          </w:p>
        </w:tc>
        <w:tc>
          <w:tcPr>
            <w:tcW w:w="468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line="360" w:lineRule="auto"/>
              <w:rPr>
                <w:rFonts w:ascii="宋体" w:hAnsi="宋体" w:cs="Arial"/>
                <w:color w:val="auto"/>
                <w:szCs w:val="21"/>
              </w:rPr>
            </w:pPr>
          </w:p>
        </w:tc>
        <w:tc>
          <w:tcPr>
            <w:tcW w:w="1080" w:type="dxa"/>
            <w:tcBorders>
              <w:top w:val="single" w:color="auto" w:sz="4" w:space="0"/>
              <w:left w:val="single" w:color="auto" w:sz="6" w:space="0"/>
              <w:bottom w:val="single" w:color="auto" w:sz="4" w:space="0"/>
              <w:right w:val="single" w:color="auto" w:sz="6" w:space="0"/>
            </w:tcBorders>
          </w:tcPr>
          <w:p>
            <w:pPr>
              <w:spacing w:line="360" w:lineRule="auto"/>
              <w:jc w:val="center"/>
              <w:rPr>
                <w:color w:val="auto"/>
                <w:szCs w:val="21"/>
              </w:rPr>
            </w:pPr>
          </w:p>
        </w:tc>
        <w:tc>
          <w:tcPr>
            <w:tcW w:w="2520" w:type="dxa"/>
            <w:tcBorders>
              <w:top w:val="single" w:color="auto" w:sz="4" w:space="0"/>
              <w:left w:val="single" w:color="auto" w:sz="6" w:space="0"/>
              <w:bottom w:val="single" w:color="auto" w:sz="4" w:space="0"/>
              <w:right w:val="single" w:color="auto" w:sz="4" w:space="0"/>
            </w:tcBorders>
          </w:tcPr>
          <w:p>
            <w:pPr>
              <w:spacing w:line="360" w:lineRule="auto"/>
              <w:jc w:val="center"/>
              <w:rPr>
                <w:color w:val="auto"/>
                <w:szCs w:val="21"/>
              </w:rPr>
            </w:pPr>
          </w:p>
        </w:tc>
      </w:tr>
      <w:tr>
        <w:tblPrEx>
          <w:tblCellMar>
            <w:top w:w="0" w:type="dxa"/>
            <w:left w:w="30" w:type="dxa"/>
            <w:bottom w:w="0" w:type="dxa"/>
            <w:right w:w="30" w:type="dxa"/>
          </w:tblCellMar>
        </w:tblPrEx>
        <w:trPr>
          <w:trHeight w:val="434" w:hRule="atLeast"/>
        </w:trPr>
        <w:tc>
          <w:tcPr>
            <w:tcW w:w="930" w:type="dxa"/>
            <w:tcBorders>
              <w:top w:val="single" w:color="auto" w:sz="4" w:space="0"/>
              <w:left w:val="single" w:color="auto" w:sz="4" w:space="0"/>
              <w:bottom w:val="single" w:color="auto" w:sz="4" w:space="0"/>
              <w:right w:val="single" w:color="auto" w:sz="6" w:space="0"/>
            </w:tcBorders>
            <w:vAlign w:val="center"/>
          </w:tcPr>
          <w:p>
            <w:pPr>
              <w:autoSpaceDE w:val="0"/>
              <w:autoSpaceDN w:val="0"/>
              <w:adjustRightInd w:val="0"/>
              <w:spacing w:line="360" w:lineRule="auto"/>
              <w:jc w:val="center"/>
              <w:rPr>
                <w:rFonts w:ascii="宋体" w:hAnsi="宋体" w:cs="Arial"/>
                <w:color w:val="auto"/>
                <w:szCs w:val="21"/>
              </w:rPr>
            </w:pPr>
            <w:r>
              <w:rPr>
                <w:rFonts w:hint="eastAsia" w:ascii="宋体" w:hAnsi="宋体" w:cs="Arial"/>
                <w:color w:val="auto"/>
                <w:szCs w:val="21"/>
              </w:rPr>
              <w:t>5</w:t>
            </w:r>
          </w:p>
        </w:tc>
        <w:tc>
          <w:tcPr>
            <w:tcW w:w="468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line="360" w:lineRule="auto"/>
              <w:rPr>
                <w:rFonts w:ascii="宋体" w:hAnsi="宋体" w:cs="Arial"/>
                <w:color w:val="auto"/>
                <w:szCs w:val="21"/>
              </w:rPr>
            </w:pPr>
          </w:p>
        </w:tc>
        <w:tc>
          <w:tcPr>
            <w:tcW w:w="1080" w:type="dxa"/>
            <w:tcBorders>
              <w:top w:val="single" w:color="auto" w:sz="4" w:space="0"/>
              <w:left w:val="single" w:color="auto" w:sz="6" w:space="0"/>
              <w:bottom w:val="single" w:color="auto" w:sz="4" w:space="0"/>
              <w:right w:val="single" w:color="auto" w:sz="6" w:space="0"/>
            </w:tcBorders>
          </w:tcPr>
          <w:p>
            <w:pPr>
              <w:spacing w:line="360" w:lineRule="auto"/>
              <w:jc w:val="center"/>
              <w:rPr>
                <w:color w:val="auto"/>
                <w:szCs w:val="21"/>
              </w:rPr>
            </w:pPr>
          </w:p>
        </w:tc>
        <w:tc>
          <w:tcPr>
            <w:tcW w:w="2520" w:type="dxa"/>
            <w:tcBorders>
              <w:top w:val="single" w:color="auto" w:sz="4" w:space="0"/>
              <w:left w:val="single" w:color="auto" w:sz="6" w:space="0"/>
              <w:bottom w:val="single" w:color="auto" w:sz="4" w:space="0"/>
              <w:right w:val="single" w:color="auto" w:sz="4" w:space="0"/>
            </w:tcBorders>
          </w:tcPr>
          <w:p>
            <w:pPr>
              <w:spacing w:line="360" w:lineRule="auto"/>
              <w:jc w:val="center"/>
              <w:rPr>
                <w:color w:val="auto"/>
                <w:szCs w:val="21"/>
              </w:rPr>
            </w:pPr>
          </w:p>
        </w:tc>
      </w:tr>
      <w:tr>
        <w:tblPrEx>
          <w:tblCellMar>
            <w:top w:w="0" w:type="dxa"/>
            <w:left w:w="30" w:type="dxa"/>
            <w:bottom w:w="0" w:type="dxa"/>
            <w:right w:w="30" w:type="dxa"/>
          </w:tblCellMar>
        </w:tblPrEx>
        <w:trPr>
          <w:trHeight w:val="434" w:hRule="atLeast"/>
        </w:trPr>
        <w:tc>
          <w:tcPr>
            <w:tcW w:w="930" w:type="dxa"/>
            <w:tcBorders>
              <w:top w:val="single" w:color="auto" w:sz="4" w:space="0"/>
              <w:left w:val="single" w:color="auto" w:sz="4" w:space="0"/>
              <w:bottom w:val="single" w:color="auto" w:sz="4" w:space="0"/>
              <w:right w:val="single" w:color="auto" w:sz="6" w:space="0"/>
            </w:tcBorders>
            <w:vAlign w:val="center"/>
          </w:tcPr>
          <w:p>
            <w:pPr>
              <w:autoSpaceDE w:val="0"/>
              <w:autoSpaceDN w:val="0"/>
              <w:adjustRightInd w:val="0"/>
              <w:spacing w:line="360" w:lineRule="auto"/>
              <w:jc w:val="center"/>
              <w:rPr>
                <w:rFonts w:ascii="宋体" w:hAnsi="宋体" w:cs="Arial"/>
                <w:color w:val="auto"/>
                <w:szCs w:val="21"/>
              </w:rPr>
            </w:pPr>
            <w:r>
              <w:rPr>
                <w:rFonts w:ascii="宋体" w:hAnsi="宋体" w:cs="Arial"/>
                <w:color w:val="auto"/>
                <w:szCs w:val="21"/>
              </w:rPr>
              <w:t>…</w:t>
            </w:r>
          </w:p>
        </w:tc>
        <w:tc>
          <w:tcPr>
            <w:tcW w:w="468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line="360" w:lineRule="auto"/>
              <w:rPr>
                <w:rFonts w:ascii="宋体" w:hAnsi="宋体"/>
                <w:bCs/>
                <w:color w:val="auto"/>
                <w:szCs w:val="21"/>
              </w:rPr>
            </w:pPr>
          </w:p>
        </w:tc>
        <w:tc>
          <w:tcPr>
            <w:tcW w:w="1080" w:type="dxa"/>
            <w:tcBorders>
              <w:top w:val="single" w:color="auto" w:sz="4" w:space="0"/>
              <w:left w:val="single" w:color="auto" w:sz="6" w:space="0"/>
              <w:bottom w:val="single" w:color="auto" w:sz="4" w:space="0"/>
              <w:right w:val="single" w:color="auto" w:sz="6" w:space="0"/>
            </w:tcBorders>
          </w:tcPr>
          <w:p>
            <w:pPr>
              <w:spacing w:line="360" w:lineRule="auto"/>
              <w:jc w:val="center"/>
              <w:rPr>
                <w:color w:val="auto"/>
                <w:szCs w:val="21"/>
              </w:rPr>
            </w:pPr>
          </w:p>
        </w:tc>
        <w:tc>
          <w:tcPr>
            <w:tcW w:w="2520" w:type="dxa"/>
            <w:tcBorders>
              <w:top w:val="single" w:color="auto" w:sz="4" w:space="0"/>
              <w:left w:val="single" w:color="auto" w:sz="6" w:space="0"/>
              <w:bottom w:val="single" w:color="auto" w:sz="4" w:space="0"/>
              <w:right w:val="single" w:color="auto" w:sz="4" w:space="0"/>
            </w:tcBorders>
          </w:tcPr>
          <w:p>
            <w:pPr>
              <w:spacing w:line="360" w:lineRule="auto"/>
              <w:jc w:val="center"/>
              <w:rPr>
                <w:color w:val="auto"/>
                <w:szCs w:val="21"/>
              </w:rPr>
            </w:pPr>
          </w:p>
        </w:tc>
      </w:tr>
    </w:tbl>
    <w:p>
      <w:pPr>
        <w:spacing w:line="360" w:lineRule="auto"/>
        <w:rPr>
          <w:rFonts w:ascii="宋体" w:hAnsi="宋体"/>
          <w:color w:val="auto"/>
          <w:szCs w:val="21"/>
        </w:rPr>
      </w:pPr>
    </w:p>
    <w:p>
      <w:pPr>
        <w:spacing w:line="360" w:lineRule="auto"/>
        <w:rPr>
          <w:rFonts w:ascii="宋体" w:hAnsi="宋体"/>
          <w:color w:val="auto"/>
          <w:szCs w:val="21"/>
        </w:rPr>
      </w:pPr>
      <w:r>
        <w:rPr>
          <w:rFonts w:hint="eastAsia" w:ascii="宋体" w:hAnsi="宋体"/>
          <w:color w:val="auto"/>
          <w:szCs w:val="21"/>
        </w:rPr>
        <w:t>供应商全称（盖公章）：</w:t>
      </w:r>
    </w:p>
    <w:p>
      <w:pPr>
        <w:spacing w:line="360" w:lineRule="auto"/>
        <w:rPr>
          <w:rFonts w:ascii="宋体" w:hAnsi="宋体"/>
          <w:color w:val="auto"/>
          <w:szCs w:val="21"/>
        </w:rPr>
      </w:pPr>
      <w:r>
        <w:rPr>
          <w:rFonts w:hint="eastAsia" w:ascii="宋体" w:hAnsi="宋体"/>
          <w:color w:val="auto"/>
          <w:szCs w:val="21"/>
        </w:rPr>
        <w:t>法定代表人或磋商授权代表（签字或签章）：</w:t>
      </w:r>
    </w:p>
    <w:p>
      <w:pPr>
        <w:spacing w:line="360" w:lineRule="auto"/>
        <w:rPr>
          <w:rFonts w:ascii="宋体" w:hAnsi="宋体"/>
          <w:color w:val="auto"/>
          <w:szCs w:val="21"/>
        </w:rPr>
      </w:pPr>
      <w:r>
        <w:rPr>
          <w:rFonts w:hint="eastAsia" w:ascii="宋体" w:hAnsi="宋体"/>
          <w:color w:val="auto"/>
          <w:szCs w:val="21"/>
        </w:rPr>
        <w:t>日    期： 2020年  月  日</w:t>
      </w:r>
    </w:p>
    <w:p>
      <w:pPr>
        <w:spacing w:line="360" w:lineRule="auto"/>
        <w:rPr>
          <w:rFonts w:ascii="宋体" w:hAnsi="宋体"/>
          <w:color w:val="auto"/>
          <w:szCs w:val="21"/>
        </w:rPr>
      </w:pPr>
    </w:p>
    <w:p>
      <w:pPr>
        <w:spacing w:line="360" w:lineRule="auto"/>
        <w:rPr>
          <w:rFonts w:ascii="宋体" w:hAnsi="宋体" w:cs="Arial"/>
          <w:b/>
          <w:color w:val="auto"/>
          <w:szCs w:val="21"/>
        </w:rPr>
      </w:pPr>
      <w:r>
        <w:rPr>
          <w:rFonts w:hint="eastAsia" w:ascii="宋体" w:hAnsi="宋体"/>
          <w:b/>
          <w:color w:val="auto"/>
          <w:szCs w:val="21"/>
        </w:rPr>
        <w:t>注：1.</w:t>
      </w:r>
      <w:r>
        <w:rPr>
          <w:rFonts w:hint="eastAsia" w:ascii="宋体" w:hAnsi="宋体" w:cs="Arial"/>
          <w:b/>
          <w:color w:val="auto"/>
          <w:szCs w:val="21"/>
        </w:rPr>
        <w:t>本表格内容需对第三章“采购人需求书”内容进行响应填报。</w:t>
      </w:r>
    </w:p>
    <w:p>
      <w:pPr>
        <w:spacing w:line="360" w:lineRule="auto"/>
        <w:ind w:firstLine="413" w:firstLineChars="196"/>
        <w:jc w:val="left"/>
        <w:rPr>
          <w:rFonts w:ascii="宋体" w:hAnsi="宋体" w:cs="Arial"/>
          <w:b/>
          <w:color w:val="auto"/>
          <w:szCs w:val="21"/>
        </w:rPr>
      </w:pPr>
      <w:r>
        <w:rPr>
          <w:rFonts w:hint="eastAsia" w:ascii="宋体" w:hAnsi="宋体" w:cs="Arial"/>
          <w:b/>
          <w:color w:val="auto"/>
          <w:szCs w:val="21"/>
        </w:rPr>
        <w:t>2.采购人需求书中的服务要求仅为最低要求。供应商在磋商响应文件中必须列出具体报价响应内容。如果供应商只注明“符合”或“满足”，将被视为“不符合”，从而可能导致严重影响评标结果。</w:t>
      </w:r>
    </w:p>
    <w:p>
      <w:pPr>
        <w:spacing w:line="360" w:lineRule="auto"/>
        <w:ind w:firstLine="413" w:firstLineChars="196"/>
        <w:rPr>
          <w:rFonts w:ascii="宋体" w:hAnsi="宋体" w:cs="Arial"/>
          <w:b/>
          <w:color w:val="auto"/>
          <w:szCs w:val="21"/>
        </w:rPr>
        <w:sectPr>
          <w:pgSz w:w="11906" w:h="16838"/>
          <w:pgMar w:top="567" w:right="1304" w:bottom="567" w:left="1361" w:header="567" w:footer="737" w:gutter="0"/>
          <w:cols w:space="720" w:num="1"/>
          <w:docGrid w:linePitch="312" w:charSpace="0"/>
        </w:sectPr>
      </w:pPr>
      <w:r>
        <w:rPr>
          <w:rFonts w:hint="eastAsia" w:ascii="宋体" w:hAnsi="宋体" w:cs="Arial"/>
          <w:b/>
          <w:color w:val="auto"/>
          <w:szCs w:val="21"/>
        </w:rPr>
        <w:t>3.供应商没有在磋商响应文件中注明偏离（文字说明或在服务、商务偏离表注明）的参数、配置、条款视为供应商完全接受。</w:t>
      </w:r>
    </w:p>
    <w:p>
      <w:pPr>
        <w:spacing w:line="360" w:lineRule="auto"/>
        <w:rPr>
          <w:rFonts w:ascii="宋体" w:hAnsi="宋体"/>
          <w:b/>
          <w:bCs/>
          <w:color w:val="auto"/>
          <w:kern w:val="0"/>
          <w:sz w:val="28"/>
          <w:szCs w:val="28"/>
        </w:rPr>
      </w:pPr>
      <w:r>
        <w:rPr>
          <w:rFonts w:hint="eastAsia" w:ascii="宋体" w:hAnsi="宋体"/>
          <w:b/>
          <w:bCs/>
          <w:color w:val="auto"/>
          <w:kern w:val="0"/>
          <w:sz w:val="28"/>
          <w:szCs w:val="28"/>
        </w:rPr>
        <w:t>附件15  合同条款响应一览表</w:t>
      </w:r>
    </w:p>
    <w:p>
      <w:pPr>
        <w:pStyle w:val="144"/>
        <w:rPr>
          <w:color w:val="auto"/>
        </w:rPr>
      </w:pPr>
    </w:p>
    <w:p>
      <w:pPr>
        <w:spacing w:line="360" w:lineRule="auto"/>
        <w:ind w:left="945" w:hanging="945" w:hangingChars="450"/>
        <w:rPr>
          <w:rFonts w:ascii="宋体" w:hAnsi="宋体"/>
          <w:color w:val="auto"/>
          <w:szCs w:val="21"/>
        </w:rPr>
      </w:pPr>
      <w:r>
        <w:rPr>
          <w:rFonts w:hint="eastAsia" w:ascii="宋体" w:hAnsi="宋体"/>
          <w:color w:val="auto"/>
          <w:szCs w:val="21"/>
        </w:rPr>
        <w:t>说明：1、</w:t>
      </w:r>
      <w:r>
        <w:rPr>
          <w:rFonts w:hint="eastAsia" w:ascii="宋体" w:hAnsi="宋体" w:cs="宋体"/>
          <w:color w:val="auto"/>
          <w:kern w:val="0"/>
          <w:szCs w:val="21"/>
        </w:rPr>
        <w:t>供应商</w:t>
      </w:r>
      <w:r>
        <w:rPr>
          <w:rFonts w:hint="eastAsia" w:ascii="宋体" w:hAnsi="宋体"/>
          <w:color w:val="auto"/>
          <w:szCs w:val="21"/>
        </w:rPr>
        <w:t>必须对应竞争性磋商文件的第四章政府采购合同条款逐条应答并按要求填写下表。</w:t>
      </w:r>
    </w:p>
    <w:p>
      <w:pPr>
        <w:spacing w:line="360" w:lineRule="auto"/>
        <w:ind w:left="533" w:leftChars="254"/>
        <w:rPr>
          <w:rFonts w:ascii="宋体" w:hAnsi="宋体"/>
          <w:color w:val="auto"/>
          <w:szCs w:val="21"/>
        </w:rPr>
      </w:pPr>
      <w:r>
        <w:rPr>
          <w:rFonts w:hint="eastAsia" w:ascii="宋体" w:hAnsi="宋体"/>
          <w:color w:val="auto"/>
          <w:szCs w:val="21"/>
        </w:rPr>
        <w:t>2、对完全响应的条目在下表相应列中标注“○”。对有偏离的条目在下表相应列中标注“×”，并简述偏离内容。</w:t>
      </w:r>
    </w:p>
    <w:tbl>
      <w:tblPr>
        <w:tblStyle w:val="90"/>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
        <w:gridCol w:w="5025"/>
        <w:gridCol w:w="1080"/>
        <w:gridCol w:w="1061"/>
        <w:gridCol w:w="1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9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rPr>
            </w:pPr>
            <w:r>
              <w:rPr>
                <w:rFonts w:hint="eastAsia" w:ascii="宋体" w:hAnsi="宋体"/>
                <w:color w:val="auto"/>
                <w:szCs w:val="21"/>
              </w:rPr>
              <w:t>序号</w:t>
            </w:r>
          </w:p>
        </w:tc>
        <w:tc>
          <w:tcPr>
            <w:tcW w:w="50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rPr>
            </w:pPr>
            <w:r>
              <w:rPr>
                <w:rFonts w:hint="eastAsia" w:ascii="宋体" w:hAnsi="宋体"/>
                <w:color w:val="auto"/>
                <w:szCs w:val="21"/>
              </w:rPr>
              <w:t>合同条款条目</w:t>
            </w: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rPr>
            </w:pPr>
            <w:r>
              <w:rPr>
                <w:rFonts w:hint="eastAsia" w:ascii="宋体" w:hAnsi="宋体"/>
                <w:color w:val="auto"/>
                <w:szCs w:val="21"/>
              </w:rPr>
              <w:t>完全</w:t>
            </w:r>
          </w:p>
          <w:p>
            <w:pPr>
              <w:spacing w:line="360" w:lineRule="auto"/>
              <w:jc w:val="center"/>
              <w:rPr>
                <w:rFonts w:ascii="宋体" w:hAnsi="宋体"/>
                <w:color w:val="auto"/>
                <w:szCs w:val="21"/>
              </w:rPr>
            </w:pPr>
            <w:r>
              <w:rPr>
                <w:rFonts w:hint="eastAsia" w:ascii="宋体" w:hAnsi="宋体"/>
                <w:color w:val="auto"/>
                <w:szCs w:val="21"/>
              </w:rPr>
              <w:t>响应</w:t>
            </w:r>
          </w:p>
        </w:tc>
        <w:tc>
          <w:tcPr>
            <w:tcW w:w="10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rPr>
            </w:pPr>
            <w:r>
              <w:rPr>
                <w:rFonts w:hint="eastAsia" w:ascii="宋体" w:hAnsi="宋体"/>
                <w:color w:val="auto"/>
                <w:szCs w:val="21"/>
              </w:rPr>
              <w:t>有偏离</w:t>
            </w:r>
          </w:p>
        </w:tc>
        <w:tc>
          <w:tcPr>
            <w:tcW w:w="1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rPr>
            </w:pPr>
            <w:r>
              <w:rPr>
                <w:rFonts w:hint="eastAsia" w:ascii="宋体" w:hAnsi="宋体"/>
                <w:color w:val="auto"/>
                <w:szCs w:val="21"/>
              </w:rPr>
              <w:t>偏离简述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rPr>
            </w:pPr>
            <w:r>
              <w:rPr>
                <w:rFonts w:hint="eastAsia" w:ascii="宋体" w:hAnsi="宋体"/>
                <w:color w:val="auto"/>
                <w:szCs w:val="21"/>
              </w:rPr>
              <w:t>1</w:t>
            </w:r>
          </w:p>
        </w:tc>
        <w:tc>
          <w:tcPr>
            <w:tcW w:w="50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rPr>
            </w:pPr>
          </w:p>
        </w:tc>
        <w:tc>
          <w:tcPr>
            <w:tcW w:w="10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rPr>
            </w:pPr>
          </w:p>
        </w:tc>
        <w:tc>
          <w:tcPr>
            <w:tcW w:w="1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rPr>
            </w:pPr>
            <w:r>
              <w:rPr>
                <w:rFonts w:hint="eastAsia" w:ascii="宋体" w:hAnsi="宋体"/>
                <w:color w:val="auto"/>
                <w:szCs w:val="21"/>
              </w:rPr>
              <w:t>2</w:t>
            </w:r>
          </w:p>
        </w:tc>
        <w:tc>
          <w:tcPr>
            <w:tcW w:w="50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rPr>
            </w:pPr>
          </w:p>
        </w:tc>
        <w:tc>
          <w:tcPr>
            <w:tcW w:w="10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rPr>
            </w:pPr>
          </w:p>
        </w:tc>
        <w:tc>
          <w:tcPr>
            <w:tcW w:w="1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rPr>
            </w:pPr>
            <w:r>
              <w:rPr>
                <w:rFonts w:hint="eastAsia" w:ascii="宋体" w:hAnsi="宋体"/>
                <w:color w:val="auto"/>
                <w:szCs w:val="21"/>
              </w:rPr>
              <w:t>3</w:t>
            </w:r>
          </w:p>
        </w:tc>
        <w:tc>
          <w:tcPr>
            <w:tcW w:w="50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rPr>
            </w:pPr>
          </w:p>
        </w:tc>
        <w:tc>
          <w:tcPr>
            <w:tcW w:w="10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rPr>
            </w:pPr>
          </w:p>
        </w:tc>
        <w:tc>
          <w:tcPr>
            <w:tcW w:w="1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rPr>
            </w:pPr>
            <w:r>
              <w:rPr>
                <w:rFonts w:hint="eastAsia" w:ascii="宋体" w:hAnsi="宋体"/>
                <w:color w:val="auto"/>
                <w:szCs w:val="21"/>
              </w:rPr>
              <w:t>4</w:t>
            </w:r>
          </w:p>
        </w:tc>
        <w:tc>
          <w:tcPr>
            <w:tcW w:w="50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rPr>
            </w:pPr>
          </w:p>
        </w:tc>
        <w:tc>
          <w:tcPr>
            <w:tcW w:w="10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rPr>
            </w:pPr>
          </w:p>
        </w:tc>
        <w:tc>
          <w:tcPr>
            <w:tcW w:w="1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rPr>
            </w:pPr>
            <w:r>
              <w:rPr>
                <w:rFonts w:hint="eastAsia" w:ascii="宋体" w:hAnsi="宋体"/>
                <w:color w:val="auto"/>
                <w:szCs w:val="21"/>
              </w:rPr>
              <w:t>5</w:t>
            </w:r>
          </w:p>
        </w:tc>
        <w:tc>
          <w:tcPr>
            <w:tcW w:w="50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rPr>
            </w:pPr>
          </w:p>
        </w:tc>
        <w:tc>
          <w:tcPr>
            <w:tcW w:w="1061" w:type="dxa"/>
            <w:tcBorders>
              <w:top w:val="single" w:color="auto" w:sz="4" w:space="0"/>
              <w:left w:val="single" w:color="auto" w:sz="4" w:space="0"/>
              <w:bottom w:val="single" w:color="auto" w:sz="4" w:space="0"/>
              <w:right w:val="single" w:color="auto" w:sz="4" w:space="0"/>
            </w:tcBorders>
            <w:vAlign w:val="center"/>
          </w:tcPr>
          <w:p>
            <w:pPr>
              <w:pStyle w:val="186"/>
              <w:keepNext w:val="0"/>
              <w:adjustRightInd/>
              <w:spacing w:before="0" w:after="0" w:line="360" w:lineRule="auto"/>
              <w:rPr>
                <w:rFonts w:ascii="宋体" w:hAnsi="宋体"/>
                <w:color w:val="auto"/>
                <w:spacing w:val="0"/>
                <w:kern w:val="2"/>
                <w:sz w:val="21"/>
                <w:szCs w:val="21"/>
              </w:rPr>
            </w:pPr>
          </w:p>
        </w:tc>
        <w:tc>
          <w:tcPr>
            <w:tcW w:w="1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rPr>
            </w:pPr>
            <w:r>
              <w:rPr>
                <w:rFonts w:hint="eastAsia" w:ascii="宋体" w:hAnsi="宋体"/>
                <w:color w:val="auto"/>
                <w:szCs w:val="21"/>
              </w:rPr>
              <w:t>6</w:t>
            </w:r>
          </w:p>
        </w:tc>
        <w:tc>
          <w:tcPr>
            <w:tcW w:w="50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rPr>
            </w:pPr>
          </w:p>
        </w:tc>
        <w:tc>
          <w:tcPr>
            <w:tcW w:w="10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rPr>
            </w:pPr>
          </w:p>
        </w:tc>
        <w:tc>
          <w:tcPr>
            <w:tcW w:w="1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rPr>
            </w:pPr>
            <w:r>
              <w:rPr>
                <w:rFonts w:hint="eastAsia" w:ascii="宋体" w:hAnsi="宋体"/>
                <w:color w:val="auto"/>
                <w:szCs w:val="21"/>
              </w:rPr>
              <w:t>7</w:t>
            </w:r>
          </w:p>
        </w:tc>
        <w:tc>
          <w:tcPr>
            <w:tcW w:w="50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rPr>
            </w:pPr>
          </w:p>
        </w:tc>
        <w:tc>
          <w:tcPr>
            <w:tcW w:w="10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rPr>
            </w:pPr>
          </w:p>
        </w:tc>
        <w:tc>
          <w:tcPr>
            <w:tcW w:w="1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rPr>
            </w:pPr>
            <w:r>
              <w:rPr>
                <w:rFonts w:hint="eastAsia" w:ascii="宋体" w:hAnsi="宋体"/>
                <w:color w:val="auto"/>
                <w:szCs w:val="21"/>
              </w:rPr>
              <w:t>8</w:t>
            </w:r>
          </w:p>
        </w:tc>
        <w:tc>
          <w:tcPr>
            <w:tcW w:w="50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rPr>
            </w:pPr>
          </w:p>
        </w:tc>
        <w:tc>
          <w:tcPr>
            <w:tcW w:w="10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rPr>
            </w:pPr>
          </w:p>
        </w:tc>
        <w:tc>
          <w:tcPr>
            <w:tcW w:w="1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rPr>
            </w:pPr>
            <w:r>
              <w:rPr>
                <w:rFonts w:hint="eastAsia" w:ascii="宋体" w:hAnsi="宋体"/>
                <w:color w:val="auto"/>
                <w:szCs w:val="21"/>
              </w:rPr>
              <w:t>9</w:t>
            </w:r>
          </w:p>
        </w:tc>
        <w:tc>
          <w:tcPr>
            <w:tcW w:w="50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rPr>
            </w:pPr>
          </w:p>
        </w:tc>
        <w:tc>
          <w:tcPr>
            <w:tcW w:w="10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rPr>
            </w:pPr>
          </w:p>
        </w:tc>
        <w:tc>
          <w:tcPr>
            <w:tcW w:w="1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rPr>
            </w:pPr>
            <w:r>
              <w:rPr>
                <w:rFonts w:hint="eastAsia" w:ascii="宋体" w:hAnsi="宋体"/>
                <w:color w:val="auto"/>
                <w:szCs w:val="21"/>
              </w:rPr>
              <w:t>10</w:t>
            </w:r>
          </w:p>
        </w:tc>
        <w:tc>
          <w:tcPr>
            <w:tcW w:w="50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rPr>
            </w:pPr>
          </w:p>
        </w:tc>
        <w:tc>
          <w:tcPr>
            <w:tcW w:w="10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rPr>
            </w:pPr>
          </w:p>
        </w:tc>
        <w:tc>
          <w:tcPr>
            <w:tcW w:w="1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rPr>
            </w:pPr>
          </w:p>
        </w:tc>
      </w:tr>
    </w:tbl>
    <w:p>
      <w:pPr>
        <w:spacing w:line="360" w:lineRule="auto"/>
        <w:rPr>
          <w:rFonts w:ascii="宋体" w:hAnsi="宋体"/>
          <w:color w:val="auto"/>
          <w:sz w:val="24"/>
        </w:rPr>
      </w:pPr>
    </w:p>
    <w:p>
      <w:pPr>
        <w:spacing w:line="360" w:lineRule="auto"/>
        <w:rPr>
          <w:rFonts w:ascii="宋体" w:hAnsi="宋体"/>
          <w:b/>
          <w:color w:val="auto"/>
          <w:szCs w:val="21"/>
        </w:rPr>
      </w:pPr>
      <w:r>
        <w:rPr>
          <w:rFonts w:hint="eastAsia" w:ascii="宋体" w:hAnsi="宋体"/>
          <w:b/>
          <w:color w:val="auto"/>
          <w:szCs w:val="21"/>
        </w:rPr>
        <w:t>注：供应商对竞争性磋商文件的合同（样本）不允许实质性偏离，否则将视为不响应。</w:t>
      </w:r>
    </w:p>
    <w:p>
      <w:pPr>
        <w:spacing w:line="360" w:lineRule="auto"/>
        <w:rPr>
          <w:rFonts w:ascii="宋体" w:hAnsi="宋体"/>
          <w:b/>
          <w:color w:val="auto"/>
          <w:sz w:val="24"/>
        </w:rPr>
      </w:pPr>
    </w:p>
    <w:p>
      <w:pPr>
        <w:spacing w:line="360" w:lineRule="auto"/>
        <w:rPr>
          <w:rFonts w:ascii="宋体" w:hAnsi="宋体"/>
          <w:color w:val="auto"/>
          <w:szCs w:val="21"/>
        </w:rPr>
      </w:pPr>
      <w:r>
        <w:rPr>
          <w:rFonts w:hint="eastAsia" w:ascii="宋体" w:hAnsi="宋体" w:cs="宋体"/>
          <w:color w:val="auto"/>
          <w:kern w:val="0"/>
          <w:szCs w:val="21"/>
        </w:rPr>
        <w:t>供应商</w:t>
      </w:r>
      <w:r>
        <w:rPr>
          <w:rFonts w:hint="eastAsia" w:ascii="宋体" w:hAnsi="宋体"/>
          <w:color w:val="auto"/>
          <w:szCs w:val="21"/>
        </w:rPr>
        <w:t>全称（盖公章）：</w:t>
      </w:r>
    </w:p>
    <w:p>
      <w:pPr>
        <w:spacing w:line="360" w:lineRule="auto"/>
        <w:rPr>
          <w:rFonts w:ascii="宋体" w:hAnsi="宋体"/>
          <w:color w:val="auto"/>
          <w:szCs w:val="21"/>
        </w:rPr>
      </w:pPr>
      <w:r>
        <w:rPr>
          <w:rFonts w:hint="eastAsia" w:ascii="宋体" w:hAnsi="宋体"/>
          <w:color w:val="auto"/>
          <w:szCs w:val="21"/>
        </w:rPr>
        <w:t>法定代表人或磋商授权代表（签字或签章）：</w:t>
      </w:r>
    </w:p>
    <w:p>
      <w:pPr>
        <w:spacing w:line="360" w:lineRule="auto"/>
        <w:rPr>
          <w:rFonts w:ascii="宋体" w:hAnsi="宋体"/>
          <w:color w:val="auto"/>
          <w:szCs w:val="21"/>
        </w:rPr>
      </w:pPr>
      <w:r>
        <w:rPr>
          <w:rFonts w:hint="eastAsia" w:ascii="宋体" w:hAnsi="宋体"/>
          <w:color w:val="auto"/>
          <w:szCs w:val="21"/>
        </w:rPr>
        <w:t>日    期： 2020年  月  日</w:t>
      </w:r>
    </w:p>
    <w:p>
      <w:pPr>
        <w:spacing w:line="360" w:lineRule="auto"/>
        <w:ind w:firstLine="413" w:firstLineChars="196"/>
        <w:rPr>
          <w:rFonts w:ascii="宋体" w:hAnsi="宋体" w:cs="Arial"/>
          <w:b/>
          <w:color w:val="auto"/>
          <w:szCs w:val="21"/>
        </w:rPr>
        <w:sectPr>
          <w:pgSz w:w="11906" w:h="16838"/>
          <w:pgMar w:top="567" w:right="1304" w:bottom="567" w:left="1361" w:header="567" w:footer="737" w:gutter="0"/>
          <w:cols w:space="720" w:num="1"/>
          <w:docGrid w:linePitch="312" w:charSpace="0"/>
        </w:sectPr>
      </w:pPr>
    </w:p>
    <w:p>
      <w:pPr>
        <w:spacing w:line="360" w:lineRule="auto"/>
        <w:ind w:firstLine="413" w:firstLineChars="196"/>
        <w:rPr>
          <w:rFonts w:ascii="宋体" w:hAnsi="宋体"/>
          <w:b/>
          <w:bCs/>
          <w:color w:val="auto"/>
          <w:kern w:val="0"/>
          <w:szCs w:val="21"/>
        </w:rPr>
      </w:pPr>
    </w:p>
    <w:bookmarkEnd w:id="407"/>
    <w:bookmarkEnd w:id="408"/>
    <w:p>
      <w:pPr>
        <w:spacing w:line="360" w:lineRule="auto"/>
        <w:rPr>
          <w:rFonts w:ascii="宋体" w:hAnsi="宋体"/>
          <w:b/>
          <w:bCs/>
          <w:color w:val="auto"/>
          <w:kern w:val="0"/>
          <w:sz w:val="28"/>
          <w:szCs w:val="28"/>
        </w:rPr>
      </w:pPr>
      <w:r>
        <w:rPr>
          <w:rFonts w:hint="eastAsia" w:ascii="宋体" w:hAnsi="宋体"/>
          <w:b/>
          <w:bCs/>
          <w:color w:val="auto"/>
          <w:kern w:val="0"/>
          <w:sz w:val="28"/>
          <w:szCs w:val="28"/>
        </w:rPr>
        <w:t xml:space="preserve">附件16  </w:t>
      </w:r>
      <w:r>
        <w:rPr>
          <w:rFonts w:ascii="宋体" w:hAnsi="宋体"/>
          <w:b/>
          <w:bCs/>
          <w:color w:val="auto"/>
          <w:kern w:val="0"/>
          <w:sz w:val="28"/>
          <w:szCs w:val="28"/>
        </w:rPr>
        <w:t>同类</w:t>
      </w:r>
      <w:r>
        <w:rPr>
          <w:rFonts w:hint="eastAsia" w:ascii="宋体" w:hAnsi="宋体"/>
          <w:b/>
          <w:bCs/>
          <w:color w:val="auto"/>
          <w:kern w:val="0"/>
          <w:sz w:val="28"/>
          <w:szCs w:val="28"/>
        </w:rPr>
        <w:t>项目业绩一览表</w:t>
      </w:r>
    </w:p>
    <w:p>
      <w:pPr>
        <w:pStyle w:val="46"/>
        <w:spacing w:line="360" w:lineRule="auto"/>
        <w:ind w:right="482"/>
        <w:rPr>
          <w:rFonts w:hAnsi="宋体"/>
          <w:color w:val="auto"/>
          <w:szCs w:val="21"/>
        </w:rPr>
      </w:pPr>
    </w:p>
    <w:p>
      <w:pPr>
        <w:pStyle w:val="46"/>
        <w:spacing w:line="360" w:lineRule="auto"/>
        <w:ind w:right="482"/>
        <w:rPr>
          <w:rFonts w:hAnsi="宋体"/>
          <w:color w:val="auto"/>
          <w:szCs w:val="21"/>
        </w:rPr>
      </w:pPr>
      <w:r>
        <w:rPr>
          <w:rFonts w:hint="eastAsia" w:hAnsi="宋体"/>
          <w:color w:val="auto"/>
          <w:szCs w:val="21"/>
        </w:rPr>
        <w:t xml:space="preserve">项目名称： </w:t>
      </w:r>
    </w:p>
    <w:p>
      <w:pPr>
        <w:spacing w:line="360" w:lineRule="auto"/>
        <w:rPr>
          <w:rFonts w:ascii="宋体" w:hAnsi="宋体" w:cs="Tahoma"/>
          <w:color w:val="auto"/>
          <w:szCs w:val="21"/>
        </w:rPr>
      </w:pPr>
      <w:r>
        <w:rPr>
          <w:rFonts w:hint="eastAsia" w:hAnsi="宋体" w:cs="宋体"/>
          <w:color w:val="auto"/>
          <w:szCs w:val="21"/>
        </w:rPr>
        <w:t>项目编</w:t>
      </w:r>
      <w:r>
        <w:rPr>
          <w:rFonts w:hint="eastAsia" w:ascii="宋体" w:hAnsi="宋体" w:cs="宋体"/>
          <w:color w:val="auto"/>
          <w:szCs w:val="21"/>
        </w:rPr>
        <w:t xml:space="preserve">号： </w:t>
      </w:r>
    </w:p>
    <w:tbl>
      <w:tblPr>
        <w:tblStyle w:val="9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1234"/>
        <w:gridCol w:w="1234"/>
        <w:gridCol w:w="1240"/>
        <w:gridCol w:w="2203"/>
        <w:gridCol w:w="1240"/>
        <w:gridCol w:w="1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rPr>
            </w:pPr>
            <w:r>
              <w:rPr>
                <w:rFonts w:hint="eastAsia" w:ascii="宋体" w:hAnsi="宋体"/>
                <w:color w:val="auto"/>
                <w:szCs w:val="21"/>
              </w:rPr>
              <w:t>序号</w:t>
            </w:r>
          </w:p>
        </w:tc>
        <w:tc>
          <w:tcPr>
            <w:tcW w:w="12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rPr>
            </w:pPr>
            <w:r>
              <w:rPr>
                <w:rFonts w:hint="eastAsia" w:ascii="宋体" w:hAnsi="宋体"/>
                <w:color w:val="auto"/>
                <w:szCs w:val="21"/>
              </w:rPr>
              <w:t>业主名称</w:t>
            </w:r>
          </w:p>
        </w:tc>
        <w:tc>
          <w:tcPr>
            <w:tcW w:w="12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rPr>
            </w:pPr>
            <w:r>
              <w:rPr>
                <w:rFonts w:hint="eastAsia" w:ascii="宋体" w:hAnsi="宋体"/>
                <w:color w:val="auto"/>
                <w:szCs w:val="21"/>
              </w:rPr>
              <w:t>项目名称</w:t>
            </w:r>
          </w:p>
        </w:tc>
        <w:tc>
          <w:tcPr>
            <w:tcW w:w="12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rPr>
            </w:pPr>
            <w:r>
              <w:rPr>
                <w:rFonts w:hint="eastAsia" w:ascii="宋体" w:hAnsi="宋体"/>
                <w:color w:val="auto"/>
                <w:szCs w:val="21"/>
              </w:rPr>
              <w:t>项目内容</w:t>
            </w:r>
          </w:p>
        </w:tc>
        <w:tc>
          <w:tcPr>
            <w:tcW w:w="22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rPr>
            </w:pPr>
            <w:r>
              <w:rPr>
                <w:rFonts w:hint="eastAsia" w:ascii="宋体" w:hAnsi="宋体"/>
                <w:color w:val="auto"/>
                <w:szCs w:val="21"/>
              </w:rPr>
              <w:t>合同总价</w:t>
            </w:r>
          </w:p>
          <w:p>
            <w:pPr>
              <w:spacing w:line="360" w:lineRule="auto"/>
              <w:jc w:val="center"/>
              <w:rPr>
                <w:rFonts w:ascii="宋体" w:hAnsi="宋体"/>
                <w:color w:val="auto"/>
                <w:szCs w:val="21"/>
              </w:rPr>
            </w:pPr>
            <w:r>
              <w:rPr>
                <w:rFonts w:hint="eastAsia" w:ascii="宋体" w:hAnsi="宋体"/>
                <w:color w:val="auto"/>
                <w:szCs w:val="21"/>
              </w:rPr>
              <w:t>（单位/万元）</w:t>
            </w:r>
          </w:p>
        </w:tc>
        <w:tc>
          <w:tcPr>
            <w:tcW w:w="12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rPr>
            </w:pPr>
            <w:r>
              <w:rPr>
                <w:rFonts w:hint="eastAsia" w:ascii="宋体" w:hAnsi="宋体"/>
                <w:color w:val="auto"/>
                <w:szCs w:val="21"/>
              </w:rPr>
              <w:t>签约及完成时间</w:t>
            </w:r>
          </w:p>
        </w:tc>
        <w:tc>
          <w:tcPr>
            <w:tcW w:w="13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rPr>
            </w:pPr>
            <w:r>
              <w:rPr>
                <w:rFonts w:hint="eastAsia" w:ascii="宋体" w:hAnsi="宋体"/>
                <w:color w:val="auto"/>
                <w:szCs w:val="21"/>
              </w:rPr>
              <w:t>单位联系人及电话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rPr>
            </w:pPr>
            <w:r>
              <w:rPr>
                <w:rFonts w:hint="eastAsia" w:ascii="宋体" w:hAnsi="宋体"/>
                <w:color w:val="auto"/>
                <w:szCs w:val="21"/>
              </w:rPr>
              <w:t>1</w:t>
            </w:r>
          </w:p>
        </w:tc>
        <w:tc>
          <w:tcPr>
            <w:tcW w:w="12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rPr>
            </w:pPr>
          </w:p>
        </w:tc>
        <w:tc>
          <w:tcPr>
            <w:tcW w:w="123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olor w:val="auto"/>
                <w:szCs w:val="21"/>
              </w:rPr>
            </w:pPr>
          </w:p>
        </w:tc>
        <w:tc>
          <w:tcPr>
            <w:tcW w:w="12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rPr>
            </w:pPr>
          </w:p>
        </w:tc>
        <w:tc>
          <w:tcPr>
            <w:tcW w:w="22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rPr>
            </w:pPr>
          </w:p>
        </w:tc>
        <w:tc>
          <w:tcPr>
            <w:tcW w:w="12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rPr>
            </w:pPr>
          </w:p>
        </w:tc>
        <w:tc>
          <w:tcPr>
            <w:tcW w:w="13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rPr>
            </w:pPr>
            <w:r>
              <w:rPr>
                <w:rFonts w:hint="eastAsia" w:ascii="宋体" w:hAnsi="宋体"/>
                <w:color w:val="auto"/>
                <w:szCs w:val="21"/>
              </w:rPr>
              <w:t>2</w:t>
            </w:r>
          </w:p>
        </w:tc>
        <w:tc>
          <w:tcPr>
            <w:tcW w:w="12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rPr>
            </w:pPr>
          </w:p>
        </w:tc>
        <w:tc>
          <w:tcPr>
            <w:tcW w:w="123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olor w:val="auto"/>
                <w:szCs w:val="21"/>
              </w:rPr>
            </w:pPr>
          </w:p>
        </w:tc>
        <w:tc>
          <w:tcPr>
            <w:tcW w:w="12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rPr>
            </w:pPr>
          </w:p>
        </w:tc>
        <w:tc>
          <w:tcPr>
            <w:tcW w:w="22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rPr>
            </w:pPr>
          </w:p>
        </w:tc>
        <w:tc>
          <w:tcPr>
            <w:tcW w:w="12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rPr>
            </w:pPr>
          </w:p>
        </w:tc>
        <w:tc>
          <w:tcPr>
            <w:tcW w:w="13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rPr>
            </w:pPr>
            <w:r>
              <w:rPr>
                <w:rFonts w:hint="eastAsia" w:ascii="宋体" w:hAnsi="宋体"/>
                <w:color w:val="auto"/>
                <w:szCs w:val="21"/>
              </w:rPr>
              <w:t>3</w:t>
            </w:r>
          </w:p>
        </w:tc>
        <w:tc>
          <w:tcPr>
            <w:tcW w:w="12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rPr>
            </w:pPr>
          </w:p>
        </w:tc>
        <w:tc>
          <w:tcPr>
            <w:tcW w:w="123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olor w:val="auto"/>
                <w:szCs w:val="21"/>
              </w:rPr>
            </w:pPr>
          </w:p>
        </w:tc>
        <w:tc>
          <w:tcPr>
            <w:tcW w:w="12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rPr>
            </w:pPr>
          </w:p>
        </w:tc>
        <w:tc>
          <w:tcPr>
            <w:tcW w:w="22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rPr>
            </w:pPr>
          </w:p>
        </w:tc>
        <w:tc>
          <w:tcPr>
            <w:tcW w:w="12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rPr>
            </w:pPr>
          </w:p>
        </w:tc>
        <w:tc>
          <w:tcPr>
            <w:tcW w:w="13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rPr>
            </w:pPr>
            <w:r>
              <w:rPr>
                <w:rFonts w:hint="eastAsia" w:ascii="宋体" w:hAnsi="宋体"/>
                <w:color w:val="auto"/>
                <w:szCs w:val="21"/>
              </w:rPr>
              <w:t>4</w:t>
            </w:r>
          </w:p>
        </w:tc>
        <w:tc>
          <w:tcPr>
            <w:tcW w:w="12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rPr>
            </w:pPr>
          </w:p>
        </w:tc>
        <w:tc>
          <w:tcPr>
            <w:tcW w:w="123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olor w:val="auto"/>
                <w:szCs w:val="21"/>
              </w:rPr>
            </w:pPr>
          </w:p>
        </w:tc>
        <w:tc>
          <w:tcPr>
            <w:tcW w:w="12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rPr>
            </w:pPr>
          </w:p>
        </w:tc>
        <w:tc>
          <w:tcPr>
            <w:tcW w:w="22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rPr>
            </w:pPr>
          </w:p>
        </w:tc>
        <w:tc>
          <w:tcPr>
            <w:tcW w:w="12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rPr>
            </w:pPr>
          </w:p>
        </w:tc>
        <w:tc>
          <w:tcPr>
            <w:tcW w:w="13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rPr>
            </w:pPr>
          </w:p>
        </w:tc>
      </w:tr>
    </w:tbl>
    <w:p>
      <w:pPr>
        <w:spacing w:line="360" w:lineRule="auto"/>
        <w:rPr>
          <w:rFonts w:ascii="宋体" w:hAnsi="宋体"/>
          <w:b/>
          <w:color w:val="auto"/>
          <w:szCs w:val="21"/>
        </w:rPr>
      </w:pPr>
    </w:p>
    <w:p>
      <w:pPr>
        <w:spacing w:line="360" w:lineRule="auto"/>
        <w:rPr>
          <w:rFonts w:ascii="宋体" w:hAnsi="宋体"/>
          <w:b/>
          <w:color w:val="auto"/>
          <w:szCs w:val="21"/>
        </w:rPr>
      </w:pPr>
      <w:r>
        <w:rPr>
          <w:rFonts w:hint="eastAsia" w:ascii="宋体" w:hAnsi="宋体"/>
          <w:b/>
          <w:color w:val="auto"/>
          <w:szCs w:val="21"/>
        </w:rPr>
        <w:t>注：请附上成交/中标通知书或合同复印件作为同类业绩证明资料。</w:t>
      </w:r>
    </w:p>
    <w:p>
      <w:pPr>
        <w:spacing w:line="360" w:lineRule="auto"/>
        <w:ind w:left="632" w:hanging="632" w:hangingChars="300"/>
        <w:rPr>
          <w:rFonts w:ascii="宋体" w:hAnsi="宋体"/>
          <w:b/>
          <w:color w:val="auto"/>
          <w:szCs w:val="21"/>
        </w:rPr>
      </w:pPr>
    </w:p>
    <w:p>
      <w:pPr>
        <w:spacing w:line="360" w:lineRule="auto"/>
        <w:rPr>
          <w:rFonts w:ascii="宋体" w:hAnsi="宋体"/>
          <w:bCs/>
          <w:color w:val="auto"/>
          <w:szCs w:val="21"/>
        </w:rPr>
      </w:pPr>
    </w:p>
    <w:p>
      <w:pPr>
        <w:adjustRightInd w:val="0"/>
        <w:snapToGrid w:val="0"/>
        <w:spacing w:line="360" w:lineRule="auto"/>
        <w:rPr>
          <w:rFonts w:ascii="宋体" w:hAnsi="宋体"/>
          <w:color w:val="auto"/>
          <w:szCs w:val="21"/>
        </w:rPr>
      </w:pPr>
      <w:r>
        <w:rPr>
          <w:rFonts w:hint="eastAsia" w:ascii="宋体" w:hAnsi="宋体" w:cs="宋体"/>
          <w:color w:val="auto"/>
          <w:kern w:val="0"/>
          <w:szCs w:val="21"/>
        </w:rPr>
        <w:t>供应商</w:t>
      </w:r>
      <w:r>
        <w:rPr>
          <w:rFonts w:hint="eastAsia" w:ascii="宋体" w:hAnsi="宋体"/>
          <w:color w:val="auto"/>
          <w:szCs w:val="21"/>
        </w:rPr>
        <w:t>全称（盖公章）：</w:t>
      </w:r>
    </w:p>
    <w:p>
      <w:pPr>
        <w:adjustRightInd w:val="0"/>
        <w:snapToGrid w:val="0"/>
        <w:spacing w:line="360" w:lineRule="auto"/>
        <w:rPr>
          <w:rFonts w:ascii="宋体" w:hAnsi="宋体"/>
          <w:color w:val="auto"/>
          <w:szCs w:val="21"/>
        </w:rPr>
      </w:pPr>
      <w:r>
        <w:rPr>
          <w:rFonts w:hint="eastAsia" w:ascii="宋体" w:hAnsi="宋体"/>
          <w:color w:val="auto"/>
          <w:szCs w:val="21"/>
        </w:rPr>
        <w:t>法定代表人或磋商授权代表（签字或签章）：</w:t>
      </w:r>
    </w:p>
    <w:p>
      <w:pPr>
        <w:adjustRightInd w:val="0"/>
        <w:snapToGrid w:val="0"/>
        <w:spacing w:line="360" w:lineRule="auto"/>
        <w:rPr>
          <w:rFonts w:ascii="宋体" w:hAnsi="宋体"/>
          <w:color w:val="auto"/>
          <w:szCs w:val="21"/>
        </w:rPr>
      </w:pPr>
      <w:r>
        <w:rPr>
          <w:rFonts w:hint="eastAsia" w:ascii="宋体" w:hAnsi="宋体"/>
          <w:color w:val="auto"/>
          <w:szCs w:val="21"/>
        </w:rPr>
        <w:t>日    期： 2020年  月  日</w:t>
      </w:r>
    </w:p>
    <w:p>
      <w:pPr>
        <w:spacing w:line="360" w:lineRule="auto"/>
        <w:rPr>
          <w:rFonts w:ascii="宋体" w:hAnsi="宋体"/>
          <w:color w:val="auto"/>
        </w:rPr>
      </w:pPr>
      <w:r>
        <w:rPr>
          <w:rFonts w:hint="eastAsia" w:ascii="宋体" w:hAnsi="宋体"/>
          <w:color w:val="auto"/>
        </w:rPr>
        <w:br w:type="page"/>
      </w:r>
    </w:p>
    <w:p>
      <w:pPr>
        <w:spacing w:line="360" w:lineRule="auto"/>
        <w:rPr>
          <w:rFonts w:ascii="黑体" w:hAnsi="宋体" w:eastAsia="黑体"/>
          <w:b/>
          <w:bCs/>
          <w:color w:val="auto"/>
          <w:kern w:val="0"/>
          <w:sz w:val="28"/>
          <w:szCs w:val="28"/>
        </w:rPr>
      </w:pPr>
      <w:r>
        <w:rPr>
          <w:rFonts w:hint="eastAsia" w:ascii="宋体" w:hAnsi="宋体"/>
          <w:b/>
          <w:bCs/>
          <w:color w:val="auto"/>
          <w:kern w:val="0"/>
          <w:sz w:val="28"/>
          <w:szCs w:val="28"/>
        </w:rPr>
        <w:t xml:space="preserve">附件17  </w:t>
      </w:r>
      <w:r>
        <w:rPr>
          <w:rFonts w:hint="eastAsia" w:ascii="黑体" w:hAnsi="宋体" w:eastAsia="黑体"/>
          <w:b/>
          <w:bCs/>
          <w:color w:val="auto"/>
          <w:kern w:val="0"/>
          <w:sz w:val="28"/>
          <w:szCs w:val="28"/>
        </w:rPr>
        <w:t>技术服务方案</w:t>
      </w:r>
    </w:p>
    <w:p>
      <w:pPr>
        <w:pStyle w:val="46"/>
        <w:spacing w:line="360" w:lineRule="auto"/>
        <w:ind w:right="482"/>
        <w:rPr>
          <w:rFonts w:hAnsi="宋体"/>
          <w:color w:val="auto"/>
          <w:szCs w:val="21"/>
        </w:rPr>
      </w:pPr>
      <w:r>
        <w:rPr>
          <w:rFonts w:hint="eastAsia" w:hAnsi="宋体"/>
          <w:color w:val="auto"/>
          <w:szCs w:val="21"/>
        </w:rPr>
        <w:t>项目名称：</w:t>
      </w:r>
    </w:p>
    <w:p>
      <w:pPr>
        <w:pStyle w:val="46"/>
        <w:spacing w:line="360" w:lineRule="auto"/>
        <w:ind w:right="482"/>
        <w:rPr>
          <w:rFonts w:hAnsi="宋体" w:cs="宋体"/>
          <w:color w:val="auto"/>
          <w:szCs w:val="21"/>
        </w:rPr>
      </w:pPr>
      <w:r>
        <w:rPr>
          <w:rFonts w:hint="eastAsia" w:hAnsi="宋体" w:cs="宋体"/>
          <w:color w:val="auto"/>
          <w:szCs w:val="21"/>
        </w:rPr>
        <w:t>项目编号：</w:t>
      </w:r>
    </w:p>
    <w:p>
      <w:pPr>
        <w:spacing w:line="360" w:lineRule="auto"/>
        <w:rPr>
          <w:rFonts w:ascii="黑体" w:hAnsi="宋体" w:eastAsia="黑体"/>
          <w:b/>
          <w:bCs/>
          <w:color w:val="auto"/>
          <w:kern w:val="0"/>
          <w:sz w:val="28"/>
          <w:szCs w:val="28"/>
        </w:rPr>
      </w:pPr>
    </w:p>
    <w:p>
      <w:pPr>
        <w:spacing w:line="360" w:lineRule="auto"/>
        <w:ind w:left="618" w:hanging="618"/>
        <w:rPr>
          <w:rFonts w:ascii="宋体" w:hAnsi="宋体"/>
          <w:bCs/>
          <w:color w:val="auto"/>
          <w:szCs w:val="21"/>
        </w:rPr>
      </w:pPr>
      <w:r>
        <w:rPr>
          <w:rFonts w:hint="eastAsia" w:ascii="宋体" w:hAnsi="宋体"/>
          <w:bCs/>
          <w:color w:val="auto"/>
          <w:szCs w:val="21"/>
        </w:rPr>
        <w:t>[说明]供应商应按照竞争性磋商文件的要求，根据采购人需求要求内容做出全面响应并编制服务方案。其内容应包括但不限于：</w:t>
      </w:r>
    </w:p>
    <w:p>
      <w:pPr>
        <w:spacing w:line="360" w:lineRule="auto"/>
        <w:ind w:left="618" w:hanging="618"/>
        <w:rPr>
          <w:rFonts w:ascii="宋体" w:hAnsi="宋体"/>
          <w:bCs/>
          <w:color w:val="auto"/>
          <w:szCs w:val="21"/>
        </w:rPr>
      </w:pPr>
    </w:p>
    <w:p>
      <w:pPr>
        <w:spacing w:line="360" w:lineRule="auto"/>
        <w:ind w:left="420" w:leftChars="200" w:firstLine="105" w:firstLineChars="50"/>
        <w:rPr>
          <w:rFonts w:ascii="宋体" w:hAnsi="宋体"/>
          <w:bCs/>
          <w:color w:val="auto"/>
          <w:szCs w:val="21"/>
        </w:rPr>
      </w:pPr>
      <w:r>
        <w:rPr>
          <w:rFonts w:hint="eastAsia" w:ascii="宋体" w:hAnsi="宋体"/>
          <w:bCs/>
          <w:color w:val="auto"/>
          <w:szCs w:val="21"/>
        </w:rPr>
        <w:t xml:space="preserve">(1) </w:t>
      </w:r>
      <w:r>
        <w:rPr>
          <w:rFonts w:hint="eastAsia" w:ascii="宋体" w:hAnsi="宋体" w:cs="宋体"/>
          <w:color w:val="auto"/>
        </w:rPr>
        <w:t>对招标文件的响应程度</w:t>
      </w:r>
      <w:r>
        <w:rPr>
          <w:rFonts w:hint="eastAsia" w:ascii="宋体" w:hAnsi="宋体"/>
          <w:bCs/>
          <w:color w:val="auto"/>
          <w:szCs w:val="21"/>
        </w:rPr>
        <w:t>；</w:t>
      </w:r>
    </w:p>
    <w:p>
      <w:pPr>
        <w:spacing w:line="360" w:lineRule="auto"/>
        <w:ind w:left="420"/>
        <w:rPr>
          <w:rFonts w:ascii="宋体" w:hAnsi="宋体"/>
          <w:bCs/>
          <w:color w:val="auto"/>
          <w:szCs w:val="21"/>
        </w:rPr>
      </w:pPr>
      <w:r>
        <w:rPr>
          <w:rFonts w:hint="eastAsia" w:ascii="宋体" w:hAnsi="宋体"/>
          <w:bCs/>
          <w:color w:val="auto"/>
          <w:szCs w:val="21"/>
        </w:rPr>
        <w:t>（2）</w:t>
      </w:r>
      <w:r>
        <w:rPr>
          <w:rFonts w:hint="eastAsia" w:ascii="宋体" w:hAnsi="宋体" w:cs="宋体"/>
          <w:color w:val="auto"/>
        </w:rPr>
        <w:t>项目实施能力</w:t>
      </w:r>
      <w:r>
        <w:rPr>
          <w:rFonts w:hint="eastAsia" w:ascii="宋体" w:hAnsi="宋体"/>
          <w:bCs/>
          <w:color w:val="auto"/>
          <w:szCs w:val="21"/>
        </w:rPr>
        <w:t>；</w:t>
      </w:r>
    </w:p>
    <w:p>
      <w:pPr>
        <w:spacing w:line="360" w:lineRule="auto"/>
        <w:ind w:left="420"/>
        <w:rPr>
          <w:rFonts w:ascii="宋体" w:hAnsi="宋体"/>
          <w:bCs/>
          <w:color w:val="auto"/>
          <w:szCs w:val="21"/>
        </w:rPr>
      </w:pPr>
      <w:r>
        <w:rPr>
          <w:rFonts w:hint="eastAsia" w:ascii="宋体" w:hAnsi="宋体"/>
          <w:bCs/>
          <w:color w:val="auto"/>
          <w:szCs w:val="21"/>
        </w:rPr>
        <w:t xml:space="preserve"> (3) </w:t>
      </w:r>
      <w:r>
        <w:rPr>
          <w:rFonts w:hint="eastAsia" w:ascii="宋体" w:hAnsi="宋体" w:cs="宋体"/>
          <w:color w:val="auto"/>
        </w:rPr>
        <w:t>项目实施计划</w:t>
      </w:r>
      <w:r>
        <w:rPr>
          <w:rFonts w:hint="eastAsia" w:ascii="宋体" w:hAnsi="宋体"/>
          <w:bCs/>
          <w:color w:val="auto"/>
          <w:szCs w:val="21"/>
        </w:rPr>
        <w:t>；</w:t>
      </w:r>
    </w:p>
    <w:p>
      <w:pPr>
        <w:spacing w:line="360" w:lineRule="auto"/>
        <w:ind w:left="420"/>
        <w:rPr>
          <w:rFonts w:ascii="宋体" w:hAnsi="宋体"/>
          <w:bCs/>
          <w:color w:val="auto"/>
          <w:szCs w:val="21"/>
        </w:rPr>
      </w:pPr>
      <w:r>
        <w:rPr>
          <w:rFonts w:hint="eastAsia" w:ascii="宋体" w:hAnsi="宋体"/>
          <w:bCs/>
          <w:color w:val="auto"/>
          <w:szCs w:val="21"/>
        </w:rPr>
        <w:t>（4）</w:t>
      </w:r>
      <w:r>
        <w:rPr>
          <w:rFonts w:hint="eastAsia" w:ascii="宋体" w:hAnsi="宋体" w:cs="宋体"/>
          <w:color w:val="auto"/>
        </w:rPr>
        <w:t>质量控制</w:t>
      </w:r>
      <w:r>
        <w:rPr>
          <w:rFonts w:hint="eastAsia" w:ascii="宋体" w:hAnsi="宋体"/>
          <w:bCs/>
          <w:color w:val="auto"/>
          <w:szCs w:val="21"/>
        </w:rPr>
        <w:t>；</w:t>
      </w:r>
    </w:p>
    <w:p>
      <w:pPr>
        <w:spacing w:line="360" w:lineRule="auto"/>
        <w:ind w:left="420"/>
        <w:rPr>
          <w:rFonts w:ascii="宋体" w:hAnsi="宋体"/>
          <w:bCs/>
          <w:color w:val="auto"/>
          <w:szCs w:val="21"/>
        </w:rPr>
      </w:pPr>
      <w:r>
        <w:rPr>
          <w:rFonts w:hint="eastAsia" w:ascii="宋体" w:hAnsi="宋体"/>
          <w:bCs/>
          <w:color w:val="auto"/>
          <w:szCs w:val="21"/>
        </w:rPr>
        <w:t>（5）保障措施；</w:t>
      </w:r>
    </w:p>
    <w:p>
      <w:pPr>
        <w:spacing w:line="360" w:lineRule="auto"/>
        <w:ind w:left="420"/>
        <w:rPr>
          <w:rFonts w:ascii="宋体" w:hAnsi="宋体"/>
          <w:bCs/>
          <w:color w:val="auto"/>
          <w:szCs w:val="21"/>
        </w:rPr>
      </w:pPr>
      <w:r>
        <w:rPr>
          <w:rFonts w:hint="eastAsia" w:ascii="宋体" w:hAnsi="宋体"/>
          <w:bCs/>
          <w:color w:val="auto"/>
          <w:szCs w:val="21"/>
        </w:rPr>
        <w:t>（6）工期；</w:t>
      </w:r>
    </w:p>
    <w:p>
      <w:pPr>
        <w:spacing w:line="360" w:lineRule="auto"/>
        <w:ind w:left="420"/>
        <w:rPr>
          <w:rFonts w:ascii="宋体" w:hAnsi="宋体"/>
          <w:bCs/>
          <w:color w:val="auto"/>
          <w:szCs w:val="21"/>
        </w:rPr>
      </w:pPr>
      <w:r>
        <w:rPr>
          <w:rFonts w:hint="eastAsia" w:ascii="宋体" w:hAnsi="宋体"/>
          <w:bCs/>
          <w:color w:val="auto"/>
          <w:szCs w:val="21"/>
        </w:rPr>
        <w:t>（7）项目团队人员情况。</w:t>
      </w:r>
    </w:p>
    <w:p>
      <w:pPr>
        <w:spacing w:line="360" w:lineRule="auto"/>
        <w:ind w:firstLine="482" w:firstLineChars="200"/>
        <w:rPr>
          <w:rFonts w:ascii="宋体" w:hAnsi="宋体"/>
          <w:b/>
          <w:color w:val="auto"/>
          <w:sz w:val="24"/>
        </w:rPr>
      </w:pPr>
    </w:p>
    <w:p>
      <w:pPr>
        <w:spacing w:line="360" w:lineRule="auto"/>
        <w:ind w:firstLine="480"/>
        <w:rPr>
          <w:rFonts w:ascii="宋体" w:hAnsi="宋体"/>
          <w:b/>
          <w:color w:val="auto"/>
          <w:sz w:val="24"/>
        </w:rPr>
      </w:pPr>
    </w:p>
    <w:p>
      <w:pPr>
        <w:spacing w:line="360" w:lineRule="auto"/>
        <w:ind w:firstLine="4956" w:firstLineChars="2360"/>
        <w:rPr>
          <w:rFonts w:ascii="宋体" w:hAnsi="宋体"/>
          <w:color w:val="auto"/>
          <w:szCs w:val="21"/>
        </w:rPr>
      </w:pPr>
      <w:r>
        <w:rPr>
          <w:rFonts w:hint="eastAsia" w:ascii="宋体" w:hAnsi="宋体" w:cs="宋体"/>
          <w:color w:val="auto"/>
          <w:kern w:val="0"/>
          <w:szCs w:val="21"/>
        </w:rPr>
        <w:t>供应商</w:t>
      </w:r>
      <w:r>
        <w:rPr>
          <w:rFonts w:hint="eastAsia" w:ascii="宋体" w:hAnsi="宋体"/>
          <w:color w:val="auto"/>
          <w:szCs w:val="21"/>
        </w:rPr>
        <w:t>全称（盖公章）：</w:t>
      </w:r>
    </w:p>
    <w:p>
      <w:pPr>
        <w:spacing w:line="360" w:lineRule="auto"/>
        <w:ind w:right="420" w:firstLine="4935" w:firstLineChars="2350"/>
        <w:rPr>
          <w:rFonts w:ascii="宋体" w:hAnsi="宋体"/>
          <w:color w:val="auto"/>
          <w:szCs w:val="21"/>
        </w:rPr>
      </w:pPr>
      <w:r>
        <w:rPr>
          <w:rFonts w:hint="eastAsia" w:ascii="宋体" w:hAnsi="宋体"/>
          <w:color w:val="auto"/>
          <w:szCs w:val="21"/>
        </w:rPr>
        <w:t>法定代表人或磋商授权代表（签字或签章）：</w:t>
      </w:r>
    </w:p>
    <w:p>
      <w:pPr>
        <w:spacing w:line="360" w:lineRule="auto"/>
        <w:jc w:val="center"/>
        <w:rPr>
          <w:rFonts w:ascii="宋体" w:hAnsi="宋体"/>
          <w:b/>
          <w:bCs/>
          <w:color w:val="auto"/>
          <w:kern w:val="0"/>
          <w:sz w:val="28"/>
          <w:szCs w:val="28"/>
        </w:rPr>
      </w:pPr>
      <w:r>
        <w:rPr>
          <w:rFonts w:hint="eastAsia" w:ascii="宋体" w:hAnsi="宋体"/>
          <w:color w:val="auto"/>
          <w:szCs w:val="21"/>
        </w:rPr>
        <w:t xml:space="preserve">                               日    期： 2020年  月  日</w:t>
      </w:r>
    </w:p>
    <w:p>
      <w:pPr>
        <w:spacing w:line="360" w:lineRule="auto"/>
        <w:rPr>
          <w:rFonts w:ascii="宋体" w:hAnsi="宋体"/>
          <w:b/>
          <w:bCs/>
          <w:color w:val="auto"/>
          <w:kern w:val="0"/>
          <w:sz w:val="28"/>
          <w:szCs w:val="28"/>
        </w:rPr>
      </w:pPr>
    </w:p>
    <w:p>
      <w:pPr>
        <w:spacing w:line="360" w:lineRule="auto"/>
        <w:rPr>
          <w:rFonts w:ascii="宋体" w:hAnsi="宋体"/>
          <w:b/>
          <w:bCs/>
          <w:color w:val="auto"/>
          <w:kern w:val="0"/>
          <w:sz w:val="28"/>
          <w:szCs w:val="28"/>
        </w:rPr>
      </w:pPr>
    </w:p>
    <w:p>
      <w:pPr>
        <w:spacing w:line="360" w:lineRule="auto"/>
        <w:rPr>
          <w:rFonts w:ascii="宋体" w:hAnsi="宋体"/>
          <w:b/>
          <w:bCs/>
          <w:color w:val="auto"/>
          <w:kern w:val="0"/>
          <w:sz w:val="28"/>
          <w:szCs w:val="28"/>
        </w:rPr>
      </w:pPr>
    </w:p>
    <w:p>
      <w:pPr>
        <w:spacing w:line="360" w:lineRule="auto"/>
        <w:rPr>
          <w:rFonts w:ascii="宋体" w:hAnsi="宋体"/>
          <w:b/>
          <w:bCs/>
          <w:color w:val="auto"/>
          <w:kern w:val="0"/>
          <w:sz w:val="28"/>
          <w:szCs w:val="28"/>
        </w:rPr>
      </w:pPr>
    </w:p>
    <w:p>
      <w:pPr>
        <w:spacing w:line="360" w:lineRule="auto"/>
        <w:rPr>
          <w:rFonts w:ascii="宋体" w:hAnsi="宋体"/>
          <w:b/>
          <w:bCs/>
          <w:color w:val="auto"/>
          <w:kern w:val="0"/>
          <w:sz w:val="28"/>
          <w:szCs w:val="28"/>
        </w:rPr>
      </w:pPr>
    </w:p>
    <w:p>
      <w:pPr>
        <w:spacing w:line="360" w:lineRule="auto"/>
        <w:rPr>
          <w:rFonts w:ascii="宋体" w:hAnsi="宋体"/>
          <w:b/>
          <w:bCs/>
          <w:color w:val="auto"/>
          <w:kern w:val="0"/>
          <w:sz w:val="28"/>
          <w:szCs w:val="28"/>
        </w:rPr>
      </w:pPr>
    </w:p>
    <w:p>
      <w:pPr>
        <w:spacing w:line="360" w:lineRule="auto"/>
        <w:rPr>
          <w:rFonts w:ascii="宋体" w:hAnsi="宋体"/>
          <w:b/>
          <w:bCs/>
          <w:color w:val="auto"/>
          <w:kern w:val="0"/>
          <w:sz w:val="28"/>
          <w:szCs w:val="28"/>
        </w:rPr>
      </w:pPr>
    </w:p>
    <w:p>
      <w:pPr>
        <w:spacing w:line="360" w:lineRule="auto"/>
        <w:rPr>
          <w:rFonts w:ascii="宋体" w:hAnsi="宋体"/>
          <w:b/>
          <w:bCs/>
          <w:color w:val="auto"/>
          <w:kern w:val="0"/>
          <w:sz w:val="28"/>
          <w:szCs w:val="28"/>
        </w:rPr>
      </w:pPr>
    </w:p>
    <w:p>
      <w:pPr>
        <w:spacing w:line="360" w:lineRule="auto"/>
        <w:rPr>
          <w:rFonts w:ascii="宋体" w:hAnsi="宋体"/>
          <w:b/>
          <w:bCs/>
          <w:color w:val="auto"/>
          <w:kern w:val="0"/>
          <w:sz w:val="28"/>
          <w:szCs w:val="28"/>
        </w:rPr>
      </w:pPr>
    </w:p>
    <w:p>
      <w:pPr>
        <w:spacing w:line="360" w:lineRule="auto"/>
        <w:rPr>
          <w:rFonts w:ascii="宋体" w:hAnsi="宋体"/>
          <w:b/>
          <w:bCs/>
          <w:color w:val="auto"/>
          <w:kern w:val="0"/>
          <w:sz w:val="28"/>
          <w:szCs w:val="28"/>
        </w:rPr>
      </w:pPr>
    </w:p>
    <w:p>
      <w:pPr>
        <w:spacing w:line="360" w:lineRule="auto"/>
        <w:rPr>
          <w:rFonts w:ascii="宋体" w:hAnsi="宋体"/>
          <w:b/>
          <w:bCs/>
          <w:color w:val="auto"/>
          <w:kern w:val="0"/>
          <w:sz w:val="28"/>
          <w:szCs w:val="28"/>
        </w:rPr>
      </w:pPr>
    </w:p>
    <w:p>
      <w:pPr>
        <w:spacing w:line="360" w:lineRule="auto"/>
        <w:rPr>
          <w:rFonts w:ascii="宋体" w:hAnsi="宋体"/>
          <w:b/>
          <w:bCs/>
          <w:color w:val="auto"/>
          <w:kern w:val="0"/>
          <w:sz w:val="28"/>
          <w:szCs w:val="28"/>
        </w:rPr>
      </w:pPr>
    </w:p>
    <w:p>
      <w:pPr>
        <w:widowControl/>
        <w:jc w:val="left"/>
        <w:rPr>
          <w:rFonts w:ascii="宋体" w:hAnsi="宋体"/>
          <w:color w:val="auto"/>
        </w:rPr>
      </w:pPr>
      <w:r>
        <w:rPr>
          <w:rFonts w:hint="eastAsia" w:ascii="宋体" w:hAnsi="宋体"/>
          <w:b/>
          <w:bCs/>
          <w:color w:val="auto"/>
          <w:kern w:val="0"/>
          <w:sz w:val="28"/>
          <w:szCs w:val="28"/>
        </w:rPr>
        <w:t>附件18  缴交采购代理服务费承诺书</w:t>
      </w:r>
    </w:p>
    <w:p>
      <w:pPr>
        <w:spacing w:line="360" w:lineRule="auto"/>
        <w:rPr>
          <w:rFonts w:ascii="宋体" w:hAnsi="宋体"/>
          <w:b/>
          <w:bCs/>
          <w:color w:val="auto"/>
          <w:kern w:val="0"/>
          <w:sz w:val="28"/>
          <w:szCs w:val="28"/>
        </w:rPr>
      </w:pPr>
    </w:p>
    <w:p>
      <w:pPr>
        <w:spacing w:line="360" w:lineRule="auto"/>
        <w:rPr>
          <w:rFonts w:ascii="宋体" w:hAnsi="宋体"/>
          <w:color w:val="auto"/>
          <w:szCs w:val="21"/>
        </w:rPr>
      </w:pPr>
      <w:r>
        <w:rPr>
          <w:rFonts w:hint="eastAsia" w:ascii="宋体" w:hAnsi="宋体"/>
          <w:color w:val="auto"/>
          <w:szCs w:val="21"/>
        </w:rPr>
        <w:t>致：广州市信怡招标代理有限公司</w:t>
      </w:r>
    </w:p>
    <w:p>
      <w:pPr>
        <w:spacing w:line="360" w:lineRule="auto"/>
        <w:ind w:firstLine="420" w:firstLineChars="200"/>
        <w:rPr>
          <w:rFonts w:ascii="宋体" w:hAnsi="宋体"/>
          <w:color w:val="auto"/>
          <w:szCs w:val="21"/>
        </w:rPr>
      </w:pPr>
    </w:p>
    <w:p>
      <w:pPr>
        <w:spacing w:line="360" w:lineRule="auto"/>
        <w:ind w:firstLine="420" w:firstLineChars="200"/>
        <w:rPr>
          <w:rFonts w:ascii="宋体" w:hAnsi="宋体"/>
          <w:color w:val="auto"/>
          <w:szCs w:val="21"/>
        </w:rPr>
      </w:pPr>
      <w:r>
        <w:rPr>
          <w:rFonts w:hint="eastAsia" w:ascii="宋体" w:hAnsi="宋体"/>
          <w:color w:val="auto"/>
          <w:szCs w:val="21"/>
        </w:rPr>
        <w:t>如果我方在贵公司组织的项目名称：</w:t>
      </w:r>
      <w:r>
        <w:rPr>
          <w:rFonts w:hint="eastAsia" w:ascii="宋体" w:hAnsi="宋体"/>
          <w:color w:val="auto"/>
          <w:szCs w:val="21"/>
          <w:u w:val="single"/>
        </w:rPr>
        <w:t xml:space="preserve">      项目名称     </w:t>
      </w:r>
      <w:r>
        <w:rPr>
          <w:rFonts w:hint="eastAsia" w:ascii="宋体" w:hAnsi="宋体"/>
          <w:color w:val="auto"/>
          <w:szCs w:val="21"/>
        </w:rPr>
        <w:t>（项目编号：</w:t>
      </w:r>
      <w:r>
        <w:rPr>
          <w:rFonts w:hint="eastAsia" w:ascii="宋体" w:hAnsi="宋体"/>
          <w:color w:val="auto"/>
          <w:szCs w:val="21"/>
          <w:u w:val="single"/>
        </w:rPr>
        <w:t xml:space="preserve">   项目编号    </w:t>
      </w:r>
      <w:r>
        <w:rPr>
          <w:rFonts w:hint="eastAsia" w:ascii="宋体" w:hAnsi="宋体"/>
          <w:color w:val="auto"/>
          <w:szCs w:val="21"/>
        </w:rPr>
        <w:t>）磋商采购项目中被确定为成交候选人，</w:t>
      </w:r>
      <w:r>
        <w:rPr>
          <w:rFonts w:hint="eastAsia" w:ascii="宋体" w:hAnsi="宋体" w:cs="宋体"/>
          <w:color w:val="auto"/>
          <w:szCs w:val="21"/>
        </w:rPr>
        <w:t>我方保证在收到《中标通知书》前，</w:t>
      </w:r>
      <w:r>
        <w:rPr>
          <w:rFonts w:hint="eastAsia" w:ascii="宋体" w:hAnsi="宋体"/>
          <w:color w:val="auto"/>
          <w:szCs w:val="21"/>
        </w:rPr>
        <w:t>按照磋商文件的规定向贵公司交纳采购代理服务费。</w:t>
      </w:r>
    </w:p>
    <w:p>
      <w:pPr>
        <w:spacing w:line="360" w:lineRule="auto"/>
        <w:ind w:firstLine="420" w:firstLineChars="200"/>
        <w:rPr>
          <w:rFonts w:ascii="宋体" w:hAnsi="宋体"/>
          <w:color w:val="auto"/>
          <w:szCs w:val="21"/>
        </w:rPr>
      </w:pPr>
      <w:r>
        <w:rPr>
          <w:rFonts w:hint="eastAsia" w:ascii="宋体" w:hAnsi="宋体"/>
          <w:color w:val="auto"/>
          <w:szCs w:val="21"/>
        </w:rPr>
        <w:t>我方如违约，愿凭贵公司开出的违约通知，按上述承诺金额的200％在采购人与我方签订的采购合同款项中扣付，并在此同意和要求采购人（应广州市信怡招标代理有限公司的要求）办理支付手续。</w:t>
      </w:r>
    </w:p>
    <w:p>
      <w:pPr>
        <w:spacing w:line="360" w:lineRule="auto"/>
        <w:ind w:firstLine="420" w:firstLineChars="200"/>
        <w:rPr>
          <w:rFonts w:ascii="宋体" w:hAnsi="宋体"/>
          <w:color w:val="auto"/>
          <w:szCs w:val="21"/>
        </w:rPr>
      </w:pPr>
    </w:p>
    <w:p>
      <w:pPr>
        <w:spacing w:line="360" w:lineRule="auto"/>
        <w:ind w:firstLine="420" w:firstLineChars="200"/>
        <w:rPr>
          <w:rFonts w:ascii="宋体" w:hAnsi="宋体"/>
          <w:color w:val="auto"/>
          <w:szCs w:val="21"/>
        </w:rPr>
      </w:pPr>
      <w:r>
        <w:rPr>
          <w:rFonts w:hint="eastAsia" w:ascii="宋体" w:hAnsi="宋体"/>
          <w:color w:val="auto"/>
          <w:szCs w:val="21"/>
        </w:rPr>
        <w:t>特此承诺！</w:t>
      </w:r>
    </w:p>
    <w:p>
      <w:pPr>
        <w:spacing w:line="360" w:lineRule="auto"/>
        <w:ind w:left="4700" w:leftChars="2238"/>
        <w:rPr>
          <w:rFonts w:ascii="宋体" w:hAnsi="宋体"/>
          <w:color w:val="auto"/>
          <w:szCs w:val="21"/>
        </w:rPr>
      </w:pPr>
    </w:p>
    <w:p>
      <w:pPr>
        <w:spacing w:line="360" w:lineRule="auto"/>
        <w:ind w:firstLine="3990" w:firstLineChars="1900"/>
        <w:rPr>
          <w:rFonts w:ascii="宋体" w:hAnsi="宋体"/>
          <w:color w:val="auto"/>
          <w:szCs w:val="21"/>
        </w:rPr>
      </w:pPr>
      <w:r>
        <w:rPr>
          <w:rFonts w:hint="eastAsia" w:ascii="宋体" w:hAnsi="宋体" w:cs="宋体"/>
          <w:color w:val="auto"/>
          <w:kern w:val="0"/>
          <w:szCs w:val="21"/>
        </w:rPr>
        <w:t>供应商</w:t>
      </w:r>
      <w:r>
        <w:rPr>
          <w:rFonts w:hint="eastAsia" w:ascii="宋体" w:hAnsi="宋体"/>
          <w:color w:val="auto"/>
          <w:szCs w:val="21"/>
        </w:rPr>
        <w:t>全称（加盖公章）；</w:t>
      </w:r>
    </w:p>
    <w:p>
      <w:pPr>
        <w:spacing w:line="360" w:lineRule="auto"/>
        <w:ind w:left="3986" w:leftChars="1898"/>
        <w:rPr>
          <w:rFonts w:ascii="宋体" w:hAnsi="宋体"/>
          <w:color w:val="auto"/>
          <w:szCs w:val="21"/>
        </w:rPr>
      </w:pPr>
      <w:r>
        <w:rPr>
          <w:rFonts w:hint="eastAsia" w:ascii="宋体" w:hAnsi="宋体" w:cs="宋体"/>
          <w:color w:val="auto"/>
          <w:kern w:val="0"/>
          <w:szCs w:val="21"/>
        </w:rPr>
        <w:t>供应商</w:t>
      </w:r>
      <w:r>
        <w:rPr>
          <w:rFonts w:hint="eastAsia" w:ascii="宋体" w:hAnsi="宋体"/>
          <w:color w:val="auto"/>
          <w:szCs w:val="21"/>
        </w:rPr>
        <w:t>法定地址：</w:t>
      </w:r>
    </w:p>
    <w:p>
      <w:pPr>
        <w:spacing w:line="360" w:lineRule="auto"/>
        <w:ind w:firstLine="3990" w:firstLineChars="1900"/>
        <w:rPr>
          <w:rFonts w:ascii="宋体" w:hAnsi="宋体"/>
          <w:color w:val="auto"/>
          <w:szCs w:val="21"/>
        </w:rPr>
      </w:pPr>
      <w:r>
        <w:rPr>
          <w:rFonts w:hint="eastAsia" w:ascii="宋体" w:hAnsi="宋体"/>
          <w:color w:val="auto"/>
          <w:szCs w:val="21"/>
        </w:rPr>
        <w:t>法定代表或其授权代表</w:t>
      </w:r>
      <w:r>
        <w:rPr>
          <w:rFonts w:hint="eastAsia" w:ascii="宋体" w:hAnsi="宋体"/>
          <w:bCs/>
          <w:color w:val="auto"/>
          <w:szCs w:val="21"/>
        </w:rPr>
        <w:t>(</w:t>
      </w:r>
      <w:r>
        <w:rPr>
          <w:rFonts w:hint="eastAsia" w:ascii="宋体" w:hAnsi="宋体"/>
          <w:color w:val="auto"/>
          <w:szCs w:val="21"/>
        </w:rPr>
        <w:t>签字或签章</w:t>
      </w:r>
      <w:r>
        <w:rPr>
          <w:rFonts w:hint="eastAsia" w:ascii="宋体" w:hAnsi="宋体"/>
          <w:bCs/>
          <w:color w:val="auto"/>
          <w:szCs w:val="21"/>
        </w:rPr>
        <w:t>)</w:t>
      </w:r>
      <w:r>
        <w:rPr>
          <w:rFonts w:hint="eastAsia" w:ascii="宋体" w:hAnsi="宋体"/>
          <w:color w:val="auto"/>
          <w:szCs w:val="21"/>
        </w:rPr>
        <w:t>：</w:t>
      </w:r>
    </w:p>
    <w:p>
      <w:pPr>
        <w:spacing w:line="360" w:lineRule="auto"/>
        <w:ind w:firstLine="3990" w:firstLineChars="1900"/>
        <w:rPr>
          <w:rFonts w:ascii="宋体" w:hAnsi="宋体"/>
          <w:color w:val="auto"/>
          <w:szCs w:val="21"/>
        </w:rPr>
      </w:pPr>
      <w:r>
        <w:rPr>
          <w:rFonts w:hint="eastAsia" w:ascii="宋体" w:hAnsi="宋体"/>
          <w:color w:val="auto"/>
          <w:szCs w:val="21"/>
        </w:rPr>
        <w:t>电    话：</w:t>
      </w:r>
    </w:p>
    <w:p>
      <w:pPr>
        <w:spacing w:line="360" w:lineRule="auto"/>
        <w:ind w:firstLine="3990" w:firstLineChars="1900"/>
        <w:rPr>
          <w:rFonts w:ascii="宋体" w:hAnsi="宋体"/>
          <w:color w:val="auto"/>
          <w:szCs w:val="21"/>
        </w:rPr>
      </w:pPr>
      <w:r>
        <w:rPr>
          <w:rFonts w:hint="eastAsia" w:ascii="宋体" w:hAnsi="宋体"/>
          <w:color w:val="auto"/>
          <w:szCs w:val="21"/>
        </w:rPr>
        <w:t>传    真：</w:t>
      </w:r>
    </w:p>
    <w:p>
      <w:pPr>
        <w:spacing w:line="360" w:lineRule="auto"/>
        <w:ind w:firstLine="3990" w:firstLineChars="1900"/>
        <w:rPr>
          <w:rFonts w:ascii="宋体" w:hAnsi="宋体"/>
          <w:color w:val="auto"/>
          <w:szCs w:val="21"/>
        </w:rPr>
      </w:pPr>
      <w:r>
        <w:rPr>
          <w:rFonts w:hint="eastAsia" w:ascii="宋体" w:hAnsi="宋体"/>
          <w:color w:val="auto"/>
          <w:szCs w:val="21"/>
        </w:rPr>
        <w:t>承诺日期：</w:t>
      </w:r>
      <w:r>
        <w:rPr>
          <w:rFonts w:hint="eastAsia" w:ascii="宋体" w:hAnsi="宋体"/>
          <w:bCs/>
          <w:color w:val="auto"/>
          <w:szCs w:val="21"/>
        </w:rPr>
        <w:t>2020年  月  日</w:t>
      </w:r>
    </w:p>
    <w:p>
      <w:pPr>
        <w:pStyle w:val="46"/>
        <w:spacing w:line="360" w:lineRule="auto"/>
        <w:jc w:val="right"/>
        <w:rPr>
          <w:rFonts w:hAnsi="宋体"/>
          <w:bCs/>
          <w:color w:val="auto"/>
          <w:szCs w:val="21"/>
        </w:rPr>
      </w:pPr>
    </w:p>
    <w:p>
      <w:pPr>
        <w:pStyle w:val="46"/>
        <w:spacing w:line="360" w:lineRule="auto"/>
        <w:rPr>
          <w:rFonts w:hAnsi="宋体"/>
          <w:bCs/>
          <w:color w:val="auto"/>
          <w:szCs w:val="21"/>
        </w:rPr>
      </w:pPr>
    </w:p>
    <w:p>
      <w:pPr>
        <w:pStyle w:val="46"/>
        <w:spacing w:line="360" w:lineRule="auto"/>
        <w:rPr>
          <w:rFonts w:hAnsi="宋体"/>
          <w:bCs/>
          <w:color w:val="auto"/>
          <w:szCs w:val="21"/>
        </w:rPr>
      </w:pPr>
    </w:p>
    <w:p>
      <w:pPr>
        <w:pStyle w:val="46"/>
        <w:spacing w:line="360" w:lineRule="auto"/>
        <w:rPr>
          <w:rFonts w:hAnsi="宋体"/>
          <w:bCs/>
          <w:color w:val="auto"/>
        </w:rPr>
      </w:pPr>
    </w:p>
    <w:p>
      <w:pPr>
        <w:pStyle w:val="46"/>
        <w:spacing w:line="360" w:lineRule="auto"/>
        <w:rPr>
          <w:rFonts w:hAnsi="宋体"/>
          <w:bCs/>
          <w:color w:val="auto"/>
        </w:rPr>
      </w:pPr>
    </w:p>
    <w:p>
      <w:pPr>
        <w:pStyle w:val="46"/>
        <w:spacing w:line="360" w:lineRule="auto"/>
        <w:rPr>
          <w:rFonts w:hAnsi="宋体"/>
          <w:bCs/>
          <w:color w:val="auto"/>
        </w:rPr>
      </w:pPr>
    </w:p>
    <w:p>
      <w:pPr>
        <w:pStyle w:val="46"/>
        <w:spacing w:line="360" w:lineRule="auto"/>
        <w:rPr>
          <w:rFonts w:hAnsi="宋体"/>
          <w:bCs/>
          <w:color w:val="auto"/>
        </w:rPr>
      </w:pPr>
    </w:p>
    <w:p>
      <w:pPr>
        <w:spacing w:line="360" w:lineRule="auto"/>
        <w:rPr>
          <w:rFonts w:ascii="宋体" w:hAnsi="宋体"/>
          <w:b/>
          <w:bCs/>
          <w:color w:val="auto"/>
          <w:kern w:val="0"/>
          <w:sz w:val="28"/>
          <w:szCs w:val="28"/>
        </w:rPr>
      </w:pPr>
    </w:p>
    <w:p>
      <w:pPr>
        <w:spacing w:line="360" w:lineRule="auto"/>
        <w:rPr>
          <w:rFonts w:ascii="宋体" w:hAnsi="宋体"/>
          <w:b/>
          <w:bCs/>
          <w:color w:val="auto"/>
          <w:kern w:val="0"/>
          <w:sz w:val="28"/>
          <w:szCs w:val="28"/>
        </w:rPr>
      </w:pPr>
    </w:p>
    <w:p>
      <w:pPr>
        <w:spacing w:line="360" w:lineRule="auto"/>
        <w:rPr>
          <w:rFonts w:ascii="宋体" w:hAnsi="宋体"/>
          <w:b/>
          <w:bCs/>
          <w:color w:val="auto"/>
          <w:kern w:val="0"/>
          <w:sz w:val="28"/>
          <w:szCs w:val="28"/>
        </w:rPr>
      </w:pPr>
    </w:p>
    <w:p>
      <w:pPr>
        <w:spacing w:line="360" w:lineRule="auto"/>
        <w:rPr>
          <w:rFonts w:ascii="宋体" w:hAnsi="宋体"/>
          <w:b/>
          <w:bCs/>
          <w:color w:val="auto"/>
          <w:kern w:val="0"/>
          <w:sz w:val="28"/>
          <w:szCs w:val="28"/>
        </w:rPr>
      </w:pPr>
    </w:p>
    <w:p>
      <w:pPr>
        <w:spacing w:line="360" w:lineRule="auto"/>
        <w:rPr>
          <w:rFonts w:ascii="宋体" w:hAnsi="宋体"/>
          <w:b/>
          <w:bCs/>
          <w:color w:val="auto"/>
          <w:kern w:val="0"/>
          <w:sz w:val="28"/>
          <w:szCs w:val="28"/>
        </w:rPr>
      </w:pPr>
    </w:p>
    <w:p>
      <w:pPr>
        <w:spacing w:line="360" w:lineRule="auto"/>
        <w:rPr>
          <w:rFonts w:ascii="宋体" w:hAnsi="宋体"/>
          <w:b/>
          <w:bCs/>
          <w:color w:val="auto"/>
          <w:kern w:val="0"/>
          <w:sz w:val="28"/>
          <w:szCs w:val="28"/>
        </w:rPr>
      </w:pPr>
    </w:p>
    <w:p>
      <w:pPr>
        <w:spacing w:line="360" w:lineRule="auto"/>
        <w:rPr>
          <w:rFonts w:ascii="宋体" w:hAnsi="宋体"/>
          <w:b/>
          <w:bCs/>
          <w:color w:val="auto"/>
          <w:kern w:val="0"/>
          <w:sz w:val="28"/>
          <w:szCs w:val="28"/>
        </w:rPr>
      </w:pPr>
    </w:p>
    <w:p>
      <w:pPr>
        <w:spacing w:line="360" w:lineRule="auto"/>
        <w:rPr>
          <w:rFonts w:ascii="宋体" w:hAnsi="宋体"/>
          <w:b/>
          <w:bCs/>
          <w:color w:val="auto"/>
          <w:kern w:val="0"/>
          <w:sz w:val="28"/>
          <w:szCs w:val="28"/>
        </w:rPr>
      </w:pPr>
      <w:r>
        <w:rPr>
          <w:rFonts w:hint="eastAsia" w:ascii="宋体" w:hAnsi="宋体"/>
          <w:b/>
          <w:bCs/>
          <w:color w:val="auto"/>
          <w:kern w:val="0"/>
          <w:sz w:val="28"/>
          <w:szCs w:val="28"/>
        </w:rPr>
        <w:t>附件19 拟派本项目负责人及主要人员情况表</w:t>
      </w:r>
    </w:p>
    <w:p>
      <w:pPr>
        <w:spacing w:line="360" w:lineRule="auto"/>
        <w:rPr>
          <w:rFonts w:ascii="宋体" w:hAnsi="宋体"/>
          <w:color w:val="auto"/>
          <w:szCs w:val="21"/>
        </w:rPr>
      </w:pPr>
      <w:r>
        <w:rPr>
          <w:rFonts w:hint="eastAsia" w:ascii="宋体" w:hAnsi="宋体" w:cs="Tahoma"/>
          <w:color w:val="auto"/>
          <w:szCs w:val="21"/>
        </w:rPr>
        <w:t>项目名称</w:t>
      </w:r>
      <w:r>
        <w:rPr>
          <w:rFonts w:hint="eastAsia" w:ascii="宋体" w:hAnsi="宋体" w:cs="Tahoma"/>
          <w:color w:val="auto"/>
          <w:kern w:val="28"/>
          <w:szCs w:val="21"/>
        </w:rPr>
        <w:t>：</w:t>
      </w:r>
    </w:p>
    <w:p>
      <w:pPr>
        <w:pStyle w:val="46"/>
        <w:spacing w:line="360" w:lineRule="auto"/>
        <w:rPr>
          <w:bCs/>
          <w:color w:val="auto"/>
          <w:szCs w:val="21"/>
        </w:rPr>
      </w:pPr>
      <w:r>
        <w:rPr>
          <w:rFonts w:hint="eastAsia" w:cs="Tahoma"/>
          <w:color w:val="auto"/>
          <w:szCs w:val="21"/>
        </w:rPr>
        <w:t>项目编号：</w:t>
      </w:r>
    </w:p>
    <w:tbl>
      <w:tblPr>
        <w:tblStyle w:val="9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71"/>
        <w:gridCol w:w="1071"/>
        <w:gridCol w:w="216"/>
        <w:gridCol w:w="660"/>
        <w:gridCol w:w="204"/>
        <w:gridCol w:w="461"/>
        <w:gridCol w:w="619"/>
        <w:gridCol w:w="894"/>
        <w:gridCol w:w="184"/>
        <w:gridCol w:w="329"/>
        <w:gridCol w:w="774"/>
        <w:gridCol w:w="694"/>
        <w:gridCol w:w="152"/>
        <w:gridCol w:w="342"/>
        <w:gridCol w:w="1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8977" w:type="dxa"/>
            <w:gridSpan w:val="16"/>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 w:val="24"/>
              </w:rPr>
            </w:pPr>
            <w:r>
              <w:rPr>
                <w:rFonts w:hint="eastAsia"/>
                <w:color w:val="auto"/>
                <w:sz w:val="24"/>
              </w:rPr>
              <w:t>拟派项目经理资料情况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08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 w:val="24"/>
              </w:rPr>
            </w:pPr>
            <w:r>
              <w:rPr>
                <w:rFonts w:hint="eastAsia"/>
                <w:color w:val="auto"/>
                <w:sz w:val="24"/>
              </w:rPr>
              <w:t>姓名</w:t>
            </w:r>
          </w:p>
        </w:tc>
        <w:tc>
          <w:tcPr>
            <w:tcW w:w="128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 w:val="24"/>
              </w:rPr>
            </w:pPr>
          </w:p>
        </w:tc>
        <w:tc>
          <w:tcPr>
            <w:tcW w:w="1325"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 w:val="24"/>
              </w:rPr>
            </w:pPr>
            <w:r>
              <w:rPr>
                <w:rFonts w:hint="eastAsia"/>
                <w:color w:val="auto"/>
                <w:sz w:val="24"/>
              </w:rPr>
              <w:t>性别</w:t>
            </w:r>
          </w:p>
        </w:tc>
        <w:tc>
          <w:tcPr>
            <w:tcW w:w="169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 w:val="24"/>
              </w:rPr>
            </w:pPr>
          </w:p>
        </w:tc>
        <w:tc>
          <w:tcPr>
            <w:tcW w:w="179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 w:val="24"/>
              </w:rPr>
            </w:pPr>
            <w:r>
              <w:rPr>
                <w:rFonts w:hint="eastAsia"/>
                <w:color w:val="auto"/>
                <w:sz w:val="24"/>
              </w:rPr>
              <w:t>年龄</w:t>
            </w:r>
          </w:p>
        </w:tc>
        <w:tc>
          <w:tcPr>
            <w:tcW w:w="1782"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08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 w:val="24"/>
              </w:rPr>
            </w:pPr>
            <w:r>
              <w:rPr>
                <w:rFonts w:hint="eastAsia"/>
                <w:color w:val="auto"/>
                <w:sz w:val="24"/>
              </w:rPr>
              <w:t>职务</w:t>
            </w:r>
          </w:p>
        </w:tc>
        <w:tc>
          <w:tcPr>
            <w:tcW w:w="128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 w:val="24"/>
              </w:rPr>
            </w:pPr>
          </w:p>
        </w:tc>
        <w:tc>
          <w:tcPr>
            <w:tcW w:w="1325"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 w:val="24"/>
              </w:rPr>
            </w:pPr>
            <w:r>
              <w:rPr>
                <w:rFonts w:hint="eastAsia"/>
                <w:color w:val="auto"/>
                <w:sz w:val="24"/>
              </w:rPr>
              <w:t>职称</w:t>
            </w:r>
          </w:p>
        </w:tc>
        <w:tc>
          <w:tcPr>
            <w:tcW w:w="169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 w:val="24"/>
              </w:rPr>
            </w:pPr>
          </w:p>
        </w:tc>
        <w:tc>
          <w:tcPr>
            <w:tcW w:w="179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 w:val="24"/>
              </w:rPr>
            </w:pPr>
            <w:r>
              <w:rPr>
                <w:rFonts w:hint="eastAsia"/>
                <w:color w:val="auto"/>
                <w:sz w:val="24"/>
              </w:rPr>
              <w:t>学历</w:t>
            </w:r>
          </w:p>
        </w:tc>
        <w:tc>
          <w:tcPr>
            <w:tcW w:w="1782"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trPr>
        <w:tc>
          <w:tcPr>
            <w:tcW w:w="108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 w:val="24"/>
              </w:rPr>
            </w:pPr>
            <w:r>
              <w:rPr>
                <w:rFonts w:hint="eastAsia"/>
                <w:color w:val="auto"/>
                <w:sz w:val="24"/>
              </w:rPr>
              <w:t>电话</w:t>
            </w:r>
          </w:p>
        </w:tc>
        <w:tc>
          <w:tcPr>
            <w:tcW w:w="7888" w:type="dxa"/>
            <w:gridSpan w:val="14"/>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108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 w:val="24"/>
              </w:rPr>
            </w:pPr>
            <w:r>
              <w:rPr>
                <w:rFonts w:hint="eastAsia"/>
                <w:color w:val="auto"/>
                <w:sz w:val="24"/>
              </w:rPr>
              <w:t>参加工作时间</w:t>
            </w:r>
          </w:p>
        </w:tc>
        <w:tc>
          <w:tcPr>
            <w:tcW w:w="128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 w:val="24"/>
              </w:rPr>
            </w:pPr>
          </w:p>
        </w:tc>
        <w:tc>
          <w:tcPr>
            <w:tcW w:w="4819" w:type="dxa"/>
            <w:gridSpan w:val="9"/>
            <w:tcBorders>
              <w:top w:val="single" w:color="auto" w:sz="4" w:space="0"/>
              <w:left w:val="single" w:color="auto" w:sz="4" w:space="0"/>
              <w:bottom w:val="single" w:color="auto" w:sz="4" w:space="0"/>
              <w:right w:val="single" w:color="auto" w:sz="4" w:space="0"/>
            </w:tcBorders>
            <w:vAlign w:val="center"/>
          </w:tcPr>
          <w:p>
            <w:pPr>
              <w:pStyle w:val="158"/>
              <w:widowControl w:val="0"/>
              <w:pBdr>
                <w:bottom w:val="none" w:color="auto" w:sz="0" w:space="0"/>
                <w:right w:val="none" w:color="auto" w:sz="0" w:space="0"/>
              </w:pBdr>
              <w:spacing w:before="0" w:beforeAutospacing="0" w:after="0" w:afterAutospacing="0" w:line="360" w:lineRule="auto"/>
              <w:jc w:val="both"/>
              <w:rPr>
                <w:rFonts w:hint="default" w:ascii="Times New Roman" w:hAnsi="Times New Roman" w:eastAsia="宋体"/>
                <w:color w:val="auto"/>
                <w:kern w:val="2"/>
              </w:rPr>
            </w:pPr>
            <w:r>
              <w:rPr>
                <w:rFonts w:ascii="Times New Roman" w:hAnsi="Times New Roman" w:eastAsia="宋体"/>
                <w:color w:val="auto"/>
                <w:kern w:val="2"/>
              </w:rPr>
              <w:t>从事</w:t>
            </w:r>
            <w:r>
              <w:rPr>
                <w:rFonts w:ascii="宋体" w:eastAsia="宋体"/>
                <w:color w:val="auto"/>
              </w:rPr>
              <w:t>同类</w:t>
            </w:r>
            <w:r>
              <w:rPr>
                <w:rFonts w:ascii="Times New Roman" w:hAnsi="Times New Roman" w:eastAsia="宋体"/>
                <w:color w:val="auto"/>
                <w:kern w:val="2"/>
              </w:rPr>
              <w:t>项目负责人年限</w:t>
            </w:r>
          </w:p>
        </w:tc>
        <w:tc>
          <w:tcPr>
            <w:tcW w:w="1782"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trPr>
        <w:tc>
          <w:tcPr>
            <w:tcW w:w="108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 w:val="24"/>
              </w:rPr>
            </w:pPr>
            <w:r>
              <w:rPr>
                <w:rFonts w:hint="eastAsia"/>
                <w:color w:val="auto"/>
                <w:sz w:val="24"/>
              </w:rPr>
              <w:t>具有认证资质</w:t>
            </w:r>
          </w:p>
        </w:tc>
        <w:tc>
          <w:tcPr>
            <w:tcW w:w="7888" w:type="dxa"/>
            <w:gridSpan w:val="14"/>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8977" w:type="dxa"/>
            <w:gridSpan w:val="16"/>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 w:val="24"/>
              </w:rPr>
            </w:pPr>
            <w:r>
              <w:rPr>
                <w:rFonts w:hint="eastAsia"/>
                <w:color w:val="auto"/>
                <w:sz w:val="24"/>
              </w:rPr>
              <w:t>已完成的部分</w:t>
            </w:r>
            <w:r>
              <w:rPr>
                <w:rFonts w:hint="eastAsia" w:ascii="宋体" w:hAnsi="宋体"/>
                <w:color w:val="auto"/>
                <w:sz w:val="24"/>
              </w:rPr>
              <w:t>同类项目</w:t>
            </w:r>
            <w:r>
              <w:rPr>
                <w:rFonts w:hint="eastAsia"/>
                <w:color w:val="auto"/>
                <w:sz w:val="24"/>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trPr>
        <w:tc>
          <w:tcPr>
            <w:tcW w:w="10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 w:val="24"/>
              </w:rPr>
            </w:pPr>
            <w:r>
              <w:rPr>
                <w:rFonts w:hint="eastAsia"/>
                <w:color w:val="auto"/>
                <w:sz w:val="24"/>
              </w:rPr>
              <w:t>项目</w:t>
            </w:r>
          </w:p>
          <w:p>
            <w:pPr>
              <w:spacing w:line="360" w:lineRule="auto"/>
              <w:jc w:val="center"/>
              <w:rPr>
                <w:color w:val="auto"/>
                <w:sz w:val="24"/>
              </w:rPr>
            </w:pPr>
            <w:r>
              <w:rPr>
                <w:rFonts w:hint="eastAsia"/>
                <w:color w:val="auto"/>
                <w:sz w:val="24"/>
              </w:rPr>
              <w:t>单位</w:t>
            </w:r>
          </w:p>
        </w:tc>
        <w:tc>
          <w:tcPr>
            <w:tcW w:w="2018"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 w:val="24"/>
              </w:rPr>
            </w:pPr>
            <w:r>
              <w:rPr>
                <w:rFonts w:hint="eastAsia"/>
                <w:color w:val="auto"/>
                <w:sz w:val="24"/>
              </w:rPr>
              <w:t>项目名称</w:t>
            </w:r>
          </w:p>
        </w:tc>
        <w:tc>
          <w:tcPr>
            <w:tcW w:w="2178"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 w:val="24"/>
              </w:rPr>
            </w:pPr>
            <w:r>
              <w:rPr>
                <w:rFonts w:hint="eastAsia"/>
                <w:color w:val="auto"/>
                <w:sz w:val="24"/>
              </w:rPr>
              <w:t>主要工作内容</w:t>
            </w:r>
          </w:p>
        </w:tc>
        <w:tc>
          <w:tcPr>
            <w:tcW w:w="128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 w:val="24"/>
              </w:rPr>
            </w:pPr>
            <w:r>
              <w:rPr>
                <w:rFonts w:hint="eastAsia"/>
                <w:color w:val="auto"/>
                <w:sz w:val="24"/>
              </w:rPr>
              <w:t>项目金额</w:t>
            </w:r>
          </w:p>
        </w:tc>
        <w:tc>
          <w:tcPr>
            <w:tcW w:w="1188"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 w:val="24"/>
              </w:rPr>
            </w:pPr>
            <w:r>
              <w:rPr>
                <w:rFonts w:hint="eastAsia"/>
                <w:color w:val="auto"/>
                <w:sz w:val="24"/>
              </w:rPr>
              <w:t>完工日期</w:t>
            </w:r>
          </w:p>
        </w:tc>
        <w:tc>
          <w:tcPr>
            <w:tcW w:w="12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 w:val="24"/>
              </w:rPr>
            </w:pPr>
            <w:r>
              <w:rPr>
                <w:rFonts w:hint="eastAsia"/>
                <w:color w:val="auto"/>
                <w:sz w:val="24"/>
              </w:rPr>
              <w:t>成果质量</w:t>
            </w:r>
          </w:p>
          <w:p>
            <w:pPr>
              <w:spacing w:line="360" w:lineRule="auto"/>
              <w:jc w:val="center"/>
              <w:rPr>
                <w:color w:val="auto"/>
                <w:sz w:val="24"/>
              </w:rPr>
            </w:pPr>
            <w:r>
              <w:rPr>
                <w:rFonts w:hint="eastAsia"/>
                <w:color w:val="auto"/>
                <w:sz w:val="24"/>
              </w:rPr>
              <w:t>等级评定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10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 w:val="24"/>
              </w:rPr>
            </w:pPr>
            <w:r>
              <w:rPr>
                <w:color w:val="auto"/>
                <w:sz w:val="24"/>
              </w:rPr>
              <w:t>1</w:t>
            </w:r>
          </w:p>
        </w:tc>
        <w:tc>
          <w:tcPr>
            <w:tcW w:w="2018"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 w:val="24"/>
              </w:rPr>
            </w:pPr>
          </w:p>
        </w:tc>
        <w:tc>
          <w:tcPr>
            <w:tcW w:w="2178"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 w:val="24"/>
              </w:rPr>
            </w:pPr>
          </w:p>
        </w:tc>
        <w:tc>
          <w:tcPr>
            <w:tcW w:w="128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 w:val="24"/>
              </w:rPr>
            </w:pPr>
          </w:p>
        </w:tc>
        <w:tc>
          <w:tcPr>
            <w:tcW w:w="1188"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 w:val="24"/>
              </w:rPr>
            </w:pPr>
          </w:p>
        </w:tc>
        <w:tc>
          <w:tcPr>
            <w:tcW w:w="12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atLeast"/>
        </w:trPr>
        <w:tc>
          <w:tcPr>
            <w:tcW w:w="10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 w:val="24"/>
              </w:rPr>
            </w:pPr>
            <w:r>
              <w:rPr>
                <w:color w:val="auto"/>
                <w:sz w:val="24"/>
              </w:rPr>
              <w:t>2</w:t>
            </w:r>
          </w:p>
        </w:tc>
        <w:tc>
          <w:tcPr>
            <w:tcW w:w="2018"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 w:val="24"/>
              </w:rPr>
            </w:pPr>
          </w:p>
        </w:tc>
        <w:tc>
          <w:tcPr>
            <w:tcW w:w="2178"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 w:val="24"/>
              </w:rPr>
            </w:pPr>
          </w:p>
        </w:tc>
        <w:tc>
          <w:tcPr>
            <w:tcW w:w="128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 w:val="24"/>
              </w:rPr>
            </w:pPr>
          </w:p>
        </w:tc>
        <w:tc>
          <w:tcPr>
            <w:tcW w:w="1188"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 w:val="24"/>
              </w:rPr>
            </w:pPr>
          </w:p>
        </w:tc>
        <w:tc>
          <w:tcPr>
            <w:tcW w:w="12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atLeast"/>
        </w:trPr>
        <w:tc>
          <w:tcPr>
            <w:tcW w:w="10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rPr>
            </w:pPr>
            <w:r>
              <w:rPr>
                <w:rFonts w:hint="eastAsia" w:ascii="宋体" w:hAnsi="宋体"/>
                <w:color w:val="auto"/>
                <w:sz w:val="24"/>
              </w:rPr>
              <w:t>…</w:t>
            </w:r>
          </w:p>
        </w:tc>
        <w:tc>
          <w:tcPr>
            <w:tcW w:w="2018"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rPr>
            </w:pPr>
            <w:r>
              <w:rPr>
                <w:rFonts w:hint="eastAsia" w:ascii="宋体" w:hAnsi="宋体"/>
                <w:color w:val="auto"/>
                <w:sz w:val="24"/>
              </w:rPr>
              <w:t>…</w:t>
            </w:r>
          </w:p>
        </w:tc>
        <w:tc>
          <w:tcPr>
            <w:tcW w:w="2178"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rPr>
            </w:pPr>
            <w:r>
              <w:rPr>
                <w:rFonts w:hint="eastAsia" w:ascii="宋体" w:hAnsi="宋体"/>
                <w:color w:val="auto"/>
                <w:sz w:val="24"/>
              </w:rPr>
              <w:t>…</w:t>
            </w:r>
          </w:p>
        </w:tc>
        <w:tc>
          <w:tcPr>
            <w:tcW w:w="128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rPr>
            </w:pPr>
            <w:r>
              <w:rPr>
                <w:rFonts w:hint="eastAsia" w:ascii="宋体" w:hAnsi="宋体"/>
                <w:color w:val="auto"/>
                <w:sz w:val="24"/>
              </w:rPr>
              <w:t>…</w:t>
            </w:r>
          </w:p>
        </w:tc>
        <w:tc>
          <w:tcPr>
            <w:tcW w:w="1188"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rPr>
            </w:pPr>
            <w:r>
              <w:rPr>
                <w:rFonts w:hint="eastAsia" w:ascii="宋体" w:hAnsi="宋体"/>
                <w:color w:val="auto"/>
                <w:sz w:val="24"/>
              </w:rPr>
              <w:t>…</w:t>
            </w:r>
          </w:p>
        </w:tc>
        <w:tc>
          <w:tcPr>
            <w:tcW w:w="12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rPr>
            </w:pPr>
            <w:r>
              <w:rPr>
                <w:rFonts w:hint="eastAsia" w:ascii="宋体" w:hAnsi="宋体"/>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8977" w:type="dxa"/>
            <w:gridSpan w:val="16"/>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 w:val="24"/>
              </w:rPr>
            </w:pPr>
            <w:r>
              <w:rPr>
                <w:rFonts w:hint="eastAsia"/>
                <w:color w:val="auto"/>
                <w:sz w:val="24"/>
              </w:rPr>
              <w:t>拟参与本项目主要技术人员情况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10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rPr>
            </w:pPr>
            <w:r>
              <w:rPr>
                <w:rFonts w:hint="eastAsia" w:ascii="宋体" w:hAnsi="宋体"/>
                <w:color w:val="auto"/>
                <w:sz w:val="24"/>
              </w:rPr>
              <w:t>姓名</w:t>
            </w:r>
          </w:p>
        </w:tc>
        <w:tc>
          <w:tcPr>
            <w:tcW w:w="114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rPr>
            </w:pPr>
            <w:r>
              <w:rPr>
                <w:rFonts w:hint="eastAsia" w:ascii="宋体" w:hAnsi="宋体"/>
                <w:color w:val="auto"/>
                <w:sz w:val="24"/>
              </w:rPr>
              <w:t>性别</w:t>
            </w:r>
          </w:p>
        </w:tc>
        <w:tc>
          <w:tcPr>
            <w:tcW w:w="108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rPr>
            </w:pPr>
            <w:r>
              <w:rPr>
                <w:rFonts w:hint="eastAsia" w:ascii="宋体" w:hAnsi="宋体"/>
                <w:color w:val="auto"/>
                <w:sz w:val="24"/>
              </w:rPr>
              <w:t>年龄</w:t>
            </w:r>
          </w:p>
        </w:tc>
        <w:tc>
          <w:tcPr>
            <w:tcW w:w="108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rPr>
            </w:pPr>
            <w:r>
              <w:rPr>
                <w:rFonts w:hint="eastAsia" w:ascii="宋体" w:hAnsi="宋体"/>
                <w:color w:val="auto"/>
                <w:sz w:val="24"/>
              </w:rPr>
              <w:t>职称</w:t>
            </w:r>
          </w:p>
        </w:tc>
        <w:tc>
          <w:tcPr>
            <w:tcW w:w="140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rPr>
            </w:pPr>
            <w:r>
              <w:rPr>
                <w:rFonts w:hint="eastAsia" w:ascii="宋体" w:hAnsi="宋体"/>
                <w:color w:val="auto"/>
                <w:sz w:val="24"/>
              </w:rPr>
              <w:t>专业</w:t>
            </w:r>
          </w:p>
        </w:tc>
        <w:tc>
          <w:tcPr>
            <w:tcW w:w="162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rPr>
            </w:pPr>
            <w:r>
              <w:rPr>
                <w:rFonts w:hint="eastAsia" w:ascii="宋体" w:hAnsi="宋体"/>
                <w:color w:val="auto"/>
                <w:sz w:val="24"/>
              </w:rPr>
              <w:t>学历</w:t>
            </w:r>
          </w:p>
        </w:tc>
        <w:tc>
          <w:tcPr>
            <w:tcW w:w="163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 w:val="24"/>
              </w:rPr>
            </w:pPr>
            <w:r>
              <w:rPr>
                <w:rFonts w:hint="eastAsia" w:ascii="宋体" w:hAnsi="宋体"/>
                <w:color w:val="auto"/>
                <w:sz w:val="24"/>
              </w:rPr>
              <w:t>经验年限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10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rPr>
            </w:pPr>
            <w:r>
              <w:rPr>
                <w:rFonts w:hint="eastAsia" w:ascii="宋体" w:hAnsi="宋体"/>
                <w:color w:val="auto"/>
                <w:sz w:val="24"/>
              </w:rPr>
              <w:t>1</w:t>
            </w:r>
          </w:p>
        </w:tc>
        <w:tc>
          <w:tcPr>
            <w:tcW w:w="114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rPr>
            </w:pPr>
          </w:p>
        </w:tc>
        <w:tc>
          <w:tcPr>
            <w:tcW w:w="108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rPr>
            </w:pPr>
          </w:p>
        </w:tc>
        <w:tc>
          <w:tcPr>
            <w:tcW w:w="108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rPr>
            </w:pPr>
          </w:p>
        </w:tc>
        <w:tc>
          <w:tcPr>
            <w:tcW w:w="140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rPr>
            </w:pPr>
          </w:p>
        </w:tc>
        <w:tc>
          <w:tcPr>
            <w:tcW w:w="162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rPr>
            </w:pPr>
          </w:p>
        </w:tc>
        <w:tc>
          <w:tcPr>
            <w:tcW w:w="163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10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rPr>
            </w:pPr>
            <w:r>
              <w:rPr>
                <w:rFonts w:hint="eastAsia" w:ascii="宋体" w:hAnsi="宋体"/>
                <w:color w:val="auto"/>
                <w:sz w:val="24"/>
              </w:rPr>
              <w:t>2</w:t>
            </w:r>
          </w:p>
        </w:tc>
        <w:tc>
          <w:tcPr>
            <w:tcW w:w="114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rPr>
            </w:pPr>
          </w:p>
        </w:tc>
        <w:tc>
          <w:tcPr>
            <w:tcW w:w="108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rPr>
            </w:pPr>
          </w:p>
        </w:tc>
        <w:tc>
          <w:tcPr>
            <w:tcW w:w="108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rPr>
            </w:pPr>
          </w:p>
        </w:tc>
        <w:tc>
          <w:tcPr>
            <w:tcW w:w="140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rPr>
            </w:pPr>
          </w:p>
        </w:tc>
        <w:tc>
          <w:tcPr>
            <w:tcW w:w="162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rPr>
            </w:pPr>
          </w:p>
        </w:tc>
        <w:tc>
          <w:tcPr>
            <w:tcW w:w="163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10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rPr>
            </w:pPr>
            <w:r>
              <w:rPr>
                <w:rFonts w:hint="eastAsia" w:ascii="宋体" w:hAnsi="宋体"/>
                <w:color w:val="auto"/>
                <w:sz w:val="24"/>
              </w:rPr>
              <w:t>…</w:t>
            </w:r>
          </w:p>
        </w:tc>
        <w:tc>
          <w:tcPr>
            <w:tcW w:w="114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rPr>
            </w:pPr>
            <w:r>
              <w:rPr>
                <w:rFonts w:hint="eastAsia" w:ascii="宋体" w:hAnsi="宋体"/>
                <w:color w:val="auto"/>
                <w:sz w:val="24"/>
              </w:rPr>
              <w:t>…</w:t>
            </w:r>
          </w:p>
        </w:tc>
        <w:tc>
          <w:tcPr>
            <w:tcW w:w="108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rPr>
            </w:pPr>
            <w:r>
              <w:rPr>
                <w:rFonts w:hint="eastAsia" w:ascii="宋体" w:hAnsi="宋体"/>
                <w:color w:val="auto"/>
                <w:sz w:val="24"/>
              </w:rPr>
              <w:t>…</w:t>
            </w:r>
          </w:p>
        </w:tc>
        <w:tc>
          <w:tcPr>
            <w:tcW w:w="108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rPr>
            </w:pPr>
            <w:r>
              <w:rPr>
                <w:rFonts w:hint="eastAsia" w:ascii="宋体" w:hAnsi="宋体"/>
                <w:color w:val="auto"/>
                <w:sz w:val="24"/>
              </w:rPr>
              <w:t>…</w:t>
            </w:r>
          </w:p>
        </w:tc>
        <w:tc>
          <w:tcPr>
            <w:tcW w:w="140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rPr>
            </w:pPr>
            <w:r>
              <w:rPr>
                <w:rFonts w:hint="eastAsia" w:ascii="宋体" w:hAnsi="宋体"/>
                <w:color w:val="auto"/>
                <w:sz w:val="24"/>
              </w:rPr>
              <w:t>…</w:t>
            </w:r>
          </w:p>
        </w:tc>
        <w:tc>
          <w:tcPr>
            <w:tcW w:w="162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rPr>
            </w:pPr>
            <w:r>
              <w:rPr>
                <w:rFonts w:hint="eastAsia" w:ascii="宋体" w:hAnsi="宋体"/>
                <w:color w:val="auto"/>
                <w:sz w:val="24"/>
              </w:rPr>
              <w:t>…</w:t>
            </w:r>
          </w:p>
        </w:tc>
        <w:tc>
          <w:tcPr>
            <w:tcW w:w="163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rPr>
            </w:pPr>
            <w:r>
              <w:rPr>
                <w:rFonts w:hint="eastAsia" w:ascii="宋体" w:hAnsi="宋体"/>
                <w:color w:val="auto"/>
                <w:sz w:val="24"/>
              </w:rPr>
              <w:t>…</w:t>
            </w:r>
          </w:p>
          <w:p>
            <w:pPr>
              <w:spacing w:line="360" w:lineRule="auto"/>
              <w:jc w:val="center"/>
              <w:rPr>
                <w:rFonts w:ascii="宋体" w:hAnsi="宋体"/>
                <w:color w:val="auto"/>
                <w:sz w:val="24"/>
              </w:rPr>
            </w:pPr>
            <w:r>
              <w:rPr>
                <w:rFonts w:hint="eastAsia" w:ascii="宋体" w:hAnsi="宋体"/>
                <w:color w:val="auto"/>
                <w:sz w:val="24"/>
              </w:rPr>
              <w:t>…</w:t>
            </w:r>
          </w:p>
        </w:tc>
      </w:tr>
    </w:tbl>
    <w:p>
      <w:pPr>
        <w:pStyle w:val="46"/>
        <w:spacing w:line="360" w:lineRule="auto"/>
        <w:rPr>
          <w:bCs/>
          <w:color w:val="auto"/>
          <w:szCs w:val="21"/>
        </w:rPr>
      </w:pPr>
    </w:p>
    <w:p>
      <w:pPr>
        <w:spacing w:before="120" w:line="360" w:lineRule="auto"/>
        <w:ind w:left="620" w:hanging="620" w:hangingChars="294"/>
        <w:rPr>
          <w:rFonts w:ascii="宋体" w:hAnsi="宋体"/>
          <w:b/>
          <w:color w:val="auto"/>
          <w:szCs w:val="21"/>
        </w:rPr>
      </w:pPr>
      <w:r>
        <w:rPr>
          <w:rFonts w:hint="eastAsia" w:ascii="宋体" w:hAnsi="宋体"/>
          <w:b/>
          <w:color w:val="auto"/>
          <w:szCs w:val="21"/>
        </w:rPr>
        <w:t>注：1.在合同执行期间，成交供应商须设立驻场项目负责人和专业专职的主要技术及服务人员，并在上表中列明；</w:t>
      </w:r>
    </w:p>
    <w:p>
      <w:pPr>
        <w:spacing w:line="360" w:lineRule="auto"/>
        <w:ind w:firstLine="413" w:firstLineChars="196"/>
        <w:rPr>
          <w:rFonts w:ascii="宋体" w:hAnsi="宋体"/>
          <w:b/>
          <w:color w:val="auto"/>
          <w:szCs w:val="21"/>
        </w:rPr>
      </w:pPr>
      <w:r>
        <w:rPr>
          <w:rFonts w:hint="eastAsia" w:ascii="宋体" w:hAnsi="宋体"/>
          <w:b/>
          <w:color w:val="auto"/>
          <w:szCs w:val="21"/>
        </w:rPr>
        <w:t>2.需附上上表所列人员的身份证或暂住证、在供应商单位购买社保的证明材料、资历、资格文件等证明材料文件。</w:t>
      </w:r>
    </w:p>
    <w:p>
      <w:pPr>
        <w:spacing w:line="360" w:lineRule="auto"/>
        <w:rPr>
          <w:rFonts w:ascii="宋体" w:hAnsi="宋体" w:cs="宋体"/>
          <w:color w:val="auto"/>
          <w:kern w:val="0"/>
          <w:szCs w:val="21"/>
        </w:rPr>
      </w:pPr>
    </w:p>
    <w:p>
      <w:pPr>
        <w:spacing w:line="360" w:lineRule="auto"/>
        <w:rPr>
          <w:rFonts w:ascii="宋体" w:hAnsi="宋体"/>
          <w:bCs/>
          <w:color w:val="auto"/>
          <w:szCs w:val="21"/>
        </w:rPr>
      </w:pPr>
      <w:r>
        <w:rPr>
          <w:rFonts w:hint="eastAsia" w:ascii="宋体" w:hAnsi="宋体" w:cs="宋体"/>
          <w:color w:val="auto"/>
          <w:kern w:val="0"/>
          <w:szCs w:val="21"/>
        </w:rPr>
        <w:t>供应商</w:t>
      </w:r>
      <w:r>
        <w:rPr>
          <w:rFonts w:hint="eastAsia" w:ascii="宋体" w:hAnsi="宋体"/>
          <w:bCs/>
          <w:color w:val="auto"/>
          <w:szCs w:val="21"/>
        </w:rPr>
        <w:t>全称（加盖公章）:</w:t>
      </w:r>
    </w:p>
    <w:p>
      <w:pPr>
        <w:spacing w:line="360" w:lineRule="auto"/>
        <w:rPr>
          <w:rFonts w:ascii="宋体" w:hAnsi="宋体"/>
          <w:bCs/>
          <w:color w:val="auto"/>
          <w:szCs w:val="21"/>
        </w:rPr>
      </w:pPr>
      <w:r>
        <w:rPr>
          <w:rFonts w:hint="eastAsia" w:ascii="宋体" w:hAnsi="宋体"/>
          <w:bCs/>
          <w:color w:val="auto"/>
          <w:szCs w:val="21"/>
        </w:rPr>
        <w:t>法定代表或其授权代表(</w:t>
      </w:r>
      <w:r>
        <w:rPr>
          <w:rFonts w:hint="eastAsia" w:ascii="宋体" w:hAnsi="宋体"/>
          <w:color w:val="auto"/>
          <w:szCs w:val="21"/>
        </w:rPr>
        <w:t>签字或签章</w:t>
      </w:r>
      <w:r>
        <w:rPr>
          <w:rFonts w:hint="eastAsia" w:ascii="宋体" w:hAnsi="宋体"/>
          <w:bCs/>
          <w:color w:val="auto"/>
          <w:szCs w:val="21"/>
        </w:rPr>
        <w:t>)：</w:t>
      </w:r>
    </w:p>
    <w:p>
      <w:pPr>
        <w:spacing w:line="360" w:lineRule="auto"/>
        <w:rPr>
          <w:rFonts w:ascii="宋体" w:hAnsi="宋体"/>
          <w:b/>
          <w:bCs/>
          <w:color w:val="auto"/>
          <w:kern w:val="0"/>
          <w:sz w:val="28"/>
          <w:szCs w:val="28"/>
        </w:rPr>
        <w:sectPr>
          <w:pgSz w:w="11906" w:h="16838"/>
          <w:pgMar w:top="567" w:right="1304" w:bottom="567" w:left="1361" w:header="567" w:footer="737" w:gutter="0"/>
          <w:cols w:space="720" w:num="1"/>
          <w:docGrid w:linePitch="312" w:charSpace="0"/>
        </w:sectPr>
      </w:pPr>
      <w:r>
        <w:rPr>
          <w:rFonts w:hint="eastAsia" w:ascii="宋体" w:hAnsi="宋体"/>
          <w:bCs/>
          <w:color w:val="auto"/>
          <w:szCs w:val="21"/>
        </w:rPr>
        <w:t>日    期： 2020年  月  日</w:t>
      </w:r>
    </w:p>
    <w:p>
      <w:pPr>
        <w:spacing w:line="360" w:lineRule="auto"/>
        <w:rPr>
          <w:rFonts w:ascii="宋体" w:hAnsi="宋体"/>
          <w:b/>
          <w:bCs/>
          <w:color w:val="auto"/>
          <w:kern w:val="0"/>
          <w:sz w:val="28"/>
          <w:szCs w:val="28"/>
        </w:rPr>
      </w:pPr>
      <w:r>
        <w:rPr>
          <w:rFonts w:hint="eastAsia" w:ascii="宋体" w:hAnsi="宋体"/>
          <w:b/>
          <w:bCs/>
          <w:color w:val="auto"/>
          <w:kern w:val="0"/>
          <w:sz w:val="28"/>
          <w:szCs w:val="28"/>
        </w:rPr>
        <w:t>附件20 实质性条款响应一览表</w:t>
      </w:r>
    </w:p>
    <w:p>
      <w:pPr>
        <w:spacing w:line="360" w:lineRule="auto"/>
        <w:rPr>
          <w:rFonts w:ascii="宋体" w:hAnsi="宋体"/>
          <w:color w:val="auto"/>
          <w:szCs w:val="21"/>
        </w:rPr>
      </w:pPr>
      <w:r>
        <w:rPr>
          <w:rFonts w:hint="eastAsia" w:ascii="宋体" w:hAnsi="宋体" w:cs="Tahoma"/>
          <w:color w:val="auto"/>
          <w:szCs w:val="21"/>
        </w:rPr>
        <w:t>项目名称</w:t>
      </w:r>
      <w:r>
        <w:rPr>
          <w:rFonts w:hint="eastAsia" w:ascii="宋体" w:hAnsi="宋体" w:cs="Tahoma"/>
          <w:color w:val="auto"/>
          <w:kern w:val="28"/>
          <w:szCs w:val="21"/>
        </w:rPr>
        <w:t>：</w:t>
      </w:r>
    </w:p>
    <w:p>
      <w:pPr>
        <w:spacing w:line="360" w:lineRule="auto"/>
        <w:rPr>
          <w:rFonts w:ascii="宋体" w:hAnsi="宋体" w:cs="Arial Unicode MS"/>
          <w:bCs/>
          <w:color w:val="auto"/>
          <w:szCs w:val="21"/>
        </w:rPr>
      </w:pPr>
      <w:r>
        <w:rPr>
          <w:rFonts w:ascii="宋体" w:hAnsi="宋体" w:cs="Tahoma"/>
          <w:color w:val="auto"/>
          <w:szCs w:val="21"/>
        </w:rPr>
        <w:t>项目编号：</w:t>
      </w:r>
    </w:p>
    <w:tbl>
      <w:tblPr>
        <w:tblStyle w:val="9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4952"/>
        <w:gridCol w:w="1134"/>
        <w:gridCol w:w="1134"/>
        <w:gridCol w:w="1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6" w:type="dxa"/>
            <w:vAlign w:val="center"/>
          </w:tcPr>
          <w:p>
            <w:pPr>
              <w:spacing w:before="240" w:line="360" w:lineRule="auto"/>
              <w:ind w:left="902" w:hanging="902"/>
              <w:jc w:val="center"/>
              <w:rPr>
                <w:rFonts w:ascii="宋体" w:hAnsi="宋体"/>
                <w:color w:val="auto"/>
                <w:szCs w:val="21"/>
              </w:rPr>
            </w:pPr>
            <w:r>
              <w:rPr>
                <w:rFonts w:hint="eastAsia" w:ascii="宋体" w:hAnsi="宋体"/>
                <w:color w:val="auto"/>
                <w:szCs w:val="21"/>
              </w:rPr>
              <w:t>序号</w:t>
            </w:r>
          </w:p>
        </w:tc>
        <w:tc>
          <w:tcPr>
            <w:tcW w:w="4952" w:type="dxa"/>
            <w:tcBorders>
              <w:left w:val="single" w:color="000000" w:sz="4" w:space="0"/>
            </w:tcBorders>
            <w:vAlign w:val="center"/>
          </w:tcPr>
          <w:p>
            <w:pPr>
              <w:spacing w:before="240" w:line="360" w:lineRule="auto"/>
              <w:ind w:left="902" w:hanging="902"/>
              <w:jc w:val="center"/>
              <w:rPr>
                <w:rFonts w:ascii="宋体" w:hAnsi="宋体"/>
                <w:color w:val="auto"/>
                <w:szCs w:val="21"/>
              </w:rPr>
            </w:pPr>
            <w:r>
              <w:rPr>
                <w:rFonts w:hint="eastAsia" w:ascii="宋体" w:hAnsi="宋体"/>
                <w:color w:val="auto"/>
                <w:szCs w:val="21"/>
              </w:rPr>
              <w:t>带“★”号响应内容</w:t>
            </w:r>
          </w:p>
        </w:tc>
        <w:tc>
          <w:tcPr>
            <w:tcW w:w="1134" w:type="dxa"/>
            <w:vAlign w:val="center"/>
          </w:tcPr>
          <w:p>
            <w:pPr>
              <w:spacing w:before="240" w:line="360" w:lineRule="auto"/>
              <w:ind w:left="902" w:hanging="902"/>
              <w:jc w:val="center"/>
              <w:rPr>
                <w:rFonts w:ascii="宋体" w:hAnsi="宋体"/>
                <w:color w:val="auto"/>
                <w:szCs w:val="21"/>
              </w:rPr>
            </w:pPr>
            <w:r>
              <w:rPr>
                <w:rFonts w:hint="eastAsia" w:ascii="宋体" w:hAnsi="宋体"/>
                <w:color w:val="auto"/>
                <w:szCs w:val="21"/>
              </w:rPr>
              <w:t>是否响应</w:t>
            </w:r>
          </w:p>
        </w:tc>
        <w:tc>
          <w:tcPr>
            <w:tcW w:w="1134" w:type="dxa"/>
            <w:vAlign w:val="center"/>
          </w:tcPr>
          <w:p>
            <w:pPr>
              <w:spacing w:before="240" w:line="360" w:lineRule="auto"/>
              <w:ind w:left="902" w:hanging="902"/>
              <w:jc w:val="center"/>
              <w:rPr>
                <w:rFonts w:ascii="宋体" w:hAnsi="宋体"/>
                <w:color w:val="auto"/>
                <w:szCs w:val="21"/>
              </w:rPr>
            </w:pPr>
            <w:r>
              <w:rPr>
                <w:rFonts w:hint="eastAsia" w:ascii="宋体" w:hAnsi="宋体"/>
                <w:color w:val="auto"/>
                <w:szCs w:val="21"/>
              </w:rPr>
              <w:t>偏离说明</w:t>
            </w:r>
          </w:p>
        </w:tc>
        <w:tc>
          <w:tcPr>
            <w:tcW w:w="1076" w:type="dxa"/>
            <w:vAlign w:val="center"/>
          </w:tcPr>
          <w:p>
            <w:pPr>
              <w:spacing w:before="240" w:line="360" w:lineRule="auto"/>
              <w:ind w:left="902" w:hanging="902"/>
              <w:jc w:val="center"/>
              <w:rPr>
                <w:rFonts w:ascii="宋体" w:hAnsi="宋体"/>
                <w:color w:val="auto"/>
                <w:szCs w:val="21"/>
              </w:rPr>
            </w:pPr>
            <w:r>
              <w:rPr>
                <w:rFonts w:hint="eastAsia" w:ascii="宋体" w:hAnsi="宋体"/>
                <w:color w:val="auto"/>
                <w:szCs w:val="21"/>
              </w:rPr>
              <w:t>响应页码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776" w:type="dxa"/>
            <w:vAlign w:val="center"/>
          </w:tcPr>
          <w:p>
            <w:pPr>
              <w:spacing w:before="240" w:line="360" w:lineRule="auto"/>
              <w:ind w:left="902" w:hanging="902"/>
              <w:jc w:val="center"/>
              <w:rPr>
                <w:rFonts w:ascii="宋体" w:hAnsi="宋体"/>
                <w:color w:val="auto"/>
                <w:szCs w:val="21"/>
              </w:rPr>
            </w:pPr>
            <w:r>
              <w:rPr>
                <w:rFonts w:hint="eastAsia" w:ascii="宋体" w:hAnsi="宋体"/>
                <w:color w:val="auto"/>
                <w:szCs w:val="21"/>
              </w:rPr>
              <w:t>1</w:t>
            </w:r>
          </w:p>
        </w:tc>
        <w:tc>
          <w:tcPr>
            <w:tcW w:w="4952" w:type="dxa"/>
            <w:tcBorders>
              <w:left w:val="single" w:color="000000" w:sz="4" w:space="0"/>
            </w:tcBorders>
            <w:vAlign w:val="center"/>
          </w:tcPr>
          <w:p>
            <w:pPr>
              <w:widowControl/>
              <w:snapToGrid w:val="0"/>
              <w:spacing w:line="360" w:lineRule="auto"/>
              <w:rPr>
                <w:rFonts w:ascii="宋体" w:hAnsi="宋体"/>
                <w:color w:val="auto"/>
                <w:szCs w:val="21"/>
              </w:rPr>
            </w:pPr>
            <w:r>
              <w:rPr>
                <w:rFonts w:hint="eastAsia" w:ascii="宋体" w:hAnsi="宋体"/>
                <w:color w:val="auto"/>
                <w:szCs w:val="21"/>
              </w:rPr>
              <w:t>★</w:t>
            </w:r>
            <w:r>
              <w:rPr>
                <w:rFonts w:hint="eastAsia" w:ascii="宋体" w:hAnsi="宋体" w:cs="宋体"/>
                <w:color w:val="auto"/>
                <w:kern w:val="0"/>
                <w:szCs w:val="21"/>
              </w:rPr>
              <w:t>竞争性磋商函 （附件1)</w:t>
            </w:r>
          </w:p>
        </w:tc>
        <w:tc>
          <w:tcPr>
            <w:tcW w:w="1134" w:type="dxa"/>
            <w:vAlign w:val="center"/>
          </w:tcPr>
          <w:p>
            <w:pPr>
              <w:spacing w:before="240" w:line="360" w:lineRule="auto"/>
              <w:ind w:left="902" w:hanging="902"/>
              <w:jc w:val="center"/>
              <w:rPr>
                <w:rFonts w:ascii="宋体" w:hAnsi="宋体"/>
                <w:color w:val="auto"/>
                <w:szCs w:val="21"/>
              </w:rPr>
            </w:pPr>
          </w:p>
        </w:tc>
        <w:tc>
          <w:tcPr>
            <w:tcW w:w="1134" w:type="dxa"/>
            <w:vAlign w:val="center"/>
          </w:tcPr>
          <w:p>
            <w:pPr>
              <w:spacing w:before="240" w:line="360" w:lineRule="auto"/>
              <w:ind w:left="902" w:hanging="902"/>
              <w:jc w:val="center"/>
              <w:rPr>
                <w:rFonts w:ascii="宋体" w:hAnsi="宋体"/>
                <w:color w:val="auto"/>
                <w:szCs w:val="21"/>
              </w:rPr>
            </w:pPr>
          </w:p>
        </w:tc>
        <w:tc>
          <w:tcPr>
            <w:tcW w:w="1076" w:type="dxa"/>
            <w:vAlign w:val="center"/>
          </w:tcPr>
          <w:p>
            <w:pPr>
              <w:spacing w:before="240" w:line="360" w:lineRule="auto"/>
              <w:ind w:left="902" w:hanging="902"/>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6" w:type="dxa"/>
            <w:vAlign w:val="center"/>
          </w:tcPr>
          <w:p>
            <w:pPr>
              <w:spacing w:before="240" w:line="360" w:lineRule="auto"/>
              <w:ind w:left="902" w:hanging="902"/>
              <w:jc w:val="center"/>
              <w:rPr>
                <w:rFonts w:ascii="宋体" w:hAnsi="宋体"/>
                <w:color w:val="auto"/>
                <w:szCs w:val="21"/>
              </w:rPr>
            </w:pPr>
            <w:r>
              <w:rPr>
                <w:rFonts w:hint="eastAsia" w:ascii="宋体" w:hAnsi="宋体"/>
                <w:color w:val="auto"/>
                <w:szCs w:val="21"/>
              </w:rPr>
              <w:t>2</w:t>
            </w:r>
          </w:p>
        </w:tc>
        <w:tc>
          <w:tcPr>
            <w:tcW w:w="4952" w:type="dxa"/>
            <w:tcBorders>
              <w:left w:val="single" w:color="000000" w:sz="4" w:space="0"/>
            </w:tcBorders>
            <w:vAlign w:val="center"/>
          </w:tcPr>
          <w:p>
            <w:pPr>
              <w:widowControl/>
              <w:snapToGrid w:val="0"/>
              <w:rPr>
                <w:rFonts w:ascii="宋体" w:hAnsi="宋体" w:cs="宋体"/>
                <w:color w:val="auto"/>
                <w:szCs w:val="21"/>
              </w:rPr>
            </w:pPr>
            <w:r>
              <w:rPr>
                <w:rFonts w:hint="eastAsia" w:ascii="宋体" w:hAnsi="宋体"/>
                <w:color w:val="auto"/>
                <w:szCs w:val="21"/>
              </w:rPr>
              <w:t>★</w:t>
            </w:r>
            <w:r>
              <w:rPr>
                <w:rFonts w:hint="eastAsia" w:ascii="宋体" w:hAnsi="宋体" w:cs="宋体"/>
                <w:color w:val="auto"/>
                <w:szCs w:val="20"/>
              </w:rPr>
              <w:t>具有独立承担民事责任的能力【提供法人或者其他组织的营业执照等证明文件，自然人的身份证明；）复印件，如依法经国务院批准免予登记的社会组织的，应提供相应文件证明其依法免予登记】</w:t>
            </w:r>
          </w:p>
        </w:tc>
        <w:tc>
          <w:tcPr>
            <w:tcW w:w="1134" w:type="dxa"/>
            <w:vAlign w:val="center"/>
          </w:tcPr>
          <w:p>
            <w:pPr>
              <w:spacing w:before="240" w:line="360" w:lineRule="auto"/>
              <w:ind w:left="902" w:hanging="902"/>
              <w:jc w:val="center"/>
              <w:rPr>
                <w:rFonts w:ascii="宋体" w:hAnsi="宋体"/>
                <w:color w:val="auto"/>
                <w:szCs w:val="21"/>
              </w:rPr>
            </w:pPr>
          </w:p>
        </w:tc>
        <w:tc>
          <w:tcPr>
            <w:tcW w:w="1134" w:type="dxa"/>
            <w:vAlign w:val="center"/>
          </w:tcPr>
          <w:p>
            <w:pPr>
              <w:spacing w:before="240" w:line="360" w:lineRule="auto"/>
              <w:ind w:left="902" w:hanging="902"/>
              <w:jc w:val="center"/>
              <w:rPr>
                <w:rFonts w:ascii="宋体" w:hAnsi="宋体"/>
                <w:color w:val="auto"/>
                <w:szCs w:val="21"/>
              </w:rPr>
            </w:pPr>
          </w:p>
        </w:tc>
        <w:tc>
          <w:tcPr>
            <w:tcW w:w="1076" w:type="dxa"/>
            <w:vAlign w:val="center"/>
          </w:tcPr>
          <w:p>
            <w:pPr>
              <w:spacing w:before="240" w:line="360" w:lineRule="auto"/>
              <w:ind w:left="902" w:hanging="902"/>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6" w:type="dxa"/>
            <w:vAlign w:val="center"/>
          </w:tcPr>
          <w:p>
            <w:pPr>
              <w:spacing w:before="240" w:line="360" w:lineRule="auto"/>
              <w:ind w:left="902" w:hanging="902"/>
              <w:jc w:val="center"/>
              <w:rPr>
                <w:rFonts w:ascii="宋体" w:hAnsi="宋体"/>
                <w:color w:val="auto"/>
                <w:szCs w:val="21"/>
              </w:rPr>
            </w:pPr>
            <w:r>
              <w:rPr>
                <w:rFonts w:hint="eastAsia" w:ascii="宋体" w:hAnsi="宋体"/>
                <w:color w:val="auto"/>
                <w:szCs w:val="21"/>
              </w:rPr>
              <w:t>3</w:t>
            </w:r>
          </w:p>
        </w:tc>
        <w:tc>
          <w:tcPr>
            <w:tcW w:w="4952" w:type="dxa"/>
            <w:tcBorders>
              <w:left w:val="single" w:color="000000" w:sz="4" w:space="0"/>
            </w:tcBorders>
            <w:vAlign w:val="center"/>
          </w:tcPr>
          <w:p>
            <w:pPr>
              <w:widowControl/>
              <w:snapToGrid w:val="0"/>
              <w:rPr>
                <w:rFonts w:ascii="宋体" w:hAnsi="宋体" w:cs="宋体"/>
                <w:color w:val="auto"/>
                <w:szCs w:val="21"/>
              </w:rPr>
            </w:pPr>
            <w:r>
              <w:rPr>
                <w:rFonts w:hint="eastAsia" w:ascii="宋体" w:hAnsi="宋体"/>
                <w:color w:val="auto"/>
                <w:szCs w:val="21"/>
              </w:rPr>
              <w:t>★</w:t>
            </w:r>
            <w:r>
              <w:rPr>
                <w:rFonts w:hint="eastAsia" w:ascii="宋体" w:hAnsi="宋体" w:cs="宋体"/>
                <w:color w:val="auto"/>
                <w:szCs w:val="20"/>
              </w:rPr>
              <w:t>具有良好的商业信誉和健全的财务会计制度【近两年年度内任意一年的年度财务报告(新成立公司提供成立至今的月或季度财务报表复印件)或银行出具的资信证明】</w:t>
            </w:r>
          </w:p>
        </w:tc>
        <w:tc>
          <w:tcPr>
            <w:tcW w:w="1134" w:type="dxa"/>
            <w:vAlign w:val="center"/>
          </w:tcPr>
          <w:p>
            <w:pPr>
              <w:spacing w:before="240" w:line="360" w:lineRule="auto"/>
              <w:ind w:left="902" w:hanging="902"/>
              <w:jc w:val="center"/>
              <w:rPr>
                <w:rFonts w:ascii="宋体" w:hAnsi="宋体"/>
                <w:color w:val="auto"/>
                <w:szCs w:val="21"/>
              </w:rPr>
            </w:pPr>
          </w:p>
        </w:tc>
        <w:tc>
          <w:tcPr>
            <w:tcW w:w="1134" w:type="dxa"/>
            <w:vAlign w:val="center"/>
          </w:tcPr>
          <w:p>
            <w:pPr>
              <w:spacing w:before="240" w:line="360" w:lineRule="auto"/>
              <w:ind w:left="902" w:hanging="902"/>
              <w:jc w:val="center"/>
              <w:rPr>
                <w:rFonts w:ascii="宋体" w:hAnsi="宋体"/>
                <w:color w:val="auto"/>
                <w:szCs w:val="21"/>
              </w:rPr>
            </w:pPr>
          </w:p>
        </w:tc>
        <w:tc>
          <w:tcPr>
            <w:tcW w:w="1076" w:type="dxa"/>
            <w:vAlign w:val="center"/>
          </w:tcPr>
          <w:p>
            <w:pPr>
              <w:spacing w:before="240" w:line="360" w:lineRule="auto"/>
              <w:ind w:left="902" w:hanging="902"/>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6" w:type="dxa"/>
            <w:vAlign w:val="center"/>
          </w:tcPr>
          <w:p>
            <w:pPr>
              <w:spacing w:before="240" w:line="360" w:lineRule="auto"/>
              <w:ind w:left="902" w:hanging="902"/>
              <w:jc w:val="center"/>
              <w:rPr>
                <w:rFonts w:ascii="宋体" w:hAnsi="宋体"/>
                <w:color w:val="auto"/>
                <w:szCs w:val="21"/>
              </w:rPr>
            </w:pPr>
            <w:r>
              <w:rPr>
                <w:rFonts w:hint="eastAsia" w:ascii="宋体" w:hAnsi="宋体"/>
                <w:color w:val="auto"/>
                <w:szCs w:val="21"/>
              </w:rPr>
              <w:t>4</w:t>
            </w:r>
          </w:p>
        </w:tc>
        <w:tc>
          <w:tcPr>
            <w:tcW w:w="4952" w:type="dxa"/>
            <w:tcBorders>
              <w:left w:val="single" w:color="000000" w:sz="4" w:space="0"/>
            </w:tcBorders>
            <w:vAlign w:val="center"/>
          </w:tcPr>
          <w:p>
            <w:pPr>
              <w:widowControl/>
              <w:snapToGrid w:val="0"/>
              <w:rPr>
                <w:rFonts w:ascii="宋体" w:hAnsi="宋体" w:cs="宋体"/>
                <w:color w:val="auto"/>
                <w:szCs w:val="21"/>
              </w:rPr>
            </w:pPr>
            <w:r>
              <w:rPr>
                <w:rFonts w:hint="eastAsia" w:ascii="宋体" w:hAnsi="宋体"/>
                <w:color w:val="auto"/>
                <w:szCs w:val="21"/>
              </w:rPr>
              <w:t>★</w:t>
            </w:r>
            <w:r>
              <w:rPr>
                <w:rFonts w:hint="eastAsia" w:ascii="宋体" w:hAnsi="宋体" w:cs="宋体"/>
                <w:color w:val="auto"/>
                <w:szCs w:val="20"/>
              </w:rPr>
              <w:t>具有履行合同所必需的设备和专业技术能力【提供书面承诺证明材料】</w:t>
            </w:r>
          </w:p>
        </w:tc>
        <w:tc>
          <w:tcPr>
            <w:tcW w:w="1134" w:type="dxa"/>
            <w:vAlign w:val="center"/>
          </w:tcPr>
          <w:p>
            <w:pPr>
              <w:spacing w:before="240" w:line="360" w:lineRule="auto"/>
              <w:ind w:left="902" w:hanging="902"/>
              <w:jc w:val="center"/>
              <w:rPr>
                <w:rFonts w:ascii="宋体" w:hAnsi="宋体"/>
                <w:color w:val="auto"/>
                <w:szCs w:val="21"/>
              </w:rPr>
            </w:pPr>
          </w:p>
        </w:tc>
        <w:tc>
          <w:tcPr>
            <w:tcW w:w="1134" w:type="dxa"/>
            <w:vAlign w:val="center"/>
          </w:tcPr>
          <w:p>
            <w:pPr>
              <w:spacing w:before="240" w:line="360" w:lineRule="auto"/>
              <w:ind w:left="902" w:hanging="902"/>
              <w:jc w:val="center"/>
              <w:rPr>
                <w:rFonts w:ascii="宋体" w:hAnsi="宋体"/>
                <w:color w:val="auto"/>
                <w:szCs w:val="21"/>
              </w:rPr>
            </w:pPr>
          </w:p>
        </w:tc>
        <w:tc>
          <w:tcPr>
            <w:tcW w:w="1076" w:type="dxa"/>
            <w:vAlign w:val="center"/>
          </w:tcPr>
          <w:p>
            <w:pPr>
              <w:spacing w:before="240" w:line="360" w:lineRule="auto"/>
              <w:ind w:left="902" w:hanging="902"/>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6" w:type="dxa"/>
            <w:vAlign w:val="center"/>
          </w:tcPr>
          <w:p>
            <w:pPr>
              <w:spacing w:before="240" w:line="360" w:lineRule="auto"/>
              <w:ind w:left="902" w:hanging="902"/>
              <w:jc w:val="center"/>
              <w:rPr>
                <w:rFonts w:ascii="宋体" w:hAnsi="宋体"/>
                <w:color w:val="auto"/>
                <w:szCs w:val="21"/>
              </w:rPr>
            </w:pPr>
            <w:r>
              <w:rPr>
                <w:rFonts w:hint="eastAsia" w:ascii="宋体" w:hAnsi="宋体"/>
                <w:color w:val="auto"/>
                <w:szCs w:val="21"/>
              </w:rPr>
              <w:t>5</w:t>
            </w:r>
          </w:p>
        </w:tc>
        <w:tc>
          <w:tcPr>
            <w:tcW w:w="4952" w:type="dxa"/>
            <w:tcBorders>
              <w:left w:val="single" w:color="000000" w:sz="4" w:space="0"/>
            </w:tcBorders>
            <w:vAlign w:val="center"/>
          </w:tcPr>
          <w:p>
            <w:pPr>
              <w:widowControl/>
              <w:snapToGrid w:val="0"/>
              <w:rPr>
                <w:rFonts w:ascii="宋体" w:hAnsi="宋体" w:cs="宋体"/>
                <w:color w:val="auto"/>
                <w:szCs w:val="21"/>
              </w:rPr>
            </w:pPr>
            <w:r>
              <w:rPr>
                <w:rFonts w:hint="eastAsia"/>
                <w:color w:val="auto"/>
              </w:rPr>
              <w:t>★有依法缴纳税收和社会保障资金的良好记录</w:t>
            </w:r>
            <w:r>
              <w:rPr>
                <w:rFonts w:hint="eastAsia" w:ascii="宋体" w:hAnsi="宋体" w:cs="宋体"/>
                <w:color w:val="auto"/>
                <w:szCs w:val="20"/>
              </w:rPr>
              <w:t>【①税收部门出具的至投标截止时间前一年内任意一个月的缴纳税收证明；②至投标截止时间前一年内任意一个月内开具的缴纳社会保险凭据】</w:t>
            </w:r>
          </w:p>
        </w:tc>
        <w:tc>
          <w:tcPr>
            <w:tcW w:w="1134" w:type="dxa"/>
            <w:vAlign w:val="center"/>
          </w:tcPr>
          <w:p>
            <w:pPr>
              <w:spacing w:before="240" w:line="360" w:lineRule="auto"/>
              <w:ind w:left="902" w:hanging="902"/>
              <w:jc w:val="center"/>
              <w:rPr>
                <w:rFonts w:ascii="宋体" w:hAnsi="宋体"/>
                <w:color w:val="auto"/>
                <w:szCs w:val="21"/>
              </w:rPr>
            </w:pPr>
          </w:p>
        </w:tc>
        <w:tc>
          <w:tcPr>
            <w:tcW w:w="1134" w:type="dxa"/>
            <w:vAlign w:val="center"/>
          </w:tcPr>
          <w:p>
            <w:pPr>
              <w:spacing w:before="240" w:line="360" w:lineRule="auto"/>
              <w:ind w:left="902" w:hanging="902"/>
              <w:jc w:val="center"/>
              <w:rPr>
                <w:rFonts w:ascii="宋体" w:hAnsi="宋体"/>
                <w:color w:val="auto"/>
                <w:szCs w:val="21"/>
              </w:rPr>
            </w:pPr>
          </w:p>
        </w:tc>
        <w:tc>
          <w:tcPr>
            <w:tcW w:w="1076" w:type="dxa"/>
            <w:vAlign w:val="center"/>
          </w:tcPr>
          <w:p>
            <w:pPr>
              <w:spacing w:before="240" w:line="360" w:lineRule="auto"/>
              <w:ind w:left="902" w:hanging="902"/>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6" w:type="dxa"/>
            <w:vAlign w:val="center"/>
          </w:tcPr>
          <w:p>
            <w:pPr>
              <w:spacing w:before="240" w:line="360" w:lineRule="auto"/>
              <w:ind w:left="902" w:hanging="902"/>
              <w:jc w:val="center"/>
              <w:rPr>
                <w:rFonts w:ascii="宋体" w:hAnsi="宋体"/>
                <w:color w:val="auto"/>
                <w:szCs w:val="21"/>
              </w:rPr>
            </w:pPr>
            <w:r>
              <w:rPr>
                <w:rFonts w:hint="eastAsia" w:ascii="宋体" w:hAnsi="宋体"/>
                <w:color w:val="auto"/>
                <w:szCs w:val="21"/>
              </w:rPr>
              <w:t>6</w:t>
            </w:r>
          </w:p>
        </w:tc>
        <w:tc>
          <w:tcPr>
            <w:tcW w:w="4952" w:type="dxa"/>
            <w:tcBorders>
              <w:left w:val="single" w:color="000000" w:sz="4" w:space="0"/>
            </w:tcBorders>
            <w:vAlign w:val="center"/>
          </w:tcPr>
          <w:p>
            <w:pPr>
              <w:widowControl/>
              <w:snapToGrid w:val="0"/>
              <w:rPr>
                <w:rFonts w:ascii="宋体" w:hAnsi="宋体" w:cs="宋体"/>
                <w:color w:val="auto"/>
                <w:szCs w:val="21"/>
              </w:rPr>
            </w:pPr>
            <w:r>
              <w:rPr>
                <w:rFonts w:hint="eastAsia" w:ascii="宋体" w:hAnsi="宋体"/>
                <w:color w:val="auto"/>
                <w:szCs w:val="21"/>
              </w:rPr>
              <w:t>★</w:t>
            </w:r>
            <w:r>
              <w:rPr>
                <w:rFonts w:hint="eastAsia" w:ascii="宋体" w:hAnsi="宋体" w:cs="宋体"/>
                <w:color w:val="auto"/>
                <w:szCs w:val="20"/>
              </w:rPr>
              <w:t>参加政府采购活动前三年内，在经营活动中没有重大违法记录【提供书面承诺证明材料】</w:t>
            </w:r>
          </w:p>
        </w:tc>
        <w:tc>
          <w:tcPr>
            <w:tcW w:w="1134" w:type="dxa"/>
            <w:vAlign w:val="center"/>
          </w:tcPr>
          <w:p>
            <w:pPr>
              <w:spacing w:before="240" w:line="360" w:lineRule="auto"/>
              <w:ind w:left="902" w:hanging="902"/>
              <w:jc w:val="center"/>
              <w:rPr>
                <w:rFonts w:ascii="宋体" w:hAnsi="宋体"/>
                <w:color w:val="auto"/>
                <w:szCs w:val="21"/>
              </w:rPr>
            </w:pPr>
          </w:p>
        </w:tc>
        <w:tc>
          <w:tcPr>
            <w:tcW w:w="1134" w:type="dxa"/>
            <w:vAlign w:val="center"/>
          </w:tcPr>
          <w:p>
            <w:pPr>
              <w:spacing w:before="240" w:line="360" w:lineRule="auto"/>
              <w:ind w:left="902" w:hanging="902"/>
              <w:jc w:val="center"/>
              <w:rPr>
                <w:rFonts w:ascii="宋体" w:hAnsi="宋体"/>
                <w:color w:val="auto"/>
                <w:szCs w:val="21"/>
              </w:rPr>
            </w:pPr>
          </w:p>
        </w:tc>
        <w:tc>
          <w:tcPr>
            <w:tcW w:w="1076" w:type="dxa"/>
            <w:vAlign w:val="center"/>
          </w:tcPr>
          <w:p>
            <w:pPr>
              <w:spacing w:before="240" w:line="360" w:lineRule="auto"/>
              <w:ind w:left="902" w:hanging="902"/>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6" w:type="dxa"/>
            <w:vAlign w:val="center"/>
          </w:tcPr>
          <w:p>
            <w:pPr>
              <w:spacing w:before="240" w:line="360" w:lineRule="auto"/>
              <w:ind w:left="902" w:hanging="902"/>
              <w:jc w:val="center"/>
              <w:rPr>
                <w:rFonts w:ascii="宋体" w:hAnsi="宋体"/>
                <w:color w:val="auto"/>
                <w:szCs w:val="21"/>
              </w:rPr>
            </w:pPr>
            <w:r>
              <w:rPr>
                <w:rFonts w:hint="eastAsia" w:ascii="宋体" w:hAnsi="宋体"/>
                <w:color w:val="auto"/>
                <w:szCs w:val="21"/>
              </w:rPr>
              <w:t>7</w:t>
            </w:r>
          </w:p>
        </w:tc>
        <w:tc>
          <w:tcPr>
            <w:tcW w:w="4952" w:type="dxa"/>
            <w:tcBorders>
              <w:left w:val="single" w:color="000000" w:sz="4" w:space="0"/>
            </w:tcBorders>
            <w:vAlign w:val="center"/>
          </w:tcPr>
          <w:p>
            <w:pPr>
              <w:widowControl/>
              <w:snapToGrid w:val="0"/>
              <w:rPr>
                <w:rFonts w:ascii="宋体" w:hAnsi="宋体" w:cs="宋体"/>
                <w:color w:val="auto"/>
                <w:szCs w:val="21"/>
              </w:rPr>
            </w:pPr>
            <w:r>
              <w:rPr>
                <w:rFonts w:hint="eastAsia" w:ascii="宋体" w:hAnsi="宋体"/>
                <w:color w:val="auto"/>
                <w:szCs w:val="21"/>
              </w:rPr>
              <w:t>★</w:t>
            </w:r>
            <w:r>
              <w:rPr>
                <w:rFonts w:hint="eastAsia" w:ascii="宋体" w:hAnsi="宋体" w:cs="宋体"/>
                <w:color w:val="auto"/>
                <w:kern w:val="0"/>
                <w:szCs w:val="21"/>
              </w:rPr>
              <w:t>供应商《公平竞争承诺书》原件</w:t>
            </w:r>
          </w:p>
        </w:tc>
        <w:tc>
          <w:tcPr>
            <w:tcW w:w="1134" w:type="dxa"/>
            <w:vAlign w:val="center"/>
          </w:tcPr>
          <w:p>
            <w:pPr>
              <w:spacing w:before="240" w:line="360" w:lineRule="auto"/>
              <w:ind w:left="902" w:hanging="902"/>
              <w:jc w:val="center"/>
              <w:rPr>
                <w:rFonts w:ascii="宋体" w:hAnsi="宋体"/>
                <w:color w:val="auto"/>
                <w:szCs w:val="21"/>
              </w:rPr>
            </w:pPr>
          </w:p>
        </w:tc>
        <w:tc>
          <w:tcPr>
            <w:tcW w:w="1134" w:type="dxa"/>
            <w:vAlign w:val="center"/>
          </w:tcPr>
          <w:p>
            <w:pPr>
              <w:spacing w:before="240" w:line="360" w:lineRule="auto"/>
              <w:ind w:left="902" w:hanging="902"/>
              <w:jc w:val="center"/>
              <w:rPr>
                <w:rFonts w:ascii="宋体" w:hAnsi="宋体"/>
                <w:color w:val="auto"/>
                <w:szCs w:val="21"/>
              </w:rPr>
            </w:pPr>
          </w:p>
        </w:tc>
        <w:tc>
          <w:tcPr>
            <w:tcW w:w="1076" w:type="dxa"/>
            <w:vAlign w:val="center"/>
          </w:tcPr>
          <w:p>
            <w:pPr>
              <w:spacing w:before="240" w:line="360" w:lineRule="auto"/>
              <w:ind w:left="902" w:hanging="902"/>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6" w:type="dxa"/>
            <w:vAlign w:val="center"/>
          </w:tcPr>
          <w:p>
            <w:pPr>
              <w:spacing w:before="240" w:line="360" w:lineRule="auto"/>
              <w:ind w:left="902" w:hanging="902"/>
              <w:jc w:val="center"/>
              <w:rPr>
                <w:rFonts w:ascii="宋体" w:hAnsi="宋体"/>
                <w:color w:val="auto"/>
                <w:szCs w:val="21"/>
              </w:rPr>
            </w:pPr>
            <w:r>
              <w:rPr>
                <w:rFonts w:hint="eastAsia" w:ascii="宋体" w:hAnsi="宋体"/>
                <w:color w:val="auto"/>
                <w:szCs w:val="21"/>
              </w:rPr>
              <w:t>8</w:t>
            </w:r>
          </w:p>
        </w:tc>
        <w:tc>
          <w:tcPr>
            <w:tcW w:w="4952" w:type="dxa"/>
            <w:tcBorders>
              <w:left w:val="single" w:color="000000" w:sz="4" w:space="0"/>
            </w:tcBorders>
            <w:vAlign w:val="center"/>
          </w:tcPr>
          <w:p>
            <w:pPr>
              <w:widowControl/>
              <w:snapToGrid w:val="0"/>
              <w:rPr>
                <w:rFonts w:ascii="宋体" w:hAnsi="宋体"/>
                <w:color w:val="auto"/>
                <w:szCs w:val="21"/>
              </w:rPr>
            </w:pPr>
            <w:r>
              <w:rPr>
                <w:rFonts w:hint="eastAsia" w:ascii="宋体" w:hAnsi="宋体"/>
                <w:color w:val="auto"/>
                <w:szCs w:val="21"/>
              </w:rPr>
              <w:t>★</w:t>
            </w:r>
            <w:r>
              <w:rPr>
                <w:rFonts w:hint="eastAsia" w:ascii="宋体" w:hAnsi="宋体"/>
                <w:color w:val="auto"/>
              </w:rPr>
              <w:t>供应商须具有承接本工程所需的建筑工程施工总承包叁级（或以上级别）资质</w:t>
            </w:r>
          </w:p>
        </w:tc>
        <w:tc>
          <w:tcPr>
            <w:tcW w:w="1134" w:type="dxa"/>
            <w:vAlign w:val="center"/>
          </w:tcPr>
          <w:p>
            <w:pPr>
              <w:spacing w:before="240" w:line="360" w:lineRule="auto"/>
              <w:ind w:left="902" w:hanging="902"/>
              <w:jc w:val="center"/>
              <w:rPr>
                <w:rFonts w:ascii="宋体" w:hAnsi="宋体"/>
                <w:color w:val="auto"/>
                <w:szCs w:val="21"/>
              </w:rPr>
            </w:pPr>
          </w:p>
        </w:tc>
        <w:tc>
          <w:tcPr>
            <w:tcW w:w="1134" w:type="dxa"/>
            <w:vAlign w:val="center"/>
          </w:tcPr>
          <w:p>
            <w:pPr>
              <w:spacing w:before="240" w:line="360" w:lineRule="auto"/>
              <w:ind w:left="902" w:hanging="902"/>
              <w:jc w:val="center"/>
              <w:rPr>
                <w:rFonts w:ascii="宋体" w:hAnsi="宋体"/>
                <w:color w:val="auto"/>
                <w:szCs w:val="21"/>
              </w:rPr>
            </w:pPr>
          </w:p>
        </w:tc>
        <w:tc>
          <w:tcPr>
            <w:tcW w:w="1076" w:type="dxa"/>
            <w:vAlign w:val="center"/>
          </w:tcPr>
          <w:p>
            <w:pPr>
              <w:spacing w:before="240" w:line="360" w:lineRule="auto"/>
              <w:ind w:left="902" w:hanging="902"/>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6" w:type="dxa"/>
            <w:vAlign w:val="center"/>
          </w:tcPr>
          <w:p>
            <w:pPr>
              <w:spacing w:before="240" w:line="360" w:lineRule="auto"/>
              <w:ind w:left="902" w:hanging="902"/>
              <w:jc w:val="center"/>
              <w:rPr>
                <w:rFonts w:ascii="宋体" w:hAnsi="宋体"/>
                <w:color w:val="auto"/>
                <w:szCs w:val="21"/>
              </w:rPr>
            </w:pPr>
            <w:r>
              <w:rPr>
                <w:rFonts w:hint="eastAsia" w:ascii="宋体" w:hAnsi="宋体"/>
                <w:color w:val="auto"/>
                <w:szCs w:val="21"/>
              </w:rPr>
              <w:t>9</w:t>
            </w:r>
          </w:p>
        </w:tc>
        <w:tc>
          <w:tcPr>
            <w:tcW w:w="4952" w:type="dxa"/>
            <w:tcBorders>
              <w:left w:val="single" w:color="000000" w:sz="4" w:space="0"/>
            </w:tcBorders>
            <w:vAlign w:val="center"/>
          </w:tcPr>
          <w:p>
            <w:pPr>
              <w:widowControl/>
              <w:snapToGrid w:val="0"/>
              <w:rPr>
                <w:rFonts w:ascii="宋体" w:hAnsi="宋体"/>
                <w:color w:val="auto"/>
                <w:szCs w:val="21"/>
              </w:rPr>
            </w:pPr>
            <w:r>
              <w:rPr>
                <w:rFonts w:hint="eastAsia" w:ascii="宋体" w:hAnsi="宋体"/>
                <w:color w:val="auto"/>
              </w:rPr>
              <w:t>★供应商须具有建设行政主管部门颁发的安全生产许可证；</w:t>
            </w:r>
          </w:p>
        </w:tc>
        <w:tc>
          <w:tcPr>
            <w:tcW w:w="1134" w:type="dxa"/>
            <w:vAlign w:val="center"/>
          </w:tcPr>
          <w:p>
            <w:pPr>
              <w:spacing w:before="240" w:line="360" w:lineRule="auto"/>
              <w:ind w:left="902" w:hanging="902"/>
              <w:jc w:val="center"/>
              <w:rPr>
                <w:rFonts w:ascii="宋体" w:hAnsi="宋体"/>
                <w:color w:val="auto"/>
                <w:szCs w:val="21"/>
              </w:rPr>
            </w:pPr>
          </w:p>
        </w:tc>
        <w:tc>
          <w:tcPr>
            <w:tcW w:w="1134" w:type="dxa"/>
            <w:vAlign w:val="center"/>
          </w:tcPr>
          <w:p>
            <w:pPr>
              <w:spacing w:before="240" w:line="360" w:lineRule="auto"/>
              <w:ind w:left="902" w:hanging="902"/>
              <w:jc w:val="center"/>
              <w:rPr>
                <w:rFonts w:ascii="宋体" w:hAnsi="宋体"/>
                <w:color w:val="auto"/>
                <w:szCs w:val="21"/>
              </w:rPr>
            </w:pPr>
          </w:p>
        </w:tc>
        <w:tc>
          <w:tcPr>
            <w:tcW w:w="1076" w:type="dxa"/>
            <w:vAlign w:val="center"/>
          </w:tcPr>
          <w:p>
            <w:pPr>
              <w:spacing w:before="240" w:line="360" w:lineRule="auto"/>
              <w:ind w:left="902" w:hanging="902"/>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6" w:type="dxa"/>
            <w:vAlign w:val="center"/>
          </w:tcPr>
          <w:p>
            <w:pPr>
              <w:spacing w:before="240" w:line="360" w:lineRule="auto"/>
              <w:ind w:left="902" w:hanging="902"/>
              <w:jc w:val="center"/>
              <w:rPr>
                <w:rFonts w:ascii="宋体" w:hAnsi="宋体"/>
                <w:color w:val="auto"/>
                <w:szCs w:val="21"/>
              </w:rPr>
            </w:pPr>
            <w:r>
              <w:rPr>
                <w:rFonts w:hint="eastAsia" w:ascii="宋体" w:hAnsi="宋体"/>
                <w:color w:val="auto"/>
                <w:szCs w:val="21"/>
              </w:rPr>
              <w:t>10</w:t>
            </w:r>
          </w:p>
        </w:tc>
        <w:tc>
          <w:tcPr>
            <w:tcW w:w="4952" w:type="dxa"/>
            <w:tcBorders>
              <w:left w:val="single" w:color="000000" w:sz="4" w:space="0"/>
            </w:tcBorders>
            <w:vAlign w:val="center"/>
          </w:tcPr>
          <w:p>
            <w:pPr>
              <w:widowControl/>
              <w:snapToGrid w:val="0"/>
              <w:rPr>
                <w:rFonts w:ascii="宋体" w:hAnsi="宋体"/>
                <w:color w:val="auto"/>
              </w:rPr>
            </w:pPr>
            <w:r>
              <w:rPr>
                <w:rFonts w:hint="eastAsia" w:ascii="宋体" w:hAnsi="宋体"/>
                <w:color w:val="auto"/>
              </w:rPr>
              <w:t>★供应商拟担任本工程项目负责人的人员为：建筑工程专业二级或以上级别注册建造师，且项目负责人持有安全培训考核合格证（B类）或能够提供广东省建筑施工企业管理人员安全生产考核信息系统安全生产管理人员证书信息的网页截图；</w:t>
            </w:r>
          </w:p>
          <w:p>
            <w:pPr>
              <w:widowControl/>
              <w:snapToGrid w:val="0"/>
              <w:rPr>
                <w:rFonts w:ascii="宋体" w:hAnsi="宋体"/>
                <w:color w:val="auto"/>
                <w:szCs w:val="21"/>
              </w:rPr>
            </w:pPr>
            <w:r>
              <w:rPr>
                <w:rFonts w:hint="eastAsia" w:ascii="宋体" w:hAnsi="宋体"/>
                <w:color w:val="auto"/>
              </w:rPr>
              <w:t>注：①根据广东省建设厅《关于明确省外二级建造师入粤注册和执业有关问题的通知》（粤建市函〔2011〕218号），二级建造师执业资格证书、注册证书仅限所在行政区域内有效，不得跨省执业。投标人应提供有效的二级建造师执业资格证书或提供省建设执业资格注册中心“广东省二级注册建造师、二级注册结构工程师、二级注册建筑师注册管理信息系统”上有效的电子注册证书。</w:t>
            </w:r>
          </w:p>
        </w:tc>
        <w:tc>
          <w:tcPr>
            <w:tcW w:w="1134" w:type="dxa"/>
            <w:vAlign w:val="center"/>
          </w:tcPr>
          <w:p>
            <w:pPr>
              <w:spacing w:before="240" w:line="360" w:lineRule="auto"/>
              <w:ind w:left="902" w:hanging="902"/>
              <w:jc w:val="center"/>
              <w:rPr>
                <w:rFonts w:ascii="宋体" w:hAnsi="宋体"/>
                <w:color w:val="auto"/>
                <w:szCs w:val="21"/>
              </w:rPr>
            </w:pPr>
          </w:p>
        </w:tc>
        <w:tc>
          <w:tcPr>
            <w:tcW w:w="1134" w:type="dxa"/>
            <w:vAlign w:val="center"/>
          </w:tcPr>
          <w:p>
            <w:pPr>
              <w:spacing w:before="240" w:line="360" w:lineRule="auto"/>
              <w:ind w:left="902" w:hanging="902"/>
              <w:jc w:val="center"/>
              <w:rPr>
                <w:rFonts w:ascii="宋体" w:hAnsi="宋体"/>
                <w:color w:val="auto"/>
                <w:szCs w:val="21"/>
              </w:rPr>
            </w:pPr>
          </w:p>
        </w:tc>
        <w:tc>
          <w:tcPr>
            <w:tcW w:w="1076" w:type="dxa"/>
            <w:vAlign w:val="center"/>
          </w:tcPr>
          <w:p>
            <w:pPr>
              <w:spacing w:before="240" w:line="360" w:lineRule="auto"/>
              <w:ind w:left="902" w:hanging="902"/>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6" w:type="dxa"/>
            <w:vAlign w:val="center"/>
          </w:tcPr>
          <w:p>
            <w:pPr>
              <w:spacing w:before="240" w:line="360" w:lineRule="auto"/>
              <w:ind w:left="902" w:hanging="902"/>
              <w:jc w:val="center"/>
              <w:rPr>
                <w:rFonts w:ascii="宋体" w:hAnsi="宋体"/>
                <w:color w:val="auto"/>
                <w:szCs w:val="21"/>
              </w:rPr>
            </w:pPr>
            <w:r>
              <w:rPr>
                <w:rFonts w:hint="eastAsia" w:ascii="宋体" w:hAnsi="宋体"/>
                <w:color w:val="auto"/>
                <w:szCs w:val="21"/>
              </w:rPr>
              <w:t>11</w:t>
            </w:r>
          </w:p>
        </w:tc>
        <w:tc>
          <w:tcPr>
            <w:tcW w:w="4952" w:type="dxa"/>
            <w:tcBorders>
              <w:left w:val="single" w:color="000000" w:sz="4" w:space="0"/>
            </w:tcBorders>
            <w:vAlign w:val="center"/>
          </w:tcPr>
          <w:p>
            <w:pPr>
              <w:widowControl/>
              <w:snapToGrid w:val="0"/>
              <w:rPr>
                <w:rFonts w:ascii="宋体" w:hAnsi="宋体" w:cs="宋体"/>
                <w:color w:val="auto"/>
                <w:szCs w:val="21"/>
              </w:rPr>
            </w:pPr>
            <w:r>
              <w:rPr>
                <w:rFonts w:hint="eastAsia" w:ascii="宋体" w:hAnsi="宋体" w:cs="宋体"/>
                <w:color w:val="auto"/>
                <w:szCs w:val="21"/>
              </w:rPr>
              <w:t>★</w:t>
            </w:r>
            <w:r>
              <w:rPr>
                <w:rFonts w:hint="eastAsia" w:ascii="宋体" w:hAnsi="宋体" w:cs="宋体"/>
                <w:color w:val="auto"/>
                <w:szCs w:val="20"/>
              </w:rPr>
              <w:t>本项目投标人未被列入“信用中国”网站(www.creditchina.gov.cn)以下情形之一：①记录失信被执行人；②重大税收违法案件当事人名单；③政府采购严重违法失信行为。同时，在中国政府采购网(www.ccgp.gov.cn)“政府采购严重违法失信行为信息记录”中查询没有处于禁止参加政府采购活动的记录名单。（1、由采购人、采购代理机构于投标截止日在上述网站进行查询，同时对信息查询记录和证据截图或下载存档；2、若分公司投标：供应商为非独立法人（即由合法法人依法建立的分公司），除了对供应商进行信息查询外，同时对总公司的信息查询记录和证据截图或下载存档）。</w:t>
            </w:r>
          </w:p>
        </w:tc>
        <w:tc>
          <w:tcPr>
            <w:tcW w:w="1134" w:type="dxa"/>
            <w:vAlign w:val="center"/>
          </w:tcPr>
          <w:p>
            <w:pPr>
              <w:spacing w:before="240" w:line="360" w:lineRule="auto"/>
              <w:ind w:left="902" w:hanging="902"/>
              <w:jc w:val="center"/>
              <w:rPr>
                <w:rFonts w:ascii="宋体" w:hAnsi="宋体"/>
                <w:color w:val="auto"/>
                <w:szCs w:val="21"/>
              </w:rPr>
            </w:pPr>
          </w:p>
        </w:tc>
        <w:tc>
          <w:tcPr>
            <w:tcW w:w="1134" w:type="dxa"/>
            <w:vAlign w:val="center"/>
          </w:tcPr>
          <w:p>
            <w:pPr>
              <w:spacing w:before="240" w:line="360" w:lineRule="auto"/>
              <w:ind w:left="902" w:hanging="902"/>
              <w:jc w:val="center"/>
              <w:rPr>
                <w:rFonts w:ascii="宋体" w:hAnsi="宋体"/>
                <w:color w:val="auto"/>
                <w:szCs w:val="21"/>
              </w:rPr>
            </w:pPr>
          </w:p>
        </w:tc>
        <w:tc>
          <w:tcPr>
            <w:tcW w:w="1076" w:type="dxa"/>
            <w:vAlign w:val="center"/>
          </w:tcPr>
          <w:p>
            <w:pPr>
              <w:spacing w:before="240" w:line="360" w:lineRule="auto"/>
              <w:ind w:left="902" w:hanging="902"/>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6" w:type="dxa"/>
            <w:vAlign w:val="center"/>
          </w:tcPr>
          <w:p>
            <w:pPr>
              <w:spacing w:before="240" w:line="360" w:lineRule="auto"/>
              <w:ind w:left="902" w:hanging="902"/>
              <w:jc w:val="center"/>
              <w:rPr>
                <w:rFonts w:ascii="宋体" w:hAnsi="宋体"/>
                <w:color w:val="auto"/>
                <w:szCs w:val="21"/>
              </w:rPr>
            </w:pPr>
            <w:r>
              <w:rPr>
                <w:rFonts w:hint="eastAsia" w:ascii="宋体" w:hAnsi="宋体"/>
                <w:color w:val="auto"/>
                <w:szCs w:val="21"/>
              </w:rPr>
              <w:t>12</w:t>
            </w:r>
          </w:p>
        </w:tc>
        <w:tc>
          <w:tcPr>
            <w:tcW w:w="4952" w:type="dxa"/>
            <w:tcBorders>
              <w:left w:val="single" w:color="000000" w:sz="4" w:space="0"/>
            </w:tcBorders>
            <w:vAlign w:val="center"/>
          </w:tcPr>
          <w:p>
            <w:pPr>
              <w:widowControl/>
              <w:snapToGrid w:val="0"/>
              <w:rPr>
                <w:rFonts w:ascii="宋体" w:hAnsi="宋体" w:cs="宋体"/>
                <w:color w:val="auto"/>
                <w:szCs w:val="21"/>
              </w:rPr>
            </w:pPr>
            <w:r>
              <w:rPr>
                <w:rFonts w:hint="eastAsia" w:ascii="宋体" w:hAnsi="宋体"/>
                <w:color w:val="auto"/>
                <w:szCs w:val="21"/>
              </w:rPr>
              <w:t>★</w:t>
            </w:r>
            <w:r>
              <w:rPr>
                <w:rFonts w:hint="eastAsia" w:ascii="宋体" w:hAnsi="宋体" w:cs="宋体"/>
                <w:color w:val="auto"/>
                <w:szCs w:val="21"/>
              </w:rPr>
              <w:t>供应商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r>
              <w:rPr>
                <w:rFonts w:hint="eastAsia" w:ascii="宋体" w:hAnsi="宋体" w:cs="宋体"/>
                <w:color w:val="auto"/>
                <w:szCs w:val="20"/>
              </w:rPr>
              <w:t>【提供书面承诺证明材料】</w:t>
            </w:r>
          </w:p>
        </w:tc>
        <w:tc>
          <w:tcPr>
            <w:tcW w:w="1134" w:type="dxa"/>
            <w:vAlign w:val="center"/>
          </w:tcPr>
          <w:p>
            <w:pPr>
              <w:spacing w:before="240" w:line="360" w:lineRule="auto"/>
              <w:ind w:left="902" w:hanging="902"/>
              <w:jc w:val="center"/>
              <w:rPr>
                <w:rFonts w:ascii="宋体" w:hAnsi="宋体"/>
                <w:color w:val="auto"/>
                <w:szCs w:val="21"/>
              </w:rPr>
            </w:pPr>
          </w:p>
        </w:tc>
        <w:tc>
          <w:tcPr>
            <w:tcW w:w="1134" w:type="dxa"/>
            <w:vAlign w:val="center"/>
          </w:tcPr>
          <w:p>
            <w:pPr>
              <w:spacing w:before="240" w:line="360" w:lineRule="auto"/>
              <w:ind w:left="902" w:hanging="902"/>
              <w:jc w:val="center"/>
              <w:rPr>
                <w:rFonts w:ascii="宋体" w:hAnsi="宋体"/>
                <w:color w:val="auto"/>
                <w:szCs w:val="21"/>
              </w:rPr>
            </w:pPr>
          </w:p>
        </w:tc>
        <w:tc>
          <w:tcPr>
            <w:tcW w:w="1076" w:type="dxa"/>
            <w:vAlign w:val="center"/>
          </w:tcPr>
          <w:p>
            <w:pPr>
              <w:spacing w:before="240" w:line="360" w:lineRule="auto"/>
              <w:ind w:left="902" w:hanging="902"/>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6" w:type="dxa"/>
            <w:vAlign w:val="center"/>
          </w:tcPr>
          <w:p>
            <w:pPr>
              <w:spacing w:before="240" w:line="360" w:lineRule="auto"/>
              <w:ind w:left="902" w:hanging="902"/>
              <w:jc w:val="center"/>
              <w:rPr>
                <w:rFonts w:ascii="宋体" w:hAnsi="宋体"/>
                <w:color w:val="auto"/>
                <w:szCs w:val="21"/>
              </w:rPr>
            </w:pPr>
            <w:r>
              <w:rPr>
                <w:rFonts w:hint="eastAsia" w:ascii="宋体" w:hAnsi="宋体"/>
                <w:color w:val="auto"/>
                <w:szCs w:val="21"/>
              </w:rPr>
              <w:t>13</w:t>
            </w:r>
          </w:p>
        </w:tc>
        <w:tc>
          <w:tcPr>
            <w:tcW w:w="4952" w:type="dxa"/>
            <w:tcBorders>
              <w:left w:val="single" w:color="000000" w:sz="4" w:space="0"/>
            </w:tcBorders>
            <w:vAlign w:val="center"/>
          </w:tcPr>
          <w:p>
            <w:pPr>
              <w:widowControl/>
              <w:snapToGrid w:val="0"/>
              <w:rPr>
                <w:rFonts w:ascii="宋体" w:hAnsi="宋体" w:cs="宋体"/>
                <w:color w:val="auto"/>
                <w:szCs w:val="21"/>
              </w:rPr>
            </w:pPr>
            <w:r>
              <w:rPr>
                <w:rFonts w:hint="eastAsia" w:ascii="宋体" w:hAnsi="宋体"/>
                <w:color w:val="auto"/>
                <w:szCs w:val="21"/>
              </w:rPr>
              <w:t>★</w:t>
            </w:r>
            <w:r>
              <w:rPr>
                <w:rFonts w:hint="eastAsia" w:ascii="宋体" w:hAnsi="宋体" w:cs="宋体"/>
                <w:color w:val="auto"/>
                <w:szCs w:val="21"/>
              </w:rPr>
              <w:t>本项目不接受联合体投标。</w:t>
            </w:r>
            <w:r>
              <w:rPr>
                <w:rFonts w:hint="eastAsia" w:ascii="宋体" w:hAnsi="宋体" w:cs="宋体"/>
                <w:color w:val="auto"/>
                <w:szCs w:val="20"/>
              </w:rPr>
              <w:t>【提供书面承诺证明材料】</w:t>
            </w:r>
          </w:p>
        </w:tc>
        <w:tc>
          <w:tcPr>
            <w:tcW w:w="1134" w:type="dxa"/>
            <w:vAlign w:val="center"/>
          </w:tcPr>
          <w:p>
            <w:pPr>
              <w:spacing w:before="240" w:line="360" w:lineRule="auto"/>
              <w:ind w:left="902" w:hanging="902"/>
              <w:jc w:val="center"/>
              <w:rPr>
                <w:rFonts w:ascii="宋体" w:hAnsi="宋体"/>
                <w:color w:val="auto"/>
                <w:szCs w:val="21"/>
              </w:rPr>
            </w:pPr>
          </w:p>
        </w:tc>
        <w:tc>
          <w:tcPr>
            <w:tcW w:w="1134" w:type="dxa"/>
            <w:vAlign w:val="center"/>
          </w:tcPr>
          <w:p>
            <w:pPr>
              <w:spacing w:before="240" w:line="360" w:lineRule="auto"/>
              <w:ind w:left="902" w:hanging="902"/>
              <w:jc w:val="center"/>
              <w:rPr>
                <w:rFonts w:ascii="宋体" w:hAnsi="宋体"/>
                <w:color w:val="auto"/>
                <w:szCs w:val="21"/>
              </w:rPr>
            </w:pPr>
          </w:p>
        </w:tc>
        <w:tc>
          <w:tcPr>
            <w:tcW w:w="1076" w:type="dxa"/>
            <w:vAlign w:val="center"/>
          </w:tcPr>
          <w:p>
            <w:pPr>
              <w:spacing w:before="240" w:line="360" w:lineRule="auto"/>
              <w:ind w:left="902" w:hanging="902"/>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6" w:type="dxa"/>
            <w:vAlign w:val="center"/>
          </w:tcPr>
          <w:p>
            <w:pPr>
              <w:spacing w:before="240" w:line="360" w:lineRule="auto"/>
              <w:ind w:left="902" w:hanging="902"/>
              <w:jc w:val="center"/>
              <w:rPr>
                <w:rFonts w:ascii="宋体" w:hAnsi="宋体"/>
                <w:color w:val="auto"/>
                <w:szCs w:val="21"/>
              </w:rPr>
            </w:pPr>
            <w:r>
              <w:rPr>
                <w:rFonts w:hint="eastAsia" w:ascii="宋体" w:hAnsi="宋体"/>
                <w:color w:val="auto"/>
                <w:szCs w:val="21"/>
              </w:rPr>
              <w:t>14</w:t>
            </w:r>
          </w:p>
        </w:tc>
        <w:tc>
          <w:tcPr>
            <w:tcW w:w="4952" w:type="dxa"/>
            <w:tcBorders>
              <w:left w:val="single" w:color="000000" w:sz="4" w:space="0"/>
            </w:tcBorders>
            <w:vAlign w:val="center"/>
          </w:tcPr>
          <w:p>
            <w:pPr>
              <w:widowControl/>
              <w:snapToGrid w:val="0"/>
              <w:rPr>
                <w:rFonts w:ascii="宋体" w:hAnsi="宋体" w:cs="宋体"/>
                <w:color w:val="auto"/>
                <w:szCs w:val="21"/>
              </w:rPr>
            </w:pPr>
            <w:r>
              <w:rPr>
                <w:rFonts w:hint="eastAsia" w:ascii="宋体" w:hAnsi="宋体" w:cs="宋体"/>
                <w:color w:val="auto"/>
                <w:kern w:val="0"/>
                <w:szCs w:val="21"/>
                <w:lang w:val="hr-HR"/>
              </w:rPr>
              <w:t>★</w:t>
            </w:r>
            <w:r>
              <w:rPr>
                <w:rFonts w:hint="eastAsia" w:ascii="宋体" w:hAnsi="宋体"/>
                <w:color w:val="auto"/>
                <w:kern w:val="0"/>
                <w:szCs w:val="21"/>
              </w:rPr>
              <w:t>《</w:t>
            </w:r>
            <w:r>
              <w:rPr>
                <w:rFonts w:hint="eastAsia" w:ascii="宋体" w:hAnsi="宋体" w:cs="宋体"/>
                <w:color w:val="auto"/>
                <w:szCs w:val="21"/>
              </w:rPr>
              <w:t>清单报价表</w:t>
            </w:r>
            <w:r>
              <w:rPr>
                <w:rFonts w:hint="eastAsia" w:ascii="宋体" w:hAnsi="宋体"/>
                <w:color w:val="auto"/>
                <w:kern w:val="0"/>
                <w:szCs w:val="21"/>
              </w:rPr>
              <w:t>》</w:t>
            </w:r>
            <w:r>
              <w:rPr>
                <w:rFonts w:hint="eastAsia" w:ascii="宋体" w:hAnsi="宋体" w:cs="宋体"/>
                <w:color w:val="auto"/>
                <w:kern w:val="0"/>
                <w:szCs w:val="21"/>
                <w:lang w:val="hr-HR"/>
              </w:rPr>
              <w:t>（含封面）原件</w:t>
            </w:r>
          </w:p>
        </w:tc>
        <w:tc>
          <w:tcPr>
            <w:tcW w:w="1134" w:type="dxa"/>
            <w:vAlign w:val="center"/>
          </w:tcPr>
          <w:p>
            <w:pPr>
              <w:spacing w:before="240" w:line="360" w:lineRule="auto"/>
              <w:ind w:left="902" w:hanging="902"/>
              <w:jc w:val="center"/>
              <w:rPr>
                <w:rFonts w:ascii="宋体" w:hAnsi="宋体"/>
                <w:color w:val="auto"/>
                <w:szCs w:val="21"/>
              </w:rPr>
            </w:pPr>
          </w:p>
        </w:tc>
        <w:tc>
          <w:tcPr>
            <w:tcW w:w="1134" w:type="dxa"/>
            <w:vAlign w:val="center"/>
          </w:tcPr>
          <w:p>
            <w:pPr>
              <w:spacing w:before="240" w:line="360" w:lineRule="auto"/>
              <w:ind w:left="902" w:hanging="902"/>
              <w:jc w:val="center"/>
              <w:rPr>
                <w:rFonts w:ascii="宋体" w:hAnsi="宋体"/>
                <w:color w:val="auto"/>
                <w:szCs w:val="21"/>
              </w:rPr>
            </w:pPr>
          </w:p>
        </w:tc>
        <w:tc>
          <w:tcPr>
            <w:tcW w:w="1076" w:type="dxa"/>
            <w:vAlign w:val="center"/>
          </w:tcPr>
          <w:p>
            <w:pPr>
              <w:spacing w:before="240" w:line="360" w:lineRule="auto"/>
              <w:ind w:left="902" w:hanging="902"/>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6" w:type="dxa"/>
            <w:vAlign w:val="center"/>
          </w:tcPr>
          <w:p>
            <w:pPr>
              <w:spacing w:before="240" w:line="360" w:lineRule="auto"/>
              <w:ind w:left="902" w:hanging="902"/>
              <w:jc w:val="center"/>
              <w:rPr>
                <w:rFonts w:ascii="宋体" w:hAnsi="宋体"/>
                <w:color w:val="auto"/>
                <w:szCs w:val="21"/>
              </w:rPr>
            </w:pPr>
            <w:r>
              <w:rPr>
                <w:rFonts w:hint="eastAsia" w:ascii="宋体" w:hAnsi="宋体"/>
                <w:color w:val="auto"/>
                <w:szCs w:val="21"/>
              </w:rPr>
              <w:t>15</w:t>
            </w:r>
          </w:p>
        </w:tc>
        <w:tc>
          <w:tcPr>
            <w:tcW w:w="4952" w:type="dxa"/>
            <w:tcBorders>
              <w:left w:val="single" w:color="000000" w:sz="4" w:space="0"/>
            </w:tcBorders>
          </w:tcPr>
          <w:p>
            <w:pPr>
              <w:spacing w:line="360" w:lineRule="auto"/>
              <w:rPr>
                <w:rFonts w:ascii="宋体" w:hAnsi="宋体"/>
                <w:color w:val="auto"/>
                <w:szCs w:val="21"/>
              </w:rPr>
            </w:pPr>
            <w:r>
              <w:rPr>
                <w:rFonts w:hint="eastAsia" w:ascii="宋体" w:hAnsi="宋体" w:cs="宋体"/>
                <w:color w:val="auto"/>
                <w:kern w:val="0"/>
                <w:szCs w:val="21"/>
                <w:lang w:val="hr-HR"/>
              </w:rPr>
              <w:t>★</w:t>
            </w:r>
            <w:r>
              <w:rPr>
                <w:rFonts w:hint="eastAsia" w:ascii="宋体" w:hAnsi="宋体" w:cs="宋体"/>
                <w:color w:val="auto"/>
                <w:szCs w:val="21"/>
              </w:rPr>
              <w:t>投标人《清单报价表》正本须用采购人提供的原件手工填写（含封面），并逐页加盖法人公章确认，投标人不得修改《清单报价表》中项目内容及工程数量；副本可以采用正本复印并逐页加盖法人公章确认。</w:t>
            </w:r>
          </w:p>
        </w:tc>
        <w:tc>
          <w:tcPr>
            <w:tcW w:w="1134" w:type="dxa"/>
            <w:vAlign w:val="center"/>
          </w:tcPr>
          <w:p>
            <w:pPr>
              <w:spacing w:before="240" w:line="360" w:lineRule="auto"/>
              <w:ind w:left="902" w:hanging="902"/>
              <w:jc w:val="center"/>
              <w:rPr>
                <w:rFonts w:ascii="宋体" w:hAnsi="宋体"/>
                <w:color w:val="auto"/>
                <w:szCs w:val="21"/>
              </w:rPr>
            </w:pPr>
          </w:p>
        </w:tc>
        <w:tc>
          <w:tcPr>
            <w:tcW w:w="1134" w:type="dxa"/>
            <w:vAlign w:val="center"/>
          </w:tcPr>
          <w:p>
            <w:pPr>
              <w:spacing w:before="240" w:line="360" w:lineRule="auto"/>
              <w:ind w:left="902" w:hanging="902"/>
              <w:jc w:val="center"/>
              <w:rPr>
                <w:rFonts w:ascii="宋体" w:hAnsi="宋体"/>
                <w:color w:val="auto"/>
                <w:szCs w:val="21"/>
              </w:rPr>
            </w:pPr>
          </w:p>
        </w:tc>
        <w:tc>
          <w:tcPr>
            <w:tcW w:w="1076" w:type="dxa"/>
            <w:vAlign w:val="center"/>
          </w:tcPr>
          <w:p>
            <w:pPr>
              <w:spacing w:before="240" w:line="360" w:lineRule="auto"/>
              <w:ind w:left="902" w:hanging="902"/>
              <w:jc w:val="center"/>
              <w:rPr>
                <w:rFonts w:ascii="宋体" w:hAnsi="宋体"/>
                <w:color w:val="auto"/>
                <w:szCs w:val="21"/>
              </w:rPr>
            </w:pPr>
          </w:p>
        </w:tc>
      </w:tr>
    </w:tbl>
    <w:p>
      <w:pPr>
        <w:spacing w:line="360" w:lineRule="auto"/>
        <w:rPr>
          <w:rFonts w:ascii="宋体" w:hAnsi="宋体"/>
          <w:b/>
          <w:bCs/>
          <w:color w:val="auto"/>
          <w:szCs w:val="21"/>
        </w:rPr>
      </w:pPr>
    </w:p>
    <w:p>
      <w:pPr>
        <w:spacing w:line="360" w:lineRule="auto"/>
        <w:rPr>
          <w:rFonts w:ascii="宋体" w:hAnsi="宋体"/>
          <w:b/>
          <w:bCs/>
          <w:color w:val="auto"/>
          <w:szCs w:val="21"/>
        </w:rPr>
      </w:pPr>
      <w:r>
        <w:rPr>
          <w:rFonts w:hint="eastAsia" w:ascii="宋体" w:hAnsi="宋体"/>
          <w:b/>
          <w:bCs/>
          <w:color w:val="auto"/>
          <w:szCs w:val="21"/>
        </w:rPr>
        <w:t>说明：1、供应商必须对应竞争性磋商文件的 “★”号条款逐条应答并按要求填写下表。</w:t>
      </w:r>
    </w:p>
    <w:p>
      <w:pPr>
        <w:spacing w:line="360" w:lineRule="auto"/>
        <w:ind w:left="718" w:leftChars="342"/>
        <w:rPr>
          <w:rFonts w:ascii="宋体" w:hAnsi="宋体"/>
          <w:b/>
          <w:bCs/>
          <w:color w:val="auto"/>
          <w:szCs w:val="21"/>
        </w:rPr>
      </w:pPr>
      <w:r>
        <w:rPr>
          <w:rFonts w:hint="eastAsia" w:ascii="宋体" w:hAnsi="宋体"/>
          <w:b/>
          <w:bCs/>
          <w:color w:val="auto"/>
          <w:szCs w:val="21"/>
        </w:rPr>
        <w:t>2、对完全响应的条目在下表相应列中标注“○”。对有偏离的条目在下表相应列中标注“×”，并简述偏离内容。</w:t>
      </w:r>
    </w:p>
    <w:p>
      <w:pPr>
        <w:spacing w:line="360" w:lineRule="auto"/>
        <w:rPr>
          <w:rFonts w:ascii="宋体" w:hAnsi="宋体"/>
          <w:bCs/>
          <w:color w:val="auto"/>
          <w:szCs w:val="21"/>
        </w:rPr>
      </w:pPr>
    </w:p>
    <w:p>
      <w:pPr>
        <w:spacing w:line="360" w:lineRule="auto"/>
        <w:rPr>
          <w:rFonts w:ascii="宋体" w:hAnsi="宋体"/>
          <w:bCs/>
          <w:color w:val="auto"/>
          <w:szCs w:val="21"/>
        </w:rPr>
      </w:pPr>
    </w:p>
    <w:p>
      <w:pPr>
        <w:spacing w:line="360" w:lineRule="auto"/>
        <w:rPr>
          <w:rFonts w:ascii="宋体" w:hAnsi="宋体"/>
          <w:bCs/>
          <w:color w:val="auto"/>
          <w:szCs w:val="21"/>
        </w:rPr>
      </w:pPr>
      <w:r>
        <w:rPr>
          <w:rFonts w:hint="eastAsia" w:ascii="宋体" w:hAnsi="宋体"/>
          <w:bCs/>
          <w:color w:val="auto"/>
          <w:szCs w:val="21"/>
        </w:rPr>
        <w:t>供应商全称（加盖公章）:</w:t>
      </w:r>
    </w:p>
    <w:p>
      <w:pPr>
        <w:spacing w:line="360" w:lineRule="auto"/>
        <w:rPr>
          <w:rFonts w:ascii="宋体" w:hAnsi="宋体"/>
          <w:bCs/>
          <w:color w:val="auto"/>
          <w:szCs w:val="21"/>
        </w:rPr>
      </w:pPr>
      <w:r>
        <w:rPr>
          <w:rFonts w:hint="eastAsia" w:ascii="宋体" w:hAnsi="宋体"/>
          <w:bCs/>
          <w:color w:val="auto"/>
          <w:szCs w:val="21"/>
        </w:rPr>
        <w:t>法定代表人或其授权代表(</w:t>
      </w:r>
      <w:r>
        <w:rPr>
          <w:rFonts w:hint="eastAsia" w:ascii="宋体" w:hAnsi="宋体"/>
          <w:color w:val="auto"/>
          <w:szCs w:val="21"/>
        </w:rPr>
        <w:t>签字或签章</w:t>
      </w:r>
      <w:r>
        <w:rPr>
          <w:rFonts w:hint="eastAsia" w:ascii="宋体" w:hAnsi="宋体"/>
          <w:bCs/>
          <w:color w:val="auto"/>
          <w:szCs w:val="21"/>
        </w:rPr>
        <w:t>)：</w:t>
      </w:r>
    </w:p>
    <w:p>
      <w:pPr>
        <w:spacing w:line="360" w:lineRule="auto"/>
        <w:rPr>
          <w:rFonts w:hAnsi="宋体"/>
          <w:bCs/>
          <w:color w:val="auto"/>
          <w:szCs w:val="21"/>
        </w:rPr>
      </w:pPr>
      <w:r>
        <w:rPr>
          <w:rFonts w:hint="eastAsia" w:hAnsi="宋体"/>
          <w:bCs/>
          <w:color w:val="auto"/>
          <w:szCs w:val="21"/>
        </w:rPr>
        <w:t>日    期：     年   月   日</w:t>
      </w:r>
      <w:bookmarkEnd w:id="325"/>
      <w:bookmarkEnd w:id="384"/>
      <w:bookmarkEnd w:id="385"/>
      <w:bookmarkEnd w:id="386"/>
      <w:bookmarkEnd w:id="387"/>
      <w:bookmarkEnd w:id="388"/>
      <w:bookmarkEnd w:id="390"/>
      <w:bookmarkEnd w:id="391"/>
      <w:bookmarkEnd w:id="392"/>
      <w:bookmarkEnd w:id="393"/>
      <w:bookmarkEnd w:id="394"/>
      <w:bookmarkEnd w:id="395"/>
      <w:bookmarkEnd w:id="396"/>
      <w:bookmarkEnd w:id="397"/>
      <w:bookmarkEnd w:id="398"/>
    </w:p>
    <w:p>
      <w:pPr>
        <w:spacing w:line="360" w:lineRule="auto"/>
        <w:rPr>
          <w:rFonts w:hAnsi="宋体"/>
          <w:bCs/>
          <w:color w:val="auto"/>
          <w:szCs w:val="21"/>
        </w:rPr>
      </w:pPr>
    </w:p>
    <w:p>
      <w:pPr>
        <w:spacing w:line="360" w:lineRule="auto"/>
        <w:rPr>
          <w:rFonts w:hAnsi="宋体"/>
          <w:bCs/>
          <w:color w:val="auto"/>
          <w:szCs w:val="21"/>
        </w:rPr>
      </w:pPr>
    </w:p>
    <w:p>
      <w:pPr>
        <w:spacing w:line="360" w:lineRule="auto"/>
        <w:rPr>
          <w:rFonts w:hAnsi="宋体"/>
          <w:bCs/>
          <w:color w:val="auto"/>
          <w:szCs w:val="21"/>
        </w:rPr>
      </w:pPr>
    </w:p>
    <w:p>
      <w:pPr>
        <w:spacing w:line="360" w:lineRule="auto"/>
        <w:rPr>
          <w:rFonts w:hAnsi="宋体"/>
          <w:bCs/>
          <w:color w:val="auto"/>
          <w:szCs w:val="21"/>
        </w:rPr>
      </w:pPr>
    </w:p>
    <w:p>
      <w:pPr>
        <w:spacing w:line="360" w:lineRule="auto"/>
        <w:rPr>
          <w:rFonts w:hAnsi="宋体"/>
          <w:bCs/>
          <w:color w:val="auto"/>
          <w:szCs w:val="21"/>
        </w:rPr>
      </w:pPr>
    </w:p>
    <w:p>
      <w:pPr>
        <w:spacing w:line="360" w:lineRule="auto"/>
        <w:rPr>
          <w:rFonts w:hAnsi="宋体"/>
          <w:bCs/>
          <w:color w:val="auto"/>
          <w:szCs w:val="21"/>
        </w:rPr>
      </w:pPr>
    </w:p>
    <w:p>
      <w:pPr>
        <w:spacing w:line="360" w:lineRule="auto"/>
        <w:rPr>
          <w:rFonts w:hAnsi="宋体"/>
          <w:bCs/>
          <w:color w:val="auto"/>
          <w:szCs w:val="21"/>
        </w:rPr>
      </w:pPr>
    </w:p>
    <w:p>
      <w:pPr>
        <w:widowControl/>
        <w:jc w:val="left"/>
        <w:rPr>
          <w:rFonts w:ascii="宋体" w:hAnsi="宋体"/>
          <w:b/>
          <w:bCs/>
          <w:color w:val="auto"/>
          <w:kern w:val="0"/>
          <w:sz w:val="28"/>
          <w:szCs w:val="28"/>
        </w:rPr>
      </w:pPr>
      <w:r>
        <w:rPr>
          <w:rFonts w:hint="eastAsia" w:ascii="宋体" w:hAnsi="宋体"/>
          <w:b/>
          <w:bCs/>
          <w:color w:val="auto"/>
          <w:kern w:val="0"/>
          <w:sz w:val="28"/>
          <w:szCs w:val="28"/>
        </w:rPr>
        <w:t>附件21  采购人配合的条件及伴随服务</w:t>
      </w:r>
    </w:p>
    <w:p>
      <w:pPr>
        <w:spacing w:line="360" w:lineRule="auto"/>
        <w:rPr>
          <w:rFonts w:ascii="黑体" w:hAnsi="宋体" w:eastAsia="黑体"/>
          <w:b/>
          <w:bCs/>
          <w:color w:val="auto"/>
          <w:kern w:val="0"/>
          <w:szCs w:val="21"/>
        </w:rPr>
      </w:pPr>
    </w:p>
    <w:p>
      <w:pPr>
        <w:spacing w:line="360" w:lineRule="auto"/>
        <w:ind w:firstLine="403"/>
        <w:rPr>
          <w:rFonts w:ascii="宋体"/>
          <w:color w:val="auto"/>
          <w:szCs w:val="21"/>
        </w:rPr>
      </w:pPr>
      <w:r>
        <w:rPr>
          <w:rFonts w:hint="eastAsia"/>
          <w:color w:val="auto"/>
          <w:szCs w:val="21"/>
        </w:rPr>
        <w:t>为配合本服务计划进度时间表所进行的各阶段工作，</w:t>
      </w:r>
      <w:r>
        <w:rPr>
          <w:rFonts w:hint="eastAsia" w:ascii="宋体" w:hAnsi="宋体" w:cs="宋体"/>
          <w:color w:val="auto"/>
          <w:kern w:val="0"/>
          <w:szCs w:val="21"/>
        </w:rPr>
        <w:t>供应商</w:t>
      </w:r>
      <w:r>
        <w:rPr>
          <w:rFonts w:hint="eastAsia"/>
          <w:color w:val="auto"/>
          <w:szCs w:val="21"/>
        </w:rPr>
        <w:t>必须列明需要采购人配合的工作内容和具体要求。</w:t>
      </w:r>
    </w:p>
    <w:p>
      <w:pPr>
        <w:spacing w:line="360" w:lineRule="auto"/>
        <w:rPr>
          <w:rFonts w:ascii="黑体" w:hAnsi="宋体" w:eastAsia="黑体"/>
          <w:b/>
          <w:bCs/>
          <w:color w:val="auto"/>
          <w:kern w:val="0"/>
          <w:szCs w:val="21"/>
        </w:rPr>
      </w:pPr>
    </w:p>
    <w:p>
      <w:pPr>
        <w:spacing w:line="360" w:lineRule="auto"/>
        <w:rPr>
          <w:rFonts w:ascii="黑体" w:hAnsi="宋体" w:eastAsia="黑体"/>
          <w:b/>
          <w:bCs/>
          <w:color w:val="auto"/>
          <w:kern w:val="0"/>
          <w:szCs w:val="21"/>
        </w:rPr>
      </w:pPr>
    </w:p>
    <w:p>
      <w:pPr>
        <w:spacing w:line="360" w:lineRule="auto"/>
        <w:rPr>
          <w:rFonts w:ascii="黑体" w:hAnsi="宋体" w:eastAsia="黑体"/>
          <w:b/>
          <w:bCs/>
          <w:color w:val="auto"/>
          <w:kern w:val="0"/>
          <w:szCs w:val="21"/>
        </w:rPr>
      </w:pPr>
    </w:p>
    <w:p>
      <w:pPr>
        <w:spacing w:line="360" w:lineRule="auto"/>
        <w:rPr>
          <w:rFonts w:ascii="黑体" w:hAnsi="宋体" w:eastAsia="黑体"/>
          <w:b/>
          <w:bCs/>
          <w:color w:val="auto"/>
          <w:kern w:val="0"/>
          <w:szCs w:val="21"/>
        </w:rPr>
      </w:pPr>
    </w:p>
    <w:p>
      <w:pPr>
        <w:spacing w:line="360" w:lineRule="auto"/>
        <w:rPr>
          <w:rFonts w:ascii="黑体" w:hAnsi="宋体" w:eastAsia="黑体"/>
          <w:b/>
          <w:bCs/>
          <w:color w:val="auto"/>
          <w:kern w:val="0"/>
          <w:szCs w:val="21"/>
        </w:rPr>
      </w:pPr>
    </w:p>
    <w:p>
      <w:pPr>
        <w:spacing w:line="360" w:lineRule="auto"/>
        <w:rPr>
          <w:rFonts w:ascii="黑体" w:hAnsi="宋体" w:eastAsia="黑体"/>
          <w:b/>
          <w:bCs/>
          <w:color w:val="auto"/>
          <w:kern w:val="0"/>
          <w:szCs w:val="21"/>
        </w:rPr>
      </w:pPr>
    </w:p>
    <w:p>
      <w:pPr>
        <w:spacing w:line="360" w:lineRule="auto"/>
        <w:rPr>
          <w:rFonts w:ascii="黑体" w:hAnsi="宋体" w:eastAsia="黑体"/>
          <w:b/>
          <w:bCs/>
          <w:color w:val="auto"/>
          <w:kern w:val="0"/>
          <w:szCs w:val="21"/>
        </w:rPr>
      </w:pPr>
    </w:p>
    <w:p>
      <w:pPr>
        <w:spacing w:line="360" w:lineRule="auto"/>
        <w:rPr>
          <w:rFonts w:ascii="宋体" w:hAnsi="宋体"/>
          <w:bCs/>
          <w:color w:val="auto"/>
          <w:szCs w:val="21"/>
        </w:rPr>
      </w:pPr>
      <w:r>
        <w:rPr>
          <w:rFonts w:hint="eastAsia" w:ascii="宋体" w:hAnsi="宋体" w:cs="宋体"/>
          <w:color w:val="auto"/>
          <w:kern w:val="0"/>
          <w:szCs w:val="21"/>
        </w:rPr>
        <w:t>供应商</w:t>
      </w:r>
      <w:r>
        <w:rPr>
          <w:rFonts w:hint="eastAsia" w:ascii="宋体" w:hAnsi="宋体"/>
          <w:bCs/>
          <w:color w:val="auto"/>
          <w:szCs w:val="21"/>
        </w:rPr>
        <w:t>全称（加盖公章）:</w:t>
      </w:r>
    </w:p>
    <w:p>
      <w:pPr>
        <w:spacing w:line="360" w:lineRule="auto"/>
        <w:rPr>
          <w:rFonts w:ascii="宋体" w:hAnsi="宋体"/>
          <w:bCs/>
          <w:color w:val="auto"/>
          <w:szCs w:val="21"/>
        </w:rPr>
      </w:pPr>
      <w:r>
        <w:rPr>
          <w:rFonts w:hint="eastAsia" w:ascii="宋体" w:hAnsi="宋体"/>
          <w:bCs/>
          <w:color w:val="auto"/>
          <w:szCs w:val="21"/>
        </w:rPr>
        <w:t>法定代表或其授权代表(</w:t>
      </w:r>
      <w:r>
        <w:rPr>
          <w:rFonts w:hint="eastAsia" w:ascii="宋体" w:hAnsi="宋体"/>
          <w:color w:val="auto"/>
          <w:szCs w:val="21"/>
        </w:rPr>
        <w:t>签字或签章</w:t>
      </w:r>
      <w:r>
        <w:rPr>
          <w:rFonts w:hint="eastAsia" w:ascii="宋体" w:hAnsi="宋体"/>
          <w:bCs/>
          <w:color w:val="auto"/>
          <w:szCs w:val="21"/>
        </w:rPr>
        <w:t>)：</w:t>
      </w:r>
    </w:p>
    <w:p>
      <w:pPr>
        <w:spacing w:line="360" w:lineRule="auto"/>
        <w:rPr>
          <w:rFonts w:ascii="宋体" w:hAnsi="宋体"/>
          <w:bCs/>
          <w:color w:val="auto"/>
          <w:szCs w:val="21"/>
        </w:rPr>
      </w:pPr>
      <w:r>
        <w:rPr>
          <w:rFonts w:hint="eastAsia" w:ascii="宋体" w:hAnsi="宋体"/>
          <w:bCs/>
          <w:color w:val="auto"/>
          <w:szCs w:val="21"/>
        </w:rPr>
        <w:t>日    期： 2020年  月  日</w:t>
      </w:r>
    </w:p>
    <w:p>
      <w:pPr>
        <w:spacing w:line="360" w:lineRule="auto"/>
        <w:rPr>
          <w:rFonts w:hAnsi="宋体"/>
          <w:bCs/>
          <w:color w:val="auto"/>
          <w:szCs w:val="21"/>
        </w:rPr>
      </w:pPr>
    </w:p>
    <w:p>
      <w:pPr>
        <w:spacing w:line="360" w:lineRule="auto"/>
        <w:rPr>
          <w:rFonts w:hAnsi="宋体"/>
          <w:bCs/>
          <w:color w:val="auto"/>
          <w:szCs w:val="21"/>
        </w:rPr>
      </w:pPr>
    </w:p>
    <w:p>
      <w:pPr>
        <w:spacing w:line="360" w:lineRule="auto"/>
        <w:rPr>
          <w:rFonts w:hAnsi="宋体"/>
          <w:bCs/>
          <w:color w:val="auto"/>
          <w:szCs w:val="21"/>
        </w:rPr>
      </w:pPr>
    </w:p>
    <w:p>
      <w:pPr>
        <w:spacing w:line="360" w:lineRule="auto"/>
        <w:rPr>
          <w:rFonts w:hAnsi="宋体"/>
          <w:bCs/>
          <w:color w:val="auto"/>
          <w:szCs w:val="21"/>
        </w:rPr>
      </w:pPr>
    </w:p>
    <w:p>
      <w:pPr>
        <w:spacing w:line="360" w:lineRule="auto"/>
        <w:rPr>
          <w:rFonts w:hAnsi="宋体"/>
          <w:bCs/>
          <w:color w:val="auto"/>
          <w:szCs w:val="21"/>
        </w:rPr>
      </w:pPr>
    </w:p>
    <w:p>
      <w:pPr>
        <w:spacing w:line="360" w:lineRule="auto"/>
        <w:rPr>
          <w:rFonts w:hAnsi="宋体"/>
          <w:bCs/>
          <w:color w:val="auto"/>
          <w:szCs w:val="21"/>
        </w:rPr>
      </w:pPr>
    </w:p>
    <w:p>
      <w:pPr>
        <w:spacing w:line="360" w:lineRule="auto"/>
        <w:rPr>
          <w:rFonts w:hAnsi="宋体"/>
          <w:bCs/>
          <w:color w:val="auto"/>
          <w:szCs w:val="21"/>
        </w:rPr>
      </w:pPr>
    </w:p>
    <w:p>
      <w:pPr>
        <w:spacing w:line="360" w:lineRule="auto"/>
        <w:rPr>
          <w:rFonts w:hAnsi="宋体"/>
          <w:bCs/>
          <w:color w:val="auto"/>
          <w:szCs w:val="21"/>
        </w:rPr>
      </w:pPr>
    </w:p>
    <w:p>
      <w:pPr>
        <w:spacing w:line="360" w:lineRule="auto"/>
        <w:rPr>
          <w:rFonts w:hAnsi="宋体"/>
          <w:bCs/>
          <w:color w:val="auto"/>
          <w:szCs w:val="21"/>
        </w:rPr>
      </w:pPr>
    </w:p>
    <w:p>
      <w:pPr>
        <w:spacing w:line="360" w:lineRule="auto"/>
        <w:rPr>
          <w:rFonts w:hAnsi="宋体"/>
          <w:bCs/>
          <w:color w:val="auto"/>
          <w:szCs w:val="21"/>
        </w:rPr>
      </w:pPr>
    </w:p>
    <w:p>
      <w:pPr>
        <w:spacing w:line="360" w:lineRule="auto"/>
        <w:rPr>
          <w:rFonts w:hAnsi="宋体"/>
          <w:bCs/>
          <w:color w:val="auto"/>
          <w:szCs w:val="21"/>
        </w:rPr>
      </w:pPr>
    </w:p>
    <w:p>
      <w:pPr>
        <w:spacing w:line="360" w:lineRule="auto"/>
        <w:rPr>
          <w:rFonts w:hAnsi="宋体"/>
          <w:bCs/>
          <w:color w:val="auto"/>
          <w:szCs w:val="21"/>
        </w:rPr>
      </w:pPr>
    </w:p>
    <w:p>
      <w:pPr>
        <w:spacing w:line="360" w:lineRule="auto"/>
        <w:rPr>
          <w:rFonts w:hAnsi="宋体"/>
          <w:bCs/>
          <w:color w:val="auto"/>
          <w:szCs w:val="21"/>
        </w:rPr>
      </w:pPr>
    </w:p>
    <w:p>
      <w:pPr>
        <w:spacing w:line="360" w:lineRule="auto"/>
        <w:rPr>
          <w:rFonts w:hAnsi="宋体"/>
          <w:bCs/>
          <w:color w:val="auto"/>
          <w:szCs w:val="21"/>
        </w:rPr>
      </w:pPr>
    </w:p>
    <w:p>
      <w:pPr>
        <w:spacing w:line="360" w:lineRule="auto"/>
        <w:rPr>
          <w:rFonts w:hAnsi="宋体"/>
          <w:bCs/>
          <w:color w:val="auto"/>
          <w:szCs w:val="21"/>
        </w:rPr>
      </w:pPr>
    </w:p>
    <w:p>
      <w:pPr>
        <w:spacing w:line="360" w:lineRule="auto"/>
        <w:rPr>
          <w:rFonts w:hAnsi="宋体"/>
          <w:bCs/>
          <w:color w:val="auto"/>
          <w:szCs w:val="21"/>
        </w:rPr>
      </w:pPr>
    </w:p>
    <w:p>
      <w:pPr>
        <w:widowControl/>
        <w:jc w:val="left"/>
        <w:rPr>
          <w:rFonts w:ascii="宋体" w:hAnsi="宋体"/>
          <w:b/>
          <w:bCs/>
          <w:color w:val="auto"/>
          <w:kern w:val="0"/>
          <w:sz w:val="28"/>
          <w:szCs w:val="28"/>
        </w:rPr>
      </w:pPr>
      <w:r>
        <w:rPr>
          <w:rFonts w:hint="eastAsia" w:ascii="宋体" w:hAnsi="宋体"/>
          <w:b/>
          <w:bCs/>
          <w:color w:val="auto"/>
          <w:kern w:val="0"/>
          <w:sz w:val="28"/>
          <w:szCs w:val="28"/>
        </w:rPr>
        <w:br w:type="page"/>
      </w:r>
      <w:r>
        <w:rPr>
          <w:rFonts w:hint="eastAsia" w:ascii="宋体" w:hAnsi="宋体"/>
          <w:b/>
          <w:bCs/>
          <w:color w:val="auto"/>
          <w:kern w:val="0"/>
          <w:sz w:val="28"/>
          <w:szCs w:val="28"/>
        </w:rPr>
        <w:t>附件22  供应商认为有必要说明的其他文件</w:t>
      </w:r>
    </w:p>
    <w:p>
      <w:pPr>
        <w:widowControl/>
        <w:snapToGrid w:val="0"/>
        <w:spacing w:line="360" w:lineRule="auto"/>
        <w:rPr>
          <w:rFonts w:ascii="宋体"/>
          <w:color w:val="auto"/>
          <w:szCs w:val="21"/>
        </w:rPr>
      </w:pPr>
    </w:p>
    <w:p>
      <w:pPr>
        <w:spacing w:line="360" w:lineRule="auto"/>
        <w:rPr>
          <w:rFonts w:hAnsi="宋体"/>
          <w:bCs/>
          <w:color w:val="auto"/>
          <w:szCs w:val="21"/>
        </w:rPr>
      </w:pPr>
    </w:p>
    <w:p>
      <w:pPr>
        <w:rPr>
          <w:color w:val="auto"/>
        </w:rPr>
      </w:pPr>
    </w:p>
    <w:sectPr>
      <w:pgSz w:w="11906" w:h="16838"/>
      <w:pgMar w:top="567" w:right="1304" w:bottom="567" w:left="1361" w:header="567" w:footer="73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Tms Rmn">
    <w:altName w:val="Segoe Print"/>
    <w:panose1 w:val="02020603040505020304"/>
    <w:charset w:val="00"/>
    <w:family w:val="roman"/>
    <w:pitch w:val="default"/>
    <w:sig w:usb0="00000000" w:usb1="00000000" w:usb2="00000000" w:usb3="00000000" w:csb0="00000001" w:csb1="00000000"/>
  </w:font>
  <w:font w:name="楷体_GB2312">
    <w:altName w:val="楷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Arial Unicode MS">
    <w:altName w:val="Arial"/>
    <w:panose1 w:val="020B0604020202020204"/>
    <w:charset w:val="00"/>
    <w:family w:val="roman"/>
    <w:pitch w:val="default"/>
    <w:sig w:usb0="00000000" w:usb1="00000000" w:usb2="00000000" w:usb3="00000000" w:csb0="00000001" w:csb1="00000000"/>
  </w:font>
  <w:font w:name="文鼎CS书宋二">
    <w:altName w:val="宋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ZWAdobeF">
    <w:altName w:val="Segoe Print"/>
    <w:panose1 w:val="00000000000000000000"/>
    <w:charset w:val="00"/>
    <w:family w:val="auto"/>
    <w:pitch w:val="default"/>
    <w:sig w:usb0="00000000" w:usb1="00000000" w:usb2="00000000" w:usb3="00000000" w:csb0="400001FF" w:csb1="FFFF0000"/>
  </w:font>
  <w:font w:name="仿宋">
    <w:panose1 w:val="02010609060101010101"/>
    <w:charset w:val="86"/>
    <w:family w:val="modern"/>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416" name="文本框 416"/>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ffectLst/>
                    </wps:spPr>
                    <wps:txbx>
                      <w:txbxContent>
                        <w:p>
                          <w:pPr>
                            <w:pStyle w:val="57"/>
                          </w:pPr>
                          <w:r>
                            <w:fldChar w:fldCharType="begin"/>
                          </w:r>
                          <w:r>
                            <w:instrText xml:space="preserve"> PAGE  \* MERGEFORMAT </w:instrText>
                          </w:r>
                          <w:r>
                            <w:fldChar w:fldCharType="separate"/>
                          </w:r>
                          <w:r>
                            <w:t>154</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OqXm5&#10;zwAAAAUBAAAPAAAAAAAAAAEAIAAAACIAAABkcnMvZG93bnJldi54bWxQSwECFAAUAAAACACHTuJA&#10;CvsYzPEBAADIAwAADgAAAAAAAAABACAAAAAeAQAAZHJzL2Uyb0RvYy54bWxQSwUGAAAAAAYABgBZ&#10;AQAAgQUAAAAA&#10;">
              <v:fill on="f" focussize="0,0"/>
              <v:stroke on="f"/>
              <v:imagedata o:title=""/>
              <o:lock v:ext="edit" aspectratio="f"/>
              <v:textbox inset="0mm,0mm,0mm,0mm" style="mso-fit-shape-to-text:t;">
                <w:txbxContent>
                  <w:p>
                    <w:pPr>
                      <w:pStyle w:val="57"/>
                    </w:pPr>
                    <w:r>
                      <w:fldChar w:fldCharType="begin"/>
                    </w:r>
                    <w:r>
                      <w:instrText xml:space="preserve"> PAGE  \* MERGEFORMAT </w:instrText>
                    </w:r>
                    <w:r>
                      <w:fldChar w:fldCharType="separate"/>
                    </w:r>
                    <w:r>
                      <w:t>154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framePr w:wrap="around" w:vAnchor="text" w:hAnchor="margin" w:xAlign="right" w:y="1"/>
      <w:rPr>
        <w:rStyle w:val="94"/>
      </w:rPr>
    </w:pPr>
    <w:r>
      <w:fldChar w:fldCharType="begin"/>
    </w:r>
    <w:r>
      <w:rPr>
        <w:rStyle w:val="94"/>
      </w:rPr>
      <w:instrText xml:space="preserve">PAGE  </w:instrText>
    </w:r>
    <w:r>
      <w:fldChar w:fldCharType="end"/>
    </w:r>
  </w:p>
  <w:p>
    <w:pPr>
      <w:pStyle w:val="5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ind w:right="360" w:firstLine="270" w:firstLineChars="150"/>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03505" cy="152400"/>
              <wp:effectExtent l="0" t="0" r="0" b="0"/>
              <wp:wrapNone/>
              <wp:docPr id="415" name="文本框 415"/>
              <wp:cNvGraphicFramePr/>
              <a:graphic xmlns:a="http://schemas.openxmlformats.org/drawingml/2006/main">
                <a:graphicData uri="http://schemas.microsoft.com/office/word/2010/wordprocessingShape">
                  <wps:wsp>
                    <wps:cNvSpPr txBox="1">
                      <a:spLocks noChangeArrowheads="1"/>
                    </wps:cNvSpPr>
                    <wps:spPr bwMode="auto">
                      <a:xfrm>
                        <a:off x="0" y="0"/>
                        <a:ext cx="103505" cy="152400"/>
                      </a:xfrm>
                      <a:prstGeom prst="rect">
                        <a:avLst/>
                      </a:prstGeom>
                      <a:noFill/>
                      <a:ln>
                        <a:noFill/>
                      </a:ln>
                      <a:effectLst/>
                    </wps:spPr>
                    <wps:txbx>
                      <w:txbxContent>
                        <w:p>
                          <w:pPr>
                            <w:pStyle w:val="57"/>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2pt;width:8.15pt;mso-position-horizontal:right;mso-position-horizontal-relative:margin;mso-wrap-style:none;z-index:251660288;mso-width-relative:page;mso-height-relative:page;" filled="f" stroked="f" coordsize="21600,21600" o:gfxdata="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1VaaY0QAAAAMBAAAPAAAAAAAAAAEAIAAAACIAAABkcnMvZG93bnJldi54bWxQSwECFAAUAAAA&#10;CACHTuJAyB2bHfUBAADGAwAADgAAAAAAAAABACAAAAAgAQAAZHJzL2Uyb0RvYy54bWxQSwUGAAAA&#10;AAYABgBZAQAAhwUAAAAA&#10;">
              <v:fill on="f" focussize="0,0"/>
              <v:stroke on="f"/>
              <v:imagedata o:title=""/>
              <o:lock v:ext="edit" aspectratio="f"/>
              <v:textbox inset="0mm,0mm,0mm,0mm" style="mso-fit-shape-to-text:t;">
                <w:txbxContent>
                  <w:p>
                    <w:pPr>
                      <w:pStyle w:val="57"/>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Bdr>
        <w:top w:val="single" w:color="auto" w:sz="4" w:space="1"/>
      </w:pBdr>
      <w:tabs>
        <w:tab w:val="right" w:pos="8400"/>
        <w:tab w:val="clear" w:pos="8306"/>
      </w:tabs>
      <w:ind w:right="1"/>
      <w:rPr>
        <w:color w:val="000000"/>
        <w:szCs w:val="18"/>
      </w:rPr>
    </w:pPr>
    <w: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03505" cy="152400"/>
              <wp:effectExtent l="0" t="0" r="0" b="0"/>
              <wp:wrapNone/>
              <wp:docPr id="414" name="文本框 414"/>
              <wp:cNvGraphicFramePr/>
              <a:graphic xmlns:a="http://schemas.openxmlformats.org/drawingml/2006/main">
                <a:graphicData uri="http://schemas.microsoft.com/office/word/2010/wordprocessingShape">
                  <wps:wsp>
                    <wps:cNvSpPr txBox="1">
                      <a:spLocks noChangeArrowheads="1"/>
                    </wps:cNvSpPr>
                    <wps:spPr bwMode="auto">
                      <a:xfrm>
                        <a:off x="0" y="0"/>
                        <a:ext cx="103505" cy="152400"/>
                      </a:xfrm>
                      <a:prstGeom prst="rect">
                        <a:avLst/>
                      </a:prstGeom>
                      <a:noFill/>
                      <a:ln>
                        <a:noFill/>
                      </a:ln>
                      <a:effectLst/>
                    </wps:spPr>
                    <wps:txbx>
                      <w:txbxContent>
                        <w:p>
                          <w:pPr>
                            <w:pStyle w:val="57"/>
                            <w:rPr>
                              <w:rStyle w:val="94"/>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2pt;width:8.15pt;mso-position-horizontal:right;mso-position-horizontal-relative:margin;mso-wrap-style:none;z-index:251661312;mso-width-relative:page;mso-height-relative:page;" filled="f" stroked="f" coordsize="21600,21600" o:gfxdata="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1VaaY0QAAAAMBAAAPAAAAAAAAAAEAIAAAACIAAABkcnMvZG93bnJldi54bWxQSwECFAAUAAAA&#10;CACHTuJATZkhFvUBAADGAwAADgAAAAAAAAABACAAAAAgAQAAZHJzL2Uyb0RvYy54bWxQSwUGAAAA&#10;AAYABgBZAQAAhwUAAAAA&#10;">
              <v:fill on="f" focussize="0,0"/>
              <v:stroke on="f"/>
              <v:imagedata o:title=""/>
              <o:lock v:ext="edit" aspectratio="f"/>
              <v:textbox inset="0mm,0mm,0mm,0mm" style="mso-fit-shape-to-text:t;">
                <w:txbxContent>
                  <w:p>
                    <w:pPr>
                      <w:pStyle w:val="57"/>
                      <w:rPr>
                        <w:rStyle w:val="94"/>
                      </w:rPr>
                    </w:pPr>
                  </w:p>
                </w:txbxContent>
              </v:textbox>
            </v:shape>
          </w:pict>
        </mc:Fallback>
      </mc:AlternateContent>
    </w:r>
    <w:r>
      <w:rPr>
        <w:rFonts w:hint="eastAsia"/>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Bdr>
        <w:top w:val="single" w:color="auto" w:sz="4" w:space="1"/>
      </w:pBdr>
      <w:tabs>
        <w:tab w:val="right" w:pos="8400"/>
        <w:tab w:val="clear" w:pos="8306"/>
      </w:tabs>
      <w:ind w:right="360"/>
      <w:rPr>
        <w:color w:val="000000"/>
        <w:szCs w:val="18"/>
      </w:rPr>
    </w:pPr>
    <w: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413" name="文本框 413"/>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ffectLst/>
                    </wps:spPr>
                    <wps:txbx>
                      <w:txbxContent>
                        <w:p>
                          <w:pPr>
                            <w:pStyle w:val="57"/>
                          </w:pPr>
                          <w:r>
                            <w:fldChar w:fldCharType="begin"/>
                          </w:r>
                          <w:r>
                            <w:instrText xml:space="preserve"> PAGE  \* MERGEFORMAT </w:instrText>
                          </w:r>
                          <w:r>
                            <w:fldChar w:fldCharType="separate"/>
                          </w:r>
                          <w:r>
                            <w:t>2</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OqXm5&#10;zwAAAAUBAAAPAAAAAAAAAAEAIAAAACIAAABkcnMvZG93bnJldi54bWxQSwECFAAUAAAACACHTuJA&#10;cFMuvfEBAADIAwAADgAAAAAAAAABACAAAAAeAQAAZHJzL2Uyb0RvYy54bWxQSwUGAAAAAAYABgBZ&#10;AQAAgQUAAAAA&#10;">
              <v:fill on="f" focussize="0,0"/>
              <v:stroke on="f"/>
              <v:imagedata o:title=""/>
              <o:lock v:ext="edit" aspectratio="f"/>
              <v:textbox inset="0mm,0mm,0mm,0mm" style="mso-fit-shape-to-text:t;">
                <w:txbxContent>
                  <w:p>
                    <w:pPr>
                      <w:pStyle w:val="57"/>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ascii="宋体" w:hAnsi="宋体"/>
      </w:rPr>
      <w:t>广州市司法局广州地铁普法宣传公益广告发布项目</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Pr>
    <w:r>
      <mc:AlternateContent>
        <mc:Choice Requires="wps">
          <w:drawing>
            <wp:anchor distT="0" distB="0" distL="114300" distR="114300" simplePos="0" relativeHeight="251665408" behindDoc="0" locked="0" layoutInCell="1" allowOverlap="1">
              <wp:simplePos x="0" y="0"/>
              <wp:positionH relativeFrom="margin">
                <wp:posOffset>3147060</wp:posOffset>
              </wp:positionH>
              <wp:positionV relativeFrom="paragraph">
                <wp:posOffset>-333375</wp:posOffset>
              </wp:positionV>
              <wp:extent cx="116205" cy="152400"/>
              <wp:effectExtent l="0" t="0" r="0" b="0"/>
              <wp:wrapNone/>
              <wp:docPr id="410" name="文本框 410"/>
              <wp:cNvGraphicFramePr/>
              <a:graphic xmlns:a="http://schemas.openxmlformats.org/drawingml/2006/main">
                <a:graphicData uri="http://schemas.microsoft.com/office/word/2010/wordprocessingShape">
                  <wps:wsp>
                    <wps:cNvSpPr txBox="1">
                      <a:spLocks noChangeArrowheads="1"/>
                    </wps:cNvSpPr>
                    <wps:spPr bwMode="auto">
                      <a:xfrm>
                        <a:off x="0" y="0"/>
                        <a:ext cx="116205" cy="152400"/>
                      </a:xfrm>
                      <a:prstGeom prst="rect">
                        <a:avLst/>
                      </a:prstGeom>
                      <a:noFill/>
                      <a:ln>
                        <a:noFill/>
                      </a:ln>
                      <a:effectLst/>
                    </wps:spPr>
                    <wps:txbx>
                      <w:txbxContent>
                        <w:p>
                          <w:pPr>
                            <w:pStyle w:val="57"/>
                          </w:pPr>
                          <w:r>
                            <w:fldChar w:fldCharType="begin"/>
                          </w:r>
                          <w:r>
                            <w:instrText xml:space="preserve"> PAGE  \* MERGEFORMAT </w:instrText>
                          </w:r>
                          <w:r>
                            <w:fldChar w:fldCharType="separate"/>
                          </w:r>
                          <w:r>
                            <w:t>5</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left:247.8pt;margin-top:-26.25pt;height:12pt;width:9.15pt;mso-position-horizontal-relative:margin;mso-wrap-style:none;z-index:251665408;mso-width-relative:page;mso-height-relative:page;" filled="f" stroked="f" coordsize="21600,21600" o:gfxdata="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JoZK52AAAAAsBAAAPAAAAAAAAAAEAIAAAACIAAABkcnMvZG93bnJldi54bWxQSwEC&#10;FAAUAAAACACHTuJAm79+I/QBAADGAwAADgAAAAAAAAABACAAAAAnAQAAZHJzL2Uyb0RvYy54bWxQ&#10;SwUGAAAAAAYABgBZAQAAjQUAAAAA&#10;">
              <v:fill on="f" focussize="0,0"/>
              <v:stroke on="f"/>
              <v:imagedata o:title=""/>
              <o:lock v:ext="edit" aspectratio="f"/>
              <v:textbox inset="0mm,0mm,0mm,0mm" style="mso-fit-shape-to-text:t;">
                <w:txbxContent>
                  <w:p>
                    <w:pPr>
                      <w:pStyle w:val="57"/>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framePr w:wrap="around" w:vAnchor="text" w:hAnchor="margin" w:xAlign="center" w:y="1"/>
      <w:rPr>
        <w:rStyle w:val="94"/>
      </w:rPr>
    </w:pPr>
    <w:r>
      <w:fldChar w:fldCharType="begin"/>
    </w:r>
    <w:r>
      <w:rPr>
        <w:rStyle w:val="94"/>
      </w:rPr>
      <w:instrText xml:space="preserve">PAGE  </w:instrText>
    </w:r>
    <w:r>
      <w:fldChar w:fldCharType="end"/>
    </w:r>
  </w:p>
  <w:p>
    <w:pPr>
      <w:pStyle w:val="57"/>
      <w:ind w:right="360" w:firstLine="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cente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58420" cy="152400"/>
              <wp:effectExtent l="0" t="0" r="0" b="0"/>
              <wp:wrapNone/>
              <wp:docPr id="409" name="文本框 409"/>
              <wp:cNvGraphicFramePr/>
              <a:graphic xmlns:a="http://schemas.openxmlformats.org/drawingml/2006/main">
                <a:graphicData uri="http://schemas.microsoft.com/office/word/2010/wordprocessingShape">
                  <wps:wsp>
                    <wps:cNvSpPr txBox="1">
                      <a:spLocks noChangeArrowheads="1"/>
                    </wps:cNvSpPr>
                    <wps:spPr bwMode="auto">
                      <a:xfrm>
                        <a:off x="0" y="0"/>
                        <a:ext cx="58420" cy="152400"/>
                      </a:xfrm>
                      <a:prstGeom prst="rect">
                        <a:avLst/>
                      </a:prstGeom>
                      <a:noFill/>
                      <a:ln>
                        <a:noFill/>
                      </a:ln>
                      <a:effectLst/>
                    </wps:spPr>
                    <wps:txbx>
                      <w:txbxContent>
                        <w:p>
                          <w:pPr>
                            <w:pStyle w:val="57"/>
                          </w:pPr>
                          <w:r>
                            <w:fldChar w:fldCharType="begin"/>
                          </w:r>
                          <w:r>
                            <w:instrText xml:space="preserve"> PAGE  \* MERGEFORMAT </w:instrText>
                          </w:r>
                          <w:r>
                            <w:fldChar w:fldCharType="separate"/>
                          </w:r>
                          <w:r>
                            <w:t>4</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2pt;width:4.6pt;mso-position-horizontal:center;mso-position-horizontal-relative:margin;mso-wrap-style:none;z-index:251666432;mso-width-relative:page;mso-height-relative:page;" filled="f" stroked="f" coordsize="21600,21600" o:gfxdata="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B7GmvPQAAAAAgEAAA8AAAAAAAAAAQAgAAAAIgAAAGRycy9kb3ducmV2LnhtbFBLAQIUABQAAAAI&#10;AIdO4kDoA5Kd9QEAAMUDAAAOAAAAAAAAAAEAIAAAAB8BAABkcnMvZTJvRG9jLnhtbFBLBQYAAAAA&#10;BgAGAFkBAACGBQAAAAA=&#10;">
              <v:fill on="f" focussize="0,0"/>
              <v:stroke on="f"/>
              <v:imagedata o:title=""/>
              <o:lock v:ext="edit" aspectratio="f"/>
              <v:textbox inset="0mm,0mm,0mm,0mm" style="mso-fit-shape-to-text:t;">
                <w:txbxContent>
                  <w:p>
                    <w:pPr>
                      <w:pStyle w:val="57"/>
                    </w:pPr>
                    <w:r>
                      <w:fldChar w:fldCharType="begin"/>
                    </w:r>
                    <w:r>
                      <w:instrText xml:space="preserve"> PAGE  \* MERGEFORMAT </w:instrText>
                    </w:r>
                    <w:r>
                      <w:fldChar w:fldCharType="separate"/>
                    </w:r>
                    <w:r>
                      <w:t>4</w:t>
                    </w:r>
                    <w:r>
                      <w:fldChar w:fldCharType="end"/>
                    </w:r>
                  </w:p>
                </w:txbxContent>
              </v:textbox>
            </v:shape>
          </w:pict>
        </mc:Fallback>
      </mc:AlternateContent>
    </w:r>
  </w:p>
  <w:p>
    <w:pPr>
      <w:pStyle w:val="57"/>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center"/>
      <w:rPr>
        <w:sz w:val="24"/>
        <w:szCs w:val="24"/>
      </w:rPr>
    </w:pPr>
    <w:r>
      <w:rPr>
        <w:sz w:val="24"/>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73990" cy="152400"/>
              <wp:effectExtent l="0" t="0" r="0" b="0"/>
              <wp:wrapNone/>
              <wp:docPr id="408" name="文本框 408"/>
              <wp:cNvGraphicFramePr/>
              <a:graphic xmlns:a="http://schemas.openxmlformats.org/drawingml/2006/main">
                <a:graphicData uri="http://schemas.microsoft.com/office/word/2010/wordprocessingShape">
                  <wps:wsp>
                    <wps:cNvSpPr txBox="1">
                      <a:spLocks noChangeArrowheads="1"/>
                    </wps:cNvSpPr>
                    <wps:spPr bwMode="auto">
                      <a:xfrm>
                        <a:off x="0" y="0"/>
                        <a:ext cx="173990" cy="152400"/>
                      </a:xfrm>
                      <a:prstGeom prst="rect">
                        <a:avLst/>
                      </a:prstGeom>
                      <a:noFill/>
                      <a:ln>
                        <a:noFill/>
                      </a:ln>
                      <a:effectLst/>
                    </wps:spPr>
                    <wps:txbx>
                      <w:txbxContent>
                        <w:p>
                          <w:pPr>
                            <w:pStyle w:val="57"/>
                          </w:pPr>
                          <w:r>
                            <w:fldChar w:fldCharType="begin"/>
                          </w:r>
                          <w:r>
                            <w:instrText xml:space="preserve"> PAGE  \* MERGEFORMAT </w:instrText>
                          </w:r>
                          <w:r>
                            <w:fldChar w:fldCharType="separate"/>
                          </w:r>
                          <w:r>
                            <w:t>187</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2pt;width:13.7pt;mso-position-horizontal:center;mso-position-horizontal-relative:margin;mso-wrap-style:none;z-index:251667456;mso-width-relative:page;mso-height-relative:page;" filled="f" stroked="f" coordsize="21600,21600" o:gfxdata="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Chc7u0QAAAAMBAAAPAAAAAAAAAAEAIAAAACIAAABkcnMvZG93bnJldi54bWxQSwECFAAUAAAA&#10;CACHTuJAUNe21/UBAADGAwAADgAAAAAAAAABACAAAAAgAQAAZHJzL2Uyb0RvYy54bWxQSwUGAAAA&#10;AAYABgBZAQAAhwUAAAAA&#10;">
              <v:fill on="f" focussize="0,0"/>
              <v:stroke on="f"/>
              <v:imagedata o:title=""/>
              <o:lock v:ext="edit" aspectratio="f"/>
              <v:textbox inset="0mm,0mm,0mm,0mm" style="mso-fit-shape-to-text:t;">
                <w:txbxContent>
                  <w:p>
                    <w:pPr>
                      <w:pStyle w:val="57"/>
                    </w:pPr>
                    <w:r>
                      <w:fldChar w:fldCharType="begin"/>
                    </w:r>
                    <w:r>
                      <w:instrText xml:space="preserve"> PAGE  \* MERGEFORMAT </w:instrText>
                    </w:r>
                    <w:r>
                      <w:fldChar w:fldCharType="separate"/>
                    </w:r>
                    <w:r>
                      <w:t>187</w:t>
                    </w:r>
                    <w:r>
                      <w:fldChar w:fldCharType="end"/>
                    </w:r>
                  </w:p>
                </w:txbxContent>
              </v:textbox>
            </v:shape>
          </w:pict>
        </mc:Fallback>
      </mc:AlternateContent>
    </w:r>
  </w:p>
  <w:p>
    <w:pPr>
      <w:autoSpaceDE w:val="0"/>
      <w:autoSpaceDN w:val="0"/>
      <w:adjustRightInd w:val="0"/>
      <w:spacing w:line="200" w:lineRule="exact"/>
      <w:jc w:val="center"/>
      <w:rPr>
        <w:kern w:val="0"/>
        <w:sz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420"/>
      <w:rPr>
        <w:rFonts w:ascii="宋体" w:hAnsi="宋体"/>
        <w:szCs w:val="18"/>
      </w:rPr>
    </w:pPr>
    <w:r>
      <w:rPr>
        <w:rFonts w:hint="eastAsia"/>
      </w:rPr>
      <w:drawing>
        <wp:inline distT="0" distB="0" distL="0" distR="0">
          <wp:extent cx="923925" cy="257175"/>
          <wp:effectExtent l="0" t="0" r="9525" b="9525"/>
          <wp:docPr id="404" name="图片 404" descr="单位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4" name="图片 404" descr="单位图标"/>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23925" cy="25717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pBdr>
        <w:bottom w:val="none" w:color="auto" w:sz="0" w:space="0"/>
      </w:pBdr>
      <w:jc w:val="left"/>
    </w:pPr>
    <w:r>
      <w:rPr>
        <w:rFonts w:hint="eastAsia"/>
      </w:rPr>
      <w:drawing>
        <wp:inline distT="0" distB="0" distL="0" distR="0">
          <wp:extent cx="923925" cy="257175"/>
          <wp:effectExtent l="0" t="0" r="9525" b="9525"/>
          <wp:docPr id="407" name="图片 407" descr="单位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 name="图片 407" descr="单位图标"/>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23925" cy="257175"/>
                  </a:xfrm>
                  <a:prstGeom prst="rect">
                    <a:avLst/>
                  </a:prstGeom>
                  <a:noFill/>
                  <a:ln>
                    <a:noFill/>
                  </a:ln>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1"/>
    </w:pPr>
    <w:r>
      <w:rPr>
        <w:rFonts w:hint="eastAsia"/>
      </w:rPr>
      <w:drawing>
        <wp:inline distT="0" distB="0" distL="0" distR="0">
          <wp:extent cx="923925" cy="257175"/>
          <wp:effectExtent l="0" t="0" r="9525" b="9525"/>
          <wp:docPr id="406" name="图片 406" descr="单位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 name="图片 406" descr="单位图标"/>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23925" cy="257175"/>
                  </a:xfrm>
                  <a:prstGeom prst="rect">
                    <a:avLst/>
                  </a:prstGeom>
                  <a:noFill/>
                  <a:ln>
                    <a:noFill/>
                  </a:ln>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1"/>
      <w:rPr>
        <w:rFonts w:ascii="宋体" w:hAnsi="宋体"/>
        <w:szCs w:val="21"/>
      </w:rPr>
    </w:pPr>
    <w:r>
      <w:rPr>
        <w:rFonts w:hint="eastAsia"/>
      </w:rPr>
      <w:drawing>
        <wp:inline distT="0" distB="0" distL="0" distR="0">
          <wp:extent cx="923925" cy="257175"/>
          <wp:effectExtent l="0" t="0" r="9525" b="9525"/>
          <wp:docPr id="405" name="图片 405" descr="单位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5" name="图片 405" descr="单位图标"/>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23925" cy="257175"/>
                  </a:xfrm>
                  <a:prstGeom prst="rect">
                    <a:avLst/>
                  </a:prstGeom>
                  <a:noFill/>
                  <a:ln>
                    <a:noFill/>
                  </a:ln>
                </pic:spPr>
              </pic:pic>
            </a:graphicData>
          </a:graphic>
        </wp:inline>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pBdr>
        <w:bottom w:val="none" w:color="auto" w:sz="0" w:space="0"/>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pBdr>
        <w:bottom w:val="none" w:color="auto" w:sz="0" w:space="0"/>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1F586E8"/>
    <w:multiLevelType w:val="singleLevel"/>
    <w:tmpl w:val="E1F586E8"/>
    <w:lvl w:ilvl="0" w:tentative="0">
      <w:start w:val="1"/>
      <w:numFmt w:val="decimal"/>
      <w:suff w:val="nothing"/>
      <w:lvlText w:val="（%1）"/>
      <w:lvlJc w:val="left"/>
      <w:pPr>
        <w:ind w:left="945" w:firstLine="0"/>
      </w:pPr>
    </w:lvl>
  </w:abstractNum>
  <w:abstractNum w:abstractNumId="1">
    <w:nsid w:val="0000000A"/>
    <w:multiLevelType w:val="multilevel"/>
    <w:tmpl w:val="0000000A"/>
    <w:lvl w:ilvl="0" w:tentative="0">
      <w:start w:val="1"/>
      <w:numFmt w:val="japaneseCounting"/>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3406D0D"/>
    <w:multiLevelType w:val="multilevel"/>
    <w:tmpl w:val="03406D0D"/>
    <w:lvl w:ilvl="0" w:tentative="0">
      <w:start w:val="1"/>
      <w:numFmt w:val="decimal"/>
      <w:lvlText w:val="（%1）"/>
      <w:lvlJc w:val="left"/>
      <w:pPr>
        <w:tabs>
          <w:tab w:val="left" w:pos="1261"/>
        </w:tabs>
        <w:ind w:left="1261" w:hanging="420"/>
      </w:pPr>
      <w:rPr>
        <w:rFonts w:hint="eastAsia"/>
      </w:rPr>
    </w:lvl>
    <w:lvl w:ilvl="1" w:tentative="0">
      <w:start w:val="1"/>
      <w:numFmt w:val="decimal"/>
      <w:lvlText w:val="%2、"/>
      <w:lvlJc w:val="left"/>
      <w:pPr>
        <w:tabs>
          <w:tab w:val="left" w:pos="1981"/>
        </w:tabs>
        <w:ind w:left="1981" w:hanging="720"/>
      </w:pPr>
      <w:rPr>
        <w:rFonts w:hint="eastAsia"/>
        <w:b/>
        <w:i w:val="0"/>
      </w:rPr>
    </w:lvl>
    <w:lvl w:ilvl="2" w:tentative="0">
      <w:start w:val="1"/>
      <w:numFmt w:val="decimal"/>
      <w:lvlText w:val="(%3)"/>
      <w:lvlJc w:val="left"/>
      <w:pPr>
        <w:tabs>
          <w:tab w:val="left" w:pos="360"/>
        </w:tabs>
        <w:ind w:left="360" w:hanging="360"/>
      </w:pPr>
      <w:rPr>
        <w:rFonts w:hint="default"/>
      </w:rPr>
    </w:lvl>
    <w:lvl w:ilvl="3" w:tentative="0">
      <w:start w:val="1"/>
      <w:numFmt w:val="decimal"/>
      <w:lvlText w:val="%4."/>
      <w:lvlJc w:val="left"/>
      <w:pPr>
        <w:tabs>
          <w:tab w:val="left" w:pos="946"/>
        </w:tabs>
        <w:ind w:left="946" w:hanging="420"/>
      </w:pPr>
      <w:rPr>
        <w:rFonts w:hint="eastAsia"/>
      </w:rPr>
    </w:lvl>
    <w:lvl w:ilvl="4" w:tentative="0">
      <w:start w:val="1"/>
      <w:numFmt w:val="lowerLetter"/>
      <w:lvlText w:val="%5)"/>
      <w:lvlJc w:val="left"/>
      <w:pPr>
        <w:tabs>
          <w:tab w:val="left" w:pos="2941"/>
        </w:tabs>
        <w:ind w:left="2941" w:hanging="420"/>
      </w:pPr>
    </w:lvl>
    <w:lvl w:ilvl="5" w:tentative="0">
      <w:start w:val="1"/>
      <w:numFmt w:val="lowerRoman"/>
      <w:lvlText w:val="%6."/>
      <w:lvlJc w:val="right"/>
      <w:pPr>
        <w:tabs>
          <w:tab w:val="left" w:pos="3361"/>
        </w:tabs>
        <w:ind w:left="3361" w:hanging="420"/>
      </w:pPr>
    </w:lvl>
    <w:lvl w:ilvl="6" w:tentative="0">
      <w:start w:val="1"/>
      <w:numFmt w:val="decimal"/>
      <w:lvlText w:val="%7."/>
      <w:lvlJc w:val="left"/>
      <w:pPr>
        <w:tabs>
          <w:tab w:val="left" w:pos="3781"/>
        </w:tabs>
        <w:ind w:left="3781" w:hanging="420"/>
      </w:pPr>
    </w:lvl>
    <w:lvl w:ilvl="7" w:tentative="0">
      <w:start w:val="1"/>
      <w:numFmt w:val="lowerLetter"/>
      <w:lvlText w:val="%8)"/>
      <w:lvlJc w:val="left"/>
      <w:pPr>
        <w:tabs>
          <w:tab w:val="left" w:pos="4201"/>
        </w:tabs>
        <w:ind w:left="4201" w:hanging="420"/>
      </w:pPr>
    </w:lvl>
    <w:lvl w:ilvl="8" w:tentative="0">
      <w:start w:val="1"/>
      <w:numFmt w:val="lowerRoman"/>
      <w:lvlText w:val="%9."/>
      <w:lvlJc w:val="right"/>
      <w:pPr>
        <w:tabs>
          <w:tab w:val="left" w:pos="4621"/>
        </w:tabs>
        <w:ind w:left="4621" w:hanging="420"/>
      </w:pPr>
    </w:lvl>
  </w:abstractNum>
  <w:abstractNum w:abstractNumId="3">
    <w:nsid w:val="05A65CA1"/>
    <w:multiLevelType w:val="multilevel"/>
    <w:tmpl w:val="05A65CA1"/>
    <w:lvl w:ilvl="0" w:tentative="0">
      <w:start w:val="1"/>
      <w:numFmt w:val="decimal"/>
      <w:lvlText w:val="(%1)"/>
      <w:lvlJc w:val="left"/>
      <w:pPr>
        <w:tabs>
          <w:tab w:val="left" w:pos="1080"/>
        </w:tabs>
        <w:ind w:left="1080" w:hanging="60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4">
    <w:nsid w:val="07C82ACA"/>
    <w:multiLevelType w:val="multilevel"/>
    <w:tmpl w:val="07C82ACA"/>
    <w:lvl w:ilvl="0" w:tentative="0">
      <w:start w:val="1"/>
      <w:numFmt w:val="decimal"/>
      <w:lvlText w:val="（%1）"/>
      <w:lvlJc w:val="left"/>
      <w:pPr>
        <w:tabs>
          <w:tab w:val="left" w:pos="2339"/>
        </w:tabs>
        <w:ind w:left="2339" w:hanging="720"/>
      </w:pPr>
      <w:rPr>
        <w:rFonts w:hint="default"/>
      </w:rPr>
    </w:lvl>
    <w:lvl w:ilvl="1" w:tentative="0">
      <w:start w:val="1"/>
      <w:numFmt w:val="lowerLetter"/>
      <w:lvlText w:val="%2)"/>
      <w:lvlJc w:val="left"/>
      <w:pPr>
        <w:tabs>
          <w:tab w:val="left" w:pos="2459"/>
        </w:tabs>
        <w:ind w:left="2459" w:hanging="420"/>
      </w:pPr>
    </w:lvl>
    <w:lvl w:ilvl="2" w:tentative="0">
      <w:start w:val="1"/>
      <w:numFmt w:val="lowerRoman"/>
      <w:lvlText w:val="%3."/>
      <w:lvlJc w:val="right"/>
      <w:pPr>
        <w:tabs>
          <w:tab w:val="left" w:pos="2879"/>
        </w:tabs>
        <w:ind w:left="2879" w:hanging="420"/>
      </w:pPr>
    </w:lvl>
    <w:lvl w:ilvl="3" w:tentative="0">
      <w:start w:val="1"/>
      <w:numFmt w:val="decimal"/>
      <w:lvlText w:val="%4."/>
      <w:lvlJc w:val="left"/>
      <w:pPr>
        <w:tabs>
          <w:tab w:val="left" w:pos="3299"/>
        </w:tabs>
        <w:ind w:left="3299" w:hanging="420"/>
      </w:pPr>
    </w:lvl>
    <w:lvl w:ilvl="4" w:tentative="0">
      <w:start w:val="1"/>
      <w:numFmt w:val="lowerLetter"/>
      <w:lvlText w:val="%5)"/>
      <w:lvlJc w:val="left"/>
      <w:pPr>
        <w:tabs>
          <w:tab w:val="left" w:pos="3719"/>
        </w:tabs>
        <w:ind w:left="3719" w:hanging="420"/>
      </w:pPr>
    </w:lvl>
    <w:lvl w:ilvl="5" w:tentative="0">
      <w:start w:val="1"/>
      <w:numFmt w:val="lowerRoman"/>
      <w:lvlText w:val="%6."/>
      <w:lvlJc w:val="right"/>
      <w:pPr>
        <w:tabs>
          <w:tab w:val="left" w:pos="4139"/>
        </w:tabs>
        <w:ind w:left="4139" w:hanging="420"/>
      </w:pPr>
    </w:lvl>
    <w:lvl w:ilvl="6" w:tentative="0">
      <w:start w:val="1"/>
      <w:numFmt w:val="decimal"/>
      <w:lvlText w:val="%7."/>
      <w:lvlJc w:val="left"/>
      <w:pPr>
        <w:tabs>
          <w:tab w:val="left" w:pos="4559"/>
        </w:tabs>
        <w:ind w:left="4559" w:hanging="420"/>
      </w:pPr>
    </w:lvl>
    <w:lvl w:ilvl="7" w:tentative="0">
      <w:start w:val="1"/>
      <w:numFmt w:val="lowerLetter"/>
      <w:lvlText w:val="%8)"/>
      <w:lvlJc w:val="left"/>
      <w:pPr>
        <w:tabs>
          <w:tab w:val="left" w:pos="4979"/>
        </w:tabs>
        <w:ind w:left="4979" w:hanging="420"/>
      </w:pPr>
    </w:lvl>
    <w:lvl w:ilvl="8" w:tentative="0">
      <w:start w:val="1"/>
      <w:numFmt w:val="lowerRoman"/>
      <w:lvlText w:val="%9."/>
      <w:lvlJc w:val="right"/>
      <w:pPr>
        <w:tabs>
          <w:tab w:val="left" w:pos="5399"/>
        </w:tabs>
        <w:ind w:left="5399" w:hanging="420"/>
      </w:pPr>
    </w:lvl>
  </w:abstractNum>
  <w:abstractNum w:abstractNumId="5">
    <w:nsid w:val="0C1C34D2"/>
    <w:multiLevelType w:val="multilevel"/>
    <w:tmpl w:val="0C1C34D2"/>
    <w:lvl w:ilvl="0" w:tentative="0">
      <w:start w:val="1"/>
      <w:numFmt w:val="decimal"/>
      <w:lvlText w:val="(%1)"/>
      <w:lvlJc w:val="left"/>
      <w:pPr>
        <w:tabs>
          <w:tab w:val="left" w:pos="1560"/>
        </w:tabs>
        <w:ind w:left="1560" w:hanging="1080"/>
      </w:pPr>
      <w:rPr>
        <w:rFonts w:hint="eastAsia"/>
      </w:rPr>
    </w:lvl>
    <w:lvl w:ilvl="1" w:tentative="0">
      <w:start w:val="1"/>
      <w:numFmt w:val="decimal"/>
      <w:lvlText w:val="（%2）"/>
      <w:lvlJc w:val="left"/>
      <w:pPr>
        <w:tabs>
          <w:tab w:val="left" w:pos="1620"/>
        </w:tabs>
        <w:ind w:left="1620" w:hanging="720"/>
      </w:pPr>
      <w:rPr>
        <w:rFonts w:hint="eastAsia"/>
      </w:r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6">
    <w:nsid w:val="1D027DEC"/>
    <w:multiLevelType w:val="multilevel"/>
    <w:tmpl w:val="1D027DEC"/>
    <w:lvl w:ilvl="0" w:tentative="0">
      <w:start w:val="1"/>
      <w:numFmt w:val="chineseCountingThousand"/>
      <w:lvlText w:val="%1"/>
      <w:lvlJc w:val="left"/>
      <w:pPr>
        <w:tabs>
          <w:tab w:val="left" w:pos="420"/>
        </w:tabs>
        <w:ind w:left="420" w:hanging="420"/>
      </w:pPr>
      <w:rPr>
        <w:rFonts w:hint="eastAsia" w:ascii="黑体" w:hAnsi="宋体" w:eastAsia="黑体"/>
        <w:b/>
        <w:i w:val="0"/>
        <w:sz w:val="30"/>
        <w:szCs w:val="30"/>
      </w:rPr>
    </w:lvl>
    <w:lvl w:ilvl="1" w:tentative="0">
      <w:start w:val="1"/>
      <w:numFmt w:val="decimal"/>
      <w:lvlText w:val="附件1-%2"/>
      <w:lvlJc w:val="left"/>
      <w:pPr>
        <w:tabs>
          <w:tab w:val="left" w:pos="1260"/>
        </w:tabs>
        <w:ind w:left="1260" w:hanging="840"/>
      </w:pPr>
      <w:rPr>
        <w:rFonts w:hint="eastAsia" w:ascii="宋体" w:hAnsi="宋体" w:eastAsia="宋体"/>
        <w:b/>
        <w:i w:val="0"/>
        <w:sz w:val="28"/>
        <w:szCs w:val="28"/>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
    <w:nsid w:val="1E153F58"/>
    <w:multiLevelType w:val="multilevel"/>
    <w:tmpl w:val="1E153F58"/>
    <w:lvl w:ilvl="0" w:tentative="0">
      <w:start w:val="1"/>
      <w:numFmt w:val="decimal"/>
      <w:lvlText w:val="（%1）"/>
      <w:lvlJc w:val="left"/>
      <w:pPr>
        <w:tabs>
          <w:tab w:val="left" w:pos="2609"/>
        </w:tabs>
        <w:ind w:left="2609" w:hanging="720"/>
      </w:pPr>
      <w:rPr>
        <w:rFonts w:hint="eastAsia"/>
      </w:rPr>
    </w:lvl>
    <w:lvl w:ilvl="1" w:tentative="0">
      <w:start w:val="1"/>
      <w:numFmt w:val="lowerLetter"/>
      <w:lvlText w:val="%2)"/>
      <w:lvlJc w:val="left"/>
      <w:pPr>
        <w:tabs>
          <w:tab w:val="left" w:pos="2729"/>
        </w:tabs>
        <w:ind w:left="2729" w:hanging="420"/>
      </w:pPr>
    </w:lvl>
    <w:lvl w:ilvl="2" w:tentative="0">
      <w:start w:val="1"/>
      <w:numFmt w:val="lowerRoman"/>
      <w:lvlText w:val="%3."/>
      <w:lvlJc w:val="right"/>
      <w:pPr>
        <w:tabs>
          <w:tab w:val="left" w:pos="3149"/>
        </w:tabs>
        <w:ind w:left="3149" w:hanging="420"/>
      </w:pPr>
    </w:lvl>
    <w:lvl w:ilvl="3" w:tentative="0">
      <w:start w:val="1"/>
      <w:numFmt w:val="decimal"/>
      <w:lvlText w:val="%4."/>
      <w:lvlJc w:val="left"/>
      <w:pPr>
        <w:tabs>
          <w:tab w:val="left" w:pos="3569"/>
        </w:tabs>
        <w:ind w:left="3569" w:hanging="420"/>
      </w:pPr>
    </w:lvl>
    <w:lvl w:ilvl="4" w:tentative="0">
      <w:start w:val="1"/>
      <w:numFmt w:val="lowerLetter"/>
      <w:lvlText w:val="%5)"/>
      <w:lvlJc w:val="left"/>
      <w:pPr>
        <w:tabs>
          <w:tab w:val="left" w:pos="3989"/>
        </w:tabs>
        <w:ind w:left="3989" w:hanging="420"/>
      </w:pPr>
    </w:lvl>
    <w:lvl w:ilvl="5" w:tentative="0">
      <w:start w:val="1"/>
      <w:numFmt w:val="lowerRoman"/>
      <w:lvlText w:val="%6."/>
      <w:lvlJc w:val="right"/>
      <w:pPr>
        <w:tabs>
          <w:tab w:val="left" w:pos="4409"/>
        </w:tabs>
        <w:ind w:left="4409" w:hanging="420"/>
      </w:pPr>
    </w:lvl>
    <w:lvl w:ilvl="6" w:tentative="0">
      <w:start w:val="1"/>
      <w:numFmt w:val="decimal"/>
      <w:lvlText w:val="%7."/>
      <w:lvlJc w:val="left"/>
      <w:pPr>
        <w:tabs>
          <w:tab w:val="left" w:pos="4829"/>
        </w:tabs>
        <w:ind w:left="4829" w:hanging="420"/>
      </w:pPr>
    </w:lvl>
    <w:lvl w:ilvl="7" w:tentative="0">
      <w:start w:val="1"/>
      <w:numFmt w:val="lowerLetter"/>
      <w:lvlText w:val="%8)"/>
      <w:lvlJc w:val="left"/>
      <w:pPr>
        <w:tabs>
          <w:tab w:val="left" w:pos="5249"/>
        </w:tabs>
        <w:ind w:left="5249" w:hanging="420"/>
      </w:pPr>
    </w:lvl>
    <w:lvl w:ilvl="8" w:tentative="0">
      <w:start w:val="1"/>
      <w:numFmt w:val="lowerRoman"/>
      <w:lvlText w:val="%9."/>
      <w:lvlJc w:val="right"/>
      <w:pPr>
        <w:tabs>
          <w:tab w:val="left" w:pos="5669"/>
        </w:tabs>
        <w:ind w:left="5669" w:hanging="420"/>
      </w:pPr>
    </w:lvl>
  </w:abstractNum>
  <w:abstractNum w:abstractNumId="8">
    <w:nsid w:val="1FDA3539"/>
    <w:multiLevelType w:val="multilevel"/>
    <w:tmpl w:val="1FDA3539"/>
    <w:lvl w:ilvl="0" w:tentative="0">
      <w:start w:val="1"/>
      <w:numFmt w:val="decimal"/>
      <w:lvlText w:val="%1."/>
      <w:lvlJc w:val="left"/>
      <w:pPr>
        <w:tabs>
          <w:tab w:val="left" w:pos="0"/>
        </w:tabs>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9">
    <w:nsid w:val="22084352"/>
    <w:multiLevelType w:val="multilevel"/>
    <w:tmpl w:val="22084352"/>
    <w:lvl w:ilvl="0" w:tentative="0">
      <w:start w:val="1"/>
      <w:numFmt w:val="decimal"/>
      <w:lvlText w:val="%1."/>
      <w:lvlJc w:val="left"/>
      <w:pPr>
        <w:tabs>
          <w:tab w:val="left" w:pos="1264"/>
        </w:tabs>
        <w:ind w:left="1264" w:hanging="4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0">
    <w:nsid w:val="253A68C1"/>
    <w:multiLevelType w:val="multilevel"/>
    <w:tmpl w:val="253A68C1"/>
    <w:lvl w:ilvl="0" w:tentative="0">
      <w:start w:val="1"/>
      <w:numFmt w:val="decimal"/>
      <w:lvlText w:val="(%1)"/>
      <w:lvlJc w:val="left"/>
      <w:pPr>
        <w:tabs>
          <w:tab w:val="left" w:pos="1440"/>
        </w:tabs>
        <w:ind w:left="1440" w:hanging="96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1">
    <w:nsid w:val="266F2840"/>
    <w:multiLevelType w:val="multilevel"/>
    <w:tmpl w:val="266F2840"/>
    <w:lvl w:ilvl="0" w:tentative="0">
      <w:start w:val="1"/>
      <w:numFmt w:val="decimal"/>
      <w:lvlText w:val="(%1)"/>
      <w:lvlJc w:val="left"/>
      <w:pPr>
        <w:tabs>
          <w:tab w:val="left" w:pos="1080"/>
        </w:tabs>
        <w:ind w:left="1080" w:hanging="60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2">
    <w:nsid w:val="305B4031"/>
    <w:multiLevelType w:val="multilevel"/>
    <w:tmpl w:val="305B4031"/>
    <w:lvl w:ilvl="0" w:tentative="0">
      <w:start w:val="1"/>
      <w:numFmt w:val="decimal"/>
      <w:lvlText w:val="(%1)"/>
      <w:lvlJc w:val="left"/>
      <w:pPr>
        <w:tabs>
          <w:tab w:val="left" w:pos="2580"/>
        </w:tabs>
        <w:ind w:left="2580" w:hanging="600"/>
      </w:pPr>
      <w:rPr>
        <w:rFonts w:hint="eastAsia"/>
      </w:rPr>
    </w:lvl>
    <w:lvl w:ilvl="1" w:tentative="0">
      <w:start w:val="1"/>
      <w:numFmt w:val="decimal"/>
      <w:lvlText w:val="(%2)"/>
      <w:lvlJc w:val="left"/>
      <w:pPr>
        <w:tabs>
          <w:tab w:val="left" w:pos="2910"/>
        </w:tabs>
        <w:ind w:left="2910" w:hanging="510"/>
      </w:pPr>
      <w:rPr>
        <w:rFonts w:hint="eastAsia"/>
      </w:rPr>
    </w:lvl>
    <w:lvl w:ilvl="2" w:tentative="0">
      <w:start w:val="1"/>
      <w:numFmt w:val="lowerRoman"/>
      <w:lvlText w:val="%3."/>
      <w:lvlJc w:val="right"/>
      <w:pPr>
        <w:tabs>
          <w:tab w:val="left" w:pos="3240"/>
        </w:tabs>
        <w:ind w:left="3240" w:hanging="420"/>
      </w:pPr>
    </w:lvl>
    <w:lvl w:ilvl="3" w:tentative="0">
      <w:start w:val="1"/>
      <w:numFmt w:val="decimal"/>
      <w:lvlText w:val="%4."/>
      <w:lvlJc w:val="left"/>
      <w:pPr>
        <w:tabs>
          <w:tab w:val="left" w:pos="3660"/>
        </w:tabs>
        <w:ind w:left="3660" w:hanging="420"/>
      </w:pPr>
    </w:lvl>
    <w:lvl w:ilvl="4" w:tentative="0">
      <w:start w:val="1"/>
      <w:numFmt w:val="lowerLetter"/>
      <w:lvlText w:val="%5)"/>
      <w:lvlJc w:val="left"/>
      <w:pPr>
        <w:tabs>
          <w:tab w:val="left" w:pos="4080"/>
        </w:tabs>
        <w:ind w:left="4080" w:hanging="420"/>
      </w:pPr>
    </w:lvl>
    <w:lvl w:ilvl="5" w:tentative="0">
      <w:start w:val="1"/>
      <w:numFmt w:val="lowerRoman"/>
      <w:lvlText w:val="%6."/>
      <w:lvlJc w:val="right"/>
      <w:pPr>
        <w:tabs>
          <w:tab w:val="left" w:pos="4500"/>
        </w:tabs>
        <w:ind w:left="4500" w:hanging="420"/>
      </w:pPr>
    </w:lvl>
    <w:lvl w:ilvl="6" w:tentative="0">
      <w:start w:val="1"/>
      <w:numFmt w:val="decimal"/>
      <w:lvlText w:val="%7."/>
      <w:lvlJc w:val="left"/>
      <w:pPr>
        <w:tabs>
          <w:tab w:val="left" w:pos="4920"/>
        </w:tabs>
        <w:ind w:left="4920" w:hanging="420"/>
      </w:pPr>
    </w:lvl>
    <w:lvl w:ilvl="7" w:tentative="0">
      <w:start w:val="1"/>
      <w:numFmt w:val="lowerLetter"/>
      <w:lvlText w:val="%8)"/>
      <w:lvlJc w:val="left"/>
      <w:pPr>
        <w:tabs>
          <w:tab w:val="left" w:pos="5340"/>
        </w:tabs>
        <w:ind w:left="5340" w:hanging="420"/>
      </w:pPr>
    </w:lvl>
    <w:lvl w:ilvl="8" w:tentative="0">
      <w:start w:val="1"/>
      <w:numFmt w:val="lowerRoman"/>
      <w:lvlText w:val="%9."/>
      <w:lvlJc w:val="right"/>
      <w:pPr>
        <w:tabs>
          <w:tab w:val="left" w:pos="5760"/>
        </w:tabs>
        <w:ind w:left="5760" w:hanging="420"/>
      </w:pPr>
    </w:lvl>
  </w:abstractNum>
  <w:abstractNum w:abstractNumId="13">
    <w:nsid w:val="32C43DC6"/>
    <w:multiLevelType w:val="multilevel"/>
    <w:tmpl w:val="32C43DC6"/>
    <w:lvl w:ilvl="0" w:tentative="0">
      <w:start w:val="1"/>
      <w:numFmt w:val="decimal"/>
      <w:lvlText w:val="(%1)"/>
      <w:lvlJc w:val="left"/>
      <w:pPr>
        <w:tabs>
          <w:tab w:val="left" w:pos="1560"/>
        </w:tabs>
        <w:ind w:left="1560" w:hanging="60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4">
    <w:nsid w:val="36B74DA9"/>
    <w:multiLevelType w:val="multilevel"/>
    <w:tmpl w:val="36B74DA9"/>
    <w:lvl w:ilvl="0" w:tentative="0">
      <w:start w:val="1"/>
      <w:numFmt w:val="decimal"/>
      <w:lvlText w:val="(%1)"/>
      <w:lvlJc w:val="left"/>
      <w:pPr>
        <w:tabs>
          <w:tab w:val="left" w:pos="1080"/>
        </w:tabs>
        <w:ind w:left="1080" w:hanging="60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5">
    <w:nsid w:val="3B2E0A0E"/>
    <w:multiLevelType w:val="multilevel"/>
    <w:tmpl w:val="3B2E0A0E"/>
    <w:lvl w:ilvl="0" w:tentative="0">
      <w:start w:val="1"/>
      <w:numFmt w:val="decimal"/>
      <w:lvlText w:val="(%1)"/>
      <w:lvlJc w:val="left"/>
      <w:pPr>
        <w:tabs>
          <w:tab w:val="left" w:pos="1080"/>
        </w:tabs>
        <w:ind w:left="1080" w:hanging="600"/>
      </w:pPr>
      <w:rPr>
        <w:rFonts w:hint="eastAsia"/>
      </w:rPr>
    </w:lvl>
    <w:lvl w:ilvl="1" w:tentative="0">
      <w:start w:val="1"/>
      <w:numFmt w:val="decimal"/>
      <w:lvlText w:val="（%2）"/>
      <w:lvlJc w:val="left"/>
      <w:pPr>
        <w:tabs>
          <w:tab w:val="left" w:pos="1620"/>
        </w:tabs>
        <w:ind w:left="1620" w:hanging="720"/>
      </w:pPr>
      <w:rPr>
        <w:rFonts w:hint="eastAsia" w:ascii="宋体"/>
        <w:color w:val="auto"/>
      </w:r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6">
    <w:nsid w:val="3E0758DE"/>
    <w:multiLevelType w:val="multilevel"/>
    <w:tmpl w:val="3E0758DE"/>
    <w:lvl w:ilvl="0" w:tentative="0">
      <w:start w:val="1"/>
      <w:numFmt w:val="decimal"/>
      <w:lvlText w:val="(%1)"/>
      <w:lvlJc w:val="left"/>
      <w:pPr>
        <w:tabs>
          <w:tab w:val="left" w:pos="1080"/>
        </w:tabs>
        <w:ind w:left="1080" w:hanging="60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7">
    <w:nsid w:val="42D478CF"/>
    <w:multiLevelType w:val="multilevel"/>
    <w:tmpl w:val="42D478CF"/>
    <w:lvl w:ilvl="0" w:tentative="0">
      <w:start w:val="1"/>
      <w:numFmt w:val="decimal"/>
      <w:lvlText w:val="(%1)"/>
      <w:lvlJc w:val="left"/>
      <w:pPr>
        <w:tabs>
          <w:tab w:val="left" w:pos="1080"/>
        </w:tabs>
        <w:ind w:left="1080" w:hanging="60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8">
    <w:nsid w:val="46C666F9"/>
    <w:multiLevelType w:val="multilevel"/>
    <w:tmpl w:val="46C666F9"/>
    <w:lvl w:ilvl="0" w:tentative="0">
      <w:start w:val="1"/>
      <w:numFmt w:val="decimal"/>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9">
    <w:nsid w:val="46D47E00"/>
    <w:multiLevelType w:val="multilevel"/>
    <w:tmpl w:val="46D47E00"/>
    <w:lvl w:ilvl="0" w:tentative="0">
      <w:start w:val="1"/>
      <w:numFmt w:val="decimal"/>
      <w:lvlText w:val="(%1)"/>
      <w:lvlJc w:val="left"/>
      <w:pPr>
        <w:tabs>
          <w:tab w:val="left" w:pos="960"/>
        </w:tabs>
        <w:ind w:left="960" w:hanging="48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0">
    <w:nsid w:val="4D5A4498"/>
    <w:multiLevelType w:val="multilevel"/>
    <w:tmpl w:val="4D5A4498"/>
    <w:lvl w:ilvl="0" w:tentative="0">
      <w:start w:val="1"/>
      <w:numFmt w:val="decimal"/>
      <w:lvlText w:val="%1．"/>
      <w:lvlJc w:val="left"/>
      <w:pPr>
        <w:tabs>
          <w:tab w:val="left" w:pos="840"/>
        </w:tabs>
        <w:ind w:left="840" w:hanging="36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1">
    <w:nsid w:val="4DC73839"/>
    <w:multiLevelType w:val="singleLevel"/>
    <w:tmpl w:val="4DC73839"/>
    <w:lvl w:ilvl="0" w:tentative="0">
      <w:start w:val="2"/>
      <w:numFmt w:val="decimal"/>
      <w:suff w:val="nothing"/>
      <w:lvlText w:val="%1）"/>
      <w:lvlJc w:val="left"/>
    </w:lvl>
  </w:abstractNum>
  <w:abstractNum w:abstractNumId="22">
    <w:nsid w:val="55CC2CEE"/>
    <w:multiLevelType w:val="multilevel"/>
    <w:tmpl w:val="55CC2CEE"/>
    <w:lvl w:ilvl="0" w:tentative="0">
      <w:start w:val="1"/>
      <w:numFmt w:val="decimal"/>
      <w:lvlText w:val="(%1)"/>
      <w:lvlJc w:val="left"/>
      <w:pPr>
        <w:tabs>
          <w:tab w:val="left" w:pos="1440"/>
        </w:tabs>
        <w:ind w:left="1440" w:hanging="96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3">
    <w:nsid w:val="57D559DE"/>
    <w:multiLevelType w:val="multilevel"/>
    <w:tmpl w:val="57D559DE"/>
    <w:lvl w:ilvl="0" w:tentative="0">
      <w:start w:val="1"/>
      <w:numFmt w:val="decimal"/>
      <w:lvlText w:val="(%1)"/>
      <w:lvlJc w:val="left"/>
      <w:pPr>
        <w:tabs>
          <w:tab w:val="left" w:pos="1080"/>
        </w:tabs>
        <w:ind w:left="1080" w:hanging="60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4">
    <w:nsid w:val="59031762"/>
    <w:multiLevelType w:val="multilevel"/>
    <w:tmpl w:val="59031762"/>
    <w:lvl w:ilvl="0" w:tentative="0">
      <w:start w:val="1"/>
      <w:numFmt w:val="decimal"/>
      <w:lvlText w:val="%1"/>
      <w:lvlJc w:val="left"/>
      <w:pPr>
        <w:tabs>
          <w:tab w:val="left" w:pos="425"/>
        </w:tabs>
        <w:ind w:left="425" w:hanging="425"/>
      </w:pPr>
      <w:rPr>
        <w:rFonts w:hint="eastAsia"/>
        <w:b/>
      </w:rPr>
    </w:lvl>
    <w:lvl w:ilvl="1" w:tentative="0">
      <w:start w:val="1"/>
      <w:numFmt w:val="decimal"/>
      <w:lvlText w:val="%1.%2."/>
      <w:lvlJc w:val="left"/>
      <w:pPr>
        <w:tabs>
          <w:tab w:val="left" w:pos="567"/>
        </w:tabs>
        <w:ind w:left="567" w:hanging="567"/>
      </w:pPr>
      <w:rPr>
        <w:rFonts w:hint="eastAsia"/>
        <w:b w:val="0"/>
        <w:dstrike w:val="0"/>
        <w:color w:val="auto"/>
        <w:sz w:val="21"/>
        <w:szCs w:val="21"/>
      </w:rPr>
    </w:lvl>
    <w:lvl w:ilvl="2" w:tentative="0">
      <w:start w:val="1"/>
      <w:numFmt w:val="decimal"/>
      <w:lvlText w:val="%1.%2.%3."/>
      <w:lvlJc w:val="left"/>
      <w:pPr>
        <w:tabs>
          <w:tab w:val="left" w:pos="709"/>
        </w:tabs>
        <w:ind w:left="709" w:hanging="709"/>
      </w:pPr>
      <w:rPr>
        <w:rFonts w:hint="eastAsia"/>
        <w:b w:val="0"/>
        <w:dstrike w:val="0"/>
        <w:sz w:val="21"/>
        <w:szCs w:val="21"/>
      </w:rPr>
    </w:lvl>
    <w:lvl w:ilvl="3" w:tentative="0">
      <w:start w:val="1"/>
      <w:numFmt w:val="decimal"/>
      <w:lvlText w:val="%1.%2.%3.%4."/>
      <w:lvlJc w:val="left"/>
      <w:pPr>
        <w:tabs>
          <w:tab w:val="left" w:pos="851"/>
        </w:tabs>
        <w:ind w:left="851" w:hanging="851"/>
      </w:pPr>
      <w:rPr>
        <w:rFonts w:hint="eastAsia"/>
        <w:dstrike w:val="0"/>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5">
    <w:nsid w:val="5B691D0A"/>
    <w:multiLevelType w:val="multilevel"/>
    <w:tmpl w:val="5B691D0A"/>
    <w:lvl w:ilvl="0" w:tentative="0">
      <w:start w:val="1"/>
      <w:numFmt w:val="decimal"/>
      <w:lvlText w:val="(%1)"/>
      <w:lvlJc w:val="left"/>
      <w:pPr>
        <w:tabs>
          <w:tab w:val="left" w:pos="1560"/>
        </w:tabs>
        <w:ind w:left="1560" w:hanging="1080"/>
      </w:pPr>
      <w:rPr>
        <w:rFonts w:hint="eastAsia"/>
      </w:rPr>
    </w:lvl>
    <w:lvl w:ilvl="1" w:tentative="0">
      <w:start w:val="4"/>
      <w:numFmt w:val="decimal"/>
      <w:lvlText w:val="(%2)"/>
      <w:lvlJc w:val="left"/>
      <w:pPr>
        <w:tabs>
          <w:tab w:val="left" w:pos="1410"/>
        </w:tabs>
        <w:ind w:left="1410" w:hanging="510"/>
      </w:pPr>
      <w:rPr>
        <w:rFonts w:hint="default"/>
      </w:r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6">
    <w:nsid w:val="5EEA705D"/>
    <w:multiLevelType w:val="multilevel"/>
    <w:tmpl w:val="5EEA705D"/>
    <w:lvl w:ilvl="0" w:tentative="0">
      <w:start w:val="1"/>
      <w:numFmt w:val="decimal"/>
      <w:lvlText w:val="(%1)"/>
      <w:lvlJc w:val="left"/>
      <w:pPr>
        <w:tabs>
          <w:tab w:val="left" w:pos="1080"/>
        </w:tabs>
        <w:ind w:left="1080" w:hanging="60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7">
    <w:nsid w:val="62256771"/>
    <w:multiLevelType w:val="multilevel"/>
    <w:tmpl w:val="62256771"/>
    <w:lvl w:ilvl="0" w:tentative="0">
      <w:start w:val="1"/>
      <w:numFmt w:val="decimal"/>
      <w:lvlText w:val="(%1)"/>
      <w:lvlJc w:val="left"/>
      <w:pPr>
        <w:tabs>
          <w:tab w:val="left" w:pos="960"/>
        </w:tabs>
        <w:ind w:left="960" w:hanging="480"/>
      </w:pPr>
      <w:rPr>
        <w:rFonts w:hint="eastAsia"/>
      </w:rPr>
    </w:lvl>
    <w:lvl w:ilvl="1" w:tentative="0">
      <w:start w:val="1"/>
      <w:numFmt w:val="decimal"/>
      <w:lvlText w:val="（%2）"/>
      <w:lvlJc w:val="left"/>
      <w:pPr>
        <w:tabs>
          <w:tab w:val="left" w:pos="1980"/>
        </w:tabs>
        <w:ind w:left="1980" w:hanging="1080"/>
      </w:pPr>
      <w:rPr>
        <w:rFonts w:hint="eastAsia"/>
      </w:r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8">
    <w:nsid w:val="69774DF0"/>
    <w:multiLevelType w:val="multilevel"/>
    <w:tmpl w:val="69774DF0"/>
    <w:lvl w:ilvl="0" w:tentative="0">
      <w:start w:val="1"/>
      <w:numFmt w:val="decimal"/>
      <w:lvlText w:val="(%1)"/>
      <w:lvlJc w:val="left"/>
      <w:pPr>
        <w:tabs>
          <w:tab w:val="left" w:pos="1350"/>
        </w:tabs>
        <w:ind w:left="1350" w:hanging="870"/>
      </w:pPr>
      <w:rPr>
        <w:rFonts w:hint="eastAsia"/>
      </w:rPr>
    </w:lvl>
    <w:lvl w:ilvl="1" w:tentative="0">
      <w:start w:val="1"/>
      <w:numFmt w:val="decimal"/>
      <w:lvlText w:val="%2."/>
      <w:lvlJc w:val="left"/>
      <w:pPr>
        <w:tabs>
          <w:tab w:val="left" w:pos="1260"/>
        </w:tabs>
        <w:ind w:left="1260" w:hanging="360"/>
      </w:pPr>
      <w:rPr>
        <w:rFonts w:hint="eastAsia"/>
      </w:r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9">
    <w:nsid w:val="6B1548AB"/>
    <w:multiLevelType w:val="multilevel"/>
    <w:tmpl w:val="6B1548AB"/>
    <w:lvl w:ilvl="0" w:tentative="0">
      <w:start w:val="1"/>
      <w:numFmt w:val="decimal"/>
      <w:lvlText w:val="(%1)"/>
      <w:lvlJc w:val="left"/>
      <w:pPr>
        <w:tabs>
          <w:tab w:val="left" w:pos="990"/>
        </w:tabs>
        <w:ind w:left="990" w:hanging="99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30">
    <w:nsid w:val="6C1074F8"/>
    <w:multiLevelType w:val="multilevel"/>
    <w:tmpl w:val="6C1074F8"/>
    <w:lvl w:ilvl="0" w:tentative="0">
      <w:start w:val="1"/>
      <w:numFmt w:val="decimal"/>
      <w:lvlText w:val="(%1)"/>
      <w:lvlJc w:val="left"/>
      <w:pPr>
        <w:tabs>
          <w:tab w:val="left" w:pos="990"/>
        </w:tabs>
        <w:ind w:left="990" w:hanging="510"/>
      </w:pPr>
      <w:rPr>
        <w:rFonts w:hint="eastAsia"/>
        <w:color w:val="auto"/>
      </w:rPr>
    </w:lvl>
    <w:lvl w:ilvl="1" w:tentative="0">
      <w:start w:val="1"/>
      <w:numFmt w:val="decimal"/>
      <w:lvlText w:val="(%2)"/>
      <w:lvlJc w:val="left"/>
      <w:pPr>
        <w:tabs>
          <w:tab w:val="left" w:pos="1290"/>
        </w:tabs>
        <w:ind w:left="1290" w:hanging="390"/>
      </w:pPr>
      <w:rPr>
        <w:rFonts w:hint="eastAsia"/>
      </w:r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31">
    <w:nsid w:val="6CBA5776"/>
    <w:multiLevelType w:val="multilevel"/>
    <w:tmpl w:val="6CBA5776"/>
    <w:lvl w:ilvl="0" w:tentative="0">
      <w:start w:val="1"/>
      <w:numFmt w:val="decimal"/>
      <w:lvlText w:val="(%1)"/>
      <w:lvlJc w:val="left"/>
      <w:pPr>
        <w:tabs>
          <w:tab w:val="left" w:pos="1560"/>
        </w:tabs>
        <w:ind w:left="1560" w:hanging="108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32">
    <w:nsid w:val="706D58B7"/>
    <w:multiLevelType w:val="multilevel"/>
    <w:tmpl w:val="706D58B7"/>
    <w:lvl w:ilvl="0" w:tentative="0">
      <w:start w:val="1"/>
      <w:numFmt w:val="decimal"/>
      <w:lvlText w:val="(%1)"/>
      <w:lvlJc w:val="left"/>
      <w:pPr>
        <w:tabs>
          <w:tab w:val="left" w:pos="1440"/>
        </w:tabs>
        <w:ind w:left="1440" w:hanging="96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33">
    <w:nsid w:val="72FD250D"/>
    <w:multiLevelType w:val="multilevel"/>
    <w:tmpl w:val="72FD250D"/>
    <w:lvl w:ilvl="0" w:tentative="0">
      <w:start w:val="1"/>
      <w:numFmt w:val="decimal"/>
      <w:lvlText w:val="(%1)"/>
      <w:lvlJc w:val="left"/>
      <w:pPr>
        <w:tabs>
          <w:tab w:val="left" w:pos="1080"/>
        </w:tabs>
        <w:ind w:left="1080" w:hanging="600"/>
      </w:pPr>
      <w:rPr>
        <w:rFonts w:hint="eastAsia" w:hAnsi="宋体"/>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34">
    <w:nsid w:val="763E7D68"/>
    <w:multiLevelType w:val="multilevel"/>
    <w:tmpl w:val="763E7D68"/>
    <w:lvl w:ilvl="0" w:tentative="0">
      <w:start w:val="1"/>
      <w:numFmt w:val="japaneseCounting"/>
      <w:lvlText w:val="%1、"/>
      <w:lvlJc w:val="left"/>
      <w:pPr>
        <w:ind w:left="600" w:hanging="600"/>
      </w:pPr>
      <w:rPr>
        <w:rFonts w:hint="default" w:cs="Times New Roman"/>
        <w:b/>
        <w:sz w:val="28"/>
      </w:rPr>
    </w:lvl>
    <w:lvl w:ilvl="1" w:tentative="0">
      <w:start w:val="1"/>
      <w:numFmt w:val="decimal"/>
      <w:lvlText w:val="%2、"/>
      <w:lvlJc w:val="left"/>
      <w:pPr>
        <w:tabs>
          <w:tab w:val="left" w:pos="1125"/>
        </w:tabs>
        <w:ind w:left="1125" w:hanging="705"/>
      </w:pPr>
      <w:rPr>
        <w:rFonts w:hint="default"/>
        <w:b/>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5">
    <w:nsid w:val="774C6470"/>
    <w:multiLevelType w:val="multilevel"/>
    <w:tmpl w:val="774C6470"/>
    <w:lvl w:ilvl="0" w:tentative="0">
      <w:start w:val="1"/>
      <w:numFmt w:val="decimal"/>
      <w:lvlText w:val="(%1)"/>
      <w:lvlJc w:val="left"/>
      <w:pPr>
        <w:tabs>
          <w:tab w:val="left" w:pos="1560"/>
        </w:tabs>
        <w:ind w:left="1560" w:hanging="108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36">
    <w:nsid w:val="7DB56DF2"/>
    <w:multiLevelType w:val="multilevel"/>
    <w:tmpl w:val="7DB56DF2"/>
    <w:lvl w:ilvl="0" w:tentative="0">
      <w:start w:val="1"/>
      <w:numFmt w:val="decimal"/>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ascii="宋体" w:hAnsi="宋体" w:eastAsia="宋体"/>
        <w:b w:val="0"/>
        <w:dstrike w:val="0"/>
        <w:color w:val="auto"/>
      </w:rPr>
    </w:lvl>
    <w:lvl w:ilvl="2" w:tentative="0">
      <w:start w:val="1"/>
      <w:numFmt w:val="decimal"/>
      <w:lvlText w:val="%1.%2.%3."/>
      <w:lvlJc w:val="left"/>
      <w:pPr>
        <w:tabs>
          <w:tab w:val="left" w:pos="709"/>
        </w:tabs>
        <w:ind w:left="709" w:hanging="709"/>
      </w:pPr>
      <w:rPr>
        <w:rFonts w:hint="eastAsia" w:ascii="宋体" w:hAnsi="宋体" w:eastAsia="宋体"/>
        <w:sz w:val="21"/>
        <w:szCs w:val="21"/>
      </w:rPr>
    </w:lvl>
    <w:lvl w:ilvl="3" w:tentative="0">
      <w:start w:val="1"/>
      <w:numFmt w:val="decimal"/>
      <w:lvlText w:val="%1.%2.%3.%4."/>
      <w:lvlJc w:val="left"/>
      <w:pPr>
        <w:tabs>
          <w:tab w:val="left" w:pos="851"/>
        </w:tabs>
        <w:ind w:left="851" w:hanging="851"/>
      </w:pPr>
      <w:rPr>
        <w:rFonts w:hint="eastAsia"/>
        <w:dstrike w:val="0"/>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7">
    <w:nsid w:val="7E9C6F08"/>
    <w:multiLevelType w:val="multilevel"/>
    <w:tmpl w:val="7E9C6F08"/>
    <w:lvl w:ilvl="0" w:tentative="0">
      <w:start w:val="1"/>
      <w:numFmt w:val="decimal"/>
      <w:lvlText w:val="(%1)"/>
      <w:lvlJc w:val="left"/>
      <w:pPr>
        <w:tabs>
          <w:tab w:val="left" w:pos="1200"/>
        </w:tabs>
        <w:ind w:left="1200" w:hanging="72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1"/>
    <w:lvlOverride w:ilvl="0">
      <w:startOverride w:val="1"/>
    </w:lvlOverride>
  </w:num>
  <w:num w:numId="2">
    <w:abstractNumId w:val="0"/>
  </w:num>
  <w:num w:numId="3">
    <w:abstractNumId w:val="2"/>
  </w:num>
  <w:num w:numId="4">
    <w:abstractNumId w:val="34"/>
  </w:num>
  <w:num w:numId="5">
    <w:abstractNumId w:val="24"/>
  </w:num>
  <w:num w:numId="6">
    <w:abstractNumId w:val="18"/>
  </w:num>
  <w:num w:numId="7">
    <w:abstractNumId w:val="21"/>
  </w:num>
  <w:num w:numId="8">
    <w:abstractNumId w:val="3"/>
  </w:num>
  <w:num w:numId="9">
    <w:abstractNumId w:val="17"/>
  </w:num>
  <w:num w:numId="10">
    <w:abstractNumId w:val="12"/>
  </w:num>
  <w:num w:numId="11">
    <w:abstractNumId w:val="27"/>
  </w:num>
  <w:num w:numId="12">
    <w:abstractNumId w:val="29"/>
  </w:num>
  <w:num w:numId="13">
    <w:abstractNumId w:val="13"/>
  </w:num>
  <w:num w:numId="14">
    <w:abstractNumId w:val="30"/>
  </w:num>
  <w:num w:numId="15">
    <w:abstractNumId w:val="7"/>
  </w:num>
  <w:num w:numId="16">
    <w:abstractNumId w:val="4"/>
  </w:num>
  <w:num w:numId="17">
    <w:abstractNumId w:val="31"/>
  </w:num>
  <w:num w:numId="18">
    <w:abstractNumId w:val="33"/>
  </w:num>
  <w:num w:numId="19">
    <w:abstractNumId w:val="10"/>
  </w:num>
  <w:num w:numId="20">
    <w:abstractNumId w:val="15"/>
  </w:num>
  <w:num w:numId="21">
    <w:abstractNumId w:val="22"/>
  </w:num>
  <w:num w:numId="22">
    <w:abstractNumId w:val="11"/>
  </w:num>
  <w:num w:numId="23">
    <w:abstractNumId w:val="26"/>
  </w:num>
  <w:num w:numId="24">
    <w:abstractNumId w:val="16"/>
  </w:num>
  <w:num w:numId="25">
    <w:abstractNumId w:val="5"/>
  </w:num>
  <w:num w:numId="26">
    <w:abstractNumId w:val="28"/>
  </w:num>
  <w:num w:numId="27">
    <w:abstractNumId w:val="32"/>
  </w:num>
  <w:num w:numId="28">
    <w:abstractNumId w:val="37"/>
  </w:num>
  <w:num w:numId="29">
    <w:abstractNumId w:val="19"/>
  </w:num>
  <w:num w:numId="30">
    <w:abstractNumId w:val="14"/>
  </w:num>
  <w:num w:numId="31">
    <w:abstractNumId w:val="35"/>
  </w:num>
  <w:num w:numId="32">
    <w:abstractNumId w:val="25"/>
  </w:num>
  <w:num w:numId="33">
    <w:abstractNumId w:val="23"/>
  </w:num>
  <w:num w:numId="34">
    <w:abstractNumId w:val="20"/>
  </w:num>
  <w:num w:numId="35">
    <w:abstractNumId w:val="36"/>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hideSpellingError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3FB"/>
    <w:rsid w:val="00007587"/>
    <w:rsid w:val="00090FEB"/>
    <w:rsid w:val="000B73FB"/>
    <w:rsid w:val="001D6D92"/>
    <w:rsid w:val="001F053A"/>
    <w:rsid w:val="002075A9"/>
    <w:rsid w:val="00422C1A"/>
    <w:rsid w:val="005054B5"/>
    <w:rsid w:val="00511485"/>
    <w:rsid w:val="00542854"/>
    <w:rsid w:val="00545874"/>
    <w:rsid w:val="006E4DAE"/>
    <w:rsid w:val="007A5220"/>
    <w:rsid w:val="007C756C"/>
    <w:rsid w:val="00801945"/>
    <w:rsid w:val="00822326"/>
    <w:rsid w:val="008E4121"/>
    <w:rsid w:val="009F7297"/>
    <w:rsid w:val="00C56CAD"/>
    <w:rsid w:val="00C86501"/>
    <w:rsid w:val="00D71D8C"/>
    <w:rsid w:val="00D75658"/>
    <w:rsid w:val="00D908A5"/>
    <w:rsid w:val="00E6627F"/>
    <w:rsid w:val="00FA526C"/>
    <w:rsid w:val="05006FA0"/>
    <w:rsid w:val="07161791"/>
    <w:rsid w:val="0E294FAB"/>
    <w:rsid w:val="167654DF"/>
    <w:rsid w:val="16A36F9A"/>
    <w:rsid w:val="199B7D6D"/>
    <w:rsid w:val="1A251978"/>
    <w:rsid w:val="1B62425E"/>
    <w:rsid w:val="210C2156"/>
    <w:rsid w:val="22535329"/>
    <w:rsid w:val="2301305E"/>
    <w:rsid w:val="255A3784"/>
    <w:rsid w:val="2A4464A6"/>
    <w:rsid w:val="2CC3315B"/>
    <w:rsid w:val="348E0D5D"/>
    <w:rsid w:val="3C47493F"/>
    <w:rsid w:val="45BC0B50"/>
    <w:rsid w:val="500819AE"/>
    <w:rsid w:val="52A95F17"/>
    <w:rsid w:val="5E421EBB"/>
    <w:rsid w:val="5F9100C4"/>
    <w:rsid w:val="6CF57457"/>
    <w:rsid w:val="6D757E5C"/>
    <w:rsid w:val="73E10AC3"/>
    <w:rsid w:val="7B2E0E6C"/>
    <w:rsid w:val="7D8D61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qFormat="1" w:unhideWhenUsed="0" w:uiPriority="0" w:name="index 3"/>
    <w:lsdException w:qFormat="1" w:unhideWhenUsed="0" w:uiPriority="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nhideWhenUsed="0" w:uiPriority="0" w:semiHidden="0" w:name="caption"/>
    <w:lsdException w:qFormat="1" w:unhideWhenUsed="0" w:uiPriority="0" w:name="table of figures"/>
    <w:lsdException w:qFormat="1" w:unhideWhenUsed="0" w:uiPriority="0" w:semiHidden="0" w:name="envelope address"/>
    <w:lsdException w:qFormat="1" w:unhideWhenUsed="0" w:uiPriority="0" w:semiHidden="0"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qFormat="1" w:unhideWhenUsed="0" w:uiPriority="0" w:name="endnote text"/>
    <w:lsdException w:qFormat="1" w:unhideWhenUsed="0" w:uiPriority="0" w:name="table of authorities"/>
    <w:lsdException w:qFormat="1" w:unhideWhenUsed="0" w:uiPriority="0" w:name="macro"/>
    <w:lsdException w:qFormat="1" w:unhideWhenUsed="0"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iPriority="99" w:name="HTML Acronym"/>
    <w:lsdException w:qFormat="1" w:unhideWhenUsed="0" w:uiPriority="0" w:semiHidden="0"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link w:val="97"/>
    <w:qFormat/>
    <w:uiPriority w:val="0"/>
    <w:pPr>
      <w:keepNext/>
      <w:spacing w:line="360" w:lineRule="auto"/>
      <w:ind w:right="-441" w:rightChars="-210"/>
      <w:jc w:val="center"/>
      <w:outlineLvl w:val="0"/>
    </w:pPr>
    <w:rPr>
      <w:rFonts w:ascii="宋体" w:hAnsi="宋体"/>
      <w:b/>
      <w:bCs/>
      <w:sz w:val="48"/>
    </w:rPr>
  </w:style>
  <w:style w:type="paragraph" w:styleId="5">
    <w:name w:val="heading 2"/>
    <w:basedOn w:val="1"/>
    <w:next w:val="1"/>
    <w:link w:val="98"/>
    <w:qFormat/>
    <w:uiPriority w:val="0"/>
    <w:pPr>
      <w:keepNext/>
      <w:keepLines/>
      <w:adjustRightInd w:val="0"/>
      <w:spacing w:beforeLines="20" w:afterLines="20" w:line="360" w:lineRule="auto"/>
      <w:textAlignment w:val="baseline"/>
      <w:outlineLvl w:val="1"/>
    </w:pPr>
    <w:rPr>
      <w:rFonts w:ascii="宋体" w:hAnsi="宋体"/>
      <w:b/>
      <w:kern w:val="0"/>
      <w:sz w:val="30"/>
      <w:szCs w:val="20"/>
    </w:rPr>
  </w:style>
  <w:style w:type="paragraph" w:styleId="6">
    <w:name w:val="heading 3"/>
    <w:basedOn w:val="1"/>
    <w:next w:val="1"/>
    <w:link w:val="99"/>
    <w:qFormat/>
    <w:uiPriority w:val="0"/>
    <w:pPr>
      <w:keepNext/>
      <w:keepLines/>
      <w:adjustRightInd w:val="0"/>
      <w:spacing w:before="40" w:after="40" w:line="360" w:lineRule="auto"/>
      <w:textAlignment w:val="baseline"/>
      <w:outlineLvl w:val="2"/>
    </w:pPr>
    <w:rPr>
      <w:rFonts w:ascii="宋体" w:hAnsi="宋体"/>
      <w:b/>
      <w:kern w:val="0"/>
      <w:sz w:val="28"/>
      <w:szCs w:val="20"/>
    </w:rPr>
  </w:style>
  <w:style w:type="paragraph" w:styleId="7">
    <w:name w:val="heading 4"/>
    <w:basedOn w:val="1"/>
    <w:next w:val="1"/>
    <w:link w:val="100"/>
    <w:qFormat/>
    <w:uiPriority w:val="0"/>
    <w:pPr>
      <w:keepNext/>
      <w:keepLines/>
      <w:spacing w:before="280" w:after="290" w:line="376" w:lineRule="auto"/>
      <w:outlineLvl w:val="3"/>
    </w:pPr>
    <w:rPr>
      <w:rFonts w:ascii="Arial" w:hAnsi="Arial" w:eastAsia="黑体"/>
      <w:b/>
      <w:bCs/>
      <w:sz w:val="28"/>
      <w:szCs w:val="28"/>
    </w:rPr>
  </w:style>
  <w:style w:type="paragraph" w:styleId="8">
    <w:name w:val="heading 5"/>
    <w:basedOn w:val="1"/>
    <w:next w:val="1"/>
    <w:link w:val="101"/>
    <w:qFormat/>
    <w:uiPriority w:val="0"/>
    <w:pPr>
      <w:widowControl/>
      <w:tabs>
        <w:tab w:val="left" w:pos="709"/>
        <w:tab w:val="left" w:pos="1008"/>
      </w:tabs>
      <w:spacing w:before="240" w:afterLines="50"/>
      <w:ind w:left="1008" w:hanging="1008"/>
      <w:outlineLvl w:val="4"/>
    </w:pPr>
    <w:rPr>
      <w:rFonts w:ascii="Arial" w:hAnsi="Arial"/>
      <w:kern w:val="0"/>
      <w:sz w:val="22"/>
      <w:szCs w:val="20"/>
    </w:rPr>
  </w:style>
  <w:style w:type="paragraph" w:styleId="9">
    <w:name w:val="heading 6"/>
    <w:basedOn w:val="1"/>
    <w:next w:val="1"/>
    <w:link w:val="102"/>
    <w:qFormat/>
    <w:uiPriority w:val="0"/>
    <w:pPr>
      <w:widowControl/>
      <w:tabs>
        <w:tab w:val="left" w:pos="709"/>
        <w:tab w:val="left" w:pos="1152"/>
      </w:tabs>
      <w:spacing w:before="240" w:afterLines="50"/>
      <w:ind w:left="1152" w:hanging="1152"/>
      <w:outlineLvl w:val="5"/>
    </w:pPr>
    <w:rPr>
      <w:rFonts w:hAnsi="Arial"/>
      <w:i/>
      <w:kern w:val="0"/>
      <w:sz w:val="22"/>
      <w:szCs w:val="20"/>
    </w:rPr>
  </w:style>
  <w:style w:type="paragraph" w:styleId="10">
    <w:name w:val="heading 7"/>
    <w:basedOn w:val="1"/>
    <w:next w:val="1"/>
    <w:link w:val="103"/>
    <w:qFormat/>
    <w:uiPriority w:val="0"/>
    <w:pPr>
      <w:widowControl/>
      <w:tabs>
        <w:tab w:val="left" w:pos="709"/>
        <w:tab w:val="left" w:pos="1296"/>
      </w:tabs>
      <w:spacing w:before="240" w:afterLines="50"/>
      <w:ind w:left="1296" w:hanging="1296"/>
      <w:outlineLvl w:val="6"/>
    </w:pPr>
    <w:rPr>
      <w:rFonts w:ascii="Arial" w:hAnsi="Arial"/>
      <w:kern w:val="0"/>
      <w:sz w:val="20"/>
      <w:szCs w:val="20"/>
    </w:rPr>
  </w:style>
  <w:style w:type="paragraph" w:styleId="11">
    <w:name w:val="heading 8"/>
    <w:basedOn w:val="1"/>
    <w:next w:val="1"/>
    <w:link w:val="104"/>
    <w:qFormat/>
    <w:uiPriority w:val="0"/>
    <w:pPr>
      <w:widowControl/>
      <w:tabs>
        <w:tab w:val="left" w:pos="709"/>
        <w:tab w:val="left" w:pos="1440"/>
      </w:tabs>
      <w:spacing w:before="240" w:afterLines="50"/>
      <w:ind w:left="1440" w:hanging="1440"/>
      <w:outlineLvl w:val="7"/>
    </w:pPr>
    <w:rPr>
      <w:rFonts w:ascii="Arial" w:hAnsi="Arial"/>
      <w:i/>
      <w:kern w:val="0"/>
      <w:sz w:val="20"/>
      <w:szCs w:val="20"/>
    </w:rPr>
  </w:style>
  <w:style w:type="paragraph" w:styleId="12">
    <w:name w:val="heading 9"/>
    <w:basedOn w:val="1"/>
    <w:next w:val="1"/>
    <w:link w:val="105"/>
    <w:qFormat/>
    <w:uiPriority w:val="0"/>
    <w:pPr>
      <w:widowControl/>
      <w:tabs>
        <w:tab w:val="left" w:pos="709"/>
        <w:tab w:val="left" w:pos="1584"/>
      </w:tabs>
      <w:spacing w:before="240" w:afterLines="50"/>
      <w:ind w:left="1584" w:hanging="1584"/>
      <w:outlineLvl w:val="8"/>
    </w:pPr>
    <w:rPr>
      <w:rFonts w:ascii="Arial" w:hAnsi="Arial"/>
      <w:b/>
      <w:i/>
      <w:kern w:val="0"/>
      <w:sz w:val="18"/>
      <w:szCs w:val="20"/>
    </w:rPr>
  </w:style>
  <w:style w:type="character" w:default="1" w:styleId="92">
    <w:name w:val="Default Paragraph Font"/>
    <w:semiHidden/>
    <w:unhideWhenUsed/>
    <w:qFormat/>
    <w:uiPriority w:val="1"/>
  </w:style>
  <w:style w:type="table" w:default="1" w:styleId="90">
    <w:name w:val="Normal Table"/>
    <w:semiHidden/>
    <w:unhideWhenUsed/>
    <w:qFormat/>
    <w:uiPriority w:val="99"/>
    <w:tblPr>
      <w:tblCellMar>
        <w:top w:w="0" w:type="dxa"/>
        <w:left w:w="108" w:type="dxa"/>
        <w:bottom w:w="0" w:type="dxa"/>
        <w:right w:w="108" w:type="dxa"/>
      </w:tblCellMar>
    </w:tblPr>
  </w:style>
  <w:style w:type="paragraph" w:customStyle="1" w:styleId="2">
    <w:name w:val="样式 宋体 小四 行距: 1.5 倍行距"/>
    <w:basedOn w:val="1"/>
    <w:qFormat/>
    <w:uiPriority w:val="0"/>
    <w:rPr>
      <w:rFonts w:ascii="宋体" w:hAnsi="宋体" w:cs="宋体"/>
      <w:sz w:val="28"/>
    </w:rPr>
  </w:style>
  <w:style w:type="paragraph" w:styleId="3">
    <w:name w:val="macro"/>
    <w:link w:val="150"/>
    <w:semiHidden/>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3">
    <w:name w:val="List 3"/>
    <w:basedOn w:val="1"/>
    <w:qFormat/>
    <w:uiPriority w:val="0"/>
    <w:pPr>
      <w:ind w:left="100" w:leftChars="400" w:hanging="200" w:hangingChars="200"/>
    </w:pPr>
  </w:style>
  <w:style w:type="paragraph" w:styleId="14">
    <w:name w:val="toc 7"/>
    <w:basedOn w:val="1"/>
    <w:next w:val="1"/>
    <w:qFormat/>
    <w:uiPriority w:val="0"/>
    <w:pPr>
      <w:ind w:left="1260"/>
      <w:jc w:val="left"/>
    </w:pPr>
    <w:rPr>
      <w:sz w:val="18"/>
      <w:szCs w:val="18"/>
    </w:rPr>
  </w:style>
  <w:style w:type="paragraph" w:styleId="15">
    <w:name w:val="List Number 2"/>
    <w:basedOn w:val="1"/>
    <w:qFormat/>
    <w:uiPriority w:val="0"/>
    <w:pPr>
      <w:tabs>
        <w:tab w:val="left" w:pos="780"/>
      </w:tabs>
      <w:ind w:left="780" w:hanging="360"/>
    </w:pPr>
  </w:style>
  <w:style w:type="paragraph" w:styleId="16">
    <w:name w:val="table of authorities"/>
    <w:basedOn w:val="1"/>
    <w:next w:val="1"/>
    <w:semiHidden/>
    <w:qFormat/>
    <w:uiPriority w:val="0"/>
    <w:pPr>
      <w:ind w:left="420" w:leftChars="200"/>
    </w:pPr>
  </w:style>
  <w:style w:type="paragraph" w:styleId="17">
    <w:name w:val="Note Heading"/>
    <w:basedOn w:val="1"/>
    <w:next w:val="1"/>
    <w:link w:val="143"/>
    <w:qFormat/>
    <w:uiPriority w:val="0"/>
    <w:pPr>
      <w:jc w:val="center"/>
    </w:pPr>
  </w:style>
  <w:style w:type="paragraph" w:styleId="18">
    <w:name w:val="List Bullet 4"/>
    <w:basedOn w:val="1"/>
    <w:qFormat/>
    <w:uiPriority w:val="0"/>
    <w:pPr>
      <w:tabs>
        <w:tab w:val="left" w:pos="1620"/>
      </w:tabs>
      <w:ind w:left="1620" w:hanging="360"/>
    </w:pPr>
  </w:style>
  <w:style w:type="paragraph" w:styleId="19">
    <w:name w:val="index 8"/>
    <w:basedOn w:val="1"/>
    <w:next w:val="1"/>
    <w:semiHidden/>
    <w:qFormat/>
    <w:uiPriority w:val="0"/>
    <w:pPr>
      <w:ind w:left="1400" w:leftChars="1400"/>
    </w:pPr>
  </w:style>
  <w:style w:type="paragraph" w:styleId="20">
    <w:name w:val="E-mail Signature"/>
    <w:basedOn w:val="1"/>
    <w:link w:val="154"/>
    <w:qFormat/>
    <w:uiPriority w:val="0"/>
  </w:style>
  <w:style w:type="paragraph" w:styleId="21">
    <w:name w:val="List Number"/>
    <w:basedOn w:val="1"/>
    <w:qFormat/>
    <w:uiPriority w:val="0"/>
    <w:pPr>
      <w:tabs>
        <w:tab w:val="left" w:pos="360"/>
      </w:tabs>
      <w:ind w:left="360" w:hanging="360"/>
    </w:pPr>
  </w:style>
  <w:style w:type="paragraph" w:styleId="22">
    <w:name w:val="Normal Indent"/>
    <w:basedOn w:val="1"/>
    <w:link w:val="120"/>
    <w:qFormat/>
    <w:uiPriority w:val="0"/>
    <w:pPr>
      <w:widowControl/>
      <w:ind w:firstLine="420"/>
      <w:jc w:val="left"/>
    </w:pPr>
    <w:rPr>
      <w:rFonts w:asciiTheme="minorHAnsi" w:hAnsiTheme="minorHAnsi" w:eastAsiaTheme="minorEastAsia" w:cstheme="minorBidi"/>
      <w:szCs w:val="22"/>
    </w:rPr>
  </w:style>
  <w:style w:type="paragraph" w:styleId="23">
    <w:name w:val="caption"/>
    <w:basedOn w:val="1"/>
    <w:next w:val="1"/>
    <w:qFormat/>
    <w:uiPriority w:val="0"/>
    <w:rPr>
      <w:rFonts w:ascii="Arial" w:hAnsi="Arial" w:eastAsia="黑体" w:cs="Arial"/>
      <w:sz w:val="20"/>
      <w:szCs w:val="20"/>
    </w:rPr>
  </w:style>
  <w:style w:type="paragraph" w:styleId="24">
    <w:name w:val="index 5"/>
    <w:basedOn w:val="1"/>
    <w:next w:val="1"/>
    <w:semiHidden/>
    <w:qFormat/>
    <w:uiPriority w:val="0"/>
    <w:pPr>
      <w:ind w:left="800" w:leftChars="800"/>
    </w:pPr>
  </w:style>
  <w:style w:type="paragraph" w:styleId="25">
    <w:name w:val="List Bullet"/>
    <w:basedOn w:val="1"/>
    <w:qFormat/>
    <w:uiPriority w:val="0"/>
    <w:pPr>
      <w:tabs>
        <w:tab w:val="left" w:pos="358"/>
        <w:tab w:val="left" w:pos="1261"/>
      </w:tabs>
      <w:autoSpaceDE w:val="0"/>
      <w:autoSpaceDN w:val="0"/>
      <w:adjustRightInd w:val="0"/>
      <w:snapToGrid w:val="0"/>
      <w:spacing w:line="360" w:lineRule="auto"/>
      <w:ind w:left="480" w:hanging="480" w:hangingChars="200"/>
      <w:textAlignment w:val="baseline"/>
    </w:pPr>
    <w:rPr>
      <w:rFonts w:ascii="宋体" w:hAnsi="Tms Rmn"/>
      <w:snapToGrid w:val="0"/>
      <w:color w:val="000000"/>
      <w:kern w:val="24"/>
      <w:sz w:val="24"/>
      <w:szCs w:val="20"/>
    </w:rPr>
  </w:style>
  <w:style w:type="paragraph" w:styleId="26">
    <w:name w:val="envelope address"/>
    <w:basedOn w:val="1"/>
    <w:qFormat/>
    <w:uiPriority w:val="0"/>
    <w:pPr>
      <w:framePr w:w="7920" w:h="1980" w:hRule="exact" w:hSpace="180" w:wrap="around" w:vAnchor="margin" w:hAnchor="page" w:xAlign="center" w:yAlign="bottom"/>
      <w:snapToGrid w:val="0"/>
      <w:ind w:left="100" w:leftChars="1400"/>
    </w:pPr>
    <w:rPr>
      <w:rFonts w:ascii="Arial" w:hAnsi="Arial" w:cs="Arial"/>
      <w:sz w:val="24"/>
    </w:rPr>
  </w:style>
  <w:style w:type="paragraph" w:styleId="27">
    <w:name w:val="Document Map"/>
    <w:basedOn w:val="1"/>
    <w:link w:val="115"/>
    <w:qFormat/>
    <w:uiPriority w:val="0"/>
    <w:pPr>
      <w:shd w:val="clear" w:color="auto" w:fill="000080"/>
    </w:pPr>
    <w:rPr>
      <w:rFonts w:asciiTheme="minorHAnsi" w:hAnsiTheme="minorHAnsi" w:eastAsiaTheme="minorEastAsia" w:cstheme="minorBidi"/>
      <w:shd w:val="clear" w:color="auto" w:fill="000080"/>
    </w:rPr>
  </w:style>
  <w:style w:type="paragraph" w:styleId="28">
    <w:name w:val="toa heading"/>
    <w:basedOn w:val="1"/>
    <w:next w:val="1"/>
    <w:semiHidden/>
    <w:qFormat/>
    <w:uiPriority w:val="0"/>
    <w:pPr>
      <w:spacing w:before="120"/>
    </w:pPr>
    <w:rPr>
      <w:rFonts w:ascii="Arial" w:hAnsi="Arial" w:cs="Arial"/>
      <w:sz w:val="24"/>
    </w:rPr>
  </w:style>
  <w:style w:type="paragraph" w:styleId="29">
    <w:name w:val="annotation text"/>
    <w:basedOn w:val="1"/>
    <w:link w:val="113"/>
    <w:semiHidden/>
    <w:qFormat/>
    <w:uiPriority w:val="0"/>
    <w:pPr>
      <w:jc w:val="left"/>
    </w:pPr>
    <w:rPr>
      <w:rFonts w:asciiTheme="minorHAnsi" w:hAnsiTheme="minorHAnsi" w:cstheme="minorBidi"/>
    </w:rPr>
  </w:style>
  <w:style w:type="paragraph" w:styleId="30">
    <w:name w:val="index 6"/>
    <w:basedOn w:val="1"/>
    <w:next w:val="1"/>
    <w:semiHidden/>
    <w:qFormat/>
    <w:uiPriority w:val="0"/>
    <w:pPr>
      <w:ind w:left="1000" w:leftChars="1000"/>
    </w:pPr>
  </w:style>
  <w:style w:type="paragraph" w:styleId="31">
    <w:name w:val="Salutation"/>
    <w:basedOn w:val="1"/>
    <w:next w:val="1"/>
    <w:link w:val="131"/>
    <w:qFormat/>
    <w:uiPriority w:val="0"/>
  </w:style>
  <w:style w:type="paragraph" w:styleId="32">
    <w:name w:val="Body Text 3"/>
    <w:basedOn w:val="1"/>
    <w:link w:val="118"/>
    <w:qFormat/>
    <w:uiPriority w:val="0"/>
    <w:pPr>
      <w:widowControl/>
      <w:jc w:val="left"/>
    </w:pPr>
    <w:rPr>
      <w:rFonts w:asciiTheme="minorHAnsi" w:hAnsiTheme="minorHAnsi" w:eastAsiaTheme="minorEastAsia" w:cstheme="minorBidi"/>
      <w:sz w:val="24"/>
      <w:szCs w:val="22"/>
    </w:rPr>
  </w:style>
  <w:style w:type="paragraph" w:styleId="33">
    <w:name w:val="Closing"/>
    <w:basedOn w:val="1"/>
    <w:link w:val="142"/>
    <w:qFormat/>
    <w:uiPriority w:val="0"/>
    <w:pPr>
      <w:ind w:left="100" w:leftChars="2100"/>
    </w:pPr>
  </w:style>
  <w:style w:type="paragraph" w:styleId="34">
    <w:name w:val="List Bullet 3"/>
    <w:basedOn w:val="1"/>
    <w:qFormat/>
    <w:uiPriority w:val="0"/>
    <w:pPr>
      <w:tabs>
        <w:tab w:val="left" w:pos="905"/>
      </w:tabs>
      <w:ind w:left="905" w:hanging="425"/>
    </w:pPr>
    <w:rPr>
      <w:sz w:val="24"/>
      <w:szCs w:val="20"/>
    </w:rPr>
  </w:style>
  <w:style w:type="paragraph" w:styleId="35">
    <w:name w:val="Body Text"/>
    <w:basedOn w:val="1"/>
    <w:link w:val="109"/>
    <w:qFormat/>
    <w:uiPriority w:val="0"/>
    <w:pPr>
      <w:spacing w:after="120"/>
    </w:pPr>
    <w:rPr>
      <w:rFonts w:asciiTheme="minorHAnsi" w:hAnsiTheme="minorHAnsi" w:cstheme="minorBidi"/>
    </w:rPr>
  </w:style>
  <w:style w:type="paragraph" w:styleId="36">
    <w:name w:val="Body Text Indent"/>
    <w:basedOn w:val="1"/>
    <w:link w:val="126"/>
    <w:unhideWhenUsed/>
    <w:qFormat/>
    <w:uiPriority w:val="0"/>
    <w:pPr>
      <w:spacing w:after="120"/>
      <w:ind w:left="420" w:leftChars="200"/>
    </w:pPr>
  </w:style>
  <w:style w:type="paragraph" w:styleId="37">
    <w:name w:val="List Number 3"/>
    <w:basedOn w:val="1"/>
    <w:qFormat/>
    <w:uiPriority w:val="0"/>
    <w:pPr>
      <w:tabs>
        <w:tab w:val="left" w:pos="1200"/>
      </w:tabs>
      <w:ind w:left="1200" w:hanging="360"/>
    </w:pPr>
  </w:style>
  <w:style w:type="paragraph" w:styleId="38">
    <w:name w:val="List 2"/>
    <w:basedOn w:val="1"/>
    <w:qFormat/>
    <w:uiPriority w:val="0"/>
    <w:pPr>
      <w:ind w:left="100" w:leftChars="200" w:hanging="200" w:hangingChars="200"/>
    </w:pPr>
  </w:style>
  <w:style w:type="paragraph" w:styleId="39">
    <w:name w:val="List Continue"/>
    <w:basedOn w:val="1"/>
    <w:qFormat/>
    <w:uiPriority w:val="0"/>
    <w:pPr>
      <w:spacing w:after="120"/>
      <w:ind w:left="420" w:leftChars="200"/>
    </w:pPr>
  </w:style>
  <w:style w:type="paragraph" w:styleId="40">
    <w:name w:val="Block Text"/>
    <w:basedOn w:val="1"/>
    <w:qFormat/>
    <w:uiPriority w:val="0"/>
    <w:pPr>
      <w:spacing w:after="120"/>
      <w:ind w:left="1440" w:leftChars="700" w:right="1440" w:rightChars="700"/>
    </w:pPr>
  </w:style>
  <w:style w:type="paragraph" w:styleId="41">
    <w:name w:val="List Bullet 2"/>
    <w:basedOn w:val="1"/>
    <w:qFormat/>
    <w:uiPriority w:val="0"/>
    <w:pPr>
      <w:tabs>
        <w:tab w:val="left" w:pos="780"/>
      </w:tabs>
      <w:ind w:left="780" w:hanging="360"/>
    </w:pPr>
  </w:style>
  <w:style w:type="paragraph" w:styleId="42">
    <w:name w:val="HTML Address"/>
    <w:basedOn w:val="1"/>
    <w:link w:val="135"/>
    <w:qFormat/>
    <w:uiPriority w:val="0"/>
    <w:rPr>
      <w:i/>
      <w:iCs/>
    </w:rPr>
  </w:style>
  <w:style w:type="paragraph" w:styleId="43">
    <w:name w:val="index 4"/>
    <w:basedOn w:val="1"/>
    <w:next w:val="1"/>
    <w:semiHidden/>
    <w:qFormat/>
    <w:uiPriority w:val="0"/>
    <w:pPr>
      <w:ind w:left="600" w:leftChars="600"/>
    </w:pPr>
  </w:style>
  <w:style w:type="paragraph" w:styleId="44">
    <w:name w:val="toc 5"/>
    <w:basedOn w:val="1"/>
    <w:next w:val="1"/>
    <w:qFormat/>
    <w:uiPriority w:val="0"/>
    <w:pPr>
      <w:ind w:left="840"/>
      <w:jc w:val="left"/>
    </w:pPr>
    <w:rPr>
      <w:sz w:val="18"/>
      <w:szCs w:val="18"/>
    </w:rPr>
  </w:style>
  <w:style w:type="paragraph" w:styleId="45">
    <w:name w:val="toc 3"/>
    <w:basedOn w:val="1"/>
    <w:next w:val="1"/>
    <w:qFormat/>
    <w:uiPriority w:val="0"/>
    <w:pPr>
      <w:ind w:left="420"/>
      <w:jc w:val="left"/>
    </w:pPr>
    <w:rPr>
      <w:i/>
      <w:iCs/>
      <w:sz w:val="20"/>
      <w:szCs w:val="20"/>
    </w:rPr>
  </w:style>
  <w:style w:type="paragraph" w:styleId="46">
    <w:name w:val="Plain Text"/>
    <w:basedOn w:val="1"/>
    <w:next w:val="47"/>
    <w:link w:val="108"/>
    <w:qFormat/>
    <w:uiPriority w:val="0"/>
    <w:rPr>
      <w:rFonts w:ascii="宋体" w:hAnsi="Courier New" w:cstheme="minorBidi"/>
      <w:szCs w:val="22"/>
    </w:rPr>
  </w:style>
  <w:style w:type="paragraph" w:customStyle="1" w:styleId="47">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48">
    <w:name w:val="List Bullet 5"/>
    <w:basedOn w:val="1"/>
    <w:qFormat/>
    <w:uiPriority w:val="0"/>
    <w:pPr>
      <w:tabs>
        <w:tab w:val="left" w:pos="2040"/>
      </w:tabs>
      <w:ind w:left="2040" w:hanging="360"/>
    </w:pPr>
  </w:style>
  <w:style w:type="paragraph" w:styleId="49">
    <w:name w:val="List Number 4"/>
    <w:basedOn w:val="1"/>
    <w:qFormat/>
    <w:uiPriority w:val="0"/>
    <w:pPr>
      <w:tabs>
        <w:tab w:val="left" w:pos="1620"/>
      </w:tabs>
      <w:ind w:left="1620" w:hanging="360"/>
    </w:pPr>
  </w:style>
  <w:style w:type="paragraph" w:styleId="50">
    <w:name w:val="toc 8"/>
    <w:basedOn w:val="1"/>
    <w:next w:val="1"/>
    <w:qFormat/>
    <w:uiPriority w:val="0"/>
    <w:pPr>
      <w:ind w:left="1470"/>
      <w:jc w:val="left"/>
    </w:pPr>
    <w:rPr>
      <w:sz w:val="18"/>
      <w:szCs w:val="18"/>
    </w:rPr>
  </w:style>
  <w:style w:type="paragraph" w:styleId="51">
    <w:name w:val="index 3"/>
    <w:basedOn w:val="1"/>
    <w:next w:val="1"/>
    <w:semiHidden/>
    <w:qFormat/>
    <w:uiPriority w:val="0"/>
    <w:pPr>
      <w:ind w:left="400" w:leftChars="400"/>
    </w:pPr>
  </w:style>
  <w:style w:type="paragraph" w:styleId="52">
    <w:name w:val="Date"/>
    <w:basedOn w:val="1"/>
    <w:next w:val="1"/>
    <w:link w:val="137"/>
    <w:qFormat/>
    <w:uiPriority w:val="0"/>
    <w:pPr>
      <w:autoSpaceDE w:val="0"/>
      <w:autoSpaceDN w:val="0"/>
      <w:adjustRightInd w:val="0"/>
      <w:spacing w:line="312" w:lineRule="atLeast"/>
      <w:textAlignment w:val="baseline"/>
    </w:pPr>
    <w:rPr>
      <w:kern w:val="0"/>
      <w:sz w:val="32"/>
      <w:szCs w:val="20"/>
    </w:rPr>
  </w:style>
  <w:style w:type="paragraph" w:styleId="53">
    <w:name w:val="Body Text Indent 2"/>
    <w:basedOn w:val="1"/>
    <w:link w:val="134"/>
    <w:qFormat/>
    <w:uiPriority w:val="0"/>
    <w:pPr>
      <w:spacing w:line="360" w:lineRule="auto"/>
      <w:ind w:left="718" w:leftChars="342"/>
    </w:pPr>
    <w:rPr>
      <w:rFonts w:ascii="宋体" w:hAnsi="宋体"/>
      <w:sz w:val="24"/>
    </w:rPr>
  </w:style>
  <w:style w:type="paragraph" w:styleId="54">
    <w:name w:val="endnote text"/>
    <w:basedOn w:val="1"/>
    <w:link w:val="141"/>
    <w:semiHidden/>
    <w:qFormat/>
    <w:uiPriority w:val="0"/>
    <w:pPr>
      <w:snapToGrid w:val="0"/>
      <w:jc w:val="left"/>
    </w:pPr>
  </w:style>
  <w:style w:type="paragraph" w:styleId="55">
    <w:name w:val="List Continue 5"/>
    <w:basedOn w:val="1"/>
    <w:qFormat/>
    <w:uiPriority w:val="0"/>
    <w:pPr>
      <w:spacing w:after="120"/>
      <w:ind w:left="2100" w:leftChars="1000"/>
    </w:pPr>
  </w:style>
  <w:style w:type="paragraph" w:styleId="56">
    <w:name w:val="Balloon Text"/>
    <w:basedOn w:val="1"/>
    <w:link w:val="114"/>
    <w:qFormat/>
    <w:uiPriority w:val="0"/>
    <w:rPr>
      <w:rFonts w:asciiTheme="minorHAnsi" w:hAnsiTheme="minorHAnsi" w:eastAsiaTheme="minorEastAsia" w:cstheme="minorBidi"/>
      <w:sz w:val="18"/>
      <w:szCs w:val="18"/>
    </w:rPr>
  </w:style>
  <w:style w:type="paragraph" w:styleId="57">
    <w:name w:val="footer"/>
    <w:basedOn w:val="1"/>
    <w:link w:val="111"/>
    <w:qFormat/>
    <w:uiPriority w:val="0"/>
    <w:pPr>
      <w:tabs>
        <w:tab w:val="center" w:pos="4153"/>
        <w:tab w:val="right" w:pos="8306"/>
      </w:tabs>
      <w:adjustRightInd w:val="0"/>
      <w:spacing w:line="240" w:lineRule="atLeast"/>
      <w:jc w:val="left"/>
      <w:textAlignment w:val="baseline"/>
    </w:pPr>
    <w:rPr>
      <w:rFonts w:asciiTheme="minorHAnsi" w:hAnsiTheme="minorHAnsi" w:eastAsiaTheme="minorEastAsia" w:cstheme="minorBidi"/>
      <w:sz w:val="18"/>
      <w:szCs w:val="22"/>
    </w:rPr>
  </w:style>
  <w:style w:type="paragraph" w:styleId="58">
    <w:name w:val="envelope return"/>
    <w:basedOn w:val="1"/>
    <w:qFormat/>
    <w:uiPriority w:val="0"/>
    <w:pPr>
      <w:snapToGrid w:val="0"/>
    </w:pPr>
    <w:rPr>
      <w:rFonts w:ascii="Arial" w:hAnsi="Arial" w:cs="Arial"/>
    </w:rPr>
  </w:style>
  <w:style w:type="paragraph" w:styleId="59">
    <w:name w:val="header"/>
    <w:basedOn w:val="1"/>
    <w:link w:val="112"/>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0">
    <w:name w:val="Signature"/>
    <w:basedOn w:val="1"/>
    <w:link w:val="146"/>
    <w:qFormat/>
    <w:uiPriority w:val="0"/>
    <w:pPr>
      <w:ind w:left="100" w:leftChars="2100"/>
    </w:pPr>
  </w:style>
  <w:style w:type="paragraph" w:styleId="61">
    <w:name w:val="toc 1"/>
    <w:basedOn w:val="1"/>
    <w:next w:val="1"/>
    <w:qFormat/>
    <w:uiPriority w:val="39"/>
    <w:pPr>
      <w:spacing w:before="120" w:after="120"/>
      <w:jc w:val="left"/>
    </w:pPr>
    <w:rPr>
      <w:b/>
      <w:bCs/>
      <w:caps/>
      <w:sz w:val="20"/>
      <w:szCs w:val="20"/>
    </w:rPr>
  </w:style>
  <w:style w:type="paragraph" w:styleId="62">
    <w:name w:val="List Continue 4"/>
    <w:basedOn w:val="1"/>
    <w:qFormat/>
    <w:uiPriority w:val="0"/>
    <w:pPr>
      <w:spacing w:after="120"/>
      <w:ind w:left="1680" w:leftChars="800"/>
    </w:pPr>
  </w:style>
  <w:style w:type="paragraph" w:styleId="63">
    <w:name w:val="toc 4"/>
    <w:basedOn w:val="1"/>
    <w:next w:val="1"/>
    <w:qFormat/>
    <w:uiPriority w:val="0"/>
    <w:pPr>
      <w:ind w:left="630"/>
      <w:jc w:val="left"/>
    </w:pPr>
    <w:rPr>
      <w:sz w:val="18"/>
      <w:szCs w:val="18"/>
    </w:rPr>
  </w:style>
  <w:style w:type="paragraph" w:styleId="64">
    <w:name w:val="index heading"/>
    <w:basedOn w:val="1"/>
    <w:next w:val="65"/>
    <w:semiHidden/>
    <w:qFormat/>
    <w:uiPriority w:val="0"/>
    <w:rPr>
      <w:rFonts w:ascii="Arial" w:hAnsi="Arial" w:cs="Arial"/>
      <w:b/>
      <w:bCs/>
    </w:rPr>
  </w:style>
  <w:style w:type="paragraph" w:styleId="65">
    <w:name w:val="index 1"/>
    <w:basedOn w:val="1"/>
    <w:next w:val="1"/>
    <w:semiHidden/>
    <w:qFormat/>
    <w:uiPriority w:val="0"/>
  </w:style>
  <w:style w:type="paragraph" w:styleId="66">
    <w:name w:val="Subtitle"/>
    <w:basedOn w:val="1"/>
    <w:link w:val="133"/>
    <w:qFormat/>
    <w:uiPriority w:val="0"/>
    <w:pPr>
      <w:spacing w:before="240" w:after="60" w:line="312" w:lineRule="auto"/>
      <w:jc w:val="center"/>
      <w:outlineLvl w:val="1"/>
    </w:pPr>
    <w:rPr>
      <w:rFonts w:ascii="Arial" w:hAnsi="Arial" w:cs="Arial"/>
      <w:b/>
      <w:bCs/>
      <w:kern w:val="28"/>
      <w:sz w:val="32"/>
      <w:szCs w:val="32"/>
    </w:rPr>
  </w:style>
  <w:style w:type="paragraph" w:styleId="67">
    <w:name w:val="List Number 5"/>
    <w:basedOn w:val="1"/>
    <w:qFormat/>
    <w:uiPriority w:val="0"/>
    <w:pPr>
      <w:tabs>
        <w:tab w:val="left" w:pos="2040"/>
      </w:tabs>
      <w:ind w:left="2040" w:hanging="360"/>
    </w:pPr>
  </w:style>
  <w:style w:type="paragraph" w:styleId="68">
    <w:name w:val="List"/>
    <w:basedOn w:val="1"/>
    <w:qFormat/>
    <w:uiPriority w:val="0"/>
    <w:pPr>
      <w:tabs>
        <w:tab w:val="left" w:pos="360"/>
        <w:tab w:val="left" w:pos="709"/>
      </w:tabs>
      <w:spacing w:line="300" w:lineRule="auto"/>
      <w:ind w:left="363" w:hanging="170"/>
    </w:pPr>
    <w:rPr>
      <w:spacing w:val="20"/>
      <w:szCs w:val="20"/>
    </w:rPr>
  </w:style>
  <w:style w:type="paragraph" w:styleId="69">
    <w:name w:val="footnote text"/>
    <w:basedOn w:val="1"/>
    <w:link w:val="156"/>
    <w:semiHidden/>
    <w:qFormat/>
    <w:uiPriority w:val="0"/>
    <w:pPr>
      <w:snapToGrid w:val="0"/>
      <w:jc w:val="left"/>
    </w:pPr>
    <w:rPr>
      <w:sz w:val="18"/>
      <w:szCs w:val="18"/>
    </w:rPr>
  </w:style>
  <w:style w:type="paragraph" w:styleId="70">
    <w:name w:val="toc 6"/>
    <w:basedOn w:val="1"/>
    <w:next w:val="1"/>
    <w:qFormat/>
    <w:uiPriority w:val="0"/>
    <w:pPr>
      <w:ind w:left="1050"/>
      <w:jc w:val="left"/>
    </w:pPr>
    <w:rPr>
      <w:sz w:val="18"/>
      <w:szCs w:val="18"/>
    </w:rPr>
  </w:style>
  <w:style w:type="paragraph" w:styleId="71">
    <w:name w:val="List 5"/>
    <w:basedOn w:val="1"/>
    <w:qFormat/>
    <w:uiPriority w:val="0"/>
    <w:pPr>
      <w:ind w:left="100" w:leftChars="800" w:hanging="200" w:hangingChars="200"/>
    </w:pPr>
  </w:style>
  <w:style w:type="paragraph" w:styleId="72">
    <w:name w:val="Body Text Indent 3"/>
    <w:basedOn w:val="1"/>
    <w:link w:val="157"/>
    <w:qFormat/>
    <w:uiPriority w:val="0"/>
    <w:pPr>
      <w:spacing w:line="360" w:lineRule="auto"/>
      <w:ind w:firstLine="480" w:firstLineChars="200"/>
    </w:pPr>
    <w:rPr>
      <w:rFonts w:ascii="宋体" w:hAnsi="宋体"/>
      <w:sz w:val="24"/>
    </w:rPr>
  </w:style>
  <w:style w:type="paragraph" w:styleId="73">
    <w:name w:val="index 7"/>
    <w:basedOn w:val="1"/>
    <w:next w:val="1"/>
    <w:semiHidden/>
    <w:qFormat/>
    <w:uiPriority w:val="0"/>
    <w:pPr>
      <w:ind w:left="1200" w:leftChars="1200"/>
    </w:pPr>
  </w:style>
  <w:style w:type="paragraph" w:styleId="74">
    <w:name w:val="index 9"/>
    <w:basedOn w:val="1"/>
    <w:next w:val="1"/>
    <w:semiHidden/>
    <w:qFormat/>
    <w:uiPriority w:val="0"/>
    <w:pPr>
      <w:ind w:left="1600" w:leftChars="1600"/>
    </w:pPr>
  </w:style>
  <w:style w:type="paragraph" w:styleId="75">
    <w:name w:val="table of figures"/>
    <w:basedOn w:val="1"/>
    <w:next w:val="1"/>
    <w:semiHidden/>
    <w:qFormat/>
    <w:uiPriority w:val="0"/>
    <w:pPr>
      <w:ind w:left="200" w:leftChars="200" w:hanging="200" w:hangingChars="200"/>
    </w:pPr>
  </w:style>
  <w:style w:type="paragraph" w:styleId="76">
    <w:name w:val="toc 2"/>
    <w:basedOn w:val="1"/>
    <w:next w:val="1"/>
    <w:qFormat/>
    <w:uiPriority w:val="0"/>
    <w:pPr>
      <w:ind w:left="210"/>
      <w:jc w:val="left"/>
    </w:pPr>
    <w:rPr>
      <w:smallCaps/>
      <w:sz w:val="20"/>
      <w:szCs w:val="20"/>
    </w:rPr>
  </w:style>
  <w:style w:type="paragraph" w:styleId="77">
    <w:name w:val="toc 9"/>
    <w:basedOn w:val="1"/>
    <w:next w:val="1"/>
    <w:qFormat/>
    <w:uiPriority w:val="0"/>
    <w:pPr>
      <w:ind w:left="1680"/>
      <w:jc w:val="left"/>
    </w:pPr>
    <w:rPr>
      <w:sz w:val="18"/>
      <w:szCs w:val="18"/>
    </w:rPr>
  </w:style>
  <w:style w:type="paragraph" w:styleId="78">
    <w:name w:val="Body Text 2"/>
    <w:basedOn w:val="1"/>
    <w:link w:val="119"/>
    <w:qFormat/>
    <w:uiPriority w:val="0"/>
    <w:rPr>
      <w:rFonts w:asciiTheme="minorHAnsi" w:hAnsiTheme="minorHAnsi" w:eastAsiaTheme="minorEastAsia" w:cstheme="minorBidi"/>
      <w:sz w:val="18"/>
    </w:rPr>
  </w:style>
  <w:style w:type="paragraph" w:styleId="79">
    <w:name w:val="List 4"/>
    <w:basedOn w:val="1"/>
    <w:qFormat/>
    <w:uiPriority w:val="0"/>
    <w:pPr>
      <w:ind w:left="100" w:leftChars="600" w:hanging="200" w:hangingChars="200"/>
    </w:pPr>
  </w:style>
  <w:style w:type="paragraph" w:styleId="80">
    <w:name w:val="List Continue 2"/>
    <w:basedOn w:val="1"/>
    <w:qFormat/>
    <w:uiPriority w:val="0"/>
    <w:pPr>
      <w:spacing w:after="120"/>
      <w:ind w:left="840" w:leftChars="400"/>
    </w:pPr>
  </w:style>
  <w:style w:type="paragraph" w:styleId="81">
    <w:name w:val="Message Header"/>
    <w:basedOn w:val="1"/>
    <w:link w:val="147"/>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 w:val="24"/>
    </w:rPr>
  </w:style>
  <w:style w:type="paragraph" w:styleId="82">
    <w:name w:val="HTML Preformatted"/>
    <w:basedOn w:val="1"/>
    <w:link w:val="12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83">
    <w:name w:val="Normal (Web)"/>
    <w:basedOn w:val="1"/>
    <w:qFormat/>
    <w:uiPriority w:val="0"/>
    <w:pPr>
      <w:widowControl/>
      <w:spacing w:before="100" w:beforeAutospacing="1" w:after="100" w:afterAutospacing="1"/>
      <w:jc w:val="left"/>
    </w:pPr>
    <w:rPr>
      <w:rFonts w:ascii="宋体" w:hAnsi="宋体"/>
      <w:kern w:val="0"/>
      <w:sz w:val="24"/>
    </w:rPr>
  </w:style>
  <w:style w:type="paragraph" w:styleId="84">
    <w:name w:val="List Continue 3"/>
    <w:basedOn w:val="1"/>
    <w:qFormat/>
    <w:uiPriority w:val="0"/>
    <w:pPr>
      <w:spacing w:after="120"/>
      <w:ind w:left="1260" w:leftChars="600"/>
    </w:pPr>
  </w:style>
  <w:style w:type="paragraph" w:styleId="85">
    <w:name w:val="index 2"/>
    <w:basedOn w:val="1"/>
    <w:next w:val="1"/>
    <w:semiHidden/>
    <w:qFormat/>
    <w:uiPriority w:val="0"/>
    <w:pPr>
      <w:ind w:left="200" w:leftChars="200"/>
    </w:pPr>
  </w:style>
  <w:style w:type="paragraph" w:styleId="86">
    <w:name w:val="Title"/>
    <w:basedOn w:val="1"/>
    <w:link w:val="123"/>
    <w:qFormat/>
    <w:uiPriority w:val="0"/>
    <w:pPr>
      <w:spacing w:before="240" w:after="60"/>
      <w:jc w:val="center"/>
      <w:outlineLvl w:val="0"/>
    </w:pPr>
    <w:rPr>
      <w:rFonts w:ascii="Arial" w:hAnsi="Arial" w:eastAsiaTheme="minorEastAsia" w:cstheme="minorBidi"/>
      <w:b/>
      <w:bCs/>
      <w:sz w:val="32"/>
      <w:szCs w:val="32"/>
    </w:rPr>
  </w:style>
  <w:style w:type="paragraph" w:styleId="87">
    <w:name w:val="annotation subject"/>
    <w:basedOn w:val="29"/>
    <w:next w:val="29"/>
    <w:link w:val="116"/>
    <w:qFormat/>
    <w:uiPriority w:val="0"/>
    <w:rPr>
      <w:rFonts w:eastAsiaTheme="minorEastAsia"/>
      <w:b/>
      <w:bCs/>
    </w:rPr>
  </w:style>
  <w:style w:type="paragraph" w:styleId="88">
    <w:name w:val="Body Text First Indent"/>
    <w:basedOn w:val="35"/>
    <w:link w:val="117"/>
    <w:qFormat/>
    <w:uiPriority w:val="0"/>
    <w:pPr>
      <w:widowControl/>
      <w:ind w:firstLine="420" w:firstLineChars="100"/>
      <w:jc w:val="left"/>
    </w:pPr>
    <w:rPr>
      <w:rFonts w:ascii="楷体_GB2312" w:eastAsia="楷体_GB2312"/>
      <w:b/>
      <w:sz w:val="30"/>
    </w:rPr>
  </w:style>
  <w:style w:type="paragraph" w:styleId="89">
    <w:name w:val="Body Text First Indent 2"/>
    <w:basedOn w:val="36"/>
    <w:link w:val="127"/>
    <w:qFormat/>
    <w:uiPriority w:val="0"/>
    <w:pPr>
      <w:ind w:firstLine="420" w:firstLineChars="200"/>
    </w:pPr>
    <w:rPr>
      <w:rFonts w:ascii="Times New Roman" w:hAnsi="Times New Roman"/>
    </w:rPr>
  </w:style>
  <w:style w:type="table" w:styleId="91">
    <w:name w:val="Table Grid"/>
    <w:basedOn w:val="90"/>
    <w:qFormat/>
    <w:uiPriority w:val="0"/>
    <w:pPr>
      <w:widowControl w:val="0"/>
      <w:jc w:val="both"/>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3">
    <w:name w:val="Strong"/>
    <w:qFormat/>
    <w:uiPriority w:val="0"/>
    <w:rPr>
      <w:rFonts w:eastAsia="黑体"/>
      <w:b/>
      <w:bCs/>
      <w:sz w:val="44"/>
    </w:rPr>
  </w:style>
  <w:style w:type="character" w:styleId="94">
    <w:name w:val="page number"/>
    <w:basedOn w:val="92"/>
    <w:qFormat/>
    <w:uiPriority w:val="0"/>
  </w:style>
  <w:style w:type="character" w:styleId="95">
    <w:name w:val="Hyperlink"/>
    <w:qFormat/>
    <w:uiPriority w:val="99"/>
    <w:rPr>
      <w:color w:val="0000FF"/>
      <w:u w:val="single"/>
    </w:rPr>
  </w:style>
  <w:style w:type="character" w:styleId="96">
    <w:name w:val="annotation reference"/>
    <w:qFormat/>
    <w:uiPriority w:val="0"/>
    <w:rPr>
      <w:sz w:val="21"/>
      <w:szCs w:val="21"/>
    </w:rPr>
  </w:style>
  <w:style w:type="character" w:customStyle="1" w:styleId="97">
    <w:name w:val="标题 1 Char"/>
    <w:basedOn w:val="92"/>
    <w:link w:val="4"/>
    <w:qFormat/>
    <w:uiPriority w:val="0"/>
    <w:rPr>
      <w:rFonts w:ascii="宋体" w:hAnsi="宋体" w:eastAsia="宋体" w:cs="Times New Roman"/>
      <w:b/>
      <w:bCs/>
      <w:sz w:val="48"/>
      <w:szCs w:val="24"/>
    </w:rPr>
  </w:style>
  <w:style w:type="character" w:customStyle="1" w:styleId="98">
    <w:name w:val="标题 2 Char"/>
    <w:basedOn w:val="92"/>
    <w:link w:val="5"/>
    <w:qFormat/>
    <w:uiPriority w:val="0"/>
    <w:rPr>
      <w:rFonts w:ascii="宋体" w:hAnsi="宋体" w:eastAsia="宋体" w:cs="Times New Roman"/>
      <w:b/>
      <w:kern w:val="0"/>
      <w:sz w:val="30"/>
      <w:szCs w:val="20"/>
    </w:rPr>
  </w:style>
  <w:style w:type="character" w:customStyle="1" w:styleId="99">
    <w:name w:val="标题 3 Char"/>
    <w:basedOn w:val="92"/>
    <w:link w:val="6"/>
    <w:qFormat/>
    <w:uiPriority w:val="0"/>
    <w:rPr>
      <w:rFonts w:ascii="宋体" w:hAnsi="宋体" w:eastAsia="宋体" w:cs="Times New Roman"/>
      <w:b/>
      <w:kern w:val="0"/>
      <w:sz w:val="28"/>
      <w:szCs w:val="20"/>
    </w:rPr>
  </w:style>
  <w:style w:type="character" w:customStyle="1" w:styleId="100">
    <w:name w:val="标题 4 Char"/>
    <w:basedOn w:val="92"/>
    <w:link w:val="7"/>
    <w:qFormat/>
    <w:uiPriority w:val="0"/>
    <w:rPr>
      <w:rFonts w:ascii="Arial" w:hAnsi="Arial" w:eastAsia="黑体" w:cs="Times New Roman"/>
      <w:b/>
      <w:bCs/>
      <w:sz w:val="28"/>
      <w:szCs w:val="28"/>
    </w:rPr>
  </w:style>
  <w:style w:type="character" w:customStyle="1" w:styleId="101">
    <w:name w:val="标题 5 Char"/>
    <w:basedOn w:val="92"/>
    <w:link w:val="8"/>
    <w:qFormat/>
    <w:uiPriority w:val="0"/>
    <w:rPr>
      <w:rFonts w:ascii="Arial" w:hAnsi="Arial" w:eastAsia="宋体" w:cs="Times New Roman"/>
      <w:kern w:val="0"/>
      <w:sz w:val="22"/>
      <w:szCs w:val="20"/>
    </w:rPr>
  </w:style>
  <w:style w:type="character" w:customStyle="1" w:styleId="102">
    <w:name w:val="标题 6 Char"/>
    <w:basedOn w:val="92"/>
    <w:link w:val="9"/>
    <w:qFormat/>
    <w:uiPriority w:val="0"/>
    <w:rPr>
      <w:rFonts w:ascii="Calibri" w:hAnsi="Arial" w:eastAsia="宋体" w:cs="Times New Roman"/>
      <w:i/>
      <w:kern w:val="0"/>
      <w:sz w:val="22"/>
      <w:szCs w:val="20"/>
    </w:rPr>
  </w:style>
  <w:style w:type="character" w:customStyle="1" w:styleId="103">
    <w:name w:val="标题 7 Char"/>
    <w:basedOn w:val="92"/>
    <w:link w:val="10"/>
    <w:qFormat/>
    <w:uiPriority w:val="0"/>
    <w:rPr>
      <w:rFonts w:ascii="Arial" w:hAnsi="Arial" w:eastAsia="宋体" w:cs="Times New Roman"/>
      <w:kern w:val="0"/>
      <w:sz w:val="20"/>
      <w:szCs w:val="20"/>
    </w:rPr>
  </w:style>
  <w:style w:type="character" w:customStyle="1" w:styleId="104">
    <w:name w:val="标题 8 Char"/>
    <w:basedOn w:val="92"/>
    <w:link w:val="11"/>
    <w:qFormat/>
    <w:uiPriority w:val="0"/>
    <w:rPr>
      <w:rFonts w:ascii="Arial" w:hAnsi="Arial" w:eastAsia="宋体" w:cs="Times New Roman"/>
      <w:i/>
      <w:kern w:val="0"/>
      <w:sz w:val="20"/>
      <w:szCs w:val="20"/>
    </w:rPr>
  </w:style>
  <w:style w:type="character" w:customStyle="1" w:styleId="105">
    <w:name w:val="标题 9 Char"/>
    <w:basedOn w:val="92"/>
    <w:link w:val="12"/>
    <w:qFormat/>
    <w:uiPriority w:val="0"/>
    <w:rPr>
      <w:rFonts w:ascii="Arial" w:hAnsi="Arial" w:eastAsia="宋体" w:cs="Times New Roman"/>
      <w:b/>
      <w:i/>
      <w:kern w:val="0"/>
      <w:sz w:val="18"/>
      <w:szCs w:val="20"/>
    </w:rPr>
  </w:style>
  <w:style w:type="character" w:customStyle="1" w:styleId="106">
    <w:name w:val="页脚2 Char"/>
    <w:link w:val="107"/>
    <w:qFormat/>
    <w:uiPriority w:val="0"/>
    <w:rPr>
      <w:rFonts w:ascii="宋体" w:hAnsi="宋体" w:eastAsia="宋体"/>
      <w:sz w:val="18"/>
      <w:szCs w:val="18"/>
    </w:rPr>
  </w:style>
  <w:style w:type="paragraph" w:customStyle="1" w:styleId="107">
    <w:name w:val="页脚2"/>
    <w:basedOn w:val="1"/>
    <w:link w:val="106"/>
    <w:qFormat/>
    <w:uiPriority w:val="0"/>
    <w:pPr>
      <w:widowControl/>
      <w:pBdr>
        <w:top w:val="single" w:color="auto" w:sz="6" w:space="0"/>
      </w:pBdr>
      <w:jc w:val="right"/>
      <w:textAlignment w:val="center"/>
    </w:pPr>
    <w:rPr>
      <w:rFonts w:ascii="宋体" w:hAnsi="宋体" w:cstheme="minorBidi"/>
      <w:sz w:val="18"/>
      <w:szCs w:val="18"/>
    </w:rPr>
  </w:style>
  <w:style w:type="character" w:customStyle="1" w:styleId="108">
    <w:name w:val="纯文本 Char"/>
    <w:link w:val="46"/>
    <w:qFormat/>
    <w:locked/>
    <w:uiPriority w:val="0"/>
    <w:rPr>
      <w:rFonts w:ascii="宋体" w:hAnsi="Courier New" w:eastAsia="宋体"/>
    </w:rPr>
  </w:style>
  <w:style w:type="character" w:customStyle="1" w:styleId="109">
    <w:name w:val="正文文本 Char"/>
    <w:link w:val="35"/>
    <w:qFormat/>
    <w:uiPriority w:val="0"/>
    <w:rPr>
      <w:rFonts w:eastAsia="宋体"/>
      <w:szCs w:val="24"/>
    </w:rPr>
  </w:style>
  <w:style w:type="character" w:customStyle="1" w:styleId="110">
    <w:name w:val="正文文本缩进 Char"/>
    <w:qFormat/>
    <w:uiPriority w:val="0"/>
    <w:rPr>
      <w:rFonts w:ascii="Arial" w:hAnsi="Arial" w:eastAsia="宋体"/>
      <w:kern w:val="2"/>
      <w:sz w:val="21"/>
      <w:szCs w:val="24"/>
      <w:lang w:val="en-US" w:eastAsia="zh-CN" w:bidi="ar-SA"/>
    </w:rPr>
  </w:style>
  <w:style w:type="character" w:customStyle="1" w:styleId="111">
    <w:name w:val="页脚 Char"/>
    <w:link w:val="57"/>
    <w:qFormat/>
    <w:uiPriority w:val="0"/>
    <w:rPr>
      <w:sz w:val="18"/>
    </w:rPr>
  </w:style>
  <w:style w:type="character" w:customStyle="1" w:styleId="112">
    <w:name w:val="页眉 Char"/>
    <w:link w:val="59"/>
    <w:qFormat/>
    <w:uiPriority w:val="0"/>
    <w:rPr>
      <w:sz w:val="18"/>
      <w:szCs w:val="18"/>
    </w:rPr>
  </w:style>
  <w:style w:type="character" w:customStyle="1" w:styleId="113">
    <w:name w:val="批注文字 Char"/>
    <w:link w:val="29"/>
    <w:semiHidden/>
    <w:qFormat/>
    <w:uiPriority w:val="0"/>
    <w:rPr>
      <w:rFonts w:eastAsia="宋体"/>
      <w:szCs w:val="24"/>
    </w:rPr>
  </w:style>
  <w:style w:type="character" w:customStyle="1" w:styleId="114">
    <w:name w:val="批注框文本 Char"/>
    <w:link w:val="56"/>
    <w:qFormat/>
    <w:uiPriority w:val="0"/>
    <w:rPr>
      <w:sz w:val="18"/>
      <w:szCs w:val="18"/>
    </w:rPr>
  </w:style>
  <w:style w:type="character" w:customStyle="1" w:styleId="115">
    <w:name w:val="文档结构图 Char"/>
    <w:link w:val="27"/>
    <w:qFormat/>
    <w:uiPriority w:val="0"/>
    <w:rPr>
      <w:szCs w:val="24"/>
      <w:shd w:val="clear" w:color="auto" w:fill="000080"/>
    </w:rPr>
  </w:style>
  <w:style w:type="character" w:customStyle="1" w:styleId="116">
    <w:name w:val="批注主题 Char"/>
    <w:link w:val="87"/>
    <w:qFormat/>
    <w:uiPriority w:val="0"/>
    <w:rPr>
      <w:b/>
      <w:bCs/>
      <w:szCs w:val="24"/>
    </w:rPr>
  </w:style>
  <w:style w:type="character" w:customStyle="1" w:styleId="117">
    <w:name w:val="正文首行缩进 Char"/>
    <w:link w:val="88"/>
    <w:qFormat/>
    <w:uiPriority w:val="0"/>
    <w:rPr>
      <w:rFonts w:ascii="楷体_GB2312" w:eastAsia="楷体_GB2312"/>
      <w:b/>
      <w:sz w:val="30"/>
      <w:szCs w:val="24"/>
    </w:rPr>
  </w:style>
  <w:style w:type="character" w:customStyle="1" w:styleId="118">
    <w:name w:val="正文文本 3 Char"/>
    <w:link w:val="32"/>
    <w:qFormat/>
    <w:uiPriority w:val="0"/>
    <w:rPr>
      <w:sz w:val="24"/>
    </w:rPr>
  </w:style>
  <w:style w:type="character" w:customStyle="1" w:styleId="119">
    <w:name w:val="正文文本 2 Char"/>
    <w:link w:val="78"/>
    <w:qFormat/>
    <w:uiPriority w:val="0"/>
    <w:rPr>
      <w:sz w:val="18"/>
      <w:szCs w:val="24"/>
    </w:rPr>
  </w:style>
  <w:style w:type="character" w:customStyle="1" w:styleId="120">
    <w:name w:val="正文缩进 Char"/>
    <w:link w:val="22"/>
    <w:qFormat/>
    <w:uiPriority w:val="0"/>
  </w:style>
  <w:style w:type="character" w:customStyle="1" w:styleId="121">
    <w:name w:val="列出段落 Char"/>
    <w:link w:val="122"/>
    <w:qFormat/>
    <w:uiPriority w:val="0"/>
    <w:rPr>
      <w:rFonts w:ascii="Calibri" w:hAnsi="Calibri"/>
    </w:rPr>
  </w:style>
  <w:style w:type="paragraph" w:styleId="122">
    <w:name w:val="List Paragraph"/>
    <w:basedOn w:val="1"/>
    <w:link w:val="121"/>
    <w:qFormat/>
    <w:uiPriority w:val="0"/>
    <w:pPr>
      <w:ind w:firstLine="420" w:firstLineChars="200"/>
    </w:pPr>
    <w:rPr>
      <w:rFonts w:eastAsiaTheme="minorEastAsia" w:cstheme="minorBidi"/>
      <w:szCs w:val="22"/>
    </w:rPr>
  </w:style>
  <w:style w:type="character" w:customStyle="1" w:styleId="123">
    <w:name w:val="标题 Char"/>
    <w:link w:val="86"/>
    <w:qFormat/>
    <w:uiPriority w:val="0"/>
    <w:rPr>
      <w:rFonts w:ascii="Arial" w:hAnsi="Arial"/>
      <w:b/>
      <w:bCs/>
      <w:sz w:val="32"/>
      <w:szCs w:val="32"/>
    </w:rPr>
  </w:style>
  <w:style w:type="character" w:customStyle="1" w:styleId="124">
    <w:name w:val="页眉 Char1"/>
    <w:basedOn w:val="92"/>
    <w:semiHidden/>
    <w:qFormat/>
    <w:uiPriority w:val="99"/>
    <w:rPr>
      <w:rFonts w:ascii="Calibri" w:hAnsi="Calibri" w:eastAsia="宋体" w:cs="Times New Roman"/>
      <w:sz w:val="18"/>
      <w:szCs w:val="18"/>
    </w:rPr>
  </w:style>
  <w:style w:type="character" w:customStyle="1" w:styleId="125">
    <w:name w:val="HTML 预设格式 Char"/>
    <w:basedOn w:val="92"/>
    <w:link w:val="82"/>
    <w:qFormat/>
    <w:uiPriority w:val="0"/>
    <w:rPr>
      <w:rFonts w:ascii="黑体" w:hAnsi="Courier New" w:eastAsia="黑体" w:cs="Courier New"/>
      <w:kern w:val="0"/>
      <w:sz w:val="20"/>
      <w:szCs w:val="20"/>
    </w:rPr>
  </w:style>
  <w:style w:type="character" w:customStyle="1" w:styleId="126">
    <w:name w:val="正文文本缩进 Char1"/>
    <w:basedOn w:val="92"/>
    <w:link w:val="36"/>
    <w:semiHidden/>
    <w:qFormat/>
    <w:uiPriority w:val="99"/>
    <w:rPr>
      <w:rFonts w:ascii="Calibri" w:hAnsi="Calibri" w:eastAsia="宋体" w:cs="Times New Roman"/>
      <w:szCs w:val="24"/>
    </w:rPr>
  </w:style>
  <w:style w:type="character" w:customStyle="1" w:styleId="127">
    <w:name w:val="正文首行缩进 2 Char"/>
    <w:basedOn w:val="126"/>
    <w:link w:val="89"/>
    <w:qFormat/>
    <w:uiPriority w:val="0"/>
    <w:rPr>
      <w:rFonts w:ascii="Times New Roman" w:hAnsi="Times New Roman" w:eastAsia="宋体" w:cs="Times New Roman"/>
      <w:szCs w:val="24"/>
    </w:rPr>
  </w:style>
  <w:style w:type="character" w:customStyle="1" w:styleId="128">
    <w:name w:val="正文文本 3 Char1"/>
    <w:basedOn w:val="92"/>
    <w:semiHidden/>
    <w:qFormat/>
    <w:uiPriority w:val="99"/>
    <w:rPr>
      <w:rFonts w:ascii="Calibri" w:hAnsi="Calibri" w:eastAsia="宋体" w:cs="Times New Roman"/>
      <w:sz w:val="16"/>
      <w:szCs w:val="16"/>
    </w:rPr>
  </w:style>
  <w:style w:type="paragraph" w:customStyle="1" w:styleId="129">
    <w:name w:val="Char Char2 Char1"/>
    <w:basedOn w:val="1"/>
    <w:qFormat/>
    <w:uiPriority w:val="0"/>
  </w:style>
  <w:style w:type="character" w:customStyle="1" w:styleId="130">
    <w:name w:val="正文文本 Char1"/>
    <w:basedOn w:val="92"/>
    <w:semiHidden/>
    <w:qFormat/>
    <w:uiPriority w:val="99"/>
    <w:rPr>
      <w:rFonts w:ascii="Calibri" w:hAnsi="Calibri" w:eastAsia="宋体" w:cs="Times New Roman"/>
      <w:szCs w:val="24"/>
    </w:rPr>
  </w:style>
  <w:style w:type="character" w:customStyle="1" w:styleId="131">
    <w:name w:val="称呼 Char"/>
    <w:basedOn w:val="92"/>
    <w:link w:val="31"/>
    <w:qFormat/>
    <w:uiPriority w:val="0"/>
    <w:rPr>
      <w:rFonts w:ascii="Calibri" w:hAnsi="Calibri" w:eastAsia="宋体" w:cs="Times New Roman"/>
      <w:szCs w:val="24"/>
    </w:rPr>
  </w:style>
  <w:style w:type="character" w:customStyle="1" w:styleId="132">
    <w:name w:val="正文文本 2 Char1"/>
    <w:basedOn w:val="92"/>
    <w:semiHidden/>
    <w:qFormat/>
    <w:uiPriority w:val="99"/>
    <w:rPr>
      <w:rFonts w:ascii="Calibri" w:hAnsi="Calibri" w:eastAsia="宋体" w:cs="Times New Roman"/>
      <w:szCs w:val="24"/>
    </w:rPr>
  </w:style>
  <w:style w:type="character" w:customStyle="1" w:styleId="133">
    <w:name w:val="副标题 Char"/>
    <w:basedOn w:val="92"/>
    <w:link w:val="66"/>
    <w:qFormat/>
    <w:uiPriority w:val="0"/>
    <w:rPr>
      <w:rFonts w:ascii="Arial" w:hAnsi="Arial" w:eastAsia="宋体" w:cs="Arial"/>
      <w:b/>
      <w:bCs/>
      <w:kern w:val="28"/>
      <w:sz w:val="32"/>
      <w:szCs w:val="32"/>
    </w:rPr>
  </w:style>
  <w:style w:type="character" w:customStyle="1" w:styleId="134">
    <w:name w:val="正文文本缩进 2 Char"/>
    <w:basedOn w:val="92"/>
    <w:link w:val="53"/>
    <w:qFormat/>
    <w:uiPriority w:val="0"/>
    <w:rPr>
      <w:rFonts w:ascii="宋体" w:hAnsi="宋体" w:eastAsia="宋体" w:cs="Times New Roman"/>
      <w:sz w:val="24"/>
      <w:szCs w:val="24"/>
    </w:rPr>
  </w:style>
  <w:style w:type="character" w:customStyle="1" w:styleId="135">
    <w:name w:val="HTML 地址 Char"/>
    <w:basedOn w:val="92"/>
    <w:link w:val="42"/>
    <w:qFormat/>
    <w:uiPriority w:val="0"/>
    <w:rPr>
      <w:rFonts w:ascii="Calibri" w:hAnsi="Calibri" w:eastAsia="宋体" w:cs="Times New Roman"/>
      <w:i/>
      <w:iCs/>
      <w:szCs w:val="24"/>
    </w:rPr>
  </w:style>
  <w:style w:type="character" w:customStyle="1" w:styleId="136">
    <w:name w:val="批注文字 Char1"/>
    <w:basedOn w:val="92"/>
    <w:semiHidden/>
    <w:qFormat/>
    <w:uiPriority w:val="99"/>
    <w:rPr>
      <w:rFonts w:ascii="Calibri" w:hAnsi="Calibri" w:eastAsia="宋体" w:cs="Times New Roman"/>
      <w:szCs w:val="24"/>
    </w:rPr>
  </w:style>
  <w:style w:type="character" w:customStyle="1" w:styleId="137">
    <w:name w:val="日期 Char"/>
    <w:basedOn w:val="92"/>
    <w:link w:val="52"/>
    <w:qFormat/>
    <w:uiPriority w:val="0"/>
    <w:rPr>
      <w:rFonts w:ascii="Calibri" w:hAnsi="Calibri" w:eastAsia="宋体" w:cs="Times New Roman"/>
      <w:kern w:val="0"/>
      <w:sz w:val="32"/>
      <w:szCs w:val="20"/>
    </w:rPr>
  </w:style>
  <w:style w:type="paragraph" w:customStyle="1" w:styleId="138">
    <w:name w:val="Char Char Char Char"/>
    <w:basedOn w:val="1"/>
    <w:qFormat/>
    <w:uiPriority w:val="0"/>
    <w:pPr>
      <w:widowControl/>
      <w:spacing w:after="160" w:line="240" w:lineRule="exact"/>
      <w:jc w:val="left"/>
    </w:pPr>
    <w:rPr>
      <w:szCs w:val="20"/>
    </w:rPr>
  </w:style>
  <w:style w:type="character" w:customStyle="1" w:styleId="139">
    <w:name w:val="文档结构图 Char1"/>
    <w:basedOn w:val="92"/>
    <w:semiHidden/>
    <w:qFormat/>
    <w:uiPriority w:val="99"/>
    <w:rPr>
      <w:rFonts w:ascii="宋体" w:hAnsi="Calibri" w:eastAsia="宋体" w:cs="Times New Roman"/>
      <w:sz w:val="18"/>
      <w:szCs w:val="18"/>
    </w:rPr>
  </w:style>
  <w:style w:type="paragraph" w:customStyle="1" w:styleId="140">
    <w:name w:val="Char Char Char Char Char Char Char Char Char Char Char Char Char"/>
    <w:basedOn w:val="27"/>
    <w:qFormat/>
    <w:uiPriority w:val="0"/>
    <w:rPr>
      <w:szCs w:val="20"/>
    </w:rPr>
  </w:style>
  <w:style w:type="character" w:customStyle="1" w:styleId="141">
    <w:name w:val="尾注文本 Char"/>
    <w:basedOn w:val="92"/>
    <w:link w:val="54"/>
    <w:semiHidden/>
    <w:qFormat/>
    <w:uiPriority w:val="0"/>
    <w:rPr>
      <w:rFonts w:ascii="Calibri" w:hAnsi="Calibri" w:eastAsia="宋体" w:cs="Times New Roman"/>
      <w:szCs w:val="24"/>
    </w:rPr>
  </w:style>
  <w:style w:type="character" w:customStyle="1" w:styleId="142">
    <w:name w:val="结束语 Char"/>
    <w:basedOn w:val="92"/>
    <w:link w:val="33"/>
    <w:qFormat/>
    <w:uiPriority w:val="0"/>
    <w:rPr>
      <w:rFonts w:ascii="Calibri" w:hAnsi="Calibri" w:eastAsia="宋体" w:cs="Times New Roman"/>
      <w:szCs w:val="24"/>
    </w:rPr>
  </w:style>
  <w:style w:type="character" w:customStyle="1" w:styleId="143">
    <w:name w:val="注释标题 Char"/>
    <w:basedOn w:val="92"/>
    <w:link w:val="17"/>
    <w:qFormat/>
    <w:uiPriority w:val="0"/>
    <w:rPr>
      <w:rFonts w:ascii="Calibri" w:hAnsi="Calibri" w:eastAsia="宋体" w:cs="Times New Roman"/>
      <w:szCs w:val="24"/>
    </w:rPr>
  </w:style>
  <w:style w:type="paragraph" w:customStyle="1" w:styleId="144">
    <w:name w:val="样式 小四 段前: 5 磅 段后: 5 磅 首行缩进:  2 字符"/>
    <w:basedOn w:val="1"/>
    <w:qFormat/>
    <w:uiPriority w:val="0"/>
    <w:pPr>
      <w:spacing w:line="360" w:lineRule="auto"/>
    </w:pPr>
    <w:rPr>
      <w:rFonts w:ascii="宋体" w:hAnsi="宋体"/>
      <w:color w:val="000000"/>
      <w:sz w:val="24"/>
    </w:rPr>
  </w:style>
  <w:style w:type="character" w:customStyle="1" w:styleId="145">
    <w:name w:val="标题 Char1"/>
    <w:basedOn w:val="92"/>
    <w:qFormat/>
    <w:uiPriority w:val="10"/>
    <w:rPr>
      <w:rFonts w:eastAsia="宋体" w:asciiTheme="majorHAnsi" w:hAnsiTheme="majorHAnsi" w:cstheme="majorBidi"/>
      <w:b/>
      <w:bCs/>
      <w:sz w:val="32"/>
      <w:szCs w:val="32"/>
    </w:rPr>
  </w:style>
  <w:style w:type="character" w:customStyle="1" w:styleId="146">
    <w:name w:val="签名 Char"/>
    <w:basedOn w:val="92"/>
    <w:link w:val="60"/>
    <w:qFormat/>
    <w:uiPriority w:val="0"/>
    <w:rPr>
      <w:rFonts w:ascii="Calibri" w:hAnsi="Calibri" w:eastAsia="宋体" w:cs="Times New Roman"/>
      <w:szCs w:val="24"/>
    </w:rPr>
  </w:style>
  <w:style w:type="character" w:customStyle="1" w:styleId="147">
    <w:name w:val="信息标题 Char"/>
    <w:basedOn w:val="92"/>
    <w:link w:val="81"/>
    <w:qFormat/>
    <w:uiPriority w:val="0"/>
    <w:rPr>
      <w:rFonts w:ascii="Arial" w:hAnsi="Arial" w:eastAsia="宋体" w:cs="Arial"/>
      <w:sz w:val="24"/>
      <w:szCs w:val="24"/>
      <w:shd w:val="pct20" w:color="auto" w:fill="auto"/>
    </w:rPr>
  </w:style>
  <w:style w:type="character" w:customStyle="1" w:styleId="148">
    <w:name w:val="批注框文本 Char1"/>
    <w:basedOn w:val="92"/>
    <w:semiHidden/>
    <w:qFormat/>
    <w:uiPriority w:val="99"/>
    <w:rPr>
      <w:rFonts w:ascii="Calibri" w:hAnsi="Calibri" w:eastAsia="宋体" w:cs="Times New Roman"/>
      <w:sz w:val="18"/>
      <w:szCs w:val="18"/>
    </w:rPr>
  </w:style>
  <w:style w:type="character" w:customStyle="1" w:styleId="149">
    <w:name w:val="正文首行缩进 Char1"/>
    <w:basedOn w:val="130"/>
    <w:semiHidden/>
    <w:qFormat/>
    <w:uiPriority w:val="99"/>
    <w:rPr>
      <w:rFonts w:ascii="Calibri" w:hAnsi="Calibri" w:eastAsia="宋体" w:cs="Times New Roman"/>
      <w:szCs w:val="24"/>
    </w:rPr>
  </w:style>
  <w:style w:type="character" w:customStyle="1" w:styleId="150">
    <w:name w:val="宏文本 Char"/>
    <w:basedOn w:val="92"/>
    <w:link w:val="3"/>
    <w:semiHidden/>
    <w:qFormat/>
    <w:uiPriority w:val="0"/>
    <w:rPr>
      <w:rFonts w:ascii="Courier New" w:hAnsi="Courier New" w:eastAsia="宋体" w:cs="Courier New"/>
      <w:sz w:val="24"/>
      <w:szCs w:val="24"/>
    </w:rPr>
  </w:style>
  <w:style w:type="character" w:customStyle="1" w:styleId="151">
    <w:name w:val="页脚 Char1"/>
    <w:basedOn w:val="92"/>
    <w:semiHidden/>
    <w:qFormat/>
    <w:uiPriority w:val="99"/>
    <w:rPr>
      <w:rFonts w:ascii="Calibri" w:hAnsi="Calibri" w:eastAsia="宋体" w:cs="Times New Roman"/>
      <w:sz w:val="18"/>
      <w:szCs w:val="18"/>
    </w:rPr>
  </w:style>
  <w:style w:type="character" w:customStyle="1" w:styleId="152">
    <w:name w:val="批注主题 Char1"/>
    <w:basedOn w:val="136"/>
    <w:semiHidden/>
    <w:qFormat/>
    <w:uiPriority w:val="99"/>
    <w:rPr>
      <w:rFonts w:ascii="Calibri" w:hAnsi="Calibri" w:eastAsia="宋体" w:cs="Times New Roman"/>
      <w:b/>
      <w:bCs/>
      <w:szCs w:val="24"/>
    </w:rPr>
  </w:style>
  <w:style w:type="character" w:customStyle="1" w:styleId="153">
    <w:name w:val="纯文本 Char1"/>
    <w:basedOn w:val="92"/>
    <w:semiHidden/>
    <w:qFormat/>
    <w:uiPriority w:val="99"/>
    <w:rPr>
      <w:rFonts w:ascii="宋体" w:hAnsi="Courier New" w:eastAsia="宋体" w:cs="Courier New"/>
      <w:szCs w:val="21"/>
    </w:rPr>
  </w:style>
  <w:style w:type="character" w:customStyle="1" w:styleId="154">
    <w:name w:val="电子邮件签名 Char"/>
    <w:basedOn w:val="92"/>
    <w:link w:val="20"/>
    <w:qFormat/>
    <w:uiPriority w:val="0"/>
    <w:rPr>
      <w:rFonts w:ascii="Calibri" w:hAnsi="Calibri" w:eastAsia="宋体" w:cs="Times New Roman"/>
      <w:szCs w:val="24"/>
    </w:rPr>
  </w:style>
  <w:style w:type="paragraph" w:customStyle="1" w:styleId="155">
    <w:name w:val="样式4"/>
    <w:basedOn w:val="1"/>
    <w:qFormat/>
    <w:uiPriority w:val="0"/>
    <w:pPr>
      <w:tabs>
        <w:tab w:val="left" w:pos="2328"/>
      </w:tabs>
      <w:ind w:left="2328" w:hanging="708"/>
    </w:pPr>
  </w:style>
  <w:style w:type="character" w:customStyle="1" w:styleId="156">
    <w:name w:val="脚注文本 Char"/>
    <w:basedOn w:val="92"/>
    <w:link w:val="69"/>
    <w:semiHidden/>
    <w:qFormat/>
    <w:uiPriority w:val="0"/>
    <w:rPr>
      <w:rFonts w:ascii="Calibri" w:hAnsi="Calibri" w:eastAsia="宋体" w:cs="Times New Roman"/>
      <w:sz w:val="18"/>
      <w:szCs w:val="18"/>
    </w:rPr>
  </w:style>
  <w:style w:type="character" w:customStyle="1" w:styleId="157">
    <w:name w:val="正文文本缩进 3 Char"/>
    <w:basedOn w:val="92"/>
    <w:link w:val="72"/>
    <w:qFormat/>
    <w:uiPriority w:val="0"/>
    <w:rPr>
      <w:rFonts w:ascii="宋体" w:hAnsi="宋体" w:eastAsia="宋体" w:cs="Times New Roman"/>
      <w:sz w:val="24"/>
      <w:szCs w:val="24"/>
    </w:rPr>
  </w:style>
  <w:style w:type="paragraph" w:customStyle="1" w:styleId="158">
    <w:name w:val="xl24"/>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hint="eastAsia" w:ascii="楷体_GB2312" w:hAnsi="宋体" w:eastAsia="楷体_GB2312"/>
      <w:kern w:val="0"/>
      <w:sz w:val="24"/>
    </w:rPr>
  </w:style>
  <w:style w:type="paragraph" w:customStyle="1" w:styleId="159">
    <w:name w:val="Char2"/>
    <w:basedOn w:val="1"/>
    <w:qFormat/>
    <w:uiPriority w:val="0"/>
    <w:rPr>
      <w:rFonts w:ascii="Tahoma" w:hAnsi="Tahoma"/>
      <w:sz w:val="24"/>
      <w:szCs w:val="20"/>
    </w:rPr>
  </w:style>
  <w:style w:type="paragraph" w:customStyle="1" w:styleId="160">
    <w:name w:val="xl30"/>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eastAsia="Arial Unicode MS"/>
      <w:kern w:val="0"/>
      <w:sz w:val="20"/>
      <w:szCs w:val="20"/>
    </w:rPr>
  </w:style>
  <w:style w:type="paragraph" w:customStyle="1" w:styleId="161">
    <w:name w:val="列出段落1"/>
    <w:basedOn w:val="1"/>
    <w:qFormat/>
    <w:uiPriority w:val="0"/>
    <w:pPr>
      <w:ind w:firstLine="420" w:firstLineChars="200"/>
    </w:pPr>
  </w:style>
  <w:style w:type="paragraph" w:customStyle="1" w:styleId="162">
    <w:name w:val="内正文"/>
    <w:basedOn w:val="1"/>
    <w:qFormat/>
    <w:uiPriority w:val="0"/>
    <w:pPr>
      <w:ind w:firstLine="420"/>
    </w:pPr>
    <w:rPr>
      <w:rFonts w:eastAsia="文鼎CS书宋二"/>
      <w:szCs w:val="20"/>
    </w:rPr>
  </w:style>
  <w:style w:type="paragraph" w:customStyle="1" w:styleId="163">
    <w:name w:val="Char Char Char Char Char Char Char Char Char Char"/>
    <w:basedOn w:val="1"/>
    <w:qFormat/>
    <w:uiPriority w:val="0"/>
    <w:rPr>
      <w:rFonts w:ascii="Tahoma" w:hAnsi="Tahoma"/>
      <w:sz w:val="24"/>
      <w:szCs w:val="20"/>
    </w:rPr>
  </w:style>
  <w:style w:type="paragraph" w:customStyle="1" w:styleId="164">
    <w:name w:val="5"/>
    <w:basedOn w:val="1"/>
    <w:qFormat/>
    <w:uiPriority w:val="0"/>
    <w:rPr>
      <w:rFonts w:ascii="Tahoma" w:hAnsi="Tahoma"/>
      <w:sz w:val="24"/>
      <w:szCs w:val="20"/>
    </w:rPr>
  </w:style>
  <w:style w:type="paragraph" w:customStyle="1" w:styleId="165">
    <w:name w:val="Char"/>
    <w:basedOn w:val="1"/>
    <w:qFormat/>
    <w:uiPriority w:val="0"/>
    <w:pPr>
      <w:adjustRightInd w:val="0"/>
      <w:spacing w:line="360" w:lineRule="auto"/>
    </w:pPr>
    <w:rPr>
      <w:kern w:val="0"/>
      <w:sz w:val="24"/>
      <w:szCs w:val="20"/>
    </w:rPr>
  </w:style>
  <w:style w:type="paragraph" w:customStyle="1" w:styleId="166">
    <w:name w:val="Char Char Char1"/>
    <w:basedOn w:val="1"/>
    <w:qFormat/>
    <w:uiPriority w:val="0"/>
    <w:rPr>
      <w:rFonts w:ascii="宋体" w:hAnsi="宋体"/>
      <w:b/>
      <w:sz w:val="28"/>
      <w:szCs w:val="28"/>
    </w:rPr>
  </w:style>
  <w:style w:type="paragraph" w:customStyle="1" w:styleId="167">
    <w:name w:val="表"/>
    <w:basedOn w:val="1"/>
    <w:qFormat/>
    <w:uiPriority w:val="0"/>
    <w:pPr>
      <w:spacing w:line="460" w:lineRule="exact"/>
    </w:pPr>
    <w:rPr>
      <w:rFonts w:ascii="宋体" w:hAnsi="宋体"/>
      <w:b/>
      <w:bCs/>
      <w:szCs w:val="20"/>
    </w:rPr>
  </w:style>
  <w:style w:type="paragraph" w:customStyle="1" w:styleId="168">
    <w:name w:val="样式"/>
    <w:basedOn w:val="1"/>
    <w:next w:val="36"/>
    <w:qFormat/>
    <w:uiPriority w:val="0"/>
    <w:pPr>
      <w:jc w:val="center"/>
    </w:pPr>
    <w:rPr>
      <w:rFonts w:ascii="宋体" w:hAnsi="宋体"/>
      <w:color w:val="FF0000"/>
      <w:sz w:val="24"/>
    </w:rPr>
  </w:style>
  <w:style w:type="paragraph" w:customStyle="1" w:styleId="169">
    <w:name w:val="Char1 Char Char Char"/>
    <w:basedOn w:val="1"/>
    <w:qFormat/>
    <w:uiPriority w:val="0"/>
    <w:rPr>
      <w:szCs w:val="20"/>
    </w:rPr>
  </w:style>
  <w:style w:type="paragraph" w:customStyle="1" w:styleId="170">
    <w:name w:val="列出段落111"/>
    <w:basedOn w:val="1"/>
    <w:qFormat/>
    <w:uiPriority w:val="0"/>
    <w:pPr>
      <w:ind w:firstLine="420" w:firstLineChars="200"/>
    </w:pPr>
  </w:style>
  <w:style w:type="paragraph" w:customStyle="1" w:styleId="171">
    <w:name w:val="默认段落字体 Para Char Char Char Char Char Char Char"/>
    <w:basedOn w:val="1"/>
    <w:qFormat/>
    <w:uiPriority w:val="0"/>
    <w:rPr>
      <w:rFonts w:ascii="Tahoma" w:hAnsi="Tahoma"/>
      <w:sz w:val="24"/>
      <w:szCs w:val="20"/>
    </w:rPr>
  </w:style>
  <w:style w:type="paragraph" w:customStyle="1" w:styleId="172">
    <w:name w:val="Style Body Text + 12 pt"/>
    <w:basedOn w:val="35"/>
    <w:qFormat/>
    <w:uiPriority w:val="0"/>
    <w:pPr>
      <w:widowControl/>
      <w:tabs>
        <w:tab w:val="left" w:pos="2487"/>
      </w:tabs>
      <w:spacing w:before="120"/>
      <w:ind w:left="2487" w:hanging="360"/>
    </w:pPr>
    <w:rPr>
      <w:kern w:val="0"/>
      <w:sz w:val="24"/>
      <w:szCs w:val="20"/>
      <w:lang w:val="zh-CN"/>
    </w:rPr>
  </w:style>
  <w:style w:type="paragraph" w:customStyle="1" w:styleId="173">
    <w:name w:val="Table Paragraph"/>
    <w:basedOn w:val="1"/>
    <w:qFormat/>
    <w:uiPriority w:val="0"/>
    <w:pPr>
      <w:jc w:val="left"/>
    </w:pPr>
    <w:rPr>
      <w:kern w:val="0"/>
      <w:sz w:val="22"/>
      <w:szCs w:val="22"/>
      <w:lang w:eastAsia="en-US"/>
    </w:rPr>
  </w:style>
  <w:style w:type="paragraph" w:customStyle="1" w:styleId="174">
    <w:name w:val="qw"/>
    <w:qFormat/>
    <w:uiPriority w:val="0"/>
    <w:pPr>
      <w:widowControl w:val="0"/>
      <w:adjustRightInd w:val="0"/>
      <w:spacing w:line="312" w:lineRule="atLeast"/>
      <w:jc w:val="both"/>
      <w:textAlignment w:val="baseline"/>
    </w:pPr>
    <w:rPr>
      <w:rFonts w:ascii="宋体" w:hAnsi="Calibri" w:eastAsia="宋体" w:cs="Times New Roman"/>
      <w:sz w:val="24"/>
      <w:lang w:val="en-US" w:eastAsia="zh-CN" w:bidi="ar-SA"/>
    </w:rPr>
  </w:style>
  <w:style w:type="paragraph" w:customStyle="1" w:styleId="175">
    <w:name w:val="xl29"/>
    <w:basedOn w:val="1"/>
    <w:qFormat/>
    <w:uiPriority w:val="0"/>
    <w:pPr>
      <w:widowControl/>
      <w:spacing w:before="100" w:beforeAutospacing="1" w:after="100" w:afterAutospacing="1"/>
      <w:jc w:val="center"/>
    </w:pPr>
    <w:rPr>
      <w:rFonts w:ascii="宋体" w:hAnsi="宋体"/>
      <w:kern w:val="0"/>
      <w:sz w:val="28"/>
      <w:szCs w:val="28"/>
    </w:rPr>
  </w:style>
  <w:style w:type="paragraph" w:customStyle="1" w:styleId="176">
    <w:name w:val="Char Char Char 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77">
    <w:name w:val="样式1"/>
    <w:basedOn w:val="1"/>
    <w:qFormat/>
    <w:uiPriority w:val="0"/>
    <w:pPr>
      <w:spacing w:line="440" w:lineRule="atLeast"/>
      <w:outlineLvl w:val="0"/>
    </w:pPr>
    <w:rPr>
      <w:rFonts w:ascii="宋体" w:hAnsi="宋体"/>
      <w:sz w:val="24"/>
    </w:rPr>
  </w:style>
  <w:style w:type="paragraph" w:customStyle="1" w:styleId="178">
    <w:name w:val="Char1"/>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179">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80">
    <w:name w:val="Char Char Char Char Char Char1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81">
    <w:name w:val="tabletext"/>
    <w:basedOn w:val="1"/>
    <w:qFormat/>
    <w:uiPriority w:val="0"/>
    <w:pPr>
      <w:widowControl/>
      <w:spacing w:before="100" w:beforeAutospacing="1" w:after="100" w:afterAutospacing="1" w:line="268" w:lineRule="atLeast"/>
      <w:jc w:val="left"/>
    </w:pPr>
    <w:rPr>
      <w:rFonts w:ascii="Arial Unicode MS" w:hAnsi="Arial Unicode MS" w:eastAsia="Arial Unicode MS"/>
      <w:kern w:val="0"/>
      <w:sz w:val="20"/>
      <w:szCs w:val="20"/>
    </w:rPr>
  </w:style>
  <w:style w:type="paragraph" w:customStyle="1" w:styleId="182">
    <w:name w:val="Char Char Char Char Char Char1 Char1"/>
    <w:basedOn w:val="1"/>
    <w:qFormat/>
    <w:uiPriority w:val="0"/>
    <w:pPr>
      <w:widowControl/>
      <w:spacing w:after="160" w:line="240" w:lineRule="exact"/>
      <w:jc w:val="left"/>
    </w:pPr>
    <w:rPr>
      <w:rFonts w:ascii="Arial" w:hAnsi="Arial" w:eastAsia="楷体_GB2312" w:cs="Verdana"/>
      <w:b/>
      <w:kern w:val="0"/>
      <w:sz w:val="24"/>
      <w:lang w:eastAsia="en-US"/>
    </w:rPr>
  </w:style>
  <w:style w:type="paragraph" w:customStyle="1" w:styleId="183">
    <w:name w:val="正文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184">
    <w:name w:val="列出段落11"/>
    <w:basedOn w:val="1"/>
    <w:qFormat/>
    <w:uiPriority w:val="0"/>
    <w:pPr>
      <w:ind w:firstLine="420" w:firstLineChars="200"/>
    </w:pPr>
    <w:rPr>
      <w:szCs w:val="22"/>
    </w:rPr>
  </w:style>
  <w:style w:type="paragraph" w:customStyle="1" w:styleId="185">
    <w:name w:val="表格和图形名称"/>
    <w:basedOn w:val="1"/>
    <w:next w:val="1"/>
    <w:qFormat/>
    <w:uiPriority w:val="0"/>
    <w:pPr>
      <w:widowControl/>
      <w:spacing w:afterLines="50" w:line="360" w:lineRule="auto"/>
      <w:jc w:val="center"/>
    </w:pPr>
    <w:rPr>
      <w:kern w:val="0"/>
      <w:szCs w:val="20"/>
    </w:rPr>
  </w:style>
  <w:style w:type="paragraph" w:customStyle="1" w:styleId="186">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187">
    <w:name w:val="正文1"/>
    <w:basedOn w:val="1"/>
    <w:qFormat/>
    <w:uiPriority w:val="0"/>
    <w:pPr>
      <w:adjustRightInd w:val="0"/>
      <w:spacing w:line="312" w:lineRule="atLeast"/>
    </w:pPr>
    <w:rPr>
      <w:kern w:val="0"/>
      <w:sz w:val="28"/>
      <w:szCs w:val="20"/>
    </w:rPr>
  </w:style>
  <w:style w:type="paragraph" w:customStyle="1" w:styleId="188">
    <w:name w:val="排列"/>
    <w:basedOn w:val="68"/>
    <w:next w:val="68"/>
    <w:qFormat/>
    <w:uiPriority w:val="0"/>
    <w:pPr>
      <w:tabs>
        <w:tab w:val="left" w:pos="1261"/>
        <w:tab w:val="clear" w:pos="360"/>
      </w:tabs>
      <w:ind w:left="1261" w:hanging="420"/>
    </w:pPr>
  </w:style>
  <w:style w:type="paragraph" w:customStyle="1" w:styleId="189">
    <w:name w:val="Char1 Char Char Char1"/>
    <w:basedOn w:val="1"/>
    <w:qFormat/>
    <w:uiPriority w:val="0"/>
    <w:pPr>
      <w:ind w:left="420" w:hanging="420"/>
    </w:pPr>
    <w:rPr>
      <w:sz w:val="24"/>
    </w:rPr>
  </w:style>
  <w:style w:type="paragraph" w:customStyle="1" w:styleId="190">
    <w:name w:val="修订1"/>
    <w:semiHidden/>
    <w:qFormat/>
    <w:uiPriority w:val="0"/>
    <w:rPr>
      <w:rFonts w:ascii="Calibri" w:hAnsi="Calibri" w:eastAsia="宋体" w:cs="Times New Roman"/>
      <w:kern w:val="2"/>
      <w:sz w:val="21"/>
      <w:szCs w:val="24"/>
      <w:lang w:val="en-US" w:eastAsia="zh-CN" w:bidi="ar-SA"/>
    </w:rPr>
  </w:style>
  <w:style w:type="paragraph" w:customStyle="1" w:styleId="191">
    <w:name w:val="Char Char Char Char Char Char Char Char Char Char Char Char Char1"/>
    <w:basedOn w:val="27"/>
    <w:qFormat/>
    <w:uiPriority w:val="0"/>
    <w:rPr>
      <w:szCs w:val="20"/>
    </w:rPr>
  </w:style>
  <w:style w:type="paragraph" w:customStyle="1" w:styleId="192">
    <w:name w:val="Char Char1 Char Char Char Char"/>
    <w:basedOn w:val="1"/>
    <w:qFormat/>
    <w:uiPriority w:val="0"/>
    <w:pPr>
      <w:widowControl/>
      <w:spacing w:after="160" w:line="240" w:lineRule="exact"/>
      <w:jc w:val="left"/>
    </w:pPr>
    <w:rPr>
      <w:rFonts w:ascii="Arial" w:hAnsi="Arial" w:eastAsia="Times New Roman"/>
      <w:kern w:val="0"/>
      <w:sz w:val="20"/>
      <w:szCs w:val="20"/>
      <w:lang w:eastAsia="en-US"/>
    </w:rPr>
  </w:style>
  <w:style w:type="paragraph" w:customStyle="1" w:styleId="193">
    <w:name w:val="封面2"/>
    <w:basedOn w:val="1"/>
    <w:qFormat/>
    <w:uiPriority w:val="0"/>
    <w:pPr>
      <w:spacing w:line="360" w:lineRule="auto"/>
      <w:jc w:val="center"/>
    </w:pPr>
    <w:rPr>
      <w:rFonts w:ascii="黑体" w:hAnsi="宋体" w:eastAsia="黑体"/>
      <w:b/>
      <w:spacing w:val="-30"/>
      <w:sz w:val="96"/>
    </w:rPr>
  </w:style>
  <w:style w:type="paragraph" w:customStyle="1" w:styleId="194">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95">
    <w:name w:val="Char Char1 Char Char Char Char1"/>
    <w:basedOn w:val="1"/>
    <w:qFormat/>
    <w:uiPriority w:val="0"/>
    <w:pPr>
      <w:widowControl/>
      <w:spacing w:after="160" w:line="240" w:lineRule="exact"/>
      <w:jc w:val="left"/>
    </w:pPr>
    <w:rPr>
      <w:rFonts w:ascii="Arial" w:hAnsi="Arial" w:eastAsia="Times New Roman"/>
      <w:kern w:val="0"/>
      <w:sz w:val="20"/>
      <w:szCs w:val="20"/>
      <w:lang w:eastAsia="en-US"/>
    </w:rPr>
  </w:style>
  <w:style w:type="paragraph" w:customStyle="1" w:styleId="196">
    <w:name w:val="Char Char2 Char"/>
    <w:basedOn w:val="1"/>
    <w:qFormat/>
    <w:uiPriority w:val="0"/>
  </w:style>
  <w:style w:type="paragraph" w:customStyle="1" w:styleId="197">
    <w:name w:val="Char Char Char Char Char Char Char Char Char Char1"/>
    <w:basedOn w:val="1"/>
    <w:qFormat/>
    <w:uiPriority w:val="0"/>
    <w:rPr>
      <w:rFonts w:ascii="Tahoma" w:hAnsi="Tahoma"/>
      <w:sz w:val="24"/>
      <w:szCs w:val="20"/>
    </w:rPr>
  </w:style>
  <w:style w:type="paragraph" w:customStyle="1" w:styleId="198">
    <w:name w:val="p1215"/>
    <w:basedOn w:val="1"/>
    <w:qFormat/>
    <w:uiPriority w:val="0"/>
    <w:pPr>
      <w:widowControl/>
      <w:spacing w:before="100" w:beforeAutospacing="1" w:after="100" w:afterAutospacing="1"/>
      <w:jc w:val="left"/>
    </w:pPr>
    <w:rPr>
      <w:rFonts w:ascii="宋体" w:hAnsi="宋体"/>
      <w:color w:val="003399"/>
      <w:kern w:val="0"/>
      <w:sz w:val="24"/>
    </w:rPr>
  </w:style>
  <w:style w:type="paragraph" w:customStyle="1" w:styleId="199">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36"/>
      <w:szCs w:val="36"/>
    </w:rPr>
  </w:style>
  <w:style w:type="paragraph" w:customStyle="1" w:styleId="200">
    <w:name w:val="Char Char Char"/>
    <w:basedOn w:val="1"/>
    <w:qFormat/>
    <w:uiPriority w:val="0"/>
    <w:rPr>
      <w:rFonts w:ascii="宋体" w:hAnsi="宋体"/>
      <w:b/>
      <w:sz w:val="28"/>
      <w:szCs w:val="28"/>
    </w:rPr>
  </w:style>
  <w:style w:type="paragraph" w:customStyle="1" w:styleId="201">
    <w:name w:val="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02">
    <w:name w:val="Char Char Char1 Char"/>
    <w:basedOn w:val="1"/>
    <w:qFormat/>
    <w:uiPriority w:val="0"/>
    <w:pPr>
      <w:tabs>
        <w:tab w:val="left" w:pos="425"/>
      </w:tabs>
      <w:ind w:left="425" w:hanging="425"/>
    </w:pPr>
    <w:rPr>
      <w:rFonts w:eastAsia="仿宋_GB2312"/>
      <w:kern w:val="24"/>
      <w:sz w:val="24"/>
    </w:rPr>
  </w:style>
  <w:style w:type="paragraph" w:customStyle="1" w:styleId="203">
    <w:name w:val="样式 样式 正文首行缩进 + (符号) 宋体 + 左侧:  2 字符 首行缩进:  2 字符"/>
    <w:basedOn w:val="1"/>
    <w:qFormat/>
    <w:uiPriority w:val="0"/>
    <w:pPr>
      <w:spacing w:line="360" w:lineRule="auto"/>
      <w:ind w:firstLine="200" w:firstLineChars="200"/>
      <w:jc w:val="left"/>
    </w:pPr>
    <w:rPr>
      <w:rFonts w:hAnsi="宋体"/>
      <w:kern w:val="0"/>
      <w:szCs w:val="20"/>
      <w:lang w:eastAsia="en-US"/>
    </w:rPr>
  </w:style>
  <w:style w:type="paragraph" w:customStyle="1" w:styleId="204">
    <w:name w:val="130"/>
    <w:basedOn w:val="1"/>
    <w:qFormat/>
    <w:uiPriority w:val="0"/>
    <w:pPr>
      <w:widowControl/>
      <w:spacing w:before="100" w:beforeAutospacing="1" w:after="100" w:afterAutospacing="1" w:line="324" w:lineRule="auto"/>
      <w:jc w:val="left"/>
    </w:pPr>
    <w:rPr>
      <w:rFonts w:ascii="宋体" w:hAnsi="宋体"/>
      <w:color w:val="000000"/>
      <w:kern w:val="0"/>
      <w:sz w:val="24"/>
    </w:rPr>
  </w:style>
  <w:style w:type="paragraph" w:customStyle="1" w:styleId="205">
    <w:name w:val="标准"/>
    <w:basedOn w:val="1"/>
    <w:qFormat/>
    <w:uiPriority w:val="0"/>
    <w:pPr>
      <w:overflowPunct w:val="0"/>
      <w:autoSpaceDE w:val="0"/>
      <w:autoSpaceDN w:val="0"/>
      <w:adjustRightInd w:val="0"/>
      <w:spacing w:line="240" w:lineRule="atLeast"/>
      <w:textAlignment w:val="baseline"/>
    </w:pPr>
    <w:rPr>
      <w:rFonts w:eastAsia="楷体_GB2312"/>
      <w:kern w:val="0"/>
      <w:sz w:val="24"/>
      <w:szCs w:val="20"/>
    </w:rPr>
  </w:style>
  <w:style w:type="paragraph" w:customStyle="1" w:styleId="206">
    <w:name w:val="xl25"/>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table" w:customStyle="1" w:styleId="207">
    <w:name w:val="网格型1"/>
    <w:basedOn w:val="90"/>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8">
    <w:name w:val="网格型2"/>
    <w:basedOn w:val="90"/>
    <w:qFormat/>
    <w:uiPriority w:val="0"/>
    <w:pPr>
      <w:spacing w:beforeAutospacing="1" w:afterAutospacing="1"/>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09">
    <w:name w:val="修订2"/>
    <w:hidden/>
    <w:semiHidden/>
    <w:qFormat/>
    <w:uiPriority w:val="99"/>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theme" Target="theme/theme1.xml"/><Relationship Id="rId21" Type="http://schemas.openxmlformats.org/officeDocument/2006/relationships/header" Target="head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header" Target="header8.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26695</Words>
  <Characters>152167</Characters>
  <Lines>1268</Lines>
  <Paragraphs>357</Paragraphs>
  <TotalTime>60</TotalTime>
  <ScaleCrop>false</ScaleCrop>
  <LinksUpToDate>false</LinksUpToDate>
  <CharactersWithSpaces>178505</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2019-10-23T10:23:00Z</dcterms:created>
  <dc:creator>LBDZ</dc:creator>
  <cp:lastModifiedBy>小笼包</cp:lastModifiedBy>
  <cp:lastPrinted>2020-02-27T05:24:00Z</cp:lastPrinted>
  <dcterms:modified xsi:type="dcterms:W3CDTF">2020-06-05T07:55:17Z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