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240"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广东省农业科学动物卫生研究所禽病/生物技术研究室实验室改造项目</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201912-184098-0032</w:t>
      </w:r>
      <w:r>
        <w:rPr>
          <w:rFonts w:hint="eastAsia" w:ascii="宋体" w:hAnsi="宋体"/>
          <w:b/>
          <w:color w:val="auto"/>
          <w:sz w:val="28"/>
          <w:szCs w:val="28"/>
          <w:highlight w:val="none"/>
        </w:rPr>
        <w:t xml:space="preserve">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广东省农业科学院动物卫生研究所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4"/>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567" w:right="1304" w:bottom="567" w:left="1361" w:header="567" w:footer="737" w:gutter="0"/>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4"/>
          <w:rFonts w:hint="eastAsia" w:ascii="宋体" w:hAnsi="宋体"/>
          <w:b/>
          <w:color w:val="auto"/>
          <w:sz w:val="30"/>
          <w:szCs w:val="30"/>
          <w:highlight w:val="none"/>
          <w:u w:val="none"/>
        </w:rPr>
        <w:t xml:space="preserve"> 二○二○年</w:t>
      </w:r>
      <w:r>
        <w:rPr>
          <w:rStyle w:val="94"/>
          <w:rFonts w:hint="eastAsia" w:ascii="宋体" w:hAnsi="宋体"/>
          <w:b/>
          <w:color w:val="auto"/>
          <w:sz w:val="30"/>
          <w:szCs w:val="30"/>
          <w:highlight w:val="none"/>
          <w:u w:val="none"/>
          <w:lang w:eastAsia="zh-CN"/>
        </w:rPr>
        <w:t>一</w:t>
      </w:r>
      <w:r>
        <w:rPr>
          <w:rStyle w:val="94"/>
          <w:rFonts w:hint="eastAsia" w:ascii="宋体" w:hAnsi="宋体"/>
          <w:b/>
          <w:color w:val="auto"/>
          <w:sz w:val="30"/>
          <w:szCs w:val="30"/>
          <w:highlight w:val="none"/>
          <w:u w:val="none"/>
        </w:rPr>
        <w:t>月</w:t>
      </w:r>
    </w:p>
    <w:p>
      <w:pPr>
        <w:spacing w:before="120" w:beforeLines="50" w:after="120" w:afterLines="50" w:line="360" w:lineRule="auto"/>
        <w:rPr>
          <w:rFonts w:ascii="宋体" w:hAnsi="宋体"/>
          <w:b/>
          <w:color w:val="auto"/>
          <w:sz w:val="36"/>
          <w:highlight w:val="none"/>
        </w:rPr>
      </w:pPr>
    </w:p>
    <w:p>
      <w:pPr>
        <w:spacing w:before="120" w:beforeLines="50" w:after="12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w:t>
      </w:r>
      <w:r>
        <w:rPr>
          <w:rFonts w:hint="eastAsia" w:ascii="宋体" w:hAnsi="宋体"/>
          <w:color w:val="auto"/>
          <w:szCs w:val="21"/>
          <w:highlight w:val="none"/>
        </w:rPr>
        <w:t>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120" w:beforeLines="50" w:after="12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240" w:beforeLines="100" w:after="240" w:afterLines="100" w:line="360" w:lineRule="auto"/>
        <w:rPr>
          <w:rStyle w:val="94"/>
          <w:rFonts w:ascii="宋体" w:hAnsi="宋体"/>
          <w:smallCaps/>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4"/>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4"/>
          <w:rFonts w:hint="eastAsia"/>
          <w:color w:val="auto"/>
          <w:sz w:val="28"/>
          <w:szCs w:val="28"/>
          <w:highlight w:val="none"/>
        </w:rPr>
        <w:t>第一章 竞争性磋商邀请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4"/>
          <w:rFonts w:hint="eastAsia"/>
          <w:color w:val="auto"/>
          <w:sz w:val="28"/>
          <w:szCs w:val="28"/>
          <w:highlight w:val="none"/>
        </w:rPr>
        <w:t>第二章 竞争性磋商须</w:t>
      </w:r>
      <w:bookmarkStart w:id="2" w:name="_Hlt509928387"/>
      <w:r>
        <w:rPr>
          <w:rStyle w:val="94"/>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5</w:t>
      </w:r>
    </w:p>
    <w:p>
      <w:pPr>
        <w:pStyle w:val="60"/>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4"/>
          <w:rFonts w:hint="eastAsia"/>
          <w:color w:val="auto"/>
          <w:sz w:val="28"/>
          <w:szCs w:val="28"/>
          <w:highlight w:val="none"/>
        </w:rPr>
        <w:t>第三章 采购人</w:t>
      </w:r>
      <w:bookmarkStart w:id="3" w:name="_Hlt510014101"/>
      <w:r>
        <w:rPr>
          <w:rStyle w:val="94"/>
          <w:rFonts w:hint="eastAsia"/>
          <w:color w:val="auto"/>
          <w:sz w:val="28"/>
          <w:szCs w:val="28"/>
          <w:highlight w:val="none"/>
        </w:rPr>
        <w:t>需</w:t>
      </w:r>
      <w:bookmarkEnd w:id="3"/>
      <w:bookmarkStart w:id="4" w:name="_Hlt510971526"/>
      <w:r>
        <w:rPr>
          <w:rStyle w:val="94"/>
          <w:rFonts w:hint="eastAsia"/>
          <w:color w:val="auto"/>
          <w:sz w:val="28"/>
          <w:szCs w:val="28"/>
          <w:highlight w:val="none"/>
        </w:rPr>
        <w:t>求</w:t>
      </w:r>
      <w:bookmarkEnd w:id="4"/>
      <w:bookmarkStart w:id="5" w:name="_Hlt510014037"/>
      <w:bookmarkStart w:id="6" w:name="_Hlt510014036"/>
      <w:r>
        <w:rPr>
          <w:rStyle w:val="94"/>
          <w:rFonts w:hint="eastAsia"/>
          <w:color w:val="auto"/>
          <w:sz w:val="28"/>
          <w:szCs w:val="28"/>
          <w:highlight w:val="none"/>
        </w:rPr>
        <w:t>书</w:t>
      </w:r>
      <w:bookmarkEnd w:id="5"/>
      <w:bookmarkEnd w:id="6"/>
      <w:bookmarkStart w:id="7" w:name="_Hlt509994710"/>
      <w:bookmarkStart w:id="8" w:name="_Hlt509994711"/>
      <w:bookmarkStart w:id="9" w:name="_Hlt509991847"/>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6</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4"/>
          <w:rFonts w:hint="eastAsia"/>
          <w:color w:val="auto"/>
          <w:sz w:val="28"/>
          <w:szCs w:val="28"/>
          <w:highlight w:val="none"/>
        </w:rPr>
        <w:t xml:space="preserve">第四章 </w:t>
      </w:r>
      <w:bookmarkStart w:id="10" w:name="_Hlt511828826"/>
      <w:r>
        <w:rPr>
          <w:rStyle w:val="94"/>
          <w:rFonts w:hint="eastAsia"/>
          <w:color w:val="auto"/>
          <w:sz w:val="28"/>
          <w:szCs w:val="28"/>
          <w:highlight w:val="none"/>
        </w:rPr>
        <w:t>政府采购合同（</w:t>
      </w:r>
      <w:bookmarkEnd w:id="10"/>
      <w:r>
        <w:rPr>
          <w:rStyle w:val="94"/>
          <w:rFonts w:hint="eastAsia"/>
          <w:color w:val="auto"/>
          <w:sz w:val="28"/>
          <w:szCs w:val="28"/>
          <w:highlight w:val="none"/>
        </w:rPr>
        <w:t>样本）</w:t>
      </w:r>
      <w:r>
        <w:rPr>
          <w:rStyle w:val="94"/>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41</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4"/>
          <w:rFonts w:hint="eastAsia"/>
          <w:color w:val="auto"/>
          <w:sz w:val="28"/>
          <w:szCs w:val="28"/>
          <w:highlight w:val="none"/>
        </w:rPr>
        <w:t>第五章 评分</w:t>
      </w:r>
      <w:bookmarkStart w:id="11" w:name="_Hlt509997395"/>
      <w:r>
        <w:rPr>
          <w:rStyle w:val="94"/>
          <w:rFonts w:hint="eastAsia"/>
          <w:color w:val="auto"/>
          <w:sz w:val="28"/>
          <w:szCs w:val="28"/>
          <w:highlight w:val="none"/>
        </w:rPr>
        <w:t>体</w:t>
      </w:r>
      <w:bookmarkEnd w:id="11"/>
      <w:bookmarkStart w:id="12" w:name="_Hlt475104622"/>
      <w:r>
        <w:rPr>
          <w:rStyle w:val="94"/>
          <w:rFonts w:hint="eastAsia"/>
          <w:color w:val="auto"/>
          <w:sz w:val="28"/>
          <w:szCs w:val="28"/>
          <w:highlight w:val="none"/>
        </w:rPr>
        <w:t>系</w:t>
      </w:r>
      <w:bookmarkEnd w:id="12"/>
      <w:bookmarkStart w:id="13" w:name="_Hlt509932460"/>
      <w:bookmarkStart w:id="14" w:name="_Hlt510014093"/>
      <w:bookmarkStart w:id="15" w:name="_Hlt509932461"/>
      <w:r>
        <w:rPr>
          <w:rStyle w:val="94"/>
          <w:rFonts w:hint="eastAsia"/>
          <w:color w:val="auto"/>
          <w:sz w:val="28"/>
          <w:szCs w:val="28"/>
          <w:highlight w:val="none"/>
        </w:rPr>
        <w:t>与</w:t>
      </w:r>
      <w:bookmarkEnd w:id="13"/>
      <w:bookmarkEnd w:id="14"/>
      <w:bookmarkEnd w:id="15"/>
      <w:bookmarkStart w:id="16" w:name="_Hlt509994748"/>
      <w:r>
        <w:rPr>
          <w:rStyle w:val="94"/>
          <w:rFonts w:hint="eastAsia"/>
          <w:color w:val="auto"/>
          <w:sz w:val="28"/>
          <w:szCs w:val="28"/>
          <w:highlight w:val="none"/>
        </w:rPr>
        <w:t>标</w:t>
      </w:r>
      <w:bookmarkEnd w:id="16"/>
      <w:bookmarkStart w:id="17" w:name="_Hlt509992254"/>
      <w:bookmarkStart w:id="18" w:name="_Hlt510014176"/>
      <w:r>
        <w:rPr>
          <w:rStyle w:val="94"/>
          <w:rFonts w:hint="eastAsia"/>
          <w:color w:val="auto"/>
          <w:sz w:val="28"/>
          <w:szCs w:val="28"/>
          <w:highlight w:val="none"/>
        </w:rPr>
        <w:t>准</w:t>
      </w:r>
      <w:bookmarkEnd w:id="17"/>
      <w:bookmarkEnd w:id="18"/>
      <w:bookmarkStart w:id="19" w:name="_Hlt509991721"/>
      <w:bookmarkStart w:id="20" w:name="_Hlt509991939"/>
      <w:bookmarkStart w:id="21" w:name="_Hlt509991722"/>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46</w:t>
      </w:r>
    </w:p>
    <w:p>
      <w:pPr>
        <w:pStyle w:val="60"/>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4"/>
          <w:rFonts w:hint="eastAsia"/>
          <w:color w:val="auto"/>
          <w:sz w:val="28"/>
          <w:szCs w:val="28"/>
          <w:highlight w:val="none"/>
        </w:rPr>
        <w:t>第六章 附件（格</w:t>
      </w:r>
      <w:bookmarkStart w:id="22" w:name="_Hlt510014049"/>
      <w:r>
        <w:rPr>
          <w:rStyle w:val="94"/>
          <w:rFonts w:hint="eastAsia"/>
          <w:color w:val="auto"/>
          <w:sz w:val="28"/>
          <w:szCs w:val="28"/>
          <w:highlight w:val="none"/>
        </w:rPr>
        <w:t>式</w:t>
      </w:r>
      <w:bookmarkEnd w:id="22"/>
      <w:r>
        <w:rPr>
          <w:rStyle w:val="94"/>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5</w:t>
      </w:r>
      <w:r>
        <w:rPr>
          <w:rFonts w:hint="eastAsia"/>
          <w:color w:val="auto"/>
          <w:sz w:val="28"/>
          <w:szCs w:val="28"/>
          <w:highlight w:val="none"/>
          <w:lang w:val="en-US" w:eastAsia="zh-CN"/>
        </w:rPr>
        <w:t>4</w:t>
      </w:r>
    </w:p>
    <w:p>
      <w:pPr>
        <w:pStyle w:val="60"/>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0"/>
        <w:tabs>
          <w:tab w:val="right" w:leader="dot" w:pos="9231"/>
        </w:tabs>
        <w:spacing w:line="360" w:lineRule="auto"/>
        <w:rPr>
          <w:b w:val="0"/>
          <w:bCs w:val="0"/>
          <w:caps w:val="0"/>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p>
    <w:p>
      <w:pPr>
        <w:snapToGrid w:val="0"/>
        <w:spacing w:before="240" w:beforeLines="100" w:after="24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5"/>
        <w:autoSpaceDE w:val="0"/>
        <w:rPr>
          <w:color w:val="auto"/>
          <w:sz w:val="44"/>
          <w:highlight w:val="none"/>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竞争性磋商邀请</w:t>
      </w:r>
      <w:bookmarkEnd w:id="0"/>
      <w:bookmarkEnd w:id="1"/>
      <w:bookmarkEnd w:id="23"/>
      <w:bookmarkEnd w:id="24"/>
      <w:bookmarkEnd w:id="25"/>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竞争性磋商邀请</w:t>
      </w:r>
    </w:p>
    <w:p>
      <w:pPr>
        <w:pStyle w:val="37"/>
        <w:snapToGrid w:val="0"/>
        <w:spacing w:line="528" w:lineRule="auto"/>
        <w:ind w:firstLine="630" w:firstLineChars="300"/>
        <w:rPr>
          <w:rFonts w:ascii="宋体" w:hAnsi="宋体"/>
          <w:color w:val="auto"/>
          <w:highlight w:val="none"/>
        </w:rPr>
      </w:pPr>
      <w:r>
        <w:rPr>
          <w:rFonts w:hint="eastAsia" w:ascii="宋体" w:hAnsi="宋体"/>
          <w:color w:val="auto"/>
          <w:highlight w:val="none"/>
        </w:rPr>
        <w:t>广州市信怡招标代理有限公司</w:t>
      </w:r>
      <w:r>
        <w:rPr>
          <w:rFonts w:ascii="宋体" w:hAnsi="宋体"/>
          <w:color w:val="auto"/>
          <w:highlight w:val="none"/>
        </w:rPr>
        <w:t>受</w:t>
      </w:r>
      <w:r>
        <w:rPr>
          <w:rFonts w:hint="eastAsia" w:ascii="宋体" w:hAnsi="宋体" w:cs="宋体"/>
          <w:color w:val="auto"/>
          <w:szCs w:val="21"/>
          <w:highlight w:val="none"/>
          <w:lang w:eastAsia="zh-CN"/>
        </w:rPr>
        <w:t>广东省农业科学院动物卫生研究所</w:t>
      </w:r>
      <w:r>
        <w:rPr>
          <w:rFonts w:ascii="宋体" w:hAnsi="宋体"/>
          <w:color w:val="auto"/>
          <w:szCs w:val="21"/>
          <w:highlight w:val="none"/>
        </w:rPr>
        <w:t>的委托，</w:t>
      </w:r>
      <w:r>
        <w:rPr>
          <w:rFonts w:hint="eastAsia" w:ascii="宋体" w:hAnsi="宋体"/>
          <w:color w:val="auto"/>
          <w:szCs w:val="21"/>
          <w:highlight w:val="none"/>
        </w:rPr>
        <w:t>对</w:t>
      </w:r>
      <w:r>
        <w:rPr>
          <w:rFonts w:hint="eastAsia" w:ascii="宋体" w:hAnsi="宋体" w:cs="宋体"/>
          <w:color w:val="auto"/>
          <w:szCs w:val="21"/>
          <w:highlight w:val="none"/>
          <w:lang w:eastAsia="zh-CN"/>
        </w:rPr>
        <w:t>广东省农业科学动物卫生研究所禽病/生物技术研究室实验室改造项目</w:t>
      </w:r>
      <w:r>
        <w:rPr>
          <w:rFonts w:hint="eastAsia" w:ascii="宋体" w:hAnsi="宋体"/>
          <w:color w:val="auto"/>
          <w:szCs w:val="21"/>
          <w:highlight w:val="none"/>
        </w:rPr>
        <w:t>进行竞争性磋商采购，欢迎符合资格条件的供应商参加。本项目</w:t>
      </w:r>
      <w:r>
        <w:rPr>
          <w:rFonts w:hint="eastAsia" w:ascii="宋体" w:hAnsi="宋体"/>
          <w:color w:val="auto"/>
          <w:highlight w:val="none"/>
        </w:rPr>
        <w:t>将优先确定符合相应资格条件的自主创新产品、节能产品、环保产品供应商参加磋商。</w:t>
      </w:r>
    </w:p>
    <w:p>
      <w:pPr>
        <w:pStyle w:val="37"/>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采购项目编号：</w:t>
      </w:r>
      <w:r>
        <w:rPr>
          <w:rFonts w:hint="eastAsia" w:ascii="宋体" w:hAnsi="宋体"/>
          <w:color w:val="auto"/>
          <w:highlight w:val="none"/>
          <w:lang w:eastAsia="zh-CN"/>
        </w:rPr>
        <w:t>201912-184098-0032</w:t>
      </w:r>
      <w:r>
        <w:rPr>
          <w:rFonts w:hint="eastAsia" w:ascii="宋体" w:hAnsi="宋体"/>
          <w:color w:val="auto"/>
          <w:highlight w:val="none"/>
        </w:rPr>
        <w:t xml:space="preserve"> 。</w:t>
      </w:r>
    </w:p>
    <w:p>
      <w:pPr>
        <w:pStyle w:val="37"/>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采购项目名称：</w:t>
      </w:r>
      <w:r>
        <w:rPr>
          <w:rFonts w:hint="eastAsia" w:ascii="宋体" w:hAnsi="宋体" w:cs="宋体"/>
          <w:color w:val="auto"/>
          <w:szCs w:val="21"/>
          <w:highlight w:val="none"/>
          <w:lang w:eastAsia="zh-CN"/>
        </w:rPr>
        <w:t>广东省农业科学动物卫生研究所禽病/生物技术研究室实验室改造项目</w:t>
      </w:r>
      <w:r>
        <w:rPr>
          <w:rFonts w:hint="eastAsia" w:ascii="宋体" w:hAnsi="宋体"/>
          <w:color w:val="auto"/>
          <w:highlight w:val="none"/>
        </w:rPr>
        <w:t>。</w:t>
      </w:r>
    </w:p>
    <w:p>
      <w:pPr>
        <w:pStyle w:val="37"/>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采购项目预算金额（元）</w:t>
      </w:r>
      <w:r>
        <w:rPr>
          <w:rFonts w:hint="eastAsia" w:ascii="宋体" w:hAnsi="宋体"/>
          <w:color w:val="auto"/>
          <w:highlight w:val="none"/>
        </w:rPr>
        <w:t>：￥</w:t>
      </w:r>
      <w:r>
        <w:rPr>
          <w:rFonts w:hint="eastAsia" w:ascii="宋体" w:hAnsi="宋体"/>
          <w:color w:val="auto"/>
          <w:highlight w:val="none"/>
          <w:lang w:eastAsia="zh-CN"/>
        </w:rPr>
        <w:t>453518.59</w:t>
      </w:r>
      <w:r>
        <w:rPr>
          <w:rFonts w:hint="eastAsia" w:ascii="宋体" w:hAnsi="宋体"/>
          <w:color w:val="auto"/>
          <w:highlight w:val="none"/>
        </w:rPr>
        <w:t>元 。</w:t>
      </w:r>
    </w:p>
    <w:p>
      <w:pPr>
        <w:pStyle w:val="37"/>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采购数量：详细请看第三章采购人需求书。</w:t>
      </w:r>
    </w:p>
    <w:p>
      <w:pPr>
        <w:pStyle w:val="37"/>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项目内容及需求</w:t>
      </w:r>
      <w:r>
        <w:rPr>
          <w:rFonts w:hint="eastAsia" w:ascii="宋体" w:hAnsi="宋体" w:cs="宋体"/>
          <w:color w:val="auto"/>
          <w:kern w:val="0"/>
          <w:szCs w:val="21"/>
          <w:highlight w:val="none"/>
        </w:rPr>
        <w:t>(采购项目技术规格、参数及要求，需要落实的政府采购政策)</w:t>
      </w:r>
      <w:r>
        <w:rPr>
          <w:rFonts w:hint="eastAsia" w:ascii="宋体" w:hAnsi="宋体"/>
          <w:color w:val="auto"/>
          <w:highlight w:val="none"/>
        </w:rPr>
        <w:t xml:space="preserve"> ：</w:t>
      </w:r>
    </w:p>
    <w:p>
      <w:pPr>
        <w:pStyle w:val="37"/>
        <w:snapToGrid w:val="0"/>
        <w:spacing w:line="528"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详细请看第三章采购人需求书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最高限价：人民币</w:t>
      </w:r>
      <w:r>
        <w:rPr>
          <w:rFonts w:hint="eastAsia" w:ascii="宋体" w:hAnsi="宋体" w:cs="宋体"/>
          <w:color w:val="auto"/>
          <w:szCs w:val="20"/>
          <w:highlight w:val="none"/>
          <w:lang w:eastAsia="zh-CN"/>
        </w:rPr>
        <w:t>453518.59</w:t>
      </w:r>
      <w:r>
        <w:rPr>
          <w:rFonts w:hint="eastAsia" w:ascii="宋体" w:hAnsi="宋体" w:cs="宋体"/>
          <w:color w:val="auto"/>
          <w:szCs w:val="20"/>
          <w:highlight w:val="none"/>
        </w:rPr>
        <w:t>元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项目基本概况简述：本项目为</w:t>
      </w:r>
      <w:r>
        <w:rPr>
          <w:rFonts w:hint="eastAsia" w:ascii="宋体" w:hAnsi="宋体" w:cs="宋体"/>
          <w:color w:val="auto"/>
          <w:szCs w:val="21"/>
          <w:highlight w:val="none"/>
          <w:lang w:eastAsia="zh-CN"/>
        </w:rPr>
        <w:t>广东省农业科学动物卫生研究所禽病/生物技术研究室实验室改造项目</w:t>
      </w:r>
      <w:r>
        <w:rPr>
          <w:rFonts w:hint="eastAsia" w:ascii="宋体" w:hAnsi="宋体" w:cs="宋体"/>
          <w:color w:val="auto"/>
          <w:szCs w:val="20"/>
          <w:highlight w:val="none"/>
        </w:rPr>
        <w:t>。</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需要落实的政府采购政策：</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1)《政府采购促进中小企业发展暂行办法》（财库〔2011〕181号）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2)《关于政府采购支持监狱企业发展有关问题的通知》(财库〔2014〕68号)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3)《关于促进残疾人就业政府采购政策的通知》（财库〔2017〕141号)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4)《关于环境标志产品政府采购实施的意见》(财库〔2006〕90号）</w:t>
      </w:r>
    </w:p>
    <w:p>
      <w:pPr>
        <w:snapToGrid w:val="0"/>
        <w:spacing w:line="360" w:lineRule="auto"/>
        <w:ind w:left="525"/>
        <w:rPr>
          <w:rFonts w:ascii="宋体" w:hAnsi="宋体" w:cs="宋体"/>
          <w:color w:val="auto"/>
          <w:kern w:val="0"/>
          <w:szCs w:val="21"/>
          <w:highlight w:val="none"/>
          <w:u w:val="single"/>
        </w:rPr>
      </w:pPr>
      <w:r>
        <w:rPr>
          <w:rFonts w:hint="eastAsia" w:ascii="宋体" w:hAnsi="宋体" w:cs="宋体"/>
          <w:color w:val="auto"/>
          <w:szCs w:val="20"/>
          <w:highlight w:val="none"/>
        </w:rPr>
        <w:t>5)《节能产品政府采购实施意见》的通知（财库〔2004〕185号）</w:t>
      </w:r>
    </w:p>
    <w:p>
      <w:pPr>
        <w:pStyle w:val="37"/>
        <w:numPr>
          <w:ilvl w:val="0"/>
          <w:numId w:val="2"/>
        </w:numPr>
        <w:snapToGrid w:val="0"/>
        <w:spacing w:after="0" w:line="528" w:lineRule="auto"/>
        <w:ind w:leftChars="0"/>
        <w:rPr>
          <w:rFonts w:hint="eastAsia" w:ascii="宋体" w:hAnsi="宋体"/>
          <w:color w:val="auto"/>
          <w:highlight w:val="none"/>
        </w:rPr>
      </w:pPr>
      <w:r>
        <w:rPr>
          <w:rFonts w:hint="eastAsia" w:ascii="宋体" w:hAnsi="宋体"/>
          <w:color w:val="auto"/>
          <w:highlight w:val="none"/>
        </w:rPr>
        <w:t>供应商资格：</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lang w:val="en-US" w:eastAsia="zh-CN"/>
        </w:rPr>
        <w:t>1、</w:t>
      </w:r>
      <w:r>
        <w:rPr>
          <w:rFonts w:hint="eastAsia" w:ascii="宋体" w:hAnsi="宋体" w:cs="宋体"/>
          <w:color w:val="auto"/>
          <w:szCs w:val="20"/>
          <w:highlight w:val="none"/>
        </w:rPr>
        <w:t>参加本项目磋商的供应商应具备《政府采购法》第二十二条供应商资格条件；</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rPr>
        <w:t>1）具有独立承担民事责任的能力；</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rPr>
        <w:t>6）法律、行政法规规定的其他条件。</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rPr>
        <w:t>2、供应商必须是具有独立承担民事责任能力的中华人民共和国境内注册的法人或其他组织；</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color w:val="auto"/>
          <w:szCs w:val="20"/>
          <w:highlight w:val="none"/>
        </w:rPr>
      </w:pPr>
      <w:r>
        <w:rPr>
          <w:rFonts w:hint="eastAsia" w:ascii="宋体" w:hAnsi="宋体" w:cs="宋体"/>
          <w:color w:val="auto"/>
          <w:szCs w:val="20"/>
          <w:highlight w:val="none"/>
          <w:lang w:val="en-US" w:eastAsia="zh-CN"/>
        </w:rPr>
        <w:t>3</w:t>
      </w:r>
      <w:r>
        <w:rPr>
          <w:rFonts w:hint="eastAsia" w:ascii="宋体" w:hAnsi="宋体" w:cs="宋体"/>
          <w:color w:val="auto"/>
          <w:szCs w:val="20"/>
          <w:highlight w:val="none"/>
        </w:rPr>
        <w:t>、报价人提供《公平竞争承诺书》；</w:t>
      </w:r>
    </w:p>
    <w:p>
      <w:pPr>
        <w:keepNext w:val="0"/>
        <w:keepLines w:val="0"/>
        <w:pageBreakBefore w:val="0"/>
        <w:widowControl/>
        <w:kinsoku/>
        <w:wordWrap/>
        <w:overflowPunct/>
        <w:topLinePunct w:val="0"/>
        <w:autoSpaceDE/>
        <w:autoSpaceDN/>
        <w:bidi w:val="0"/>
        <w:adjustRightInd/>
        <w:spacing w:line="360" w:lineRule="auto"/>
        <w:jc w:val="left"/>
        <w:textAlignment w:val="auto"/>
        <w:rPr>
          <w:color w:val="auto"/>
          <w:highlight w:val="none"/>
        </w:rPr>
      </w:pPr>
      <w:r>
        <w:rPr>
          <w:rFonts w:hint="eastAsia" w:ascii="宋体" w:hAnsi="宋体"/>
          <w:color w:val="auto"/>
          <w:szCs w:val="20"/>
          <w:highlight w:val="none"/>
          <w:lang w:val="en-US" w:eastAsia="zh-CN"/>
        </w:rPr>
        <w:t>4</w:t>
      </w:r>
      <w:r>
        <w:rPr>
          <w:rFonts w:hint="eastAsia" w:ascii="宋体" w:hAnsi="宋体"/>
          <w:color w:val="auto"/>
          <w:szCs w:val="20"/>
          <w:highlight w:val="none"/>
        </w:rPr>
        <w:t>、</w:t>
      </w:r>
      <w:bookmarkStart w:id="26" w:name="_Toc14450807"/>
      <w:bookmarkStart w:id="27" w:name="_Toc28489434"/>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、本项目不接受联合体投标。</w:t>
      </w:r>
    </w:p>
    <w:p>
      <w:pPr>
        <w:numPr>
          <w:ilvl w:val="0"/>
          <w:numId w:val="0"/>
        </w:numPr>
        <w:tabs>
          <w:tab w:val="left" w:pos="840"/>
          <w:tab w:val="left" w:pos="945"/>
        </w:tabs>
        <w:snapToGrid w:val="0"/>
        <w:spacing w:line="360" w:lineRule="auto"/>
        <w:ind w:left="525" w:leftChars="0"/>
        <w:rPr>
          <w:rFonts w:hint="eastAsia" w:ascii="宋体" w:hAnsi="宋体" w:eastAsia="宋体" w:cs="宋体"/>
          <w:b/>
          <w:bCs w:val="0"/>
          <w:color w:val="auto"/>
          <w:szCs w:val="20"/>
          <w:highlight w:val="none"/>
          <w:lang w:eastAsia="zh-CN"/>
        </w:rPr>
      </w:pPr>
      <w:r>
        <w:rPr>
          <w:rFonts w:hint="eastAsia" w:ascii="宋体" w:hAnsi="宋体" w:eastAsia="宋体" w:cs="宋体"/>
          <w:b/>
          <w:bCs w:val="0"/>
          <w:color w:val="auto"/>
          <w:szCs w:val="20"/>
          <w:highlight w:val="none"/>
          <w:lang w:eastAsia="zh-CN"/>
        </w:rPr>
        <w:t>登记须知：</w:t>
      </w:r>
    </w:p>
    <w:p>
      <w:pPr>
        <w:numPr>
          <w:ilvl w:val="0"/>
          <w:numId w:val="0"/>
        </w:numPr>
        <w:tabs>
          <w:tab w:val="left" w:pos="840"/>
          <w:tab w:val="left" w:pos="945"/>
        </w:tabs>
        <w:snapToGrid w:val="0"/>
        <w:spacing w:line="360" w:lineRule="auto"/>
        <w:ind w:left="525" w:leftChars="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eastAsia="zh-CN"/>
        </w:rPr>
        <w:t>（一）</w:t>
      </w:r>
      <w:r>
        <w:rPr>
          <w:rFonts w:hint="eastAsia" w:ascii="宋体" w:hAnsi="宋体" w:eastAsia="宋体" w:cs="宋体"/>
          <w:bCs/>
          <w:color w:val="auto"/>
          <w:szCs w:val="20"/>
          <w:highlight w:val="none"/>
        </w:rPr>
        <w:t>只接受</w:t>
      </w:r>
      <w:r>
        <w:rPr>
          <w:rFonts w:hint="eastAsia" w:ascii="宋体" w:hAnsi="宋体" w:eastAsia="宋体" w:cs="宋体"/>
          <w:bCs/>
          <w:color w:val="auto"/>
          <w:szCs w:val="20"/>
          <w:highlight w:val="none"/>
          <w:lang w:eastAsia="zh-CN"/>
        </w:rPr>
        <w:t>登记的供应商</w:t>
      </w:r>
      <w:r>
        <w:rPr>
          <w:rFonts w:hint="eastAsia" w:ascii="宋体" w:hAnsi="宋体" w:eastAsia="宋体" w:cs="宋体"/>
          <w:bCs/>
          <w:color w:val="auto"/>
          <w:szCs w:val="20"/>
          <w:highlight w:val="none"/>
        </w:rPr>
        <w:t>投标。</w:t>
      </w:r>
    </w:p>
    <w:p>
      <w:pPr>
        <w:numPr>
          <w:ilvl w:val="0"/>
          <w:numId w:val="0"/>
        </w:numPr>
        <w:tabs>
          <w:tab w:val="left" w:pos="840"/>
          <w:tab w:val="left" w:pos="945"/>
        </w:tabs>
        <w:snapToGrid w:val="0"/>
        <w:spacing w:line="360" w:lineRule="auto"/>
        <w:ind w:left="525" w:leftChars="0"/>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eastAsia="zh-CN"/>
        </w:rPr>
        <w:t>（二）</w:t>
      </w:r>
      <w:r>
        <w:rPr>
          <w:rFonts w:hint="eastAsia" w:ascii="宋体" w:hAnsi="宋体" w:eastAsia="宋体" w:cs="宋体"/>
          <w:bCs/>
          <w:color w:val="auto"/>
          <w:szCs w:val="20"/>
          <w:highlight w:val="none"/>
        </w:rPr>
        <w:t>已成功</w:t>
      </w:r>
      <w:r>
        <w:rPr>
          <w:rFonts w:hint="eastAsia" w:ascii="宋体" w:hAnsi="宋体" w:eastAsia="宋体" w:cs="宋体"/>
          <w:bCs/>
          <w:color w:val="auto"/>
          <w:szCs w:val="20"/>
          <w:highlight w:val="none"/>
          <w:lang w:eastAsia="zh-CN"/>
        </w:rPr>
        <w:t>登记</w:t>
      </w:r>
      <w:r>
        <w:rPr>
          <w:rFonts w:hint="eastAsia" w:ascii="宋体" w:hAnsi="宋体" w:eastAsia="宋体" w:cs="宋体"/>
          <w:bCs/>
          <w:color w:val="auto"/>
          <w:szCs w:val="20"/>
          <w:highlight w:val="none"/>
        </w:rPr>
        <w:t>的供应商参加投标的，不代表通过资格性、符合性审查。</w:t>
      </w:r>
      <w:r>
        <w:rPr>
          <w:rFonts w:hint="eastAsia" w:ascii="宋体" w:hAnsi="宋体" w:eastAsia="宋体" w:cs="宋体"/>
          <w:bCs/>
          <w:color w:val="auto"/>
          <w:szCs w:val="20"/>
          <w:highlight w:val="none"/>
          <w:lang w:eastAsia="zh-CN"/>
        </w:rPr>
        <w:t>投标资格最终根据投标人投标文件中的资格审查资料作出的结论为准。</w:t>
      </w:r>
    </w:p>
    <w:p>
      <w:pPr>
        <w:numPr>
          <w:ilvl w:val="0"/>
          <w:numId w:val="0"/>
        </w:numPr>
        <w:tabs>
          <w:tab w:val="left" w:pos="840"/>
          <w:tab w:val="left" w:pos="945"/>
        </w:tabs>
        <w:snapToGrid w:val="0"/>
        <w:spacing w:line="360" w:lineRule="auto"/>
        <w:ind w:left="525" w:leftChars="0"/>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eastAsia="zh-CN"/>
        </w:rPr>
        <w:t>（三）</w:t>
      </w:r>
      <w:r>
        <w:rPr>
          <w:rFonts w:hint="eastAsia" w:ascii="宋体" w:hAnsi="宋体" w:eastAsia="宋体" w:cs="宋体"/>
          <w:bCs/>
          <w:color w:val="auto"/>
          <w:szCs w:val="20"/>
          <w:highlight w:val="none"/>
        </w:rPr>
        <w:t>若已</w:t>
      </w:r>
      <w:r>
        <w:rPr>
          <w:rFonts w:hint="eastAsia" w:ascii="宋体" w:hAnsi="宋体" w:eastAsia="宋体" w:cs="宋体"/>
          <w:bCs/>
          <w:color w:val="auto"/>
          <w:szCs w:val="20"/>
          <w:highlight w:val="none"/>
          <w:lang w:eastAsia="zh-CN"/>
        </w:rPr>
        <w:t>登记</w:t>
      </w:r>
      <w:r>
        <w:rPr>
          <w:rFonts w:hint="eastAsia" w:ascii="宋体" w:hAnsi="宋体" w:eastAsia="宋体" w:cs="宋体"/>
          <w:bCs/>
          <w:color w:val="auto"/>
          <w:szCs w:val="20"/>
          <w:highlight w:val="none"/>
        </w:rPr>
        <w:t>而决定不参加本项目投标的供应商，应在</w:t>
      </w:r>
      <w:r>
        <w:rPr>
          <w:rFonts w:hint="eastAsia" w:ascii="宋体" w:hAnsi="宋体" w:cs="宋体"/>
          <w:bCs/>
          <w:color w:val="auto"/>
          <w:szCs w:val="20"/>
          <w:highlight w:val="none"/>
          <w:lang w:val="en-US" w:eastAsia="zh-CN"/>
        </w:rPr>
        <w:t>I</w:t>
      </w:r>
      <w:r>
        <w:rPr>
          <w:rFonts w:hint="eastAsia" w:ascii="宋体" w:hAnsi="宋体" w:eastAsia="宋体" w:cs="宋体"/>
          <w:bCs/>
          <w:color w:val="auto"/>
          <w:szCs w:val="20"/>
          <w:highlight w:val="none"/>
        </w:rPr>
        <w:t>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eastAsia="宋体" w:cs="宋体"/>
          <w:bCs/>
          <w:color w:val="auto"/>
          <w:szCs w:val="20"/>
          <w:highlight w:val="none"/>
          <w:lang w:eastAsia="zh-CN"/>
        </w:rPr>
        <w:t>（四）</w:t>
      </w:r>
      <w:r>
        <w:rPr>
          <w:rFonts w:hint="eastAsia" w:ascii="宋体" w:hAnsi="宋体" w:eastAsia="宋体" w:cs="宋体"/>
          <w:bCs/>
          <w:color w:val="auto"/>
          <w:szCs w:val="20"/>
          <w:highlight w:val="none"/>
        </w:rPr>
        <w:t>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spacing w:line="480" w:lineRule="auto"/>
        <w:ind w:firstLine="315" w:firstLineChars="150"/>
        <w:rPr>
          <w:rFonts w:ascii="宋体" w:hAnsi="宋体" w:cs="宋体"/>
          <w:bCs/>
          <w:color w:val="auto"/>
          <w:szCs w:val="20"/>
          <w:highlight w:val="none"/>
        </w:rPr>
      </w:pPr>
    </w:p>
    <w:p>
      <w:pPr>
        <w:pStyle w:val="37"/>
        <w:numPr>
          <w:ilvl w:val="0"/>
          <w:numId w:val="2"/>
        </w:numPr>
        <w:snapToGrid w:val="0"/>
        <w:spacing w:after="0" w:line="480" w:lineRule="auto"/>
        <w:ind w:left="0" w:leftChars="0" w:firstLine="0"/>
        <w:rPr>
          <w:rFonts w:ascii="宋体" w:hAnsi="宋体"/>
          <w:color w:val="auto"/>
          <w:highlight w:val="none"/>
        </w:rPr>
      </w:pPr>
      <w:r>
        <w:rPr>
          <w:rFonts w:hint="eastAsia" w:ascii="宋体" w:hAnsi="宋体"/>
          <w:color w:val="auto"/>
          <w:highlight w:val="none"/>
        </w:rPr>
        <w:t>符合资格的供应商应当在</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01</w:t>
      </w:r>
      <w:r>
        <w:rPr>
          <w:rFonts w:hint="eastAsia" w:ascii="宋体" w:hAnsi="宋体"/>
          <w:color w:val="auto"/>
          <w:highlight w:val="none"/>
        </w:rPr>
        <w:t>月</w:t>
      </w:r>
      <w:r>
        <w:rPr>
          <w:rFonts w:hint="eastAsia" w:ascii="宋体" w:hAnsi="宋体"/>
          <w:color w:val="auto"/>
          <w:highlight w:val="none"/>
          <w:lang w:val="en-US" w:eastAsia="zh-CN"/>
        </w:rPr>
        <w:t>09</w:t>
      </w:r>
      <w:r>
        <w:rPr>
          <w:rFonts w:hint="eastAsia" w:ascii="宋体" w:hAnsi="宋体"/>
          <w:color w:val="auto"/>
          <w:highlight w:val="none"/>
        </w:rPr>
        <w:t>日至</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01</w:t>
      </w:r>
      <w:r>
        <w:rPr>
          <w:rFonts w:hint="eastAsia" w:ascii="宋体" w:hAnsi="宋体"/>
          <w:color w:val="auto"/>
          <w:highlight w:val="none"/>
        </w:rPr>
        <w:t>月</w:t>
      </w:r>
      <w:r>
        <w:rPr>
          <w:rFonts w:hint="eastAsia" w:ascii="宋体" w:hAnsi="宋体"/>
          <w:color w:val="auto"/>
          <w:highlight w:val="none"/>
          <w:lang w:val="en-US" w:eastAsia="zh-CN"/>
        </w:rPr>
        <w:t>15</w:t>
      </w:r>
      <w:r>
        <w:rPr>
          <w:rFonts w:hint="eastAsia" w:ascii="宋体" w:hAnsi="宋体"/>
          <w:color w:val="auto"/>
          <w:highlight w:val="none"/>
        </w:rPr>
        <w:t>日期间（办公时间内，法定节假日除外）到广州市信怡招标代理有限公司（详细地址：广州市海珠区红卫新村西路29号UP智谷D栋503房）购买竞争性磋商文件，竞争性磋商文件每套售价500元（人民币），售后不退。</w:t>
      </w:r>
    </w:p>
    <w:p>
      <w:pPr>
        <w:pStyle w:val="37"/>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磋商响应文件递交截止时间：</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01</w:t>
      </w:r>
      <w:r>
        <w:rPr>
          <w:rFonts w:hint="eastAsia" w:ascii="宋体" w:hAnsi="宋体"/>
          <w:color w:val="auto"/>
          <w:highlight w:val="none"/>
        </w:rPr>
        <w:t>月</w:t>
      </w:r>
      <w:r>
        <w:rPr>
          <w:rFonts w:hint="eastAsia" w:ascii="宋体" w:hAnsi="宋体"/>
          <w:color w:val="auto"/>
          <w:highlight w:val="none"/>
          <w:lang w:val="en-US" w:eastAsia="zh-CN"/>
        </w:rPr>
        <w:t>19</w:t>
      </w:r>
      <w:r>
        <w:rPr>
          <w:rFonts w:hint="eastAsia" w:ascii="宋体" w:hAnsi="宋体"/>
          <w:color w:val="auto"/>
          <w:highlight w:val="none"/>
        </w:rPr>
        <w:t>日</w:t>
      </w:r>
      <w:r>
        <w:rPr>
          <w:rFonts w:hint="eastAsia" w:ascii="宋体" w:hAnsi="宋体"/>
          <w:color w:val="auto"/>
          <w:highlight w:val="none"/>
          <w:lang w:val="en-US" w:eastAsia="zh-CN"/>
        </w:rPr>
        <w:t>14</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 。</w:t>
      </w:r>
    </w:p>
    <w:p>
      <w:pPr>
        <w:pStyle w:val="37"/>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磋商响应文件递交地点：广州市海珠区红卫新村西路29号UP智谷D栋503房。</w:t>
      </w:r>
    </w:p>
    <w:p>
      <w:pPr>
        <w:pStyle w:val="37"/>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磋商时间：</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01</w:t>
      </w:r>
      <w:r>
        <w:rPr>
          <w:rFonts w:hint="eastAsia" w:ascii="宋体" w:hAnsi="宋体"/>
          <w:color w:val="auto"/>
          <w:highlight w:val="none"/>
        </w:rPr>
        <w:t>月</w:t>
      </w:r>
      <w:r>
        <w:rPr>
          <w:rFonts w:hint="eastAsia" w:ascii="宋体" w:hAnsi="宋体"/>
          <w:color w:val="auto"/>
          <w:highlight w:val="none"/>
          <w:lang w:val="en-US" w:eastAsia="zh-CN"/>
        </w:rPr>
        <w:t>19</w:t>
      </w:r>
      <w:r>
        <w:rPr>
          <w:rFonts w:hint="eastAsia" w:ascii="宋体" w:hAnsi="宋体"/>
          <w:color w:val="auto"/>
          <w:highlight w:val="none"/>
        </w:rPr>
        <w:t>日</w:t>
      </w:r>
      <w:r>
        <w:rPr>
          <w:rFonts w:hint="eastAsia" w:ascii="宋体" w:hAnsi="宋体"/>
          <w:color w:val="auto"/>
          <w:highlight w:val="none"/>
          <w:lang w:val="en-US" w:eastAsia="zh-CN"/>
        </w:rPr>
        <w:t>14</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 。</w:t>
      </w:r>
    </w:p>
    <w:p>
      <w:pPr>
        <w:pStyle w:val="37"/>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磋商地点：广州市海珠区红卫新村西路29号UP智谷D栋503房。</w:t>
      </w:r>
    </w:p>
    <w:p>
      <w:pPr>
        <w:pStyle w:val="37"/>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本公告期限（3个工作日）自</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01</w:t>
      </w:r>
      <w:r>
        <w:rPr>
          <w:rFonts w:hint="eastAsia" w:ascii="宋体" w:hAnsi="宋体"/>
          <w:color w:val="auto"/>
          <w:highlight w:val="none"/>
        </w:rPr>
        <w:t>月</w:t>
      </w:r>
      <w:r>
        <w:rPr>
          <w:rFonts w:hint="eastAsia" w:ascii="宋体" w:hAnsi="宋体"/>
          <w:color w:val="auto"/>
          <w:highlight w:val="none"/>
          <w:lang w:val="en-US" w:eastAsia="zh-CN"/>
        </w:rPr>
        <w:t>09</w:t>
      </w:r>
      <w:r>
        <w:rPr>
          <w:rFonts w:hint="eastAsia" w:ascii="宋体" w:hAnsi="宋体"/>
          <w:color w:val="auto"/>
          <w:highlight w:val="none"/>
        </w:rPr>
        <w:t>日至</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01</w:t>
      </w:r>
      <w:r>
        <w:rPr>
          <w:rFonts w:hint="eastAsia" w:ascii="宋体" w:hAnsi="宋体"/>
          <w:color w:val="auto"/>
          <w:highlight w:val="none"/>
        </w:rPr>
        <w:t>月</w:t>
      </w:r>
      <w:r>
        <w:rPr>
          <w:rFonts w:hint="eastAsia" w:ascii="宋体" w:hAnsi="宋体"/>
          <w:color w:val="auto"/>
          <w:highlight w:val="none"/>
          <w:lang w:val="en-US" w:eastAsia="zh-CN"/>
        </w:rPr>
        <w:t>13</w:t>
      </w:r>
      <w:bookmarkStart w:id="371" w:name="_GoBack"/>
      <w:bookmarkEnd w:id="371"/>
      <w:r>
        <w:rPr>
          <w:rFonts w:hint="eastAsia" w:ascii="宋体" w:hAnsi="宋体"/>
          <w:color w:val="auto"/>
          <w:highlight w:val="none"/>
        </w:rPr>
        <w:t>日止。</w:t>
      </w:r>
    </w:p>
    <w:p>
      <w:pPr>
        <w:pStyle w:val="37"/>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竞争性磋商文件下载地址：广州市信怡招标代理有限公司网站（www.gzxyzb.com）。</w:t>
      </w:r>
    </w:p>
    <w:p>
      <w:pPr>
        <w:pStyle w:val="37"/>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联系事项</w:t>
      </w:r>
    </w:p>
    <w:p>
      <w:pPr>
        <w:widowControl/>
        <w:adjustRightInd w:val="0"/>
        <w:snapToGrid w:val="0"/>
        <w:spacing w:before="100" w:beforeAutospacing="1" w:after="100" w:afterAutospacing="1" w:line="480" w:lineRule="auto"/>
        <w:ind w:left="5880" w:hanging="5880" w:hangingChars="2800"/>
        <w:jc w:val="left"/>
        <w:rPr>
          <w:rFonts w:hint="eastAsia" w:ascii="宋体" w:hAnsi="宋体" w:eastAsia="宋体" w:cs="宋体"/>
          <w:color w:val="auto"/>
          <w:szCs w:val="21"/>
          <w:highlight w:val="none"/>
        </w:rPr>
      </w:pPr>
      <w:r>
        <w:rPr>
          <w:rFonts w:hint="eastAsia" w:ascii="宋体" w:hAnsi="宋体"/>
          <w:color w:val="auto"/>
          <w:szCs w:val="21"/>
          <w:highlight w:val="none"/>
        </w:rPr>
        <w:t>（一）采购人：</w:t>
      </w:r>
      <w:r>
        <w:rPr>
          <w:rFonts w:hint="eastAsia" w:ascii="宋体" w:hAnsi="宋体"/>
          <w:color w:val="auto"/>
          <w:szCs w:val="21"/>
          <w:highlight w:val="none"/>
          <w:lang w:eastAsia="zh-CN"/>
        </w:rPr>
        <w:t>广东省农业科学院动物卫生研究所</w:t>
      </w:r>
      <w:r>
        <w:rPr>
          <w:rFonts w:hint="eastAsia" w:ascii="宋体" w:hAnsi="宋体"/>
          <w:color w:val="auto"/>
          <w:szCs w:val="21"/>
          <w:highlight w:val="none"/>
        </w:rPr>
        <w:t xml:space="preserve">        地址：</w:t>
      </w:r>
      <w:r>
        <w:rPr>
          <w:rFonts w:hint="eastAsia" w:ascii="宋体" w:hAnsi="宋体" w:eastAsia="宋体" w:cs="宋体"/>
          <w:color w:val="auto"/>
          <w:szCs w:val="21"/>
          <w:highlight w:val="none"/>
        </w:rPr>
        <w:t>广州市天河区五山白石岗</w:t>
      </w:r>
    </w:p>
    <w:p>
      <w:pPr>
        <w:widowControl/>
        <w:adjustRightInd w:val="0"/>
        <w:snapToGrid w:val="0"/>
        <w:spacing w:before="100" w:beforeAutospacing="1" w:after="100" w:afterAutospacing="1" w:line="480" w:lineRule="auto"/>
        <w:ind w:left="420" w:leftChars="200" w:firstLine="315" w:firstLineChars="150"/>
        <w:jc w:val="lef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罗主任</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020-85291371</w:t>
      </w:r>
    </w:p>
    <w:p>
      <w:pPr>
        <w:widowControl/>
        <w:adjustRightInd w:val="0"/>
        <w:snapToGrid w:val="0"/>
        <w:spacing w:before="100" w:beforeAutospacing="1" w:after="100" w:afterAutospacing="1" w:line="480" w:lineRule="auto"/>
        <w:ind w:left="420" w:leftChars="200" w:firstLine="315" w:firstLineChars="150"/>
        <w:jc w:val="left"/>
        <w:rPr>
          <w:rFonts w:hint="eastAsia" w:ascii="宋体" w:hAnsi="宋体"/>
          <w:color w:val="auto"/>
          <w:szCs w:val="21"/>
          <w:highlight w:val="none"/>
        </w:rPr>
      </w:pPr>
      <w:r>
        <w:rPr>
          <w:rFonts w:hint="eastAsia" w:ascii="宋体" w:hAnsi="宋体"/>
          <w:color w:val="auto"/>
          <w:szCs w:val="21"/>
          <w:highlight w:val="none"/>
        </w:rPr>
        <w:t>传真：020-85291478</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邮编：510800 </w:t>
      </w:r>
    </w:p>
    <w:p>
      <w:pPr>
        <w:widowControl/>
        <w:adjustRightInd w:val="0"/>
        <w:snapToGrid w:val="0"/>
        <w:spacing w:before="100" w:beforeAutospacing="1" w:after="100" w:afterAutospacing="1" w:line="480" w:lineRule="auto"/>
        <w:ind w:left="5775" w:hanging="5775" w:hangingChars="2750"/>
        <w:rPr>
          <w:rFonts w:ascii="宋体" w:hAnsi="宋体"/>
          <w:color w:val="auto"/>
          <w:szCs w:val="21"/>
          <w:highlight w:val="none"/>
        </w:rPr>
      </w:pPr>
      <w:r>
        <w:rPr>
          <w:rFonts w:hint="eastAsia" w:ascii="宋体" w:hAnsi="宋体"/>
          <w:color w:val="auto"/>
          <w:szCs w:val="21"/>
          <w:highlight w:val="none"/>
        </w:rPr>
        <w:t>（二）采购代理机构：广州市信怡招标代理有限公司    地址：广州市海珠区红卫新村西路29号UP智谷D栋503房</w:t>
      </w:r>
    </w:p>
    <w:p>
      <w:pPr>
        <w:widowControl/>
        <w:adjustRightInd w:val="0"/>
        <w:snapToGrid w:val="0"/>
        <w:spacing w:before="100" w:beforeAutospacing="1" w:after="100" w:afterAutospacing="1" w:line="480" w:lineRule="auto"/>
        <w:ind w:left="420" w:leftChars="200" w:firstLine="315" w:firstLineChars="150"/>
        <w:jc w:val="left"/>
        <w:rPr>
          <w:rFonts w:ascii="宋体"/>
          <w:color w:val="auto"/>
          <w:highlight w:val="none"/>
        </w:rPr>
      </w:pPr>
      <w:r>
        <w:rPr>
          <w:rFonts w:hint="eastAsia" w:ascii="宋体"/>
          <w:color w:val="auto"/>
          <w:highlight w:val="none"/>
        </w:rPr>
        <w:t>联系人：</w:t>
      </w:r>
      <w:r>
        <w:rPr>
          <w:rFonts w:hint="eastAsia" w:ascii="宋体" w:hAnsi="宋体"/>
          <w:color w:val="auto"/>
          <w:szCs w:val="21"/>
          <w:highlight w:val="none"/>
        </w:rPr>
        <w:t>陈小姐</w:t>
      </w:r>
      <w:r>
        <w:rPr>
          <w:rFonts w:hint="eastAsia" w:ascii="宋体"/>
          <w:color w:val="auto"/>
          <w:highlight w:val="none"/>
        </w:rPr>
        <w:t xml:space="preserve">                              联系电话：020-89001297</w:t>
      </w:r>
    </w:p>
    <w:p>
      <w:pPr>
        <w:widowControl/>
        <w:adjustRightInd w:val="0"/>
        <w:snapToGrid w:val="0"/>
        <w:spacing w:before="100" w:beforeAutospacing="1" w:after="100" w:afterAutospacing="1" w:line="480" w:lineRule="auto"/>
        <w:ind w:left="420" w:leftChars="200" w:firstLine="315" w:firstLineChars="150"/>
        <w:jc w:val="left"/>
        <w:rPr>
          <w:rFonts w:ascii="宋体" w:hAnsi="宋体" w:cs="宋体"/>
          <w:color w:val="auto"/>
          <w:kern w:val="0"/>
          <w:szCs w:val="21"/>
          <w:highlight w:val="none"/>
        </w:rPr>
      </w:pPr>
      <w:r>
        <w:rPr>
          <w:rFonts w:hint="eastAsia" w:ascii="宋体" w:hAnsi="宋体"/>
          <w:color w:val="auto"/>
          <w:szCs w:val="21"/>
          <w:highlight w:val="none"/>
        </w:rPr>
        <w:t>传真：</w:t>
      </w:r>
      <w:r>
        <w:rPr>
          <w:rFonts w:hint="eastAsia" w:ascii="宋体"/>
          <w:color w:val="auto"/>
          <w:highlight w:val="none"/>
        </w:rPr>
        <w:t>020-89001292</w:t>
      </w:r>
      <w:r>
        <w:rPr>
          <w:rFonts w:hint="eastAsia" w:ascii="宋体" w:hAnsi="宋体"/>
          <w:color w:val="auto"/>
          <w:szCs w:val="21"/>
          <w:highlight w:val="none"/>
        </w:rPr>
        <w:t xml:space="preserve">                          邮编：</w:t>
      </w:r>
      <w:r>
        <w:rPr>
          <w:rFonts w:hint="eastAsia" w:ascii="宋体" w:hAnsi="宋体" w:cs="宋体"/>
          <w:color w:val="auto"/>
          <w:kern w:val="0"/>
          <w:szCs w:val="21"/>
          <w:highlight w:val="none"/>
        </w:rPr>
        <w:t>510315</w:t>
      </w:r>
    </w:p>
    <w:p>
      <w:pPr>
        <w:pStyle w:val="37"/>
        <w:numPr>
          <w:ilvl w:val="0"/>
          <w:numId w:val="4"/>
        </w:numPr>
        <w:adjustRightInd w:val="0"/>
        <w:snapToGrid w:val="0"/>
        <w:spacing w:after="0" w:line="480" w:lineRule="auto"/>
        <w:ind w:left="0" w:leftChars="0"/>
        <w:rPr>
          <w:rFonts w:ascii="宋体"/>
          <w:color w:val="auto"/>
          <w:highlight w:val="none"/>
        </w:rPr>
      </w:pPr>
      <w:r>
        <w:rPr>
          <w:rFonts w:hint="eastAsia" w:ascii="宋体" w:hAnsi="宋体" w:cs="宋体"/>
          <w:color w:val="auto"/>
          <w:kern w:val="0"/>
          <w:szCs w:val="21"/>
          <w:highlight w:val="none"/>
        </w:rPr>
        <w:t>采购项目联系人：</w:t>
      </w:r>
      <w:r>
        <w:rPr>
          <w:rFonts w:hint="eastAsia" w:ascii="宋体" w:hAnsi="宋体"/>
          <w:color w:val="auto"/>
          <w:szCs w:val="21"/>
          <w:highlight w:val="none"/>
        </w:rPr>
        <w:t>陈小姐</w:t>
      </w:r>
      <w:r>
        <w:rPr>
          <w:rFonts w:hint="eastAsia" w:ascii="宋体"/>
          <w:color w:val="auto"/>
          <w:highlight w:val="none"/>
        </w:rPr>
        <w:t xml:space="preserve">                       </w:t>
      </w:r>
      <w:r>
        <w:rPr>
          <w:rFonts w:hint="eastAsia" w:ascii="宋体" w:hAnsi="宋体"/>
          <w:color w:val="auto"/>
          <w:szCs w:val="21"/>
          <w:highlight w:val="none"/>
        </w:rPr>
        <w:t>联系电话：</w:t>
      </w:r>
      <w:r>
        <w:rPr>
          <w:rFonts w:ascii="宋体" w:hAnsi="宋体"/>
          <w:color w:val="auto"/>
          <w:szCs w:val="21"/>
          <w:highlight w:val="none"/>
        </w:rPr>
        <w:t>020-8900129</w:t>
      </w:r>
      <w:r>
        <w:rPr>
          <w:rFonts w:hint="eastAsia" w:ascii="宋体" w:hAnsi="宋体"/>
          <w:color w:val="auto"/>
          <w:szCs w:val="21"/>
          <w:highlight w:val="none"/>
        </w:rPr>
        <w:t>7</w:t>
      </w:r>
    </w:p>
    <w:p>
      <w:pPr>
        <w:pStyle w:val="37"/>
        <w:adjustRightInd w:val="0"/>
        <w:snapToGrid w:val="0"/>
        <w:spacing w:line="480" w:lineRule="auto"/>
        <w:jc w:val="right"/>
        <w:rPr>
          <w:rFonts w:ascii="宋体" w:hAnsi="宋体"/>
          <w:color w:val="auto"/>
          <w:highlight w:val="none"/>
        </w:rPr>
      </w:pPr>
    </w:p>
    <w:p>
      <w:pPr>
        <w:pStyle w:val="37"/>
        <w:adjustRightInd w:val="0"/>
        <w:snapToGrid w:val="0"/>
        <w:spacing w:line="480" w:lineRule="auto"/>
        <w:jc w:val="right"/>
        <w:rPr>
          <w:rFonts w:ascii="宋体" w:hAnsi="宋体"/>
          <w:color w:val="auto"/>
          <w:highlight w:val="none"/>
        </w:rPr>
      </w:pPr>
      <w:r>
        <w:rPr>
          <w:rFonts w:hint="eastAsia" w:ascii="宋体" w:hAnsi="宋体"/>
          <w:color w:val="auto"/>
          <w:highlight w:val="none"/>
        </w:rPr>
        <w:t>发布人：广州市信怡招标代理有限公司</w:t>
      </w:r>
    </w:p>
    <w:p>
      <w:pPr>
        <w:pStyle w:val="37"/>
        <w:wordWrap w:val="0"/>
        <w:adjustRightInd w:val="0"/>
        <w:snapToGrid w:val="0"/>
        <w:spacing w:line="480" w:lineRule="auto"/>
        <w:ind w:right="210"/>
        <w:jc w:val="right"/>
        <w:rPr>
          <w:color w:val="auto"/>
          <w:highlight w:val="none"/>
        </w:rPr>
        <w:sectPr>
          <w:footerReference r:id="rId13" w:type="first"/>
          <w:footerReference r:id="rId12" w:type="default"/>
          <w:pgSz w:w="11906" w:h="16838"/>
          <w:pgMar w:top="567" w:right="1304" w:bottom="567" w:left="1361" w:header="567" w:footer="737" w:gutter="0"/>
          <w:pgNumType w:start="1"/>
          <w:cols w:space="720" w:num="1"/>
          <w:titlePg/>
          <w:docGrid w:linePitch="312" w:charSpace="0"/>
        </w:sectPr>
      </w:pPr>
      <w:r>
        <w:rPr>
          <w:rFonts w:hint="eastAsia" w:cs="宋体"/>
          <w:color w:val="auto"/>
          <w:kern w:val="0"/>
          <w:szCs w:val="21"/>
          <w:highlight w:val="none"/>
        </w:rPr>
        <w:t>发布时间：</w:t>
      </w: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01</w:t>
      </w:r>
      <w:r>
        <w:rPr>
          <w:rFonts w:hint="eastAsia"/>
          <w:color w:val="auto"/>
          <w:highlight w:val="none"/>
        </w:rPr>
        <w:t>月</w:t>
      </w:r>
      <w:r>
        <w:rPr>
          <w:rFonts w:hint="eastAsia"/>
          <w:color w:val="auto"/>
          <w:highlight w:val="none"/>
          <w:lang w:val="en-US" w:eastAsia="zh-CN"/>
        </w:rPr>
        <w:t>08</w:t>
      </w:r>
      <w:r>
        <w:rPr>
          <w:rFonts w:hint="eastAsia"/>
          <w:color w:val="auto"/>
          <w:highlight w:val="none"/>
        </w:rPr>
        <w:t>日</w:t>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5"/>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此项目不收取保证金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收取</w:t>
            </w: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方式</w:t>
            </w:r>
          </w:p>
        </w:tc>
        <w:tc>
          <w:tcPr>
            <w:tcW w:w="6234"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以支票或者金融机构、担保机构出具的保函等非现金形式提交。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投标保证金递交时间</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s="宋体"/>
                <w:color w:val="auto"/>
                <w:szCs w:val="21"/>
                <w:highlight w:val="none"/>
              </w:rPr>
              <w:t>与投标（响应）截止时间一致（用转账方式提交的以到账时间为准）。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保证金汇入户址</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收款单位名称：广州市信怡招标代理有限公司</w:t>
            </w:r>
          </w:p>
          <w:p>
            <w:pPr>
              <w:jc w:val="left"/>
              <w:rPr>
                <w:rFonts w:ascii="宋体" w:hAnsi="宋体" w:cs="宋体"/>
                <w:color w:val="auto"/>
                <w:szCs w:val="21"/>
                <w:highlight w:val="none"/>
              </w:rPr>
            </w:pPr>
            <w:r>
              <w:rPr>
                <w:rFonts w:hint="eastAsia" w:ascii="宋体" w:hAnsi="宋体" w:cs="宋体"/>
                <w:color w:val="auto"/>
                <w:szCs w:val="21"/>
                <w:highlight w:val="none"/>
              </w:rPr>
              <w:t>开 户 银 行：中国工商银行股份有限公司广州大塘支行</w:t>
            </w:r>
          </w:p>
          <w:p>
            <w:pPr>
              <w:jc w:val="left"/>
              <w:rPr>
                <w:rFonts w:ascii="宋体" w:hAnsi="宋体"/>
                <w:color w:val="auto"/>
                <w:szCs w:val="21"/>
                <w:highlight w:val="none"/>
              </w:rPr>
            </w:pPr>
            <w:r>
              <w:rPr>
                <w:rFonts w:hint="eastAsia" w:ascii="宋体" w:hAnsi="宋体" w:cs="宋体"/>
                <w:color w:val="auto"/>
                <w:szCs w:val="21"/>
                <w:highlight w:val="none"/>
              </w:rPr>
              <w:t>账 号：3602089919200060023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ascii="宋体" w:hAnsi="宋体"/>
                <w:bCs/>
                <w:color w:val="auto"/>
                <w:szCs w:val="21"/>
                <w:highlight w:val="none"/>
              </w:rPr>
            </w:pPr>
            <w:r>
              <w:rPr>
                <w:rFonts w:hint="eastAsia" w:ascii="宋体" w:hAnsi="宋体" w:eastAsia="宋体" w:cs="宋体"/>
                <w:color w:val="auto"/>
                <w:szCs w:val="21"/>
                <w:highlight w:val="none"/>
              </w:rPr>
              <w:t>采用《政府采购投标担保函》提交的，应符合下列规定</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tabs>
                <w:tab w:val="left" w:pos="1164"/>
              </w:tabs>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投标担保可采用银行保函、专业担保公司的保证。</w:t>
            </w:r>
          </w:p>
          <w:p>
            <w:pPr>
              <w:keepNext w:val="0"/>
              <w:keepLines w:val="0"/>
              <w:suppressLineNumbers w:val="0"/>
              <w:tabs>
                <w:tab w:val="left" w:pos="1164"/>
              </w:tabs>
              <w:spacing w:before="0" w:beforeAutospacing="0" w:after="0" w:afterAutospacing="0" w:line="360" w:lineRule="auto"/>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（2）有效期超过投标有效期30天；</w:t>
            </w:r>
          </w:p>
          <w:p>
            <w:pPr>
              <w:keepNext w:val="0"/>
              <w:keepLines w:val="0"/>
              <w:suppressLineNumbers w:val="0"/>
              <w:spacing w:before="0" w:beforeAutospacing="0" w:after="0" w:afterAutospacing="0"/>
              <w:ind w:left="0" w:leftChars="0" w:right="0" w:rightChars="0"/>
              <w:rPr>
                <w:rFonts w:ascii="宋体" w:hAnsi="宋体"/>
                <w:color w:val="auto"/>
                <w:szCs w:val="21"/>
                <w:highlight w:val="none"/>
              </w:rPr>
            </w:pPr>
            <w:r>
              <w:rPr>
                <w:rFonts w:hint="eastAsia" w:ascii="宋体" w:hAnsi="宋体" w:eastAsia="宋体" w:cs="宋体"/>
                <w:b/>
                <w:bCs/>
                <w:color w:val="auto"/>
                <w:szCs w:val="21"/>
                <w:highlight w:val="none"/>
              </w:rPr>
              <w:t>（3）采用其他方式提交投标保证金的，不需要提交《政府采购投标担保函》。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eastAsia="宋体" w:cs="宋体"/>
                <w:color w:val="auto"/>
                <w:szCs w:val="21"/>
                <w:highlight w:val="none"/>
              </w:rPr>
              <w:t>招标代理服务费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eastAsia="宋体" w:cs="宋体"/>
                <w:color w:val="auto"/>
                <w:szCs w:val="21"/>
                <w:highlight w:val="none"/>
                <w:lang w:eastAsia="zh-CN"/>
              </w:rPr>
              <w:t>本项目招标代理服务费为陆仟元整。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eastAsia="宋体" w:cs="宋体"/>
                <w:color w:val="auto"/>
                <w:szCs w:val="21"/>
                <w:highlight w:val="none"/>
              </w:rPr>
              <w:t>采购代理服务费及专家费支付方式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成交供应商在领取《成交通知书》前直接一次性向采购代理机构足额支付</w:t>
            </w:r>
            <w:r>
              <w:rPr>
                <w:rFonts w:hint="eastAsia" w:ascii="宋体" w:hAnsi="宋体"/>
                <w:color w:val="auto"/>
                <w:szCs w:val="21"/>
                <w:highlight w:val="none"/>
                <w:lang w:eastAsia="zh-CN"/>
              </w:rPr>
              <w:t>采购</w:t>
            </w:r>
            <w:r>
              <w:rPr>
                <w:rFonts w:hint="eastAsia" w:ascii="宋体" w:hAnsi="宋体" w:eastAsia="宋体" w:cs="宋体"/>
                <w:color w:val="auto"/>
                <w:szCs w:val="21"/>
                <w:highlight w:val="none"/>
              </w:rPr>
              <w:t>代理服务费及专家费（专家费按实结算）。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322680342"/>
      <w:bookmarkStart w:id="32" w:name="_Toc315793450"/>
      <w:bookmarkStart w:id="33" w:name="_Toc320515016"/>
      <w:bookmarkStart w:id="34" w:name="_Toc323110975"/>
      <w:bookmarkStart w:id="35" w:name="_Toc320515065"/>
      <w:bookmarkStart w:id="36" w:name="_Toc363737682"/>
      <w:bookmarkStart w:id="37" w:name="_Toc475104468"/>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38" w:name="_Toc315793451"/>
      <w:bookmarkStart w:id="39" w:name="_Toc475104469"/>
      <w:bookmarkStart w:id="40" w:name="_Toc323110976"/>
      <w:bookmarkStart w:id="41" w:name="_Toc363737683"/>
      <w:bookmarkStart w:id="42" w:name="_Toc320515066"/>
      <w:bookmarkStart w:id="43" w:name="_Toc322680343"/>
      <w:bookmarkStart w:id="44" w:name="_Toc320515017"/>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7"/>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45" w:name="_Toc363737684"/>
      <w:bookmarkStart w:id="46" w:name="_Toc475104470"/>
      <w:bookmarkStart w:id="47" w:name="_Toc322680344"/>
      <w:bookmarkStart w:id="48" w:name="_Toc320515018"/>
      <w:bookmarkStart w:id="49" w:name="_Toc320515067"/>
      <w:bookmarkStart w:id="50" w:name="_Toc323110977"/>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广东省农业科学院动物卫生研究所</w:t>
      </w:r>
      <w:r>
        <w:rPr>
          <w:rFonts w:hint="eastAsia" w:ascii="宋体" w:hAnsi="宋体"/>
          <w:color w:val="auto"/>
          <w:szCs w:val="21"/>
          <w:highlight w:val="none"/>
        </w:rPr>
        <w:t>。</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51" w:name="_Toc363737685"/>
      <w:bookmarkStart w:id="52" w:name="_Toc320515019"/>
      <w:bookmarkStart w:id="53" w:name="_Toc315793453"/>
      <w:bookmarkStart w:id="54" w:name="_Toc322680345"/>
      <w:bookmarkStart w:id="55" w:name="_Toc320515068"/>
      <w:bookmarkStart w:id="56" w:name="_Toc475104471"/>
      <w:bookmarkStart w:id="57" w:name="_Toc323110978"/>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58" w:name="_Toc475104472"/>
      <w:bookmarkStart w:id="59" w:name="_Toc333236630"/>
      <w:bookmarkStart w:id="60" w:name="_Toc363737686"/>
      <w:bookmarkStart w:id="61" w:name="_Toc323110980"/>
      <w:bookmarkStart w:id="62" w:name="_Toc315793455"/>
      <w:bookmarkStart w:id="63" w:name="_Toc320515021"/>
      <w:bookmarkStart w:id="64" w:name="_Toc320515070"/>
      <w:bookmarkStart w:id="65" w:name="_Toc322680347"/>
      <w:r>
        <w:rPr>
          <w:rFonts w:hint="eastAsia" w:ascii="宋体" w:hAnsi="宋体"/>
          <w:b/>
          <w:bCs/>
          <w:color w:val="auto"/>
          <w:sz w:val="24"/>
          <w:highlight w:val="none"/>
        </w:rPr>
        <w:t>合格的服务和货物</w:t>
      </w:r>
      <w:bookmarkEnd w:id="58"/>
      <w:bookmarkEnd w:id="59"/>
      <w:bookmarkEnd w:id="60"/>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66" w:name="_Toc363737687"/>
      <w:bookmarkStart w:id="67" w:name="_Toc475104473"/>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7"/>
        </w:numPr>
        <w:autoSpaceDE w:val="0"/>
        <w:autoSpaceDN w:val="0"/>
        <w:adjustRightInd w:val="0"/>
        <w:snapToGrid w:val="0"/>
        <w:spacing w:line="360" w:lineRule="auto"/>
        <w:jc w:val="left"/>
        <w:rPr>
          <w:rFonts w:ascii="宋体" w:hAnsi="宋体"/>
          <w:b/>
          <w:bCs/>
          <w:color w:val="auto"/>
          <w:szCs w:val="21"/>
          <w:highlight w:val="none"/>
        </w:rPr>
      </w:pPr>
      <w:bookmarkStart w:id="68" w:name="_Toc322680348"/>
      <w:bookmarkStart w:id="69" w:name="_Toc320515071"/>
      <w:bookmarkStart w:id="70" w:name="_Toc323110981"/>
      <w:bookmarkStart w:id="71" w:name="_Toc320515022"/>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74" w:name="_Toc315793458"/>
      <w:bookmarkStart w:id="75" w:name="_Toc320515024"/>
      <w:bookmarkStart w:id="76" w:name="_Toc475104475"/>
      <w:bookmarkStart w:id="77" w:name="_Toc363737689"/>
      <w:bookmarkStart w:id="78" w:name="_Toc320515073"/>
      <w:bookmarkStart w:id="79" w:name="_Toc323110983"/>
      <w:bookmarkStart w:id="80" w:name="_Toc322680350"/>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7"/>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81" w:name="_Toc322680351"/>
      <w:bookmarkStart w:id="82" w:name="_Toc475104476"/>
      <w:bookmarkStart w:id="83" w:name="_Toc315793459"/>
      <w:bookmarkStart w:id="84" w:name="_Toc320515074"/>
      <w:bookmarkStart w:id="85" w:name="_Toc363737690"/>
      <w:bookmarkStart w:id="86" w:name="_Toc320515025"/>
      <w:bookmarkStart w:id="87" w:name="_Toc323110984"/>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88" w:name="_Toc475104477"/>
      <w:bookmarkStart w:id="89" w:name="_Toc322680352"/>
      <w:bookmarkStart w:id="90" w:name="_Toc320515075"/>
      <w:bookmarkStart w:id="91" w:name="_Toc363737691"/>
      <w:bookmarkStart w:id="92" w:name="_Toc315793460"/>
      <w:bookmarkStart w:id="93" w:name="_Toc323110985"/>
      <w:bookmarkStart w:id="94" w:name="_Toc320515026"/>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7"/>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5"/>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95" w:name="_Toc315793461"/>
      <w:bookmarkStart w:id="96" w:name="_Toc363737692"/>
      <w:bookmarkStart w:id="97" w:name="_Toc475104478"/>
      <w:bookmarkStart w:id="98" w:name="_Toc320515027"/>
      <w:bookmarkStart w:id="99" w:name="_Toc323110986"/>
      <w:bookmarkStart w:id="100" w:name="_Toc320515076"/>
      <w:bookmarkStart w:id="101" w:name="_Toc322680353"/>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02" w:name="_Toc320515077"/>
      <w:bookmarkStart w:id="103" w:name="_Toc315793462"/>
      <w:bookmarkStart w:id="104" w:name="_Toc320515028"/>
      <w:bookmarkStart w:id="105" w:name="_Toc323110987"/>
      <w:bookmarkStart w:id="106" w:name="_Toc475104479"/>
      <w:bookmarkStart w:id="107" w:name="_Toc363737693"/>
      <w:bookmarkStart w:id="108" w:name="_Toc322680354"/>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09" w:name="_Toc320515029"/>
      <w:bookmarkStart w:id="110" w:name="_Toc363737694"/>
      <w:bookmarkStart w:id="111" w:name="_Toc320515078"/>
      <w:bookmarkStart w:id="112" w:name="_Toc315793463"/>
      <w:bookmarkStart w:id="113" w:name="_Toc475104480"/>
      <w:bookmarkStart w:id="114" w:name="_Toc322680355"/>
      <w:bookmarkStart w:id="115" w:name="_Toc323110988"/>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7"/>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17" w:name="_Toc320515079"/>
      <w:bookmarkStart w:id="118" w:name="_Toc320515030"/>
      <w:bookmarkStart w:id="119" w:name="_Toc315793464"/>
      <w:bookmarkStart w:id="120" w:name="_Toc363737695"/>
      <w:bookmarkStart w:id="121" w:name="_Toc323110989"/>
      <w:bookmarkStart w:id="122" w:name="_Toc475104482"/>
      <w:bookmarkStart w:id="123" w:name="_Toc322680356"/>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7"/>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7"/>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24" w:name="_Toc323110990"/>
      <w:bookmarkStart w:id="125" w:name="_Toc475104483"/>
      <w:bookmarkStart w:id="126" w:name="_Toc363737696"/>
      <w:r>
        <w:rPr>
          <w:rFonts w:hint="eastAsia" w:ascii="宋体" w:hAnsi="宋体"/>
          <w:b/>
          <w:bCs/>
          <w:color w:val="auto"/>
          <w:sz w:val="24"/>
          <w:highlight w:val="none"/>
        </w:rPr>
        <w:t>竞争性磋商报价</w:t>
      </w:r>
      <w:bookmarkEnd w:id="124"/>
      <w:bookmarkEnd w:id="125"/>
      <w:bookmarkEnd w:id="126"/>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bookmarkStart w:id="127" w:name="_Toc315793468"/>
      <w:bookmarkStart w:id="128" w:name="_Toc320515032"/>
      <w:bookmarkStart w:id="129" w:name="_Toc320515081"/>
      <w:bookmarkStart w:id="130" w:name="_Toc322680358"/>
      <w:bookmarkStart w:id="131" w:name="_Toc32311099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报价为本次采购内容的总价包干响应报价即为合同价，不得在成交后提出任何增加费用要求，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可根据项目的实际情况增减（或变更）工程量，中标人不得拒绝。在变更过程中，一、凡清单内已有的计价项目，综合单价不予调整；二、清单内有类似项目（类似项目是指做法及计价程序均相同，仅主材品牌、规格、型号或颜色不同的），套用清单内类似项目的综合单价计价程序，套换主材单价计取综合单价，主材价格按广州市建设工程造价管理站同期《广州建设工程造价信息》材料综合价格计算，《广州建设工程造价信息》没有的，由采购人、中标人、监理单位按实际使用的厂家、品牌、规格、质量等结合市场行情进行确定；三、增减（变更）项目在清单内没有相同或类似项目的，综合单价按广州市建委颁布的现行有关定额、广州市建设工程造价管理站公布的施工时期材料信息，市政公用工程部分按《市政公用工程工程量清单计价规范》（GB50500-2013）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时期的《广州建设工程造价信息》中的常用材料税前综合价格部分计算，《广州建设工程造价信息》中没有的主材价格，由采购人、中标人、监理单位按实际使用的厂家、品牌、规格及质量等进行市场确定，取费标准中的利润按人工费的18%计取。变更部分的下浮率按投标下浮率（投标下浮率=（采购预算-中标价）÷采购预算×100%）作总价下浮计算，当下浮率不足8%时，按下浮率8%计算，但双方已经办理过定价手续的清单项目或主材所涉及费用不再参与下浮。没有上述计价依据的工程项目，由发包方和承包方协商。</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所报任何分部分项工程量清单项目的综合单价高于套用建设主管部门规定的相关专业定额价格的30%以上时，采购人有权认为此报价为恶意高价，在工程结算时，该项目的综合单价将按照本条第2）条款中“没有相同或相似工程项目的”处理办法进行予以结算。(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2）对于任一分部分项工程量清单项目，如因设计变更、方案调整等原因导致工程量偏差超过15%，则超过15%部分的综合单价按照下列规定调整结算分部分项工程费：(如有)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①当Q1﹥1.15Q0时，S=1.15Q0×P0+（Q1-1.15Q0）×P1,其中P1=0.9 P0</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②当Q1﹤0.85Q0时，S=Q1×P0 = Q1×P1, 其中P0=P1</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式中   S ——调整后的某一分部分项工程费结算价；</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Q1——最终完成的工程量；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Q0——工程量清单中开列的工程量；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P1——按照最终完成工程量重新调整后的综合单价；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P0——承包人在工程量清单中填报的综合单价。</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报价须充分综合考虑如下实际因素，投标人一旦中标，采购人不再因如下因素进行造价和工期的调整：a、本工程位于采购人科研的重要场所内，投标人须服从采购人因科研需要合理安排施工工序及施工时间和停电时间，确保施工工作不妨碍采购人的科研秩序；b、本工程相关材料检测和消防报验工作由投标人负责，相关费用由投标人在投标报价内综合考虑，采购人不再支付任何费用；c、本工程相关安全及材料检测工作由投标人负责，相关费用由投标人在投标报价内综合考虑，采购人不再支付任何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合同工程质量保修期 2年，结合具体工程要求如下：(如有)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五</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3)电气管线工程、给排水管道工程、设备安装工程为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4)供热、供冷系统工程为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 xml:space="preserve">个采暖期、供冷期；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保修期为竣工证书发出后的24个月</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32" w:name="_Toc363737697"/>
      <w:bookmarkStart w:id="133" w:name="_Toc475104484"/>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34" w:name="_Toc315793469"/>
      <w:bookmarkStart w:id="135" w:name="_Toc320515082"/>
      <w:bookmarkStart w:id="136" w:name="_Toc475104485"/>
      <w:bookmarkStart w:id="137" w:name="_Toc363737698"/>
      <w:bookmarkStart w:id="138" w:name="_Toc333236642"/>
      <w:bookmarkStart w:id="139" w:name="_Toc320515033"/>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7"/>
        </w:numPr>
        <w:autoSpaceDE w:val="0"/>
        <w:autoSpaceDN w:val="0"/>
        <w:adjustRightInd w:val="0"/>
        <w:snapToGrid w:val="0"/>
        <w:spacing w:line="360" w:lineRule="auto"/>
        <w:outlineLvl w:val="0"/>
        <w:rPr>
          <w:rFonts w:hint="eastAsia" w:ascii="宋体" w:hAnsi="宋体"/>
          <w:b/>
          <w:bCs/>
          <w:color w:val="auto"/>
          <w:sz w:val="24"/>
          <w:highlight w:val="none"/>
        </w:rPr>
      </w:pPr>
      <w:bookmarkStart w:id="141" w:name="_Toc363737699"/>
      <w:r>
        <w:rPr>
          <w:rFonts w:hint="eastAsia" w:ascii="宋体" w:hAnsi="宋体"/>
          <w:b/>
          <w:bCs/>
          <w:color w:val="auto"/>
          <w:sz w:val="24"/>
          <w:highlight w:val="none"/>
          <w:lang w:eastAsia="zh-CN"/>
        </w:rPr>
        <w:t>磋商</w:t>
      </w:r>
      <w:r>
        <w:rPr>
          <w:rFonts w:hint="eastAsia" w:ascii="宋体" w:hAnsi="宋体"/>
          <w:b/>
          <w:bCs/>
          <w:color w:val="auto"/>
          <w:sz w:val="24"/>
          <w:highlight w:val="none"/>
        </w:rPr>
        <w:t>保证金</w:t>
      </w:r>
    </w:p>
    <w:p>
      <w:pPr>
        <w:numPr>
          <w:ilvl w:val="1"/>
          <w:numId w:val="7"/>
        </w:numPr>
        <w:autoSpaceDE w:val="0"/>
        <w:autoSpaceDN w:val="0"/>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lang w:eastAsia="zh-TW"/>
        </w:rPr>
        <w:t>投标人应向采购代理机构交纳《投标人须知一览表》中规定金额的</w:t>
      </w:r>
      <w:r>
        <w:rPr>
          <w:rFonts w:hint="eastAsia" w:ascii="宋体" w:hAnsi="宋体" w:cs="宋体"/>
          <w:color w:val="auto"/>
          <w:szCs w:val="21"/>
          <w:highlight w:val="none"/>
        </w:rPr>
        <w:t>磋商保证金</w:t>
      </w:r>
      <w:r>
        <w:rPr>
          <w:rFonts w:hint="eastAsia" w:ascii="宋体" w:hAnsi="宋体" w:cs="宋体"/>
          <w:color w:val="auto"/>
          <w:szCs w:val="21"/>
          <w:highlight w:val="none"/>
          <w:lang w:eastAsia="zh-TW"/>
        </w:rPr>
        <w:t>，并作为其</w:t>
      </w:r>
      <w:r>
        <w:rPr>
          <w:rFonts w:hint="eastAsia" w:ascii="宋体" w:hAnsi="宋体" w:cs="宋体"/>
          <w:color w:val="auto"/>
          <w:szCs w:val="21"/>
          <w:highlight w:val="none"/>
        </w:rPr>
        <w:t>磋商文件</w:t>
      </w:r>
      <w:r>
        <w:rPr>
          <w:rFonts w:hint="eastAsia" w:ascii="宋体" w:hAnsi="宋体" w:cs="宋体"/>
          <w:color w:val="auto"/>
          <w:szCs w:val="21"/>
          <w:highlight w:val="none"/>
          <w:lang w:eastAsia="zh-TW"/>
        </w:rPr>
        <w:t>的组成部分。</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rPr>
        <w:t>磋商保证金为人民币，必须于《投标人须知一览表》中规定的时间以支票或者金融机构、担保机构出具的保函等非现金形式提交。磋商保证金作为供应商投标的组成部分，与磋商文件一同递交。</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磋商保证金应以投标人的名义转账。</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递交磋商文件时请将磋商保证金汇款声明函（加盖公章，格式详见第六章）封入“唱标信封”里。</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投标人未按上述规定交纳足额磋商保证金的，其磋商文件将被拒绝。</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代理机构应当在中标通知书发出后五个工作日内退还未中标投标人的磋商保证金，在采购合同签订后五个工作日内退还中标投标人的磋商保证金。在投标有效期内不能确定中标投标人的，在投标有效期满后五个工作日内，退回所有投标人的磋商保证金。</w:t>
      </w:r>
      <w:r>
        <w:rPr>
          <w:rFonts w:hint="eastAsia" w:ascii="宋体" w:hAnsi="宋体" w:cs="宋体"/>
          <w:color w:val="auto"/>
          <w:szCs w:val="21"/>
          <w:highlight w:val="none"/>
          <w:lang w:eastAsia="zh-TW"/>
        </w:rPr>
        <w:t>但因投标人自身原因导致无法及时退还的除外。</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bCs/>
          <w:color w:val="auto"/>
          <w:szCs w:val="21"/>
          <w:highlight w:val="none"/>
          <w:lang w:val="en-GB"/>
        </w:rPr>
        <w:t>所有</w:t>
      </w:r>
      <w:r>
        <w:rPr>
          <w:rFonts w:hint="eastAsia" w:ascii="宋体" w:hAnsi="宋体" w:cs="宋体"/>
          <w:bCs/>
          <w:color w:val="auto"/>
          <w:szCs w:val="21"/>
          <w:highlight w:val="none"/>
        </w:rPr>
        <w:t>投标人的磋商保证金以支票或转账的方式予以退还。</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中标人有下列情形之一的，采购代理机构不予退还其交纳的磋商保证金；情节严重的，由财政部门将其列入不良行为记录名单，在一至三年内禁止参加政府采购活动，并予以通报：</w:t>
      </w:r>
    </w:p>
    <w:p>
      <w:pPr>
        <w:numPr>
          <w:ilvl w:val="2"/>
          <w:numId w:val="7"/>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投标人在</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磋商文件；</w:t>
      </w:r>
    </w:p>
    <w:p>
      <w:pPr>
        <w:numPr>
          <w:ilvl w:val="2"/>
          <w:numId w:val="7"/>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依法取消中标资格的；</w:t>
      </w:r>
    </w:p>
    <w:p>
      <w:pPr>
        <w:numPr>
          <w:ilvl w:val="2"/>
          <w:numId w:val="7"/>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中标后无正当理由不与采购人或者采购代理机构签订合同的；</w:t>
      </w:r>
    </w:p>
    <w:p>
      <w:pPr>
        <w:numPr>
          <w:ilvl w:val="2"/>
          <w:numId w:val="7"/>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将中标项目转让给他人，或者在磋商文件中未说明，且未经采购招标机构同意，将中标项目分包给他人的；</w:t>
      </w:r>
    </w:p>
    <w:p>
      <w:pPr>
        <w:numPr>
          <w:ilvl w:val="2"/>
          <w:numId w:val="7"/>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拒绝履行合同义务的。</w:t>
      </w:r>
    </w:p>
    <w:p>
      <w:pPr>
        <w:numPr>
          <w:ilvl w:val="1"/>
          <w:numId w:val="7"/>
        </w:numPr>
        <w:tabs>
          <w:tab w:val="left" w:pos="735"/>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highlight w:val="none"/>
        </w:rPr>
        <w:t>采用《政府采购投标担保函》提交的，应符合下列规定：</w:t>
      </w:r>
    </w:p>
    <w:p>
      <w:pPr>
        <w:tabs>
          <w:tab w:val="left" w:pos="1164"/>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（1）投标担保可采用银行保函、专业担保公司的保证</w:t>
      </w:r>
      <w:r>
        <w:rPr>
          <w:rFonts w:hint="eastAsia" w:ascii="宋体" w:hAnsi="宋体" w:cs="宋体"/>
          <w:color w:val="auto"/>
          <w:szCs w:val="21"/>
          <w:highlight w:val="none"/>
          <w:lang w:eastAsia="zh-CN"/>
        </w:rPr>
        <w:t>；</w:t>
      </w:r>
    </w:p>
    <w:p>
      <w:pPr>
        <w:tabs>
          <w:tab w:val="left" w:pos="1164"/>
        </w:tabs>
        <w:spacing w:line="360" w:lineRule="auto"/>
        <w:rPr>
          <w:rFonts w:hint="eastAsia" w:ascii="宋体" w:hAnsi="宋体" w:cs="宋体"/>
          <w:color w:val="auto"/>
          <w:highlight w:val="none"/>
        </w:rPr>
      </w:pPr>
      <w:r>
        <w:rPr>
          <w:rFonts w:hint="eastAsia" w:ascii="宋体" w:hAnsi="宋体" w:cs="宋体"/>
          <w:color w:val="auto"/>
          <w:szCs w:val="21"/>
          <w:highlight w:val="none"/>
        </w:rPr>
        <w:t>（2）采用</w:t>
      </w:r>
      <w:r>
        <w:rPr>
          <w:rFonts w:hint="eastAsia" w:ascii="宋体" w:hAnsi="宋体" w:cs="宋体"/>
          <w:bCs/>
          <w:color w:val="auto"/>
          <w:szCs w:val="21"/>
          <w:highlight w:val="none"/>
        </w:rPr>
        <w:t>采购</w:t>
      </w:r>
      <w:r>
        <w:rPr>
          <w:rFonts w:hint="eastAsia" w:ascii="宋体" w:hAnsi="宋体" w:cs="宋体"/>
          <w:color w:val="auto"/>
          <w:szCs w:val="21"/>
          <w:highlight w:val="none"/>
        </w:rPr>
        <w:t>文件提供的格式或采购代理机构接受的其他格式；</w:t>
      </w:r>
    </w:p>
    <w:p>
      <w:pPr>
        <w:tabs>
          <w:tab w:val="left" w:pos="1164"/>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（3）有效期超过投标有效期30天；</w:t>
      </w:r>
    </w:p>
    <w:p>
      <w:pPr>
        <w:numPr>
          <w:ilvl w:val="-1"/>
          <w:numId w:val="0"/>
        </w:numPr>
        <w:autoSpaceDE w:val="0"/>
        <w:autoSpaceDN w:val="0"/>
        <w:adjustRightInd w:val="0"/>
        <w:snapToGrid w:val="0"/>
        <w:spacing w:line="360" w:lineRule="auto"/>
        <w:ind w:left="0" w:firstLine="0"/>
        <w:jc w:val="left"/>
        <w:rPr>
          <w:rFonts w:ascii="宋体" w:hAnsi="宋体"/>
          <w:color w:val="auto"/>
          <w:szCs w:val="21"/>
          <w:highlight w:val="none"/>
        </w:rPr>
      </w:pPr>
      <w:r>
        <w:rPr>
          <w:rFonts w:hint="eastAsia" w:ascii="宋体" w:hAnsi="宋体" w:cs="宋体"/>
          <w:color w:val="auto"/>
          <w:szCs w:val="21"/>
          <w:highlight w:val="none"/>
        </w:rPr>
        <w:t>（4）采购其他方式提交磋商保证金的，不需要提交</w:t>
      </w:r>
      <w:r>
        <w:rPr>
          <w:rFonts w:hint="eastAsia" w:ascii="宋体" w:hAnsi="宋体" w:cs="宋体"/>
          <w:color w:val="auto"/>
          <w:highlight w:val="none"/>
        </w:rPr>
        <w:t>《政府采购投标担保函》。</w:t>
      </w:r>
      <w:bookmarkEnd w:id="141"/>
    </w:p>
    <w:bookmarkEnd w:id="140"/>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42" w:name="_Toc351550769"/>
      <w:bookmarkStart w:id="143" w:name="_Toc394926941"/>
      <w:bookmarkStart w:id="144" w:name="_Toc475104487"/>
      <w:bookmarkStart w:id="145" w:name="_Toc322680361"/>
      <w:bookmarkStart w:id="146" w:name="_Toc323110994"/>
      <w:bookmarkStart w:id="147" w:name="_Toc363737700"/>
      <w:bookmarkStart w:id="148" w:name="_Toc315793471"/>
      <w:bookmarkStart w:id="149" w:name="_Toc320515035"/>
      <w:bookmarkStart w:id="150" w:name="_Toc320515084"/>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152" w:name="_Toc315793300"/>
      <w:bookmarkStart w:id="153"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保证金将不会被没收</w:t>
      </w:r>
      <w:r>
        <w:rPr>
          <w:rFonts w:hint="eastAsia" w:ascii="宋体" w:hAnsi="宋体" w:cs="宋体"/>
          <w:color w:val="auto"/>
          <w:szCs w:val="21"/>
          <w:highlight w:val="none"/>
        </w:rPr>
        <w:t>，但其磋商响应在原响应有效期期满后将不再有效。同意延长响应有效期的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而只会被要求相应地延长其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保证金的退还和没收的规定将在延长了的有效期内继续有效。</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55" w:name="_Toc475104494"/>
      <w:bookmarkStart w:id="156" w:name="_Toc363737701"/>
      <w:bookmarkStart w:id="157" w:name="_Toc315793472"/>
      <w:bookmarkStart w:id="158" w:name="_Toc320515036"/>
      <w:bookmarkStart w:id="159" w:name="_Toc320515085"/>
      <w:bookmarkStart w:id="160" w:name="_Toc320515037"/>
      <w:bookmarkStart w:id="161" w:name="_Toc323110996"/>
      <w:bookmarkStart w:id="162" w:name="_Toc322680363"/>
      <w:bookmarkStart w:id="163" w:name="_Toc320515086"/>
      <w:bookmarkStart w:id="164" w:name="_Toc315793473"/>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65" w:name="_Toc363737702"/>
      <w:bookmarkStart w:id="166" w:name="_Toc475104495"/>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67" w:name="_Toc320515087"/>
      <w:bookmarkStart w:id="168" w:name="_Toc475104496"/>
      <w:bookmarkStart w:id="169" w:name="_Toc363737703"/>
      <w:bookmarkStart w:id="170" w:name="_Toc315793474"/>
      <w:bookmarkStart w:id="171" w:name="_Toc320515038"/>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7"/>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7"/>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（3）密封不严、册装不整的。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（4）未提交或未足额提交磋商保证金的。</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89"/>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w:t>
            </w:r>
            <w:r>
              <w:rPr>
                <w:rFonts w:hint="eastAsia" w:ascii="宋体" w:hAnsi="宋体"/>
                <w:color w:val="auto"/>
                <w:szCs w:val="21"/>
                <w:highlight w:val="none"/>
                <w:lang w:eastAsia="zh-CN"/>
              </w:rPr>
              <w:t>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72" w:name="_Toc323110999"/>
      <w:bookmarkStart w:id="173" w:name="_Toc322680366"/>
      <w:bookmarkStart w:id="174" w:name="_Toc320515089"/>
      <w:bookmarkStart w:id="175" w:name="_Toc320515040"/>
      <w:bookmarkStart w:id="176" w:name="_Toc315793476"/>
      <w:r>
        <w:rPr>
          <w:rFonts w:hint="eastAsia" w:ascii="宋体" w:hAnsi="宋体"/>
          <w:b/>
          <w:bCs/>
          <w:color w:val="auto"/>
          <w:sz w:val="24"/>
          <w:highlight w:val="none"/>
        </w:rPr>
        <w:t>磋商响应文件递交截止期</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77" w:name="_Toc363737705"/>
      <w:bookmarkStart w:id="178" w:name="_Toc475104498"/>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82" w:name="_Toc475104500"/>
      <w:bookmarkStart w:id="183" w:name="_Toc323111001"/>
      <w:bookmarkStart w:id="184" w:name="_Toc363737707"/>
      <w:r>
        <w:rPr>
          <w:rFonts w:hint="eastAsia" w:ascii="宋体" w:hAnsi="宋体"/>
          <w:b/>
          <w:bCs/>
          <w:color w:val="auto"/>
          <w:sz w:val="24"/>
          <w:highlight w:val="none"/>
        </w:rPr>
        <w:t>磋商及抽取磋商顺序</w:t>
      </w:r>
      <w:bookmarkEnd w:id="182"/>
      <w:bookmarkEnd w:id="183"/>
      <w:bookmarkEnd w:id="184"/>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85" w:name="_Toc323111002"/>
      <w:bookmarkStart w:id="186" w:name="_Toc363737708"/>
      <w:bookmarkStart w:id="187" w:name="_Toc475104501"/>
      <w:r>
        <w:rPr>
          <w:rFonts w:hint="eastAsia" w:ascii="宋体" w:hAnsi="宋体"/>
          <w:b/>
          <w:bCs/>
          <w:color w:val="auto"/>
          <w:sz w:val="24"/>
          <w:highlight w:val="none"/>
        </w:rPr>
        <w:t>磋商小组</w:t>
      </w:r>
      <w:bookmarkEnd w:id="185"/>
      <w:bookmarkEnd w:id="186"/>
      <w:bookmarkEnd w:id="187"/>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bookmarkStart w:id="188" w:name="_Toc315793480"/>
      <w:bookmarkStart w:id="189" w:name="_Toc322680370"/>
      <w:bookmarkStart w:id="190" w:name="_Toc323111003"/>
      <w:bookmarkStart w:id="191" w:name="_Toc320515044"/>
      <w:bookmarkStart w:id="192" w:name="_Toc320515093"/>
      <w:bookmarkStart w:id="193" w:name="_Toc363737709"/>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363737710"/>
      <w:bookmarkStart w:id="197" w:name="_Toc475104503"/>
      <w:bookmarkStart w:id="198" w:name="_Toc351716665"/>
      <w:bookmarkStart w:id="199" w:name="_Toc315793483"/>
      <w:bookmarkStart w:id="200" w:name="_Toc320515096"/>
      <w:bookmarkStart w:id="201" w:name="_Toc323111005"/>
      <w:bookmarkStart w:id="202" w:name="_Toc322680372"/>
      <w:bookmarkStart w:id="203" w:name="_Toc320515047"/>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7"/>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06" w:name="_Toc351716666"/>
      <w:bookmarkStart w:id="207" w:name="_Toc363737711"/>
      <w:bookmarkStart w:id="208" w:name="_Toc475104504"/>
      <w:r>
        <w:rPr>
          <w:rFonts w:hint="eastAsia" w:ascii="宋体" w:hAnsi="宋体"/>
          <w:b/>
          <w:bCs/>
          <w:color w:val="auto"/>
          <w:sz w:val="24"/>
          <w:highlight w:val="none"/>
        </w:rPr>
        <w:t>评定成交的评审方法和标准</w:t>
      </w:r>
      <w:bookmarkEnd w:id="206"/>
      <w:bookmarkEnd w:id="207"/>
      <w:bookmarkEnd w:id="208"/>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4"/>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09"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09"/>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10"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10"/>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bookmarkStart w:id="211" w:name="_Toc475104508"/>
      <w:bookmarkStart w:id="212" w:name="_Toc320515097"/>
      <w:bookmarkStart w:id="213" w:name="_Toc363737713"/>
      <w:bookmarkStart w:id="214" w:name="_Toc315793484"/>
      <w:bookmarkStart w:id="215" w:name="_Toc320515048"/>
      <w:bookmarkStart w:id="216" w:name="_Toc323111007"/>
      <w:bookmarkStart w:id="217"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7"/>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7"/>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评审结果确定后，采购代理机构可以应采购人要求，通知磋商小组会推荐的成交候选人在2个工作日内，按竞争性磋商文件中所列清单中的相关证件、证明文件、合同的原件送采购人核对与</w:t>
      </w:r>
      <w:r>
        <w:rPr>
          <w:rFonts w:hint="eastAsia" w:ascii="宋体" w:hAnsi="宋体"/>
          <w:bCs/>
          <w:color w:val="auto"/>
          <w:highlight w:val="none"/>
        </w:rPr>
        <w:t>供应商</w:t>
      </w:r>
      <w:r>
        <w:rPr>
          <w:rFonts w:hint="eastAsia" w:ascii="宋体" w:hAnsi="宋体"/>
          <w:color w:val="auto"/>
          <w:szCs w:val="21"/>
          <w:highlight w:val="none"/>
        </w:rPr>
        <w:t>响应文件中的复印件是否一致。采购人在接到原件之日起3个工作日内，核对没有不一致的，须确认成交的供应商；核对发现有不一致或</w:t>
      </w:r>
      <w:r>
        <w:rPr>
          <w:rFonts w:hint="eastAsia" w:ascii="宋体" w:hAnsi="宋体"/>
          <w:bCs/>
          <w:color w:val="auto"/>
          <w:highlight w:val="none"/>
        </w:rPr>
        <w:t>供应商</w:t>
      </w:r>
      <w:r>
        <w:rPr>
          <w:rFonts w:hint="eastAsia" w:ascii="宋体" w:hAnsi="宋体"/>
          <w:color w:val="auto"/>
          <w:szCs w:val="21"/>
          <w:highlight w:val="none"/>
        </w:rPr>
        <w:t>无正当理由不按时提供原件的，书面向采购代理机构提出，并报同级财政部门核实后按响应无效处理。</w:t>
      </w:r>
    </w:p>
    <w:p>
      <w:pPr>
        <w:numPr>
          <w:ilvl w:val="1"/>
          <w:numId w:val="7"/>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numPr>
          <w:ilvl w:val="1"/>
          <w:numId w:val="7"/>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1"/>
      <w:bookmarkEnd w:id="212"/>
      <w:bookmarkEnd w:id="213"/>
      <w:bookmarkEnd w:id="214"/>
      <w:bookmarkEnd w:id="215"/>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公章）在竞争性磋商文件公示期间或者自期满之日起7个工作日内向政府采购代理机构提交质疑书原件，逾期质疑无效。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公章）在知道或者应知其权益受到损害之日起7个工作日内向政府采购代理机构提交质疑书原件，逾期质疑无效。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原件之日起，在规定的期限内作出答复。对于捏造事实、进行虚假质疑及投诉情节严重的，禁止参加政府采购活动一至三年。</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需要修改、补充质疑函的，应当在质疑有效期内提交修改或补充材料。质疑函收到日期以提交修改或补充的质疑函原件之日计算。</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接收质疑函的方式如下：</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联系部门：广州市信怡招标代理有限公司招标代理部</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联系电话：020-89001296</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通讯地址：广州市海珠区红卫新村西路29号UP智谷D栋503房。</w:t>
      </w:r>
    </w:p>
    <w:bookmarkEnd w:id="216"/>
    <w:bookmarkEnd w:id="217"/>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18" w:name="_Toc363737714"/>
      <w:bookmarkStart w:id="219" w:name="_Toc475104509"/>
      <w:r>
        <w:rPr>
          <w:rFonts w:hint="eastAsia" w:ascii="宋体" w:hAnsi="宋体"/>
          <w:b/>
          <w:bCs/>
          <w:color w:val="auto"/>
          <w:sz w:val="24"/>
          <w:highlight w:val="none"/>
        </w:rPr>
        <w:t>成交通知书</w:t>
      </w:r>
      <w:bookmarkEnd w:id="218"/>
      <w:bookmarkEnd w:id="219"/>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220" w:name="_Toc315793486"/>
      <w:bookmarkStart w:id="221" w:name="_Toc320515050"/>
      <w:bookmarkStart w:id="222" w:name="_Toc320515099"/>
      <w:bookmarkStart w:id="223" w:name="_Toc363737715"/>
      <w:bookmarkStart w:id="224" w:name="_Toc475104510"/>
      <w:bookmarkStart w:id="225" w:name="_Toc28489462"/>
      <w:bookmarkStart w:id="226" w:name="_Toc14450813"/>
      <w:r>
        <w:rPr>
          <w:rFonts w:hint="eastAsia" w:ascii="宋体" w:hAnsi="宋体"/>
          <w:b/>
          <w:color w:val="auto"/>
          <w:sz w:val="28"/>
          <w:szCs w:val="28"/>
          <w:highlight w:val="none"/>
          <w:lang w:eastAsia="zh-TW"/>
        </w:rPr>
        <w:t>授予合同</w:t>
      </w:r>
      <w:bookmarkEnd w:id="220"/>
      <w:bookmarkEnd w:id="221"/>
      <w:bookmarkEnd w:id="222"/>
      <w:bookmarkEnd w:id="223"/>
      <w:bookmarkEnd w:id="224"/>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27" w:name="_Toc320515100"/>
      <w:bookmarkStart w:id="228" w:name="_Toc363737716"/>
      <w:bookmarkStart w:id="229" w:name="_Toc315793487"/>
      <w:bookmarkStart w:id="230" w:name="_Toc320515051"/>
      <w:bookmarkStart w:id="231" w:name="_Toc475104511"/>
      <w:r>
        <w:rPr>
          <w:rFonts w:hint="eastAsia" w:ascii="宋体" w:hAnsi="宋体"/>
          <w:b/>
          <w:bCs/>
          <w:color w:val="auto"/>
          <w:sz w:val="24"/>
          <w:highlight w:val="none"/>
        </w:rPr>
        <w:t>合同的订立</w:t>
      </w:r>
      <w:bookmarkEnd w:id="227"/>
      <w:bookmarkEnd w:id="228"/>
      <w:bookmarkEnd w:id="229"/>
      <w:bookmarkEnd w:id="230"/>
      <w:bookmarkEnd w:id="231"/>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bookmarkStart w:id="232" w:name="_Toc320515101"/>
      <w:bookmarkStart w:id="233" w:name="_Toc363737717"/>
      <w:bookmarkStart w:id="234" w:name="_Toc475104512"/>
      <w:bookmarkStart w:id="235" w:name="_Toc315793488"/>
      <w:bookmarkStart w:id="236" w:name="_Toc32051505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2"/>
      <w:bookmarkEnd w:id="233"/>
      <w:bookmarkEnd w:id="234"/>
      <w:bookmarkEnd w:id="235"/>
      <w:bookmarkEnd w:id="236"/>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237" w:name="_Toc475104515"/>
      <w:bookmarkStart w:id="238"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7"/>
      <w:bookmarkEnd w:id="238"/>
    </w:p>
    <w:p>
      <w:pPr>
        <w:numPr>
          <w:ilvl w:val="0"/>
          <w:numId w:val="7"/>
        </w:numPr>
        <w:autoSpaceDE w:val="0"/>
        <w:autoSpaceDN w:val="0"/>
        <w:adjustRightInd w:val="0"/>
        <w:snapToGrid w:val="0"/>
        <w:spacing w:line="360" w:lineRule="auto"/>
        <w:outlineLvl w:val="0"/>
        <w:rPr>
          <w:rFonts w:ascii="宋体" w:hAnsi="宋体" w:cs="宋体"/>
          <w:b/>
          <w:color w:val="auto"/>
          <w:sz w:val="24"/>
          <w:highlight w:val="none"/>
        </w:rPr>
      </w:pPr>
      <w:bookmarkStart w:id="239" w:name="_Toc363737723"/>
      <w:bookmarkStart w:id="240" w:name="_Toc475104518"/>
      <w:r>
        <w:rPr>
          <w:rFonts w:hint="eastAsia" w:ascii="宋体" w:hAnsi="宋体" w:cs="宋体"/>
          <w:b/>
          <w:color w:val="auto"/>
          <w:sz w:val="24"/>
          <w:highlight w:val="none"/>
        </w:rPr>
        <w:t>其他</w:t>
      </w:r>
      <w:bookmarkEnd w:id="239"/>
      <w:bookmarkEnd w:id="240"/>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4"/>
      <w:bookmarkStart w:id="242" w:name="_Toc475104519"/>
      <w:r>
        <w:rPr>
          <w:rFonts w:hint="eastAsia" w:ascii="宋体" w:hAnsi="宋体" w:cs="宋体"/>
          <w:color w:val="auto"/>
          <w:szCs w:val="21"/>
          <w:highlight w:val="none"/>
        </w:rPr>
        <w:t>本项目相关公告在以下媒体发布：中国采购与招标网（网址：www.chinabidding.com.cn）、广州市信怡招标代理有限公司网站（www.gzxyzb.com）和</w:t>
      </w:r>
      <w:r>
        <w:rPr>
          <w:rFonts w:hint="eastAsia" w:ascii="宋体" w:hAnsi="宋体" w:eastAsia="宋体" w:cs="宋体"/>
          <w:color w:val="auto"/>
          <w:szCs w:val="21"/>
          <w:highlight w:val="none"/>
          <w:lang w:eastAsia="zh-CN"/>
        </w:rPr>
        <w:t>广东省农业科学院动物卫生研究所（www.vmi.gdaas.cn/index.aspx）</w:t>
      </w:r>
      <w:r>
        <w:rPr>
          <w:rFonts w:hint="eastAsia" w:ascii="宋体" w:hAnsi="宋体" w:cs="宋体"/>
          <w:color w:val="auto"/>
          <w:szCs w:val="21"/>
          <w:highlight w:val="none"/>
        </w:rPr>
        <w:t>。相关公告在法定媒体上公布之日即视为有效送达，不再另行通知。</w:t>
      </w:r>
      <w:bookmarkEnd w:id="241"/>
      <w:bookmarkEnd w:id="242"/>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243" w:name="_Toc363737725"/>
      <w:bookmarkStart w:id="244" w:name="_Toc475104520"/>
      <w:r>
        <w:rPr>
          <w:rFonts w:hint="eastAsia" w:ascii="宋体" w:hAnsi="宋体" w:cs="宋体"/>
          <w:color w:val="auto"/>
          <w:szCs w:val="21"/>
          <w:highlight w:val="none"/>
        </w:rPr>
        <w:t>其他未尽事宜，依照《中华人民共和国政府采购法》和省市相关法律、法规执行。</w:t>
      </w:r>
      <w:bookmarkEnd w:id="243"/>
      <w:bookmarkEnd w:id="244"/>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说明：本部分格式为投标人提交询问函、质疑函时使用，不属于投标文件格式的组成部分。</w:t>
      </w:r>
    </w:p>
    <w:p>
      <w:pPr>
        <w:spacing w:after="120" w:afterLines="50"/>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8"/>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8"/>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8"/>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5"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5"/>
        <w:autoSpaceDE w:val="0"/>
        <w:rPr>
          <w:color w:val="auto"/>
          <w:sz w:val="44"/>
          <w:highlight w:val="none"/>
        </w:rPr>
      </w:pPr>
      <w:bookmarkStart w:id="246" w:name="_Toc475104521"/>
      <w:r>
        <w:rPr>
          <w:rFonts w:cs="ZWAdobeF"/>
          <w:b w:val="0"/>
          <w:color w:val="auto"/>
          <w:sz w:val="2"/>
          <w:szCs w:val="2"/>
          <w:highlight w:val="none"/>
        </w:rPr>
        <w:t>2B2B</w:t>
      </w:r>
      <w:r>
        <w:rPr>
          <w:rFonts w:hint="eastAsia"/>
          <w:color w:val="auto"/>
          <w:sz w:val="44"/>
          <w:highlight w:val="none"/>
        </w:rPr>
        <w:t>第三章</w:t>
      </w:r>
      <w:bookmarkStart w:id="247" w:name="_Toc10525517"/>
      <w:r>
        <w:rPr>
          <w:rFonts w:hint="eastAsia"/>
          <w:color w:val="auto"/>
          <w:sz w:val="44"/>
          <w:highlight w:val="none"/>
        </w:rPr>
        <w:t xml:space="preserve"> 采购人需求书</w:t>
      </w:r>
      <w:bookmarkEnd w:id="225"/>
      <w:bookmarkEnd w:id="226"/>
      <w:bookmarkEnd w:id="245"/>
      <w:bookmarkEnd w:id="246"/>
      <w:bookmarkEnd w:id="247"/>
    </w:p>
    <w:p>
      <w:pPr>
        <w:spacing w:line="360" w:lineRule="auto"/>
        <w:rPr>
          <w:rFonts w:ascii="宋体" w:hAnsi="宋体"/>
          <w:color w:val="auto"/>
          <w:highlight w:val="none"/>
        </w:rPr>
      </w:pPr>
      <w:bookmarkStart w:id="248" w:name="_Toc28489480"/>
      <w:bookmarkStart w:id="249"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0" w:name="_Toc321815819"/>
      <w:bookmarkEnd w:id="250"/>
      <w:bookmarkStart w:id="251" w:name="_Toc321815820"/>
      <w:bookmarkEnd w:id="251"/>
      <w:bookmarkStart w:id="252" w:name="_Toc321815805"/>
      <w:bookmarkEnd w:id="252"/>
      <w:bookmarkStart w:id="253" w:name="_Toc321815801"/>
      <w:bookmarkEnd w:id="253"/>
      <w:bookmarkStart w:id="254" w:name="_Toc321815816"/>
      <w:bookmarkEnd w:id="254"/>
      <w:bookmarkStart w:id="255" w:name="_Toc321815802"/>
      <w:bookmarkEnd w:id="255"/>
      <w:bookmarkStart w:id="256" w:name="_Toc321815817"/>
      <w:bookmarkEnd w:id="256"/>
      <w:bookmarkStart w:id="257" w:name="_Toc321815814"/>
      <w:bookmarkEnd w:id="257"/>
      <w:bookmarkStart w:id="258" w:name="_Toc321815818"/>
      <w:bookmarkEnd w:id="258"/>
      <w:bookmarkStart w:id="259" w:name="_Toc321815804"/>
      <w:bookmarkEnd w:id="259"/>
      <w:bookmarkStart w:id="260" w:name="_Toc321815812"/>
      <w:bookmarkEnd w:id="260"/>
      <w:bookmarkStart w:id="261" w:name="_Toc321815813"/>
      <w:bookmarkEnd w:id="261"/>
      <w:bookmarkStart w:id="262" w:name="_Toc321815811"/>
      <w:bookmarkEnd w:id="262"/>
      <w:bookmarkStart w:id="263" w:name="_Toc321815821"/>
      <w:bookmarkEnd w:id="263"/>
      <w:bookmarkStart w:id="264" w:name="_Toc321815822"/>
      <w:bookmarkEnd w:id="264"/>
      <w:bookmarkStart w:id="265" w:name="_Toc321815806"/>
      <w:bookmarkEnd w:id="265"/>
      <w:bookmarkStart w:id="266" w:name="_Toc321815807"/>
      <w:bookmarkEnd w:id="266"/>
      <w:bookmarkStart w:id="267" w:name="_Toc321815808"/>
      <w:bookmarkEnd w:id="267"/>
      <w:bookmarkStart w:id="268" w:name="_Toc321815809"/>
      <w:bookmarkEnd w:id="268"/>
      <w:bookmarkStart w:id="269" w:name="_Toc321815810"/>
      <w:bookmarkEnd w:id="269"/>
      <w:bookmarkStart w:id="270" w:name="_Toc321815823"/>
      <w:bookmarkEnd w:id="270"/>
      <w:bookmarkStart w:id="271" w:name="_Toc321815824"/>
      <w:bookmarkEnd w:id="271"/>
      <w:bookmarkStart w:id="272" w:name="_Toc321815815"/>
      <w:bookmarkEnd w:id="272"/>
      <w:bookmarkStart w:id="273" w:name="_Toc321815825"/>
      <w:bookmarkEnd w:id="273"/>
      <w:bookmarkStart w:id="274" w:name="_Toc321815826"/>
      <w:bookmarkEnd w:id="274"/>
      <w:bookmarkStart w:id="275"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hint="eastAsia"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8"/>
    <w:bookmarkEnd w:id="249"/>
    <w:bookmarkEnd w:id="275"/>
    <w:p>
      <w:pPr>
        <w:widowControl w:val="0"/>
        <w:spacing w:line="36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说明：</w:t>
      </w:r>
    </w:p>
    <w:p>
      <w:pPr>
        <w:widowControl w:val="0"/>
        <w:numPr>
          <w:ilvl w:val="0"/>
          <w:numId w:val="9"/>
        </w:numPr>
        <w:snapToGrid w:val="0"/>
        <w:spacing w:line="360" w:lineRule="auto"/>
        <w:ind w:left="0" w:firstLine="422" w:firstLineChars="20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供应商须对本项目为单位的货物及服务进行整体投标，任何只对其中一部分内容进行的投标都被视为无效投标。</w:t>
      </w:r>
    </w:p>
    <w:p>
      <w:pPr>
        <w:widowControl w:val="0"/>
        <w:numPr>
          <w:ilvl w:val="0"/>
          <w:numId w:val="9"/>
        </w:numPr>
        <w:snapToGrid w:val="0"/>
        <w:spacing w:line="360" w:lineRule="auto"/>
        <w:ind w:left="0" w:firstLine="422" w:firstLineChars="20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凡标有“★”的地方均为须实质响应条款，供应商若有一项带“★”的条款未响应或不满足，将按无效响应处理。</w:t>
      </w:r>
    </w:p>
    <w:p>
      <w:pPr>
        <w:widowControl w:val="0"/>
        <w:numPr>
          <w:ilvl w:val="0"/>
          <w:numId w:val="9"/>
        </w:numPr>
        <w:snapToGrid w:val="0"/>
        <w:spacing w:line="360" w:lineRule="auto"/>
        <w:ind w:left="0" w:firstLine="422" w:firstLineChars="20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凡标有“▲”的地方为比较重要的商务、技术指标，将考虑供应商对其的响应情况进行评审打分，但不会导致废标。</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widowControl w:val="0"/>
        <w:spacing w:line="360" w:lineRule="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一、采购项目</w:t>
      </w:r>
    </w:p>
    <w:p>
      <w:pPr>
        <w:pStyle w:val="2"/>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本项目为交钥匙项目，</w:t>
      </w:r>
      <w:r>
        <w:rPr>
          <w:rFonts w:hint="eastAsia" w:asciiTheme="minorEastAsia" w:hAnsiTheme="minorEastAsia" w:eastAsiaTheme="minorEastAsia" w:cstheme="minorEastAsia"/>
          <w:color w:val="auto"/>
          <w:sz w:val="21"/>
          <w:szCs w:val="21"/>
          <w:highlight w:val="none"/>
          <w:lang w:eastAsia="zh-CN"/>
        </w:rPr>
        <w:t>项目共两层，一楼为前处理实验室，二楼为洁净实验室，洁净实验室含洁净通风系统和控制系统（含控制软件），</w:t>
      </w:r>
      <w:r>
        <w:rPr>
          <w:rFonts w:hint="eastAsia" w:asciiTheme="minorEastAsia" w:hAnsiTheme="minorEastAsia" w:eastAsiaTheme="minorEastAsia" w:cstheme="minorEastAsia"/>
          <w:color w:val="auto"/>
          <w:sz w:val="21"/>
          <w:szCs w:val="21"/>
          <w:highlight w:val="none"/>
        </w:rPr>
        <w:t>要求包深化设计、包工、包料、包机械、包工期、包质量、包安全生产、包文明施工、包劳保、包验收、包保修等。</w:t>
      </w:r>
    </w:p>
    <w:p>
      <w:pPr>
        <w:pStyle w:val="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2"/>
          <w:sz w:val="21"/>
          <w:szCs w:val="21"/>
          <w:highlight w:val="none"/>
        </w:rPr>
        <w:t>本项目为总价包干，项目在改建过程中发生的不可控的增减工程量，甲方不再追加预算。</w:t>
      </w:r>
    </w:p>
    <w:p>
      <w:pPr>
        <w:pStyle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w:t>
      </w:r>
    </w:p>
    <w:tbl>
      <w:tblPr>
        <w:tblStyle w:val="89"/>
        <w:tblW w:w="0" w:type="auto"/>
        <w:jc w:val="center"/>
        <w:tblLayout w:type="fixed"/>
        <w:tblCellMar>
          <w:top w:w="0" w:type="dxa"/>
          <w:left w:w="108" w:type="dxa"/>
          <w:bottom w:w="0" w:type="dxa"/>
          <w:right w:w="108" w:type="dxa"/>
        </w:tblCellMar>
      </w:tblPr>
      <w:tblGrid>
        <w:gridCol w:w="3128"/>
        <w:gridCol w:w="1562"/>
        <w:gridCol w:w="1924"/>
        <w:gridCol w:w="1275"/>
      </w:tblGrid>
      <w:tr>
        <w:tblPrEx>
          <w:tblCellMar>
            <w:top w:w="0" w:type="dxa"/>
            <w:left w:w="108" w:type="dxa"/>
            <w:bottom w:w="0" w:type="dxa"/>
            <w:right w:w="108" w:type="dxa"/>
          </w:tblCellMar>
        </w:tblPrEx>
        <w:trPr>
          <w:trHeight w:val="583" w:hRule="atLeast"/>
          <w:jc w:val="center"/>
        </w:trPr>
        <w:tc>
          <w:tcPr>
            <w:tcW w:w="3128"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采购内容</w:t>
            </w:r>
          </w:p>
        </w:tc>
        <w:tc>
          <w:tcPr>
            <w:tcW w:w="1562" w:type="dxa"/>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供货期限</w:t>
            </w:r>
          </w:p>
        </w:tc>
        <w:tc>
          <w:tcPr>
            <w:tcW w:w="1924" w:type="dxa"/>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采购预算金额</w:t>
            </w:r>
          </w:p>
        </w:tc>
        <w:tc>
          <w:tcPr>
            <w:tcW w:w="1275"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中标人数量</w:t>
            </w:r>
          </w:p>
        </w:tc>
      </w:tr>
      <w:tr>
        <w:tblPrEx>
          <w:tblCellMar>
            <w:top w:w="0" w:type="dxa"/>
            <w:left w:w="108" w:type="dxa"/>
            <w:bottom w:w="0" w:type="dxa"/>
            <w:right w:w="108" w:type="dxa"/>
          </w:tblCellMar>
        </w:tblPrEx>
        <w:trPr>
          <w:trHeight w:val="739" w:hRule="atLeast"/>
          <w:jc w:val="center"/>
        </w:trPr>
        <w:tc>
          <w:tcPr>
            <w:tcW w:w="3128"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广东省农业科学院动物卫生研究所细胞实验室建设项目</w:t>
            </w:r>
          </w:p>
        </w:tc>
        <w:tc>
          <w:tcPr>
            <w:tcW w:w="15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60个日历日</w:t>
            </w:r>
          </w:p>
        </w:tc>
        <w:tc>
          <w:tcPr>
            <w:tcW w:w="19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2" w:leftChars="-1" w:firstLine="2" w:firstLineChars="1"/>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48万</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ind w:left="-2" w:leftChars="-1" w:firstLine="2" w:firstLineChars="1"/>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1家</w:t>
            </w:r>
          </w:p>
        </w:tc>
      </w:tr>
    </w:tbl>
    <w:p>
      <w:pPr>
        <w:widowControl w:val="0"/>
        <w:spacing w:line="360" w:lineRule="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二、采购清单</w:t>
      </w:r>
    </w:p>
    <w:tbl>
      <w:tblPr>
        <w:tblStyle w:val="89"/>
        <w:tblW w:w="9254" w:type="dxa"/>
        <w:jc w:val="center"/>
        <w:tblLayout w:type="autofit"/>
        <w:tblCellMar>
          <w:top w:w="0" w:type="dxa"/>
          <w:left w:w="0" w:type="dxa"/>
          <w:bottom w:w="0" w:type="dxa"/>
          <w:right w:w="0" w:type="dxa"/>
        </w:tblCellMar>
      </w:tblPr>
      <w:tblGrid>
        <w:gridCol w:w="874"/>
        <w:gridCol w:w="1733"/>
        <w:gridCol w:w="4271"/>
        <w:gridCol w:w="1089"/>
        <w:gridCol w:w="23"/>
        <w:gridCol w:w="1264"/>
      </w:tblGrid>
      <w:tr>
        <w:tblPrEx>
          <w:tblCellMar>
            <w:top w:w="0" w:type="dxa"/>
            <w:left w:w="0" w:type="dxa"/>
            <w:bottom w:w="0" w:type="dxa"/>
            <w:right w:w="0" w:type="dxa"/>
          </w:tblCellMar>
        </w:tblPrEx>
        <w:trPr>
          <w:trHeight w:val="522" w:hRule="atLeast"/>
          <w:tblHeader/>
          <w:jc w:val="center"/>
        </w:trPr>
        <w:tc>
          <w:tcPr>
            <w:tcW w:w="874"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序号</w:t>
            </w:r>
          </w:p>
        </w:tc>
        <w:tc>
          <w:tcPr>
            <w:tcW w:w="1733"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项目名称</w:t>
            </w:r>
          </w:p>
        </w:tc>
        <w:tc>
          <w:tcPr>
            <w:tcW w:w="4271"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项目特征描述</w:t>
            </w:r>
          </w:p>
        </w:tc>
        <w:tc>
          <w:tcPr>
            <w:tcW w:w="1089"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计量单位</w:t>
            </w:r>
          </w:p>
        </w:tc>
        <w:tc>
          <w:tcPr>
            <w:tcW w:w="1287"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工程量</w:t>
            </w:r>
          </w:p>
        </w:tc>
      </w:tr>
      <w:tr>
        <w:tblPrEx>
          <w:tblCellMar>
            <w:top w:w="0" w:type="dxa"/>
            <w:left w:w="0" w:type="dxa"/>
            <w:bottom w:w="0" w:type="dxa"/>
            <w:right w:w="0" w:type="dxa"/>
          </w:tblCellMar>
        </w:tblPrEx>
        <w:trPr>
          <w:trHeight w:val="524"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8380"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装饰工程部分</w:t>
            </w:r>
          </w:p>
        </w:tc>
      </w:tr>
      <w:tr>
        <w:tblPrEx>
          <w:tblCellMar>
            <w:top w:w="0" w:type="dxa"/>
            <w:left w:w="0" w:type="dxa"/>
            <w:bottom w:w="0" w:type="dxa"/>
            <w:right w:w="0" w:type="dxa"/>
          </w:tblCellMar>
        </w:tblPrEx>
        <w:trPr>
          <w:trHeight w:val="524"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8380"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天花工程</w:t>
            </w:r>
          </w:p>
        </w:tc>
      </w:tr>
      <w:tr>
        <w:tblPrEx>
          <w:tblCellMar>
            <w:top w:w="0" w:type="dxa"/>
            <w:left w:w="0" w:type="dxa"/>
            <w:bottom w:w="0" w:type="dxa"/>
            <w:right w:w="0" w:type="dxa"/>
          </w:tblCellMar>
        </w:tblPrEx>
        <w:trPr>
          <w:trHeight w:val="524"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吊顶天棚</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1.吊顶形式:不上人型，平面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2.龙骨材料种类、规格、中距:U型轻钢龙骨</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3.面层材料品种、规格、品牌、颜 色:600*600*1.0铝合金扣板吊顶</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w:t>
            </w:r>
          </w:p>
        </w:tc>
      </w:tr>
      <w:tr>
        <w:tblPrEx>
          <w:tblCellMar>
            <w:top w:w="0" w:type="dxa"/>
            <w:left w:w="0" w:type="dxa"/>
            <w:bottom w:w="0" w:type="dxa"/>
            <w:right w:w="0" w:type="dxa"/>
          </w:tblCellMar>
        </w:tblPrEx>
        <w:trPr>
          <w:trHeight w:val="572"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吊顶天棚</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1.吊顶形式:不上人型，彩钢板天花</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2.龙骨材料种类、规格、中距:10 号镀锌铁丝连接，50mm×70mm大木龙 骨，中距1200mm，50mm×50mm小木龙骨， 中距600mm，木龙骨刷防火涂料两遍， 在龙骨层填50mm厚超细玻璃棉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3.面层材料品种、规格、品牌、颜 色:2400mm×1200mm×5mm玻镁夹芯彩钢板</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95</w:t>
            </w:r>
          </w:p>
        </w:tc>
      </w:tr>
      <w:tr>
        <w:tblPrEx>
          <w:tblCellMar>
            <w:top w:w="0" w:type="dxa"/>
            <w:left w:w="0" w:type="dxa"/>
            <w:bottom w:w="0" w:type="dxa"/>
            <w:right w:w="0" w:type="dxa"/>
          </w:tblCellMar>
        </w:tblPrEx>
        <w:trPr>
          <w:trHeight w:val="3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天棚抹灰</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1.基层类型:现浇混凝土板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2.抹灰厚度、材料种类、两遍腻子，两遍乳胶漆</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9.5</w:t>
            </w:r>
          </w:p>
        </w:tc>
      </w:tr>
      <w:tr>
        <w:tblPrEx>
          <w:tblCellMar>
            <w:top w:w="0" w:type="dxa"/>
            <w:left w:w="0" w:type="dxa"/>
            <w:bottom w:w="0" w:type="dxa"/>
            <w:right w:w="0" w:type="dxa"/>
          </w:tblCellMar>
        </w:tblPrEx>
        <w:trPr>
          <w:trHeight w:val="458"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木窗帘盒</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1.窗帘盒材质:15mm难燃夹板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2.防护材料种类:防火涂料两遍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3.油漆种类、刷漆遍数:刮原子灰腻子两遍，调和漆两遍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3.6</w:t>
            </w:r>
          </w:p>
        </w:tc>
      </w:tr>
      <w:tr>
        <w:tblPrEx>
          <w:tblCellMar>
            <w:top w:w="0" w:type="dxa"/>
            <w:left w:w="0" w:type="dxa"/>
            <w:bottom w:w="0" w:type="dxa"/>
            <w:right w:w="0" w:type="dxa"/>
          </w:tblCellMar>
        </w:tblPrEx>
        <w:trPr>
          <w:trHeight w:val="234"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检修口</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1.规格:600*600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2.特征:彩钢夹芯板</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rPr>
            </w:pPr>
          </w:p>
        </w:tc>
        <w:tc>
          <w:tcPr>
            <w:tcW w:w="8380"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建筑工程</w:t>
            </w:r>
          </w:p>
        </w:tc>
      </w:tr>
      <w:tr>
        <w:tblPrEx>
          <w:tblCellMar>
            <w:top w:w="0" w:type="dxa"/>
            <w:left w:w="0" w:type="dxa"/>
            <w:bottom w:w="0" w:type="dxa"/>
            <w:right w:w="0" w:type="dxa"/>
          </w:tblCellMar>
        </w:tblPrEx>
        <w:trPr>
          <w:trHeight w:val="908"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防静电同质透心PVC卷材</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1.找平层厚度、砂浆配合比:20厚1：2水泥砂浆找平层</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2.结合层：涂刷水泥自流坪漆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3.面层材料品种、规格、颜色:地面铺PVC地板胶，2.0mm厚度，耐磨层0.7mmUV处理层；耐污、抗菌、耐磨、抗压、环保</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5.其它：符合设计要求</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88.84</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水泥砂浆楼地面</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1.找平层砂浆配合比、厚度:1:3水泥砂浆50mm厚</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119.34</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块料楼地面</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1.20mm厚釉面地砖，基层面涂胶粘合剂，5mm水泥砂浆1:2粘结层，水泥砂浆一道（内掺建筑胶）</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30.5</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自流坪楼地面</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1.位置：机房地面</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2.水泥自流平找平</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r>
      <w:tr>
        <w:tblPrEx>
          <w:tblCellMar>
            <w:top w:w="0" w:type="dxa"/>
            <w:left w:w="0" w:type="dxa"/>
            <w:bottom w:w="0" w:type="dxa"/>
            <w:right w:w="0" w:type="dxa"/>
          </w:tblCellMar>
        </w:tblPrEx>
        <w:trPr>
          <w:trHeight w:val="1324"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塑料板踢脚线</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1.踢脚板高度:100mm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2.底层厚度、砂浆配合比:25mm厚1:2.5水泥砂浆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3．粘结层材料种类:粘得牢粘结剂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4.面层材料种类、规格、颜色:1.2mm厚灰色块状塑料板</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rPr>
            </w:pPr>
          </w:p>
        </w:tc>
        <w:tc>
          <w:tcPr>
            <w:tcW w:w="8380"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墙面工程</w:t>
            </w:r>
          </w:p>
        </w:tc>
      </w:tr>
      <w:tr>
        <w:tblPrEx>
          <w:tblCellMar>
            <w:top w:w="0" w:type="dxa"/>
            <w:left w:w="0" w:type="dxa"/>
            <w:bottom w:w="0" w:type="dxa"/>
            <w:right w:w="0" w:type="dxa"/>
          </w:tblCellMar>
        </w:tblPrEx>
        <w:trPr>
          <w:trHeight w:val="948"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彩钢板隔墙</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1.骨架、边框材料种类、规格:L50国标镀锌角钢吊梁</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2.隔板材料品种、规格、品牌、颜 色:50mm玻镁夹芯彩钢板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3.压条材料种类:R50内外圆弧收边</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251</w:t>
            </w:r>
          </w:p>
        </w:tc>
      </w:tr>
      <w:tr>
        <w:tblPrEx>
          <w:tblCellMar>
            <w:top w:w="0" w:type="dxa"/>
            <w:left w:w="0" w:type="dxa"/>
            <w:bottom w:w="0" w:type="dxa"/>
            <w:right w:w="0" w:type="dxa"/>
          </w:tblCellMar>
        </w:tblPrEx>
        <w:trPr>
          <w:trHeight w:val="194"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抹灰面油漆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1.基层类型:墙面一般抹灰面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2.腻子种类:成品腻子粉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3.刮腻子要求:清理基层，修补，砂纸打磨:满刮腻子一遍，找补两遍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4.油漆品种、刷漆遍数:抗碱底漆一遍，真石漆底漆一遍，面漆两遍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49.998</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auto"/>
                <w:sz w:val="21"/>
                <w:szCs w:val="21"/>
                <w:highlight w:val="none"/>
                <w:u w:val="none"/>
              </w:rPr>
            </w:pPr>
          </w:p>
        </w:tc>
        <w:tc>
          <w:tcPr>
            <w:tcW w:w="8380"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门窗工程</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双开不锈钢防盗门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1.门类型:钢质防盗门M1527</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2.防护材料种类:红丹防锈漆两遍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3.油漆品种、刷漆遍数:调和漆两遍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4.五金材料:球形执手锁、防盗门扣、门眼</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469"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木质门带套</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1.门类型:单开实木门M0921</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2.材料种类:彩色涂层钢板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3.五金材料:管子拉手、门锁</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1.89</w:t>
            </w:r>
          </w:p>
        </w:tc>
      </w:tr>
      <w:tr>
        <w:tblPrEx>
          <w:tblCellMar>
            <w:top w:w="0" w:type="dxa"/>
            <w:left w:w="0" w:type="dxa"/>
            <w:bottom w:w="0" w:type="dxa"/>
            <w:right w:w="0" w:type="dxa"/>
          </w:tblCellMar>
        </w:tblPrEx>
        <w:trPr>
          <w:trHeight w:val="373"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玻镁彩钢板洁净单开门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right="-178" w:rightChars="-85"/>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1.门类型:彩板门M0921</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2.材料种类:彩色涂层钢板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3.五金材料:管子拉手、门锁</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r>
      <w:tr>
        <w:tblPrEx>
          <w:tblCellMar>
            <w:top w:w="0" w:type="dxa"/>
            <w:left w:w="0" w:type="dxa"/>
            <w:bottom w:w="0" w:type="dxa"/>
            <w:right w:w="0" w:type="dxa"/>
          </w:tblCellMar>
        </w:tblPrEx>
        <w:trPr>
          <w:trHeight w:val="343"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玻镁彩钢板洁净子母门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1.门类型:彩板门M1221</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2.材料种类:彩色涂层钢板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3.五金材料:管子拉手、门锁</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r>
      <w:tr>
        <w:tblPrEx>
          <w:tblCellMar>
            <w:top w:w="0" w:type="dxa"/>
            <w:left w:w="0" w:type="dxa"/>
            <w:bottom w:w="0" w:type="dxa"/>
            <w:right w:w="0" w:type="dxa"/>
          </w:tblCellMar>
        </w:tblPrEx>
        <w:trPr>
          <w:trHeight w:val="341"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安全门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1.门类型:安全门2021*2100 （带玻璃）</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2.材料种类:彩色涂层钢板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3.五金材料:管子拉手、门锁</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中空洁净密闭窗</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1.窗类型: 5+5中空洁净密闭窗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2.窗洞尺寸:1800*1200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3.材质:双层5mm钢化玻璃</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r>
      <w:tr>
        <w:tblPrEx>
          <w:tblCellMar>
            <w:top w:w="0" w:type="dxa"/>
            <w:left w:w="0" w:type="dxa"/>
            <w:bottom w:w="0" w:type="dxa"/>
            <w:right w:w="0" w:type="dxa"/>
          </w:tblCellMar>
        </w:tblPrEx>
        <w:trPr>
          <w:trHeight w:val="233"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中空洁净密闭窗</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1.窗类型: 5+5中空洁净密闭窗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2.窗洞尺寸:1300*1200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3.材质:双层5mm钢化玻璃</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169"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中空洁净密闭窗</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1.窗类型: 5+5中空洁净密闭窗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2.窗洞尺寸:1500*1200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3.材质:双层5mm钢化玻璃</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灭菌传递窗</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1.名称：传递窗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2.材质：304不锈钢</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3.规格：600*600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360" w:hRule="atLeast"/>
          <w:jc w:val="center"/>
        </w:trPr>
        <w:tc>
          <w:tcPr>
            <w:tcW w:w="9254" w:type="dxa"/>
            <w:gridSpan w:val="6"/>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给排水部分</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c>
          <w:tcPr>
            <w:tcW w:w="8380"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给水系统</w:t>
            </w:r>
          </w:p>
        </w:tc>
      </w:tr>
      <w:tr>
        <w:tblPrEx>
          <w:tblCellMar>
            <w:top w:w="0" w:type="dxa"/>
            <w:left w:w="0" w:type="dxa"/>
            <w:bottom w:w="0" w:type="dxa"/>
            <w:right w:w="0" w:type="dxa"/>
          </w:tblCellMar>
        </w:tblPrEx>
        <w:trPr>
          <w:trHeight w:val="133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2.输送介质:给水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3.材质:PE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4.型号、规格:DN25mm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5.连接方式:热熔对接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10.94</w:t>
            </w:r>
          </w:p>
        </w:tc>
      </w:tr>
      <w:tr>
        <w:tblPrEx>
          <w:tblCellMar>
            <w:top w:w="0" w:type="dxa"/>
            <w:left w:w="0" w:type="dxa"/>
            <w:bottom w:w="0" w:type="dxa"/>
            <w:right w:w="0" w:type="dxa"/>
          </w:tblCellMar>
        </w:tblPrEx>
        <w:trPr>
          <w:trHeight w:val="133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2.输送介质:给水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3.材质:PE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4.型号、规格:DN32mm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5.连接方式:热熔对接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14.34</w:t>
            </w:r>
          </w:p>
        </w:tc>
      </w:tr>
      <w:tr>
        <w:tblPrEx>
          <w:tblCellMar>
            <w:top w:w="0" w:type="dxa"/>
            <w:left w:w="0" w:type="dxa"/>
            <w:bottom w:w="0" w:type="dxa"/>
            <w:right w:w="0" w:type="dxa"/>
          </w:tblCellMar>
        </w:tblPrEx>
        <w:trPr>
          <w:trHeight w:val="2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2.输送介质:给水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3.材质:PE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4.型号、规格:DN40mm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5.连接方式:热熔对接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133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2.输送介质:给水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3.材质:PE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4.型号、规格:DN50mm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5.连接方式:热熔对接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水表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1.材质:碳钢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2.型号、规格:LXS-25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3.连接方式:螺纹连接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组</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截止阀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 类型:螺纹截止阀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2.型号、规格:DN32 PN1.0MPa</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截止阀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 类型:螺纹截止阀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2.型号、规格:DN50 PN1.0MPa</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角阀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 类型:角阀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2.型号、规格:DN20 PN1.0MPa</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不锈钢地漏</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 类型:不锈钢地漏</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2.型号、规格:DN50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c>
          <w:tcPr>
            <w:tcW w:w="8380" w:type="dxa"/>
            <w:gridSpan w:val="5"/>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Theme="minorEastAsia" w:hAnsiTheme="minorEastAsia" w:eastAsiaTheme="minorEastAsia" w:cstheme="minorEastAsia"/>
                <w:b/>
                <w:bCs/>
                <w:i w:val="0"/>
                <w:color w:val="auto"/>
                <w:sz w:val="21"/>
                <w:szCs w:val="21"/>
                <w:highlight w:val="none"/>
                <w:u w:val="none"/>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排水系统</w:t>
            </w:r>
          </w:p>
        </w:tc>
      </w:tr>
      <w:tr>
        <w:tblPrEx>
          <w:tblCellMar>
            <w:top w:w="0" w:type="dxa"/>
            <w:left w:w="0" w:type="dxa"/>
            <w:bottom w:w="0" w:type="dxa"/>
            <w:right w:w="0" w:type="dxa"/>
          </w:tblCellMar>
        </w:tblPrEx>
        <w:trPr>
          <w:trHeight w:val="15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2.输送介质:排水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3.材质:UPVC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4.型号、规格:De50mm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5.连接方式:粘接连接</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6.含存水弯</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13.5</w:t>
            </w:r>
          </w:p>
        </w:tc>
      </w:tr>
      <w:tr>
        <w:tblPrEx>
          <w:tblCellMar>
            <w:top w:w="0" w:type="dxa"/>
            <w:left w:w="0" w:type="dxa"/>
            <w:bottom w:w="0" w:type="dxa"/>
            <w:right w:w="0" w:type="dxa"/>
          </w:tblCellMar>
        </w:tblPrEx>
        <w:trPr>
          <w:trHeight w:val="133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2.输送介质:排水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3.材质:UPVC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4.型号、规格:De75mm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5.连接方式:粘接连接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6.97</w:t>
            </w:r>
          </w:p>
        </w:tc>
      </w:tr>
      <w:tr>
        <w:tblPrEx>
          <w:tblCellMar>
            <w:top w:w="0" w:type="dxa"/>
            <w:left w:w="0" w:type="dxa"/>
            <w:bottom w:w="0" w:type="dxa"/>
            <w:right w:w="0" w:type="dxa"/>
          </w:tblCellMar>
        </w:tblPrEx>
        <w:trPr>
          <w:trHeight w:val="133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2.输送介质:排水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3.材质:UPVC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4.型号、规格:De110mm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5.连接方式:粘接连接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3.27</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S型存水弯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1.名称、材质:S型存水弯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2.型号、规格:De50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S型存水弯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1.名称、材质:S型存水弯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2.型号、规格:De110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地漏（洁净型）</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1.名称、材质:地漏（洁净型）</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2.型号、规格:De50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清扫口</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1.名称、材质:清扫口</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2.型号、规格:De110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检查口</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1.名称、材质:检查口</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2.型号、规格:De50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检查口</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1.名称、材质:检查口</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2.型号、规格:De110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312" w:hRule="atLeast"/>
          <w:jc w:val="center"/>
        </w:trPr>
        <w:tc>
          <w:tcPr>
            <w:tcW w:w="9254" w:type="dxa"/>
            <w:gridSpan w:val="6"/>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电气部分</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配电箱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1.名称:Ap11动力配电箱</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2.规格:1600*600*400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3.安装方式:悬挂式</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29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洁净空调净化机组控制配电箱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1.名称:AP21洁净空调净化机组控制配电箱</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2.规格:1600*600*400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3.安装方式:悬挂式</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199"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配电箱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1.名称:AL11照明配电箱</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2.规格:750*600*200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3.安装方式:悬挂式</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配电箱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1.名称:AL21照明配电箱</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2.规格:750*600*200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3.安装方式:悬挂式</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配电箱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1.名称:SYS-AP风机控制箱</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2.规格:750*600*200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3.安装方式:悬挂式</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控制器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1.名称、型号:时间控制器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2.规格:TMP-C</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线槽</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1.材质:金属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2.规格:150*75*1.5</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54.52</w:t>
            </w:r>
          </w:p>
        </w:tc>
      </w:tr>
      <w:tr>
        <w:tblPrEx>
          <w:tblCellMar>
            <w:top w:w="0" w:type="dxa"/>
            <w:left w:w="0" w:type="dxa"/>
            <w:bottom w:w="0" w:type="dxa"/>
            <w:right w:w="0" w:type="dxa"/>
          </w:tblCellMar>
        </w:tblPrEx>
        <w:trPr>
          <w:trHeight w:val="483"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电力电缆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1.型号: 阻燃铜芯交联电缆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ZRYJV-1kV-4x2.5</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3.敷设方式:电缆敷设</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13.6</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电力电缆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1.型号: 阻燃铜芯交联电缆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ZRYJV-1kV-5x4</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3.敷设方式:电缆敷设</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19.04</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电力电缆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1.型号: 阻燃铜芯交联电缆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ZRYJV-1kV-5x6</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3.敷设方式:电缆敷设</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15.51</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电力电缆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1.型号: 阻燃铜芯交联电缆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ZRYJV-1kV-5x10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3.敷设方式:电缆敷设</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116.77</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电力电缆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1.型号: 阻燃铜芯交联电缆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ZRYJV-1kV-5x16</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3.敷设方式:电缆敷设</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16.13</w:t>
            </w:r>
          </w:p>
        </w:tc>
      </w:tr>
      <w:tr>
        <w:tblPrEx>
          <w:tblCellMar>
            <w:top w:w="0" w:type="dxa"/>
            <w:left w:w="0" w:type="dxa"/>
            <w:bottom w:w="0" w:type="dxa"/>
            <w:right w:w="0" w:type="dxa"/>
          </w:tblCellMar>
        </w:tblPrEx>
        <w:trPr>
          <w:trHeight w:val="327"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电力电缆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1.型号: 阻燃铜芯交联电缆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ZRYJV-1kV-3x25+2x16</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3.敷设方式:电缆敷设</w:t>
            </w:r>
          </w:p>
        </w:tc>
        <w:tc>
          <w:tcPr>
            <w:tcW w:w="111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10.17</w:t>
            </w:r>
          </w:p>
        </w:tc>
      </w:tr>
      <w:tr>
        <w:tblPrEx>
          <w:tblCellMar>
            <w:top w:w="0" w:type="dxa"/>
            <w:left w:w="0" w:type="dxa"/>
            <w:bottom w:w="0" w:type="dxa"/>
            <w:right w:w="0" w:type="dxa"/>
          </w:tblCellMar>
        </w:tblPrEx>
        <w:trPr>
          <w:trHeight w:val="201"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电力电缆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1.型号: 阻燃铜芯交联电缆</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ZRYJV-1kV-3x50+2x25</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3.敷设方式:电缆敷设</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47</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配线</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1.配线形式: 耐火铜芯塑料电线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2.导线型号、材质、规格:  NHBVV-0.5kV-2.5</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3.敷设部位或线制:砖、混凝土结构三线</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131.88</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配线</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1.配线形式:  阻燃铜芯塑料电线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2.导线型号、材质、规格:   ZRBVV-0.5kV-2.5</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3.敷设部位或线制:砖、混凝土结构三线</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579.4</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配线</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1.配线形式:  阻燃铜芯塑料电线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2.导线型号、材质、规格:    ZRBVV-0.5kV-4</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3.敷设部位或线制:砖、混凝土结构三线</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1199.46</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电话线</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1.配线形式:  电话线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2.导线型号、材质、规格:    四芯</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220.34</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双绞线缆</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1.配线形式:  电话线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2.导线型号、材质、规格:    六类网络线</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220.34</w:t>
            </w:r>
          </w:p>
        </w:tc>
      </w:tr>
      <w:tr>
        <w:tblPrEx>
          <w:tblCellMar>
            <w:top w:w="0" w:type="dxa"/>
            <w:left w:w="0" w:type="dxa"/>
            <w:bottom w:w="0" w:type="dxa"/>
            <w:right w:w="0" w:type="dxa"/>
          </w:tblCellMar>
        </w:tblPrEx>
        <w:trPr>
          <w:trHeight w:val="693"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1.名称:电线管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2.材质:镀锌线管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3.规格:DN20mm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4.配置形式及部位:砖、混凝土结构暗配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208.4</w:t>
            </w:r>
          </w:p>
        </w:tc>
      </w:tr>
      <w:tr>
        <w:tblPrEx>
          <w:tblCellMar>
            <w:top w:w="0" w:type="dxa"/>
            <w:left w:w="0" w:type="dxa"/>
            <w:bottom w:w="0" w:type="dxa"/>
            <w:right w:w="0" w:type="dxa"/>
          </w:tblCellMar>
        </w:tblPrEx>
        <w:trPr>
          <w:trHeight w:val="188"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1.名称:电线管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2.材质:镀锌线管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3.规格:DN25mm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4.配置形式及部位:砖、混凝土结构暗配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40</w:t>
            </w:r>
          </w:p>
        </w:tc>
      </w:tr>
      <w:tr>
        <w:tblPrEx>
          <w:tblCellMar>
            <w:top w:w="0" w:type="dxa"/>
            <w:left w:w="0" w:type="dxa"/>
            <w:bottom w:w="0" w:type="dxa"/>
            <w:right w:w="0" w:type="dxa"/>
          </w:tblCellMar>
        </w:tblPrEx>
        <w:trPr>
          <w:trHeight w:val="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1.名称:电线管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2.材质:镀锌线管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3.规格:DN40mm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4.配置形式及部位:砖、混凝土结构暗配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6.7</w:t>
            </w:r>
          </w:p>
        </w:tc>
      </w:tr>
      <w:tr>
        <w:tblPrEx>
          <w:tblCellMar>
            <w:top w:w="0" w:type="dxa"/>
            <w:left w:w="0" w:type="dxa"/>
            <w:bottom w:w="0" w:type="dxa"/>
            <w:right w:w="0" w:type="dxa"/>
          </w:tblCellMar>
        </w:tblPrEx>
        <w:trPr>
          <w:trHeight w:val="33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配管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1.名称:电线管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2.材质:镀锌线管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3.规格:DN50mm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4.配置形式及部位:砖、混凝土结构暗配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2.54</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照明开关</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1.名称:双联双控开关</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2.规格:250V  10A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341"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照明开关</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1.名称:三联单控开关</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2.规格:250V  10A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照明开关</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1.名称:单联单控开关</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2.规格:250V  10A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时间控制器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1.名称:时间控制器</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门禁</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1.名称:门禁</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2.规格:双门</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安全出口灯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1.名称:安全出口指示灯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2.安装形式:墙壁安装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三相五孔插座</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1.名称:三相五孔插座</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2.规格:250V  16A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中央台自带插座</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1.名称:中央台自带插座</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2.规格:250V  16A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单相五孔插座</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1.名称:单相五孔插座</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2.规格:250V  10A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48</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电话网络插座</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1.名称:电话网络插座</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2.规格:250V  10A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3.安装方式:暗装</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紫外线杀菌灯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1.名称:紫外线杀菌灯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2.型号:30W</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3.规格:不锈钢弯管，石英管</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4.安装形式:吸顶式</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排气扇</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1.名称:排气扇</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2.功率:60w</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双管LED灯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1.名称:双管LED灯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2.型号:2×36W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3.规格:双管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4.安装形式:吸顶式</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LED洁净平板灯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1.名称:LED洁净平板灯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2.型号:40W （带应急）</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3.规格:600*600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4.安装形式:吸顶式</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LED洁净平板灯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1.名称:LED洁净平板灯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2.型号:40W</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3.规格:600*600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4.安装形式:吸顶式</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LED洁净平板灯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1.名称:LED平板灯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2.型号:20W</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3.规格:600*600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4.安装形式:吸顶式</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LED洁净平板灯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1.名称:LED洁净平板灯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2.型号:20W （带应急）</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3.规格:600*600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4.安装形式:吸顶式</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嵌入式平板灯</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1.名称:嵌入式LED洁净平板灯</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2.型号:40W</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3.规格:600*600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4.安装形式:吸顶式</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接线盒</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1.接线盒</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送配电装置系统</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1.型号:直流供电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2.电压等级:500V以下</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系统</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360" w:hRule="atLeast"/>
          <w:jc w:val="center"/>
        </w:trPr>
        <w:tc>
          <w:tcPr>
            <w:tcW w:w="9254" w:type="dxa"/>
            <w:gridSpan w:val="6"/>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暖通工程部分</w:t>
            </w:r>
          </w:p>
        </w:tc>
      </w:tr>
      <w:tr>
        <w:tblPrEx>
          <w:tblCellMar>
            <w:top w:w="0" w:type="dxa"/>
            <w:left w:w="0" w:type="dxa"/>
            <w:bottom w:w="0" w:type="dxa"/>
            <w:right w:w="0" w:type="dxa"/>
          </w:tblCellMar>
        </w:tblPrEx>
        <w:trPr>
          <w:trHeight w:val="261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组合式空气处理机组</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JK201</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1.名称：风冷直喷式循环风机组</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2.风量： 4500CMH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3.制冷：30KW</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4.电热：18KW</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5.加湿：5kg/h(电极)</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6.机外余压：750Pa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7.电功率：50KW</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8.机组尺寸：2800*1350*1780mm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中效排风机</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PJ201</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1.风量：500CMH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2.机外余压：200Pa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3.功率：0.5KW</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高效送风静压箱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1.风量：500CMH</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空气过滤器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1.风量：500CMH</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高效送风静压箱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1.风量：700CMH</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空气过滤器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1.风量：700CMH</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高效送风静压箱</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1.风量：1300CMH</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空气过滤器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1.风量：1300CMH</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送风散流器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1.类型:方形散流器</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2.规格:400*400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送风散流器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1.类型:方形散流器</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2.规格:200*200</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排气扇</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1.风量：300CMH</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回风单层百叶</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1.类型:百叶风口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2.规格:250X320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(喉口尺寸)</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3.形式:单层</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108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回风单层百叶</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1.类型:百叶风口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2.规格:400X500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(喉口尺寸)</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3.形式:单层</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防雨新风单层百叶</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1.类型:百叶风口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2.规格:250X200(喉口尺寸)</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3.形式:单层</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36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双层帆布软接</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1.帆布软接</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1.95</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手动对开多叶调节阀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1.类型:对开多叶调节阀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500mm×320mm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手动对开多叶调节阀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1.类型:对开多叶调节阀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500mm×250mm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手动对开多叶调节阀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1.类型:对开多叶调节阀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500mm×200mm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手动对开多叶调节阀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1.类型:对开多叶调节阀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320mm×250mm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手动对开多叶调节阀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1.类型:对开多叶调节阀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320mm×200mm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手动对开多叶调节阀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1.类型:对开多叶调节阀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250mm×200mm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手动对开多叶调节阀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1.类型:对开多叶调节阀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200mm×200mm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止回阀</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1.类型:矩形风管止回阀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250mm×200mm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CellMar>
            <w:top w:w="0" w:type="dxa"/>
            <w:left w:w="0" w:type="dxa"/>
            <w:bottom w:w="0" w:type="dxa"/>
            <w:right w:w="0" w:type="dxa"/>
          </w:tblCellMar>
        </w:tblPrEx>
        <w:trPr>
          <w:trHeight w:val="235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镀锌风管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1.材质:镀锌薄钢板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2.形状:矩形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3.周长:＜800mm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4.板材厚度:  δ=0.6mm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5.接口形式:咬口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6.支架:过跨风管落地支架(型钢综合)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7.除锈、刷油:人工除锈、防锈漆两遍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16.86</w:t>
            </w:r>
          </w:p>
        </w:tc>
      </w:tr>
      <w:tr>
        <w:tblPrEx>
          <w:tblCellMar>
            <w:top w:w="0" w:type="dxa"/>
            <w:left w:w="0" w:type="dxa"/>
            <w:bottom w:w="0" w:type="dxa"/>
            <w:right w:w="0" w:type="dxa"/>
          </w:tblCellMar>
        </w:tblPrEx>
        <w:trPr>
          <w:trHeight w:val="235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镀锌风管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1.材质:镀锌薄钢板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2.形状:矩形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3.周长:＜2000mm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4.板材厚度:δ=0.6mm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5.接口形式:咬口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6.支架:过跨风管落地支架(型钢综合)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7.除锈、刷油:人工除锈、防锈漆两遍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14.53</w:t>
            </w:r>
          </w:p>
        </w:tc>
      </w:tr>
      <w:tr>
        <w:tblPrEx>
          <w:tblCellMar>
            <w:top w:w="0" w:type="dxa"/>
            <w:left w:w="0" w:type="dxa"/>
            <w:bottom w:w="0" w:type="dxa"/>
            <w:right w:w="0" w:type="dxa"/>
          </w:tblCellMar>
        </w:tblPrEx>
        <w:trPr>
          <w:trHeight w:val="1388"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26</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镀锌风管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1.材质:洁净空调用镀锌薄钢板（洁净空调用）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2.形状:矩形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3.周长:＜800mm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4.板材厚度:  δ=0.75mm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5.接口形式:咬口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6.支架:过跨风管落地支架(型钢综合)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7.除锈、刷油:人工除锈、防锈漆两遍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7.24</w:t>
            </w:r>
          </w:p>
        </w:tc>
      </w:tr>
      <w:tr>
        <w:tblPrEx>
          <w:tblCellMar>
            <w:top w:w="0" w:type="dxa"/>
            <w:left w:w="0" w:type="dxa"/>
            <w:bottom w:w="0" w:type="dxa"/>
            <w:right w:w="0" w:type="dxa"/>
          </w:tblCellMar>
        </w:tblPrEx>
        <w:trPr>
          <w:trHeight w:val="1101"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27</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镀锌风管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1.材质:镀锌薄钢板（洁净空调用）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2.形状:矩形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3.周长:＜2000mm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4.板材厚度:  δ=0.75mm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5.接口形式:咬口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6.支架:过跨风管落地支架(型钢综合)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7.除锈、刷油:人工除锈、防锈漆两遍</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48.54</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28</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通风管道绝热</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1.绝热材料品种:难燃B1级橡塑海绵保温材料</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2.绝热厚度:25mm</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m2</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87.18</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铜管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1.材质:紫铜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2.型号、规格:φ12.7 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3.绝热材料：橡塑保温棉</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9.9</w:t>
            </w:r>
          </w:p>
        </w:tc>
      </w:tr>
      <w:tr>
        <w:tblPrEx>
          <w:tblCellMar>
            <w:top w:w="0" w:type="dxa"/>
            <w:left w:w="0" w:type="dxa"/>
            <w:bottom w:w="0" w:type="dxa"/>
            <w:right w:w="0" w:type="dxa"/>
          </w:tblCellMar>
        </w:tblPrEx>
        <w:trPr>
          <w:trHeight w:val="825"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30</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铜管</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1.材质:紫铜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2.型号、规格:φ28.58mm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3.绝热材料：橡塑保温棉</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9.9</w:t>
            </w:r>
          </w:p>
        </w:tc>
      </w:tr>
      <w:tr>
        <w:tblPrEx>
          <w:tblCellMar>
            <w:top w:w="0" w:type="dxa"/>
            <w:left w:w="0" w:type="dxa"/>
            <w:bottom w:w="0" w:type="dxa"/>
            <w:right w:w="0" w:type="dxa"/>
          </w:tblCellMar>
        </w:tblPrEx>
        <w:trPr>
          <w:trHeight w:val="15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31</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PVC-U排水管（含保温）</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2.输送介质:排水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3.材质:UPVC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4.型号、规格:DN40mm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5.连接方式:粘接连接</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6.保温材料：橡塑保温棉</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r>
      <w:tr>
        <w:tblPrEx>
          <w:tblCellMar>
            <w:top w:w="0" w:type="dxa"/>
            <w:left w:w="0" w:type="dxa"/>
            <w:bottom w:w="0" w:type="dxa"/>
            <w:right w:w="0" w:type="dxa"/>
          </w:tblCellMar>
        </w:tblPrEx>
        <w:trPr>
          <w:trHeight w:val="159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PVC-U排水管（含保温）</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1.安装部位:室内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2.输送介质:排水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3.材质:UPVC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4.型号、规格:DN32mm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5.连接方式:粘接连接</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6.保温材料：橡塑保温棉</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1.17</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33</w:t>
            </w:r>
          </w:p>
        </w:tc>
        <w:tc>
          <w:tcPr>
            <w:tcW w:w="173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机械压差表</w:t>
            </w:r>
          </w:p>
        </w:tc>
        <w:tc>
          <w:tcPr>
            <w:tcW w:w="42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1.类型:机械压差表</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 0-60pa</w:t>
            </w:r>
          </w:p>
        </w:tc>
        <w:tc>
          <w:tcPr>
            <w:tcW w:w="108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2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r>
    </w:tbl>
    <w:p>
      <w:pPr>
        <w:spacing w:line="360" w:lineRule="auto"/>
        <w:rPr>
          <w:rFonts w:hint="eastAsia" w:asciiTheme="minorEastAsia" w:hAnsiTheme="minorEastAsia" w:eastAsiaTheme="minorEastAsia" w:cstheme="minorEastAsia"/>
          <w:b/>
          <w:bCs/>
          <w:color w:val="auto"/>
          <w:sz w:val="21"/>
          <w:szCs w:val="21"/>
          <w:highlight w:val="none"/>
        </w:rPr>
      </w:pP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三、技术参数要求</w:t>
      </w:r>
      <w:r>
        <w:rPr>
          <w:rFonts w:hint="eastAsia" w:asciiTheme="minorEastAsia" w:hAnsiTheme="minorEastAsia" w:eastAsiaTheme="minorEastAsia" w:cstheme="minorEastAsia"/>
          <w:b/>
          <w:bCs/>
          <w:color w:val="auto"/>
          <w:sz w:val="21"/>
          <w:szCs w:val="21"/>
          <w:highlight w:val="none"/>
        </w:rPr>
        <w:br w:type="textWrapping"/>
      </w:r>
      <w:r>
        <w:rPr>
          <w:rFonts w:hint="eastAsia" w:asciiTheme="minorEastAsia" w:hAnsiTheme="minorEastAsia" w:eastAsiaTheme="minorEastAsia" w:cstheme="minorEastAsia"/>
          <w:b/>
          <w:bCs/>
          <w:color w:val="auto"/>
          <w:sz w:val="21"/>
          <w:szCs w:val="21"/>
          <w:highlight w:val="none"/>
        </w:rPr>
        <w:t>（一）装饰部分</w:t>
      </w:r>
    </w:p>
    <w:p>
      <w:pPr>
        <w:bidi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PVC卷材地板</w:t>
      </w:r>
    </w:p>
    <w:p>
      <w:pPr>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材料类型:PVC塑胶同质透心地板、聚氯乙烯卷材地板</w:t>
      </w:r>
    </w:p>
    <w:p>
      <w:pPr>
        <w:adjustRightInd w:val="0"/>
        <w:spacing w:line="360" w:lineRule="auto"/>
        <w:ind w:left="239" w:leftChars="11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产品总厚度：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2mm</w:t>
      </w:r>
    </w:p>
    <w:p>
      <w:pPr>
        <w:adjustRightInd w:val="0"/>
        <w:spacing w:line="360" w:lineRule="auto"/>
        <w:ind w:left="239" w:leftChars="11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耐磨性≤2.0</w:t>
      </w:r>
    </w:p>
    <w:p>
      <w:pPr>
        <w:adjustRightInd w:val="0"/>
        <w:spacing w:line="360" w:lineRule="auto"/>
        <w:ind w:left="239" w:leftChars="11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残存凹陷度：≤0.</w:t>
      </w:r>
      <w:r>
        <w:rPr>
          <w:rFonts w:hint="eastAsia" w:asciiTheme="minorEastAsia" w:hAnsiTheme="minorEastAsia" w:eastAsiaTheme="minorEastAsia" w:cstheme="minorEastAsia"/>
          <w:color w:val="auto"/>
          <w:sz w:val="21"/>
          <w:szCs w:val="21"/>
          <w:highlight w:val="none"/>
          <w:lang w:val="en-US" w:eastAsia="zh-CN"/>
        </w:rPr>
        <w:t>04</w:t>
      </w:r>
      <w:r>
        <w:rPr>
          <w:rFonts w:hint="eastAsia" w:asciiTheme="minorEastAsia" w:hAnsiTheme="minorEastAsia" w:eastAsiaTheme="minorEastAsia" w:cstheme="minorEastAsia"/>
          <w:color w:val="auto"/>
          <w:sz w:val="21"/>
          <w:szCs w:val="21"/>
          <w:highlight w:val="none"/>
        </w:rPr>
        <w:t>（检测标准GB/T4085-2005）</w:t>
      </w:r>
    </w:p>
    <w:p>
      <w:pPr>
        <w:adjustRightInd w:val="0"/>
        <w:spacing w:line="360" w:lineRule="auto"/>
        <w:ind w:left="239" w:leftChars="11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防火性能：国家建材中心的检测符合现行国家标准B1级</w:t>
      </w:r>
      <w:bookmarkStart w:id="276" w:name="OLE_LINK7"/>
      <w:r>
        <w:rPr>
          <w:rFonts w:hint="eastAsia" w:asciiTheme="minorEastAsia" w:hAnsiTheme="minorEastAsia" w:eastAsiaTheme="minorEastAsia" w:cstheme="minorEastAsia"/>
          <w:color w:val="auto"/>
          <w:sz w:val="21"/>
          <w:szCs w:val="21"/>
          <w:highlight w:val="none"/>
        </w:rPr>
        <w:t>（</w:t>
      </w:r>
      <w:bookmarkStart w:id="277" w:name="OLE_LINK3"/>
      <w:r>
        <w:rPr>
          <w:rFonts w:hint="eastAsia" w:asciiTheme="minorEastAsia" w:hAnsiTheme="minorEastAsia" w:eastAsiaTheme="minorEastAsia" w:cstheme="minorEastAsia"/>
          <w:color w:val="auto"/>
          <w:sz w:val="21"/>
          <w:szCs w:val="21"/>
          <w:highlight w:val="none"/>
        </w:rPr>
        <w:t>检测标准</w:t>
      </w:r>
      <w:bookmarkEnd w:id="277"/>
      <w:r>
        <w:rPr>
          <w:rFonts w:hint="eastAsia" w:asciiTheme="minorEastAsia" w:hAnsiTheme="minorEastAsia" w:eastAsiaTheme="minorEastAsia" w:cstheme="minorEastAsia"/>
          <w:color w:val="auto"/>
          <w:sz w:val="21"/>
          <w:szCs w:val="21"/>
          <w:highlight w:val="none"/>
        </w:rPr>
        <w:t>GB8624-2012）</w:t>
      </w:r>
      <w:bookmarkEnd w:id="276"/>
    </w:p>
    <w:p>
      <w:pPr>
        <w:adjustRightInd w:val="0"/>
        <w:spacing w:line="360" w:lineRule="auto"/>
        <w:ind w:left="239" w:leftChars="114" w:firstLine="210" w:firstLineChars="100"/>
        <w:rPr>
          <w:rFonts w:hint="eastAsia" w:asciiTheme="minorEastAsia" w:hAnsiTheme="minorEastAsia" w:eastAsiaTheme="minorEastAsia" w:cstheme="minorEastAsia"/>
          <w:color w:val="auto"/>
          <w:sz w:val="21"/>
          <w:szCs w:val="21"/>
          <w:highlight w:val="none"/>
          <w:vertAlign w:val="subscript"/>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产烟毒性达到准安全一级</w:t>
      </w:r>
      <w:r>
        <w:rPr>
          <w:rFonts w:hint="eastAsia" w:asciiTheme="minorEastAsia" w:hAnsiTheme="minorEastAsia" w:eastAsiaTheme="minorEastAsia" w:cstheme="minorEastAsia"/>
          <w:color w:val="auto"/>
          <w:sz w:val="21"/>
          <w:szCs w:val="21"/>
          <w:highlight w:val="none"/>
          <w:lang w:val="en-US" w:eastAsia="zh-CN"/>
        </w:rPr>
        <w:t>ZA</w:t>
      </w:r>
      <w:r>
        <w:rPr>
          <w:rFonts w:hint="eastAsia" w:asciiTheme="minorEastAsia" w:hAnsiTheme="minorEastAsia" w:eastAsiaTheme="minorEastAsia" w:cstheme="minorEastAsia"/>
          <w:color w:val="auto"/>
          <w:sz w:val="21"/>
          <w:szCs w:val="21"/>
          <w:highlight w:val="none"/>
          <w:vertAlign w:val="subscript"/>
          <w:lang w:val="en-US" w:eastAsia="zh-CN"/>
        </w:rPr>
        <w:t>1</w:t>
      </w:r>
      <w:r>
        <w:rPr>
          <w:rFonts w:hint="eastAsia" w:asciiTheme="minorEastAsia" w:hAnsiTheme="minorEastAsia" w:eastAsiaTheme="minorEastAsia" w:cstheme="minorEastAsia"/>
          <w:color w:val="auto"/>
          <w:sz w:val="21"/>
          <w:szCs w:val="21"/>
          <w:highlight w:val="none"/>
          <w:vertAlign w:val="baseline"/>
          <w:lang w:val="en-US" w:eastAsia="zh-CN"/>
        </w:rPr>
        <w:t>。</w:t>
      </w:r>
    </w:p>
    <w:p>
      <w:pPr>
        <w:adjustRightInd w:val="0"/>
        <w:spacing w:line="360" w:lineRule="auto"/>
        <w:ind w:left="239" w:leftChars="114" w:firstLine="210" w:firstLineChars="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有毒有害物质检测：氯乙烯单体、可溶性重金属、挥发物检测等检测合格</w:t>
      </w:r>
      <w:r>
        <w:rPr>
          <w:rFonts w:hint="eastAsia" w:asciiTheme="minorEastAsia" w:hAnsiTheme="minorEastAsia" w:eastAsiaTheme="minorEastAsia" w:cstheme="minorEastAsia"/>
          <w:color w:val="auto"/>
          <w:sz w:val="21"/>
          <w:szCs w:val="21"/>
          <w:highlight w:val="none"/>
          <w:lang w:eastAsia="zh-CN"/>
        </w:rPr>
        <w:t>。</w:t>
      </w:r>
    </w:p>
    <w:p>
      <w:pPr>
        <w:adjustRightInd w:val="0"/>
        <w:spacing w:line="360" w:lineRule="auto"/>
        <w:ind w:left="239" w:leftChars="11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（8）色牢度≥6。</w:t>
      </w:r>
    </w:p>
    <w:p>
      <w:pPr>
        <w:bidi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2、彩钢板隔墙</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（1）彩钢板采用特殊生产工艺加工而成，具有防火、防水、无味、无毒、不冻、不腐、不裂、不变、不燃、高强质轻、安装方便、使用寿命长等特点，要求厚度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50mm，钢板厚度常用为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0.426mm。</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（2）玻镁彩钢板：上下两面净化，灰白（避免眩光），覆膜钢板，上下两面各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5mm 玻镁面板，芯材由11条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12mm 玻镁龙骨框架，机制板两侧钢带为0.38-0.4MM厚扣骨，手工板四周 0.68-0.70MM 龙骨架封边；</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 ▲玻镁板氯离子含量≤0.01%。</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 ▲玻镁板不腐蚀钢板及铝合金。</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 ▲耐火极限不小于 60 分钟。</w:t>
      </w:r>
    </w:p>
    <w:p>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3、天花</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1.吊顶工程所用材料的品种、规格、颜色以及基层构造、固定方法应符合设计要求。</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2.吊顶形式为不上人型，平面，采用U型轻钢龙骨，轻钢龙架的吊杆，龙骨安装必须位置正确，连接牢固，无松动。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3.面层采用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600*600*1.0铝合金扣板吊顶。</w:t>
      </w:r>
    </w:p>
    <w:p>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、墙面粉刷</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①2底2面</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②环保无机涂料</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挥发性有机物含量（VOC）低于20g/L。</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▲不得检出苯、甲苯、乙苯、二甲苯。</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可溶性金属：铅、镉、汞检测合格。</w:t>
      </w:r>
    </w:p>
    <w:p>
      <w:pPr>
        <w:bidi w:val="0"/>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（二）电气部分</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1、紫外线杀菌灯</w:t>
      </w:r>
    </w:p>
    <w:p>
      <w:pPr>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1）检验依据：《紫外线杀菌灯》GB19258-2012；</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2、电气、给排水部分：</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）电线电缆</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①符合GB/T12706、GB 12666等中国国家标准。</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②电线电缆应有国家认可的质量检测机构的检验合格报告和3C认证。</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③阻燃、耐火电线电缆应通过国家级相关质量监督检验机构的型式认可检验。</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④电缆盘上应表明电缆型号、规格、电压等级、长度及出厂日期，并与产品合格证相符。电缆盘应完好无损。</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⑤</w:t>
      </w:r>
      <w:r>
        <w:rPr>
          <w:rFonts w:hint="eastAsia" w:asciiTheme="minorEastAsia" w:hAnsiTheme="minorEastAsia" w:eastAsiaTheme="minorEastAsia" w:cstheme="minorEastAsia"/>
          <w:color w:val="auto"/>
          <w:sz w:val="21"/>
          <w:szCs w:val="21"/>
          <w:highlight w:val="none"/>
        </w:rPr>
        <w:t>所选用的原材料必须是国家认可的合格、优质原材料，铜材必须是由国家规定的正规渠道采购的优质电解铜，铜材纯度达到99.9%或以上；其他绝缘材料、护套材料、填充物等必须使用国家认可的优质产品。</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⑥</w:t>
      </w:r>
      <w:r>
        <w:rPr>
          <w:rFonts w:hint="eastAsia" w:asciiTheme="minorEastAsia" w:hAnsiTheme="minorEastAsia" w:eastAsiaTheme="minorEastAsia" w:cstheme="minorEastAsia"/>
          <w:color w:val="auto"/>
          <w:sz w:val="21"/>
          <w:szCs w:val="21"/>
          <w:highlight w:val="none"/>
        </w:rPr>
        <w:t>成品电缆护套上应有制造厂厂名，产品型号及额定电压的连续标志，绞合的主干电缆护套上应有相序标志。标识字迹清晰，容易辨认，耐擦。</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）开关、插座：</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①面板材 PC料或ABS料、必须阻燃</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②底壳材料 PC料或尼龙料（ABS）或尿素树脂必须阻燃</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③额定电压 250V </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④定电流 10A、16A </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⑤开关寿命≥40000次</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）照明灯具、消防灯具：</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A、照明灯具：</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①色温一致性好，色容差小于5，显色指数达80，还原物体本质色彩。</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②优质LED芯片、先进制造工艺确保整灯光效达到80Lm/W，比传统T8系统节能50%。</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③科学配光，面板式结构设计的PC透光罩，透光率高，透出光线均匀柔和，保护视力。</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④整灯采用一体化的设计，具有一定的密封性，后期维护更方便，节省维护费用。</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⑤关键元器件采用进口材料，参数稳定，具有开路、短线、过压等保护功能，可在180V-240V的宽输入电压环境下正常工作。</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B、应急电源：</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①采用优质镍镉电池，电池容量大，应急时间长，可连续充放电500-1000次，寿命更长；</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②集成电路控制，有完善的过充电、过放电保护电路，延长电池寿命；</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③采用开关电源电路设计，性能稳定，产品能适用宽松电压环境；</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④光源采用氪气卤素灯珠，亮度高、寿命长，灯头的反面镀铬、反射率高，投光效率好；</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⑤采用不燃材料，消防安全有保障；不能完成应急功能或灯具放电时间不够的灯具将会自动发出报警。</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）动力配电箱、照明配电箱：</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①符合BG7521、JB/T9666等中国国家标准及国际标准；</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②箱设备内元器件应有“3C”认证；</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③箱内二次元器件及导线须采用优质名牌；</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④箱体材料采用优质冷轧钢板，箱体板材厚度不小于1.5mm，落地柜板材厚度不小于2.0mm，箱体表面经过除油、除锈、磷化处理、喷粉烘烤或喷塑处理。</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）PPR水管、PVC线管以及配件技术要求：</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①管材和管件的内外壁应光滑平整，无气泡、裂纹、脱皮和明显的痕纹、凹陷，色泽应基本一致。</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②管材的端面应垂直于管材的轴线。管件应完整、无缺损、无变形。</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③管材、管件的物理、力学性能、管材尺寸、外径、壁厚公差与管材公差应符合相关规范标准要求。</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）给水：</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①生活给水管道上的阀门，DN≤50时用截止阀，DN＞50时用闸阀或碟阀。</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②管材选用PP-R给水管（管材压力等级：1.6 MPa）；采用热熔焊接连接；</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）排水</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①排水立管与排水管端部连接，宜采用45°斜三通或45°斜四通和顺水三通或顺水四通。排水立管与排出管端部的连接宜采用两个45°弯头或弯曲半径不小于4倍管径的90°弯头。</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②化验水盆排水管与排水横管垂直连接，应采用90°斜三通。</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③有化验水盆的房间应设置地漏，所有水盆（包括地漏）需自带或配备存水弯，其水封深度不少于50毫米。</w:t>
      </w:r>
    </w:p>
    <w:p>
      <w:pPr>
        <w:tabs>
          <w:tab w:val="left" w:pos="567"/>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④管材选用：硬质聚氯乙烯管。</w:t>
      </w:r>
    </w:p>
    <w:p>
      <w:pPr>
        <w:pStyle w:val="210"/>
        <w:spacing w:line="360" w:lineRule="auto"/>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（三）暖通部分</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空调、通风系统安装必须满足以下有关规范、标准要求：</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中华人民共和国工程建设标准强制性条文(房屋建筑部分)</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通风与空调工程施工质量验收规范 GB 50243-2016</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建筑给水排水及采暖工程施工质量验收规范 GB 50242-2002</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制冷设备、空气分离设备安装工程施工及验收规范 GB 50274-2010</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风机、压缩机、泵安装工程施工及验收规范 GB 50275-2010</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a、空调、新风工程所用的材料、成品或半成品进场，必须有产品合格证，并按设计要求验收签证。</w:t>
      </w:r>
    </w:p>
    <w:p>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b、空调、新风工程中的隐蔽工程在隐蔽前必须按有关验收规范及设计要求验收签证。</w:t>
      </w:r>
    </w:p>
    <w:p>
      <w:pPr>
        <w:snapToGrid w:val="0"/>
        <w:spacing w:line="360" w:lineRule="auto"/>
        <w:ind w:firstLine="420" w:firstLineChars="20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c、空调、新风工程安装应与土建及装饰工程密切配合，在土建和暖通施工前，认真核对、协调处理安装所需的土建基础、预埋件和预留孔洞。</w:t>
      </w:r>
    </w:p>
    <w:p>
      <w:pPr>
        <w:pStyle w:val="210"/>
        <w:spacing w:line="360" w:lineRule="auto"/>
        <w:ind w:firstLine="46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1、组合式空气处理机组</w:t>
      </w:r>
    </w:p>
    <w:p>
      <w:pPr>
        <w:pStyle w:val="210"/>
        <w:spacing w:line="360" w:lineRule="auto"/>
        <w:ind w:firstLine="46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val="en-US" w:eastAsia="zh-CN"/>
        </w:rPr>
        <w:t>空调箱体外形美观大方，采用铝质型材框架结构，铝型材与面板通过高压聚氨酯发泡形成一个整体，铝型材带凹凸槽，安装后形成榫头互扣连接，通过螺栓螺母的连接方式，形成了严密的迷宫式密封</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面板与面板之间以</w:t>
      </w:r>
      <w:r>
        <w:rPr>
          <w:rFonts w:hint="eastAsia" w:asciiTheme="minorEastAsia" w:hAnsiTheme="minorEastAsia" w:eastAsiaTheme="minorEastAsia" w:cstheme="minorEastAsia"/>
          <w:bCs/>
          <w:color w:val="auto"/>
          <w:sz w:val="21"/>
          <w:szCs w:val="21"/>
          <w:highlight w:val="none"/>
          <w:lang w:val="en-US" w:eastAsia="zh-CN"/>
        </w:rPr>
        <w:t>铝质型材框架互扣</w:t>
      </w:r>
      <w:r>
        <w:rPr>
          <w:rFonts w:hint="eastAsia" w:asciiTheme="minorEastAsia" w:hAnsiTheme="minorEastAsia" w:eastAsiaTheme="minorEastAsia" w:cstheme="minorEastAsia"/>
          <w:color w:val="auto"/>
          <w:sz w:val="21"/>
          <w:szCs w:val="21"/>
          <w:highlight w:val="none"/>
          <w:lang w:val="en-US" w:eastAsia="zh-CN"/>
        </w:rPr>
        <w:t>连接，内部还有暗藏方钢内框架，使箱体在组装后的每个拼接处都形成内外两道加强，性能优于普通框架式结构。为了确保机组正负压段不漏风及便于箱板拆卸，机组面板与面板间必须采用螺栓螺母紧固。</w:t>
      </w:r>
    </w:p>
    <w:p>
      <w:pPr>
        <w:pStyle w:val="210"/>
        <w:spacing w:line="360" w:lineRule="auto"/>
        <w:ind w:firstLine="46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面板要求采用双面保温箱板结构保温层厚度不小于50mm，内充填聚氨脂发泡保温（密度≥</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kg/m3）。外板采用彩色镀锌钢板，箱体面板外板采用覆膜彩钢板，板厚不得低于0.5mm,内板采用镀锌钢板或不锈钢板，板厚不得低于0.5mm，内外板之间应具有防冷桥措施，不得直接接触。</w:t>
      </w:r>
    </w:p>
    <w:p>
      <w:pPr>
        <w:pStyle w:val="210"/>
        <w:spacing w:line="360" w:lineRule="auto"/>
        <w:ind w:firstLine="46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机组热绝缘性能保证应不低于 T2 级。</w:t>
      </w:r>
    </w:p>
    <w:p>
      <w:pPr>
        <w:pStyle w:val="210"/>
        <w:spacing w:line="360" w:lineRule="auto"/>
        <w:ind w:firstLine="46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同时通过美标AHRI和欧标Eurovent认证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（须在投标书中提供</w:t>
      </w:r>
      <w:r>
        <w:rPr>
          <w:rFonts w:hint="eastAsia" w:asciiTheme="minorEastAsia" w:hAnsiTheme="minorEastAsia" w:eastAsiaTheme="minorEastAsia" w:cstheme="minorEastAsia"/>
          <w:color w:val="auto"/>
          <w:sz w:val="21"/>
          <w:szCs w:val="21"/>
          <w:highlight w:val="none"/>
          <w:lang w:eastAsia="zh-CN"/>
        </w:rPr>
        <w:t>认证</w:t>
      </w:r>
      <w:r>
        <w:rPr>
          <w:rFonts w:hint="eastAsia" w:asciiTheme="minorEastAsia" w:hAnsiTheme="minorEastAsia" w:eastAsiaTheme="minorEastAsia" w:cstheme="minorEastAsia"/>
          <w:color w:val="auto"/>
          <w:sz w:val="21"/>
          <w:szCs w:val="21"/>
          <w:highlight w:val="none"/>
        </w:rPr>
        <w:t>复印件）</w:t>
      </w:r>
    </w:p>
    <w:p>
      <w:pPr>
        <w:pStyle w:val="210"/>
        <w:spacing w:line="360" w:lineRule="auto"/>
        <w:ind w:firstLine="462" w:firstLineChars="20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val="en-US" w:eastAsia="zh-CN"/>
        </w:rPr>
        <w:t>2、</w:t>
      </w:r>
      <w:r>
        <w:rPr>
          <w:rFonts w:hint="eastAsia" w:asciiTheme="minorEastAsia" w:hAnsiTheme="minorEastAsia" w:eastAsiaTheme="minorEastAsia" w:cstheme="minorEastAsia"/>
          <w:b/>
          <w:bCs w:val="0"/>
          <w:color w:val="auto"/>
          <w:sz w:val="21"/>
          <w:szCs w:val="21"/>
          <w:highlight w:val="none"/>
          <w:lang w:eastAsia="zh-CN"/>
        </w:rPr>
        <w:t>空气过滤器</w:t>
      </w:r>
    </w:p>
    <w:p>
      <w:pPr>
        <w:pStyle w:val="210"/>
        <w:spacing w:line="360" w:lineRule="auto"/>
        <w:ind w:firstLine="46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B类有隔板高效过滤器，在额定风量下的钠焰法效率应不低于99.99%；</w:t>
      </w:r>
    </w:p>
    <w:p>
      <w:pPr>
        <w:pStyle w:val="210"/>
        <w:spacing w:line="360" w:lineRule="auto"/>
        <w:ind w:firstLine="46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（2）B类有隔板高效过滤器，在额定风量下初阻力不高于220Pa。</w:t>
      </w:r>
    </w:p>
    <w:p>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、通风管道</w:t>
      </w:r>
    </w:p>
    <w:p>
      <w:pPr>
        <w:tabs>
          <w:tab w:val="left" w:pos="993"/>
        </w:tabs>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（1）风管制作使用的材料品种、规格、性能与厚度等应符合设计和现行国家产品标准的规定。</w:t>
      </w:r>
    </w:p>
    <w:p>
      <w:pPr>
        <w:numPr>
          <w:ilvl w:val="0"/>
          <w:numId w:val="10"/>
        </w:numPr>
        <w:tabs>
          <w:tab w:val="left" w:pos="993"/>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风管采用</w:t>
      </w:r>
      <w:r>
        <w:rPr>
          <w:rFonts w:hint="eastAsia" w:asciiTheme="minorEastAsia" w:hAnsiTheme="minorEastAsia" w:eastAsiaTheme="minorEastAsia" w:cstheme="minorEastAsia"/>
          <w:color w:val="auto"/>
          <w:sz w:val="21"/>
          <w:szCs w:val="21"/>
          <w:highlight w:val="none"/>
          <w:lang w:eastAsia="zh-CN"/>
        </w:rPr>
        <w:t>镀锌风管</w:t>
      </w:r>
      <w:r>
        <w:rPr>
          <w:rFonts w:hint="eastAsia" w:asciiTheme="minorEastAsia" w:hAnsiTheme="minorEastAsia" w:eastAsiaTheme="minorEastAsia" w:cstheme="minorEastAsia"/>
          <w:color w:val="auto"/>
          <w:sz w:val="21"/>
          <w:szCs w:val="21"/>
          <w:highlight w:val="none"/>
        </w:rPr>
        <w:t>。</w:t>
      </w:r>
    </w:p>
    <w:p>
      <w:pPr>
        <w:numPr>
          <w:ilvl w:val="0"/>
          <w:numId w:val="10"/>
        </w:numPr>
        <w:tabs>
          <w:tab w:val="left" w:pos="993"/>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根据设计要求及现场条件焊接组装，现场安装应尽量减少三通、弯头，以降低风阻。</w:t>
      </w:r>
    </w:p>
    <w:p>
      <w:pPr>
        <w:tabs>
          <w:tab w:val="left" w:pos="993"/>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（4）风管制作使用的材料品种、规格、性能与厚度等应符合设计和现行国家产品标准的规定。</w:t>
      </w:r>
    </w:p>
    <w:p>
      <w:pPr>
        <w:tabs>
          <w:tab w:val="left" w:pos="993"/>
        </w:tabs>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①风管的外观质量应表面平整，凹凸不大于5mm，圆弧均匀，拼缝处无凹凸，两端平行，无扭曲和翘角，焊缝饱满，焊条排列整齐。</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②风管加固应牢固可靠，整齐美观。风管与法兰连接处的三角支撑间距适宜，均匀对称。风管制作偏差符合下表的规定。</w:t>
      </w:r>
    </w:p>
    <w:p>
      <w:pPr>
        <w:tabs>
          <w:tab w:val="left" w:pos="840"/>
        </w:tabs>
        <w:spacing w:line="440" w:lineRule="exact"/>
        <w:rPr>
          <w:rFonts w:hint="eastAsia" w:ascii="宋体" w:hAnsi="宋体" w:cs="Times New Roman"/>
          <w:b/>
          <w:color w:val="auto"/>
          <w:highlight w:val="none"/>
          <w:lang w:val="zh-CN"/>
        </w:rPr>
      </w:pPr>
      <w:r>
        <w:rPr>
          <w:rFonts w:hint="eastAsia" w:ascii="宋体" w:hAnsi="宋体" w:cs="Times New Roman"/>
          <w:b/>
          <w:color w:val="auto"/>
          <w:highlight w:val="none"/>
          <w:lang w:val="zh-CN"/>
        </w:rPr>
        <w:t>三、检测报告</w:t>
      </w:r>
    </w:p>
    <w:p>
      <w:pPr>
        <w:spacing w:line="440" w:lineRule="exact"/>
        <w:ind w:firstLine="420" w:firstLineChars="200"/>
        <w:rPr>
          <w:rFonts w:hint="eastAsia" w:ascii="宋体" w:hAnsi="宋体" w:cs="Times New Roman"/>
          <w:color w:val="auto"/>
          <w:highlight w:val="none"/>
          <w:lang w:val="zh-CN"/>
        </w:rPr>
      </w:pPr>
      <w:r>
        <w:rPr>
          <w:rFonts w:hint="eastAsia" w:ascii="宋体" w:hAnsi="宋体" w:cs="Times New Roman"/>
          <w:color w:val="auto"/>
          <w:highlight w:val="none"/>
          <w:lang w:val="zh-CN"/>
        </w:rPr>
        <w:t>检测报告：投标人投标时提供所投产品在</w:t>
      </w:r>
      <w:r>
        <w:rPr>
          <w:rFonts w:hint="eastAsia" w:ascii="宋体" w:hAnsi="宋体" w:cs="Times New Roman"/>
          <w:color w:val="auto"/>
          <w:highlight w:val="none"/>
          <w:lang w:val="en-US" w:eastAsia="zh-CN"/>
        </w:rPr>
        <w:t>第三方检测机构</w:t>
      </w:r>
      <w:r>
        <w:rPr>
          <w:rFonts w:hint="eastAsia" w:ascii="宋体" w:hAnsi="宋体" w:cs="Times New Roman"/>
          <w:color w:val="auto"/>
          <w:highlight w:val="none"/>
          <w:lang w:val="zh-CN"/>
        </w:rPr>
        <w:t>出具的检测报告复印件（检测报告应出具检测室官方查伪电话和网站），检测报告书需包括具体检测结果数据，报告包含但不限于以下内容：</w:t>
      </w:r>
    </w:p>
    <w:p>
      <w:pPr>
        <w:numPr>
          <w:ilvl w:val="0"/>
          <w:numId w:val="11"/>
        </w:numPr>
        <w:spacing w:line="440" w:lineRule="exact"/>
        <w:ind w:firstLine="420" w:firstLineChars="200"/>
        <w:rPr>
          <w:rFonts w:hint="eastAsia" w:ascii="宋体" w:hAnsi="宋体" w:cs="Times New Roman"/>
          <w:color w:val="auto"/>
          <w:highlight w:val="none"/>
          <w:lang w:val="zh-CN"/>
        </w:rPr>
      </w:pPr>
      <w:r>
        <w:rPr>
          <w:rFonts w:hint="eastAsia" w:ascii="宋体" w:hAnsi="宋体" w:cs="Times New Roman"/>
          <w:color w:val="auto"/>
          <w:highlight w:val="none"/>
          <w:lang w:val="zh-CN"/>
        </w:rPr>
        <w:t>检测报告体现PVC卷材地板的</w:t>
      </w:r>
      <w:r>
        <w:rPr>
          <w:rFonts w:hint="default" w:ascii="宋体" w:hAnsi="宋体" w:cs="Times New Roman"/>
          <w:color w:val="auto"/>
          <w:highlight w:val="none"/>
          <w:lang w:val="zh-CN"/>
        </w:rPr>
        <w:t>①</w:t>
      </w:r>
      <w:r>
        <w:rPr>
          <w:rFonts w:hint="eastAsia" w:ascii="宋体" w:hAnsi="宋体" w:cs="Times New Roman"/>
          <w:color w:val="auto"/>
          <w:highlight w:val="none"/>
          <w:lang w:val="zh-CN"/>
        </w:rPr>
        <w:t>材料类型:PVC塑胶同质透心地板、聚氯乙烯卷材地板；</w:t>
      </w:r>
      <w:r>
        <w:rPr>
          <w:rFonts w:hint="default" w:ascii="宋体" w:hAnsi="宋体" w:cs="Times New Roman"/>
          <w:color w:val="auto"/>
          <w:highlight w:val="none"/>
          <w:lang w:val="zh-CN"/>
        </w:rPr>
        <w:t>②</w:t>
      </w:r>
      <w:r>
        <w:rPr>
          <w:rFonts w:hint="eastAsia" w:ascii="宋体" w:hAnsi="宋体" w:cs="Times New Roman"/>
          <w:color w:val="auto"/>
          <w:highlight w:val="none"/>
          <w:lang w:val="zh-CN"/>
        </w:rPr>
        <w:t>产品总厚度：≥2mm；</w:t>
      </w:r>
      <w:r>
        <w:rPr>
          <w:rFonts w:hint="default" w:ascii="宋体" w:hAnsi="宋体" w:cs="Times New Roman"/>
          <w:color w:val="auto"/>
          <w:highlight w:val="none"/>
          <w:lang w:val="zh-CN"/>
        </w:rPr>
        <w:t>③</w:t>
      </w:r>
      <w:r>
        <w:rPr>
          <w:rFonts w:hint="eastAsia" w:ascii="宋体" w:hAnsi="宋体" w:cs="Times New Roman"/>
          <w:color w:val="auto"/>
          <w:highlight w:val="none"/>
          <w:lang w:val="zh-CN"/>
        </w:rPr>
        <w:t>耐磨性≤2.0；④残存凹陷度：≤0.04（检测标准GB/T4085-2005）；⑤防火性能：国家建材中心的检测符合现行国家标准B1级（检测标准GB8624-2012）；⑥产烟毒性达到准安全一级ZA1；⑦有毒有害物质检测：氯乙烯单体、可溶性重金属、挥发物检测等检测合格；⑧色牢度≥6。</w:t>
      </w:r>
    </w:p>
    <w:p>
      <w:pPr>
        <w:numPr>
          <w:ilvl w:val="0"/>
          <w:numId w:val="11"/>
        </w:numPr>
        <w:spacing w:line="440" w:lineRule="exact"/>
        <w:ind w:firstLine="420" w:firstLineChars="200"/>
        <w:rPr>
          <w:rFonts w:hint="eastAsia" w:ascii="宋体" w:hAnsi="宋体" w:cs="Times New Roman"/>
          <w:color w:val="auto"/>
          <w:highlight w:val="none"/>
          <w:lang w:val="zh-CN"/>
        </w:rPr>
      </w:pPr>
      <w:r>
        <w:rPr>
          <w:rFonts w:hint="eastAsia" w:ascii="宋体" w:hAnsi="宋体" w:cs="Times New Roman"/>
          <w:color w:val="auto"/>
          <w:highlight w:val="none"/>
          <w:lang w:val="zh-CN"/>
        </w:rPr>
        <w:t>检测报告体现彩钢板隔墙的</w:t>
      </w:r>
      <w:r>
        <w:rPr>
          <w:rFonts w:hint="eastAsia" w:asciiTheme="minorEastAsia" w:hAnsiTheme="minorEastAsia" w:eastAsiaTheme="minorEastAsia" w:cstheme="minorEastAsia"/>
          <w:color w:val="auto"/>
          <w:sz w:val="21"/>
          <w:szCs w:val="21"/>
          <w:highlight w:val="none"/>
          <w:lang w:val="en-US" w:eastAsia="zh-CN"/>
        </w:rPr>
        <w:t>玻镁板氯离子含量≤0.01%</w:t>
      </w:r>
      <w:r>
        <w:rPr>
          <w:rFonts w:hint="eastAsia" w:ascii="宋体" w:hAnsi="宋体" w:cs="Times New Roman"/>
          <w:color w:val="auto"/>
          <w:highlight w:val="none"/>
          <w:lang w:val="zh-CN"/>
        </w:rPr>
        <w:t>；</w:t>
      </w:r>
    </w:p>
    <w:p>
      <w:pPr>
        <w:numPr>
          <w:ilvl w:val="0"/>
          <w:numId w:val="11"/>
        </w:numPr>
        <w:spacing w:line="440" w:lineRule="exact"/>
        <w:ind w:firstLine="420" w:firstLineChars="200"/>
        <w:rPr>
          <w:rFonts w:hint="eastAsia" w:ascii="宋体" w:hAnsi="宋体" w:cs="Times New Roman"/>
          <w:color w:val="auto"/>
          <w:highlight w:val="none"/>
          <w:lang w:val="zh-CN"/>
        </w:rPr>
      </w:pPr>
      <w:r>
        <w:rPr>
          <w:rFonts w:hint="eastAsia" w:ascii="宋体" w:hAnsi="宋体" w:cs="Times New Roman"/>
          <w:color w:val="auto"/>
          <w:highlight w:val="none"/>
          <w:lang w:val="zh-CN"/>
        </w:rPr>
        <w:t>检测报告体现彩钢板隔墙的</w:t>
      </w:r>
      <w:r>
        <w:rPr>
          <w:rFonts w:hint="eastAsia" w:ascii="宋体" w:hAnsi="宋体" w:cs="Times New Roman"/>
          <w:color w:val="auto"/>
          <w:highlight w:val="none"/>
          <w:lang w:val="en-US" w:eastAsia="zh-CN"/>
        </w:rPr>
        <w:t>玻镁板不腐蚀钢板及铝合金；</w:t>
      </w:r>
    </w:p>
    <w:p>
      <w:pPr>
        <w:numPr>
          <w:ilvl w:val="0"/>
          <w:numId w:val="11"/>
        </w:numPr>
        <w:spacing w:line="440" w:lineRule="exact"/>
        <w:ind w:firstLine="420" w:firstLineChars="200"/>
        <w:rPr>
          <w:rFonts w:hint="eastAsia" w:ascii="宋体" w:hAnsi="宋体" w:cs="Times New Roman"/>
          <w:color w:val="auto"/>
          <w:highlight w:val="none"/>
          <w:lang w:val="zh-CN"/>
        </w:rPr>
      </w:pPr>
      <w:r>
        <w:rPr>
          <w:rFonts w:hint="eastAsia" w:ascii="宋体" w:hAnsi="宋体" w:cs="Times New Roman"/>
          <w:color w:val="auto"/>
          <w:highlight w:val="none"/>
          <w:lang w:val="zh-CN"/>
        </w:rPr>
        <w:t>检测报告体现彩钢板隔墙的</w:t>
      </w:r>
      <w:r>
        <w:rPr>
          <w:rFonts w:hint="eastAsia" w:ascii="宋体" w:hAnsi="宋体" w:cs="Times New Roman"/>
          <w:color w:val="auto"/>
          <w:highlight w:val="none"/>
          <w:lang w:val="en-US" w:eastAsia="zh-CN"/>
        </w:rPr>
        <w:t>耐火极限不小于 60 分钟</w:t>
      </w:r>
      <w:r>
        <w:rPr>
          <w:rFonts w:hint="eastAsia" w:ascii="宋体" w:hAnsi="宋体" w:cs="Times New Roman"/>
          <w:color w:val="auto"/>
          <w:highlight w:val="none"/>
          <w:lang w:val="zh-CN"/>
        </w:rPr>
        <w:t>；</w:t>
      </w:r>
    </w:p>
    <w:p>
      <w:pPr>
        <w:numPr>
          <w:ilvl w:val="0"/>
          <w:numId w:val="11"/>
        </w:numPr>
        <w:spacing w:line="440" w:lineRule="exact"/>
        <w:ind w:firstLine="420" w:firstLineChars="200"/>
        <w:rPr>
          <w:rFonts w:hint="eastAsia" w:ascii="宋体" w:hAnsi="宋体" w:cs="Times New Roman"/>
          <w:color w:val="auto"/>
          <w:highlight w:val="none"/>
          <w:lang w:val="zh-CN"/>
        </w:rPr>
      </w:pPr>
      <w:r>
        <w:rPr>
          <w:rFonts w:hint="eastAsia" w:ascii="宋体" w:hAnsi="宋体" w:cs="Times New Roman"/>
          <w:color w:val="auto"/>
          <w:highlight w:val="none"/>
          <w:lang w:val="zh-CN"/>
        </w:rPr>
        <w:t>检测报告体现墙面粉刷没有检出苯、甲苯、</w:t>
      </w:r>
      <w:r>
        <w:rPr>
          <w:rFonts w:hint="eastAsia" w:asciiTheme="minorEastAsia" w:hAnsiTheme="minorEastAsia" w:eastAsiaTheme="minorEastAsia" w:cstheme="minorEastAsia"/>
          <w:color w:val="auto"/>
          <w:sz w:val="21"/>
          <w:szCs w:val="21"/>
          <w:highlight w:val="none"/>
        </w:rPr>
        <w:t>乙苯、二甲苯</w:t>
      </w:r>
      <w:r>
        <w:rPr>
          <w:rFonts w:hint="eastAsia" w:ascii="宋体" w:hAnsi="宋体" w:cs="Times New Roman"/>
          <w:color w:val="auto"/>
          <w:highlight w:val="none"/>
          <w:lang w:val="zh-CN"/>
        </w:rPr>
        <w:t>；</w:t>
      </w:r>
    </w:p>
    <w:p>
      <w:pPr>
        <w:numPr>
          <w:ilvl w:val="0"/>
          <w:numId w:val="11"/>
        </w:num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检测报告体现组合式空气处理机组的面板要求采用双面保温箱板结构保温层厚度不小于50mm，内充填聚氨脂发泡保温（密度≥50kg/m3）。外板采用彩色镀锌钢板，箱体面板外板采用覆膜彩钢板，板厚不得低于0.5mm,内板采用镀锌钢板或不锈钢板，板厚不得低于0.5mm，内外板之间应具有防冷桥措施，不得直接接触；</w:t>
      </w:r>
    </w:p>
    <w:p>
      <w:pPr>
        <w:tabs>
          <w:tab w:val="left" w:pos="840"/>
        </w:tabs>
        <w:spacing w:line="440" w:lineRule="exact"/>
        <w:rPr>
          <w:rFonts w:hint="eastAsia" w:ascii="宋体" w:hAnsi="宋体" w:cs="Times New Roman"/>
          <w:b/>
          <w:color w:val="auto"/>
          <w:highlight w:val="none"/>
          <w:lang w:val="zh-CN"/>
        </w:rPr>
      </w:pPr>
      <w:r>
        <w:rPr>
          <w:rFonts w:hint="eastAsia" w:ascii="宋体" w:hAnsi="宋体" w:cs="Times New Roman"/>
          <w:b/>
          <w:color w:val="auto"/>
          <w:highlight w:val="none"/>
          <w:lang w:val="zh-CN" w:eastAsia="zh-CN"/>
        </w:rPr>
        <w:t>四</w:t>
      </w:r>
      <w:r>
        <w:rPr>
          <w:rFonts w:hint="eastAsia" w:ascii="宋体" w:hAnsi="宋体" w:cs="Times New Roman"/>
          <w:b/>
          <w:color w:val="auto"/>
          <w:highlight w:val="none"/>
          <w:lang w:val="zh-CN"/>
        </w:rPr>
        <w:t>、相关图纸（另册）</w:t>
      </w:r>
    </w:p>
    <w:p>
      <w:pPr>
        <w:spacing w:line="440" w:lineRule="exact"/>
        <w:ind w:firstLine="420" w:firstLineChars="200"/>
        <w:rPr>
          <w:rFonts w:hint="eastAsia" w:ascii="宋体" w:hAnsi="宋体"/>
          <w:color w:val="auto"/>
          <w:highlight w:val="none"/>
          <w:lang w:val="zh-CN"/>
        </w:rPr>
      </w:pPr>
      <w:r>
        <w:rPr>
          <w:rFonts w:hint="eastAsia" w:ascii="宋体" w:hAnsi="宋体"/>
          <w:color w:val="auto"/>
          <w:highlight w:val="none"/>
          <w:lang w:val="en-US" w:eastAsia="zh-CN"/>
        </w:rPr>
        <w:t>1.</w:t>
      </w:r>
      <w:r>
        <w:rPr>
          <w:rFonts w:hint="eastAsia" w:ascii="宋体" w:hAnsi="宋体"/>
          <w:color w:val="auto"/>
          <w:highlight w:val="none"/>
          <w:lang w:val="zh-CN"/>
        </w:rPr>
        <w:t>相关图纸（另册）：图纸等资料每本售价500元/套（人民币）；</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五、质量保修期及售后服务要求</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1.质量保修期不低于2年，质量保修期内中标人对所供项目内容实行包修、包换、包维护保养。</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w:t>
      </w:r>
      <w:r>
        <w:rPr>
          <w:rFonts w:hint="eastAsia" w:ascii="宋体" w:hAnsi="宋体" w:cs="宋体"/>
          <w:color w:val="auto"/>
          <w:szCs w:val="21"/>
          <w:highlight w:val="none"/>
        </w:rPr>
        <w:t>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tabs>
          <w:tab w:val="left" w:pos="840"/>
        </w:tabs>
        <w:spacing w:line="440" w:lineRule="exact"/>
        <w:rPr>
          <w:rFonts w:ascii="宋体" w:hAnsi="宋体"/>
          <w:b/>
          <w:color w:val="auto"/>
          <w:highlight w:val="none"/>
          <w:lang w:val="zh-CN"/>
        </w:rPr>
      </w:pPr>
      <w:bookmarkStart w:id="278" w:name="_Toc317609046"/>
      <w:r>
        <w:rPr>
          <w:rFonts w:hint="eastAsia" w:ascii="宋体" w:hAnsi="宋体"/>
          <w:b/>
          <w:color w:val="auto"/>
          <w:highlight w:val="none"/>
          <w:lang w:val="zh-CN"/>
        </w:rPr>
        <w:t>六、采购项目商务要求</w:t>
      </w:r>
      <w:bookmarkEnd w:id="278"/>
    </w:p>
    <w:p>
      <w:pPr>
        <w:spacing w:line="440" w:lineRule="exact"/>
        <w:ind w:firstLine="420" w:firstLineChars="200"/>
        <w:rPr>
          <w:rFonts w:ascii="宋体" w:hAnsi="宋体"/>
          <w:color w:val="auto"/>
          <w:highlight w:val="none"/>
          <w:lang w:val="zh-CN"/>
        </w:rPr>
      </w:pPr>
      <w:bookmarkStart w:id="279" w:name="_Toc317609047"/>
      <w:r>
        <w:rPr>
          <w:rFonts w:hint="eastAsia" w:ascii="宋体" w:hAnsi="宋体"/>
          <w:color w:val="auto"/>
          <w:highlight w:val="none"/>
          <w:lang w:val="zh-CN"/>
        </w:rPr>
        <w:t>1.工期：</w:t>
      </w:r>
      <w:r>
        <w:rPr>
          <w:rFonts w:hint="eastAsia" w:ascii="宋体" w:hAnsi="宋体"/>
          <w:color w:val="auto"/>
          <w:highlight w:val="none"/>
          <w:lang w:val="en-US" w:eastAsia="zh-CN"/>
        </w:rPr>
        <w:t>60个</w:t>
      </w:r>
      <w:r>
        <w:rPr>
          <w:rFonts w:hint="eastAsia" w:ascii="宋体" w:hAnsi="宋体"/>
          <w:color w:val="auto"/>
          <w:highlight w:val="none"/>
          <w:lang w:val="zh-CN"/>
        </w:rPr>
        <w:t>日历日。</w:t>
      </w:r>
      <w:bookmarkEnd w:id="279"/>
    </w:p>
    <w:p>
      <w:pPr>
        <w:spacing w:line="440" w:lineRule="exact"/>
        <w:ind w:firstLine="420" w:firstLineChars="200"/>
        <w:rPr>
          <w:rFonts w:ascii="宋体" w:hAnsi="宋体"/>
          <w:color w:val="auto"/>
          <w:highlight w:val="none"/>
          <w:lang w:val="zh-CN"/>
        </w:rPr>
      </w:pPr>
      <w:bookmarkStart w:id="280" w:name="_Toc317609048"/>
      <w:r>
        <w:rPr>
          <w:rFonts w:hint="eastAsia" w:ascii="宋体" w:hAnsi="宋体"/>
          <w:color w:val="auto"/>
          <w:highlight w:val="none"/>
          <w:lang w:val="zh-CN"/>
        </w:rPr>
        <w:t>2.质量要求：按国家相关规范规程一次性验收达到合格标准。</w:t>
      </w:r>
      <w:bookmarkEnd w:id="280"/>
    </w:p>
    <w:p>
      <w:pPr>
        <w:spacing w:line="440" w:lineRule="exact"/>
        <w:ind w:firstLine="420" w:firstLineChars="200"/>
        <w:rPr>
          <w:rFonts w:ascii="宋体" w:hAnsi="宋体"/>
          <w:color w:val="auto"/>
          <w:highlight w:val="none"/>
          <w:lang w:val="zh-CN"/>
        </w:rPr>
      </w:pPr>
      <w:bookmarkStart w:id="281" w:name="_Toc317609049"/>
      <w:r>
        <w:rPr>
          <w:rFonts w:hint="eastAsia" w:ascii="宋体" w:hAnsi="宋体"/>
          <w:color w:val="auto"/>
          <w:highlight w:val="none"/>
          <w:lang w:val="zh-CN"/>
        </w:rPr>
        <w:t>3.安全文明安装要求：按广州市的相关规定执行。</w:t>
      </w:r>
      <w:bookmarkEnd w:id="281"/>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七、其他</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4.供应商必须保证：报价所列内容使得整个工程在功能上的完整性，并正常运行，验收合格。</w:t>
      </w:r>
    </w:p>
    <w:p>
      <w:pPr>
        <w:spacing w:line="440" w:lineRule="exact"/>
        <w:ind w:firstLine="420" w:firstLineChars="200"/>
        <w:rPr>
          <w:rFonts w:ascii="宋体" w:hAnsi="宋体"/>
          <w:color w:val="auto"/>
          <w:highlight w:val="none"/>
        </w:rPr>
      </w:pPr>
      <w:r>
        <w:rPr>
          <w:rFonts w:hint="eastAsia" w:ascii="宋体" w:hAnsi="宋体"/>
          <w:color w:val="auto"/>
          <w:highlight w:val="none"/>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zh-CN"/>
        </w:rPr>
        <w:t>八、支付方式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中标人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中标人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中标人</w:t>
      </w:r>
      <w:r>
        <w:rPr>
          <w:rFonts w:hint="eastAsia" w:ascii="宋体" w:hAnsi="宋体"/>
          <w:color w:val="auto"/>
          <w:szCs w:val="21"/>
          <w:highlight w:val="none"/>
        </w:rPr>
        <w:t>支付至85%的款项；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中标人</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w:t>
      </w:r>
      <w:r>
        <w:rPr>
          <w:rFonts w:hint="eastAsia" w:ascii="宋体" w:hAnsi="宋体"/>
          <w:color w:val="auto"/>
          <w:szCs w:val="21"/>
          <w:highlight w:val="none"/>
          <w:lang w:eastAsia="zh-CN"/>
        </w:rPr>
        <w:t>中标人</w:t>
      </w:r>
      <w:r>
        <w:rPr>
          <w:rFonts w:hint="eastAsia" w:ascii="宋体" w:hAnsi="宋体"/>
          <w:color w:val="auto"/>
          <w:szCs w:val="21"/>
          <w:highlight w:val="none"/>
        </w:rPr>
        <w:t>向</w:t>
      </w:r>
      <w:r>
        <w:rPr>
          <w:rFonts w:hint="eastAsia" w:ascii="宋体" w:hAnsi="宋体"/>
          <w:color w:val="auto"/>
          <w:szCs w:val="21"/>
          <w:highlight w:val="none"/>
          <w:lang w:eastAsia="zh-CN"/>
        </w:rPr>
        <w:t>采购人</w:t>
      </w:r>
      <w:r>
        <w:rPr>
          <w:rFonts w:hint="eastAsia" w:ascii="宋体" w:hAnsi="宋体"/>
          <w:color w:val="auto"/>
          <w:szCs w:val="21"/>
          <w:highlight w:val="none"/>
        </w:rPr>
        <w:t>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中标人</w:t>
      </w:r>
      <w:r>
        <w:rPr>
          <w:rFonts w:hint="eastAsia" w:ascii="宋体" w:hAnsi="宋体"/>
          <w:color w:val="auto"/>
          <w:szCs w:val="21"/>
          <w:highlight w:val="none"/>
        </w:rPr>
        <w:t>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w:t>
      </w:r>
      <w:r>
        <w:rPr>
          <w:rFonts w:hint="eastAsia" w:ascii="宋体" w:hAnsi="宋体"/>
          <w:color w:val="auto"/>
          <w:szCs w:val="21"/>
          <w:highlight w:val="none"/>
          <w:lang w:eastAsia="zh-CN"/>
        </w:rPr>
        <w:t>采购人</w:t>
      </w:r>
      <w:r>
        <w:rPr>
          <w:rFonts w:hint="eastAsia" w:ascii="宋体" w:hAnsi="宋体"/>
          <w:color w:val="auto"/>
          <w:szCs w:val="21"/>
          <w:highlight w:val="none"/>
        </w:rPr>
        <w:t>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pPr>
        <w:pStyle w:val="5"/>
        <w:autoSpaceDE w:val="0"/>
        <w:rPr>
          <w:color w:val="auto"/>
          <w:sz w:val="44"/>
          <w:highlight w:val="none"/>
        </w:rPr>
      </w:pPr>
      <w:r>
        <w:rPr>
          <w:color w:val="auto"/>
          <w:sz w:val="44"/>
          <w:highlight w:val="none"/>
        </w:rPr>
        <w:br w:type="page"/>
      </w:r>
    </w:p>
    <w:p>
      <w:pPr>
        <w:pStyle w:val="5"/>
        <w:autoSpaceDE w:val="0"/>
        <w:rPr>
          <w:color w:val="auto"/>
          <w:sz w:val="44"/>
          <w:highlight w:val="none"/>
        </w:rPr>
      </w:pPr>
    </w:p>
    <w:p>
      <w:pPr>
        <w:pStyle w:val="5"/>
        <w:autoSpaceDE w:val="0"/>
        <w:rPr>
          <w:color w:val="auto"/>
          <w:sz w:val="44"/>
          <w:highlight w:val="none"/>
        </w:rPr>
      </w:pPr>
    </w:p>
    <w:p>
      <w:pPr>
        <w:pStyle w:val="5"/>
        <w:autoSpaceDE w:val="0"/>
        <w:rPr>
          <w:color w:val="auto"/>
          <w:sz w:val="44"/>
          <w:highlight w:val="none"/>
        </w:rPr>
      </w:pPr>
    </w:p>
    <w:p>
      <w:pPr>
        <w:rPr>
          <w:color w:val="auto"/>
          <w:sz w:val="44"/>
          <w:highlight w:val="none"/>
        </w:rPr>
      </w:pPr>
    </w:p>
    <w:p>
      <w:pPr>
        <w:pStyle w:val="96"/>
        <w:rPr>
          <w:color w:val="auto"/>
          <w:sz w:val="44"/>
          <w:highlight w:val="none"/>
        </w:rPr>
      </w:pPr>
    </w:p>
    <w:p>
      <w:pPr>
        <w:pStyle w:val="96"/>
        <w:rPr>
          <w:color w:val="auto"/>
          <w:sz w:val="44"/>
          <w:highlight w:val="none"/>
        </w:rPr>
      </w:pPr>
    </w:p>
    <w:p>
      <w:pPr>
        <w:pStyle w:val="5"/>
        <w:autoSpaceDE w:val="0"/>
        <w:rPr>
          <w:color w:val="auto"/>
          <w:sz w:val="44"/>
          <w:highlight w:val="none"/>
        </w:rPr>
      </w:pPr>
    </w:p>
    <w:p>
      <w:pPr>
        <w:pStyle w:val="5"/>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olor w:val="auto"/>
          <w:highlight w:val="none"/>
        </w:rPr>
        <w:br w:type="page"/>
      </w:r>
    </w:p>
    <w:p>
      <w:pPr>
        <w:tabs>
          <w:tab w:val="center" w:pos="4252"/>
          <w:tab w:val="left" w:pos="5517"/>
        </w:tabs>
        <w:spacing w:line="360" w:lineRule="auto"/>
        <w:rPr>
          <w:rFonts w:hint="eastAsia" w:ascii="宋体" w:hAnsi="宋体"/>
          <w:b/>
          <w:color w:val="auto"/>
          <w:sz w:val="28"/>
          <w:szCs w:val="28"/>
          <w:highlight w:val="none"/>
        </w:rPr>
      </w:pPr>
      <w:bookmarkStart w:id="282" w:name="_Toc293341641"/>
      <w:bookmarkStart w:id="283" w:name="_Toc303110406"/>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hint="eastAsia" w:ascii="宋体" w:hAnsi="宋体"/>
          <w:b/>
          <w:color w:val="auto"/>
          <w:sz w:val="24"/>
          <w:highlight w:val="none"/>
        </w:rPr>
      </w:pPr>
    </w:p>
    <w:p>
      <w:pPr>
        <w:jc w:val="center"/>
        <w:rPr>
          <w:rFonts w:hint="eastAsia" w:ascii="宋体" w:hAnsi="宋体"/>
          <w:b/>
          <w:color w:val="auto"/>
          <w:sz w:val="52"/>
          <w:szCs w:val="52"/>
          <w:highlight w:val="none"/>
        </w:rPr>
      </w:pPr>
      <w:r>
        <w:rPr>
          <w:rFonts w:hint="eastAsia" w:ascii="宋体" w:hAnsi="宋体"/>
          <w:b/>
          <w:color w:val="auto"/>
          <w:sz w:val="52"/>
          <w:szCs w:val="52"/>
          <w:highlight w:val="none"/>
        </w:rPr>
        <w:t>采 购 合 同</w:t>
      </w:r>
    </w:p>
    <w:p>
      <w:pPr>
        <w:jc w:val="right"/>
        <w:rPr>
          <w:rFonts w:hint="eastAsia" w:ascii="宋体" w:hAnsi="宋体"/>
          <w:color w:val="auto"/>
          <w:sz w:val="28"/>
          <w:highlight w:val="none"/>
        </w:rPr>
      </w:pPr>
    </w:p>
    <w:p>
      <w:pPr>
        <w:spacing w:line="360" w:lineRule="auto"/>
        <w:rPr>
          <w:rFonts w:ascii="宋体" w:hAnsi="宋体"/>
          <w:b/>
          <w:color w:val="auto"/>
          <w:highlight w:val="none"/>
        </w:rPr>
      </w:pPr>
      <w:r>
        <w:rPr>
          <w:rFonts w:hint="eastAsia" w:ascii="宋体" w:hAnsi="宋体"/>
          <w:b/>
          <w:color w:val="auto"/>
          <w:highlight w:val="none"/>
        </w:rPr>
        <w:t>甲  方：</w:t>
      </w:r>
      <w:r>
        <w:rPr>
          <w:rFonts w:ascii="宋体" w:hAnsi="宋体"/>
          <w:b/>
          <w:color w:val="auto"/>
          <w:highlight w:val="none"/>
        </w:rPr>
        <w:t>(</w:t>
      </w:r>
      <w:r>
        <w:rPr>
          <w:rFonts w:hint="eastAsia" w:ascii="宋体" w:hAnsi="宋体"/>
          <w:b/>
          <w:color w:val="auto"/>
          <w:highlight w:val="none"/>
        </w:rPr>
        <w:t>招标人</w:t>
      </w:r>
      <w:r>
        <w:rPr>
          <w:rFonts w:ascii="宋体" w:hAnsi="宋体"/>
          <w:b/>
          <w:color w:val="auto"/>
          <w:highlight w:val="none"/>
        </w:rPr>
        <w:t>)</w:t>
      </w:r>
    </w:p>
    <w:p>
      <w:pPr>
        <w:spacing w:line="360" w:lineRule="auto"/>
        <w:rPr>
          <w:rFonts w:hint="eastAsia" w:ascii="宋体" w:hAnsi="宋体"/>
          <w:b/>
          <w:color w:val="auto"/>
          <w:highlight w:val="none"/>
        </w:rPr>
      </w:pPr>
      <w:r>
        <w:rPr>
          <w:rFonts w:hint="eastAsia" w:ascii="宋体" w:hAnsi="宋体"/>
          <w:b/>
          <w:color w:val="auto"/>
          <w:highlight w:val="none"/>
        </w:rPr>
        <w:t>乙  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根据《中华人民共和国采购法》、《中华人民共和国合同法》及</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日招标文件（招标编号：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，采购代理机构：</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）、投标文件的要求，经双方协商一致，签订本合同。具体条款如下：</w:t>
      </w:r>
    </w:p>
    <w:p>
      <w:pPr>
        <w:rPr>
          <w:rFonts w:hint="eastAsia" w:ascii="宋体" w:hAnsi="宋体"/>
          <w:color w:val="auto"/>
          <w:highlight w:val="none"/>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1. 合同设备</w:t>
      </w:r>
    </w:p>
    <w:p>
      <w:pPr>
        <w:ind w:firstLine="480"/>
        <w:rPr>
          <w:rFonts w:hint="eastAsia" w:ascii="宋体" w:hAnsi="宋体"/>
          <w:color w:val="auto"/>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乙方负责向甲方提供下表中所列</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采购项目和相关的安装调试服务。</w:t>
      </w:r>
    </w:p>
    <w:p>
      <w:pPr>
        <w:ind w:left="840"/>
        <w:rPr>
          <w:rFonts w:hint="eastAsia" w:ascii="宋体" w:hAnsi="宋体"/>
          <w:color w:val="auto"/>
          <w:highlight w:val="none"/>
        </w:rPr>
      </w:pPr>
    </w:p>
    <w:tbl>
      <w:tblPr>
        <w:tblStyle w:val="8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ind w:left="-2" w:firstLine="2"/>
              <w:jc w:val="center"/>
              <w:rPr>
                <w:rFonts w:hint="eastAsia" w:ascii="宋体" w:hAnsi="宋体"/>
                <w:color w:val="auto"/>
                <w:highlight w:val="none"/>
              </w:rPr>
            </w:pPr>
            <w:r>
              <w:rPr>
                <w:rFonts w:hint="eastAsia" w:ascii="宋体" w:hAnsi="宋体"/>
                <w:color w:val="auto"/>
                <w:highlight w:val="none"/>
              </w:rPr>
              <w:t>品名</w:t>
            </w:r>
          </w:p>
        </w:tc>
        <w:tc>
          <w:tcPr>
            <w:tcW w:w="1260" w:type="dxa"/>
            <w:noWrap w:val="0"/>
            <w:vAlign w:val="top"/>
          </w:tcPr>
          <w:p>
            <w:pPr>
              <w:jc w:val="center"/>
              <w:rPr>
                <w:rFonts w:hint="eastAsia" w:ascii="宋体" w:hAnsi="宋体"/>
                <w:color w:val="auto"/>
                <w:highlight w:val="none"/>
              </w:rPr>
            </w:pPr>
            <w:r>
              <w:rPr>
                <w:rFonts w:hint="eastAsia" w:ascii="宋体" w:hAnsi="宋体"/>
                <w:color w:val="auto"/>
                <w:highlight w:val="none"/>
              </w:rPr>
              <w:t>规格型号</w:t>
            </w:r>
          </w:p>
        </w:tc>
        <w:tc>
          <w:tcPr>
            <w:tcW w:w="1260" w:type="dxa"/>
            <w:noWrap w:val="0"/>
            <w:vAlign w:val="top"/>
          </w:tcPr>
          <w:p>
            <w:pPr>
              <w:jc w:val="center"/>
              <w:rPr>
                <w:rFonts w:hint="eastAsia" w:ascii="宋体" w:hAnsi="宋体"/>
                <w:color w:val="auto"/>
                <w:highlight w:val="none"/>
              </w:rPr>
            </w:pPr>
            <w:r>
              <w:rPr>
                <w:rFonts w:hint="eastAsia" w:ascii="宋体" w:hAnsi="宋体"/>
                <w:color w:val="auto"/>
                <w:highlight w:val="none"/>
              </w:rPr>
              <w:t>产地厂家</w:t>
            </w:r>
          </w:p>
        </w:tc>
        <w:tc>
          <w:tcPr>
            <w:tcW w:w="787" w:type="dxa"/>
            <w:noWrap w:val="0"/>
            <w:vAlign w:val="top"/>
          </w:tcPr>
          <w:p>
            <w:pPr>
              <w:jc w:val="center"/>
              <w:rPr>
                <w:rFonts w:hint="eastAsia" w:ascii="宋体" w:hAnsi="宋体"/>
                <w:color w:val="auto"/>
                <w:highlight w:val="none"/>
              </w:rPr>
            </w:pPr>
            <w:r>
              <w:rPr>
                <w:rFonts w:hint="eastAsia" w:ascii="宋体" w:hAnsi="宋体"/>
                <w:color w:val="auto"/>
                <w:highlight w:val="none"/>
              </w:rPr>
              <w:t>单位</w:t>
            </w:r>
          </w:p>
        </w:tc>
        <w:tc>
          <w:tcPr>
            <w:tcW w:w="788" w:type="dxa"/>
            <w:noWrap w:val="0"/>
            <w:vAlign w:val="top"/>
          </w:tcPr>
          <w:p>
            <w:pPr>
              <w:jc w:val="center"/>
              <w:rPr>
                <w:rFonts w:hint="eastAsia" w:ascii="宋体" w:hAnsi="宋体"/>
                <w:color w:val="auto"/>
                <w:highlight w:val="none"/>
              </w:rPr>
            </w:pPr>
            <w:r>
              <w:rPr>
                <w:rFonts w:hint="eastAsia" w:ascii="宋体" w:hAnsi="宋体"/>
                <w:color w:val="auto"/>
                <w:highlight w:val="none"/>
              </w:rPr>
              <w:t>数量</w:t>
            </w:r>
          </w:p>
        </w:tc>
        <w:tc>
          <w:tcPr>
            <w:tcW w:w="751" w:type="dxa"/>
            <w:noWrap w:val="0"/>
            <w:vAlign w:val="top"/>
          </w:tcPr>
          <w:p>
            <w:pPr>
              <w:jc w:val="center"/>
              <w:rPr>
                <w:rFonts w:ascii="宋体" w:hAnsi="宋体"/>
                <w:color w:val="auto"/>
                <w:highlight w:val="none"/>
              </w:rPr>
            </w:pPr>
            <w:r>
              <w:rPr>
                <w:rFonts w:hint="eastAsia" w:ascii="宋体" w:hAnsi="宋体"/>
                <w:color w:val="auto"/>
                <w:highlight w:val="none"/>
              </w:rPr>
              <w:t>单价</w:t>
            </w:r>
          </w:p>
        </w:tc>
        <w:tc>
          <w:tcPr>
            <w:tcW w:w="1034" w:type="dxa"/>
            <w:noWrap w:val="0"/>
            <w:vAlign w:val="top"/>
          </w:tcPr>
          <w:p>
            <w:pPr>
              <w:jc w:val="center"/>
              <w:rPr>
                <w:rFonts w:ascii="宋体" w:hAnsi="宋体"/>
                <w:color w:val="auto"/>
                <w:highlight w:val="none"/>
              </w:rPr>
            </w:pPr>
            <w:r>
              <w:rPr>
                <w:rFonts w:hint="eastAsia" w:ascii="宋体" w:hAnsi="宋体"/>
                <w:color w:val="auto"/>
                <w:highlight w:val="none"/>
              </w:rPr>
              <w:t>总价</w:t>
            </w:r>
          </w:p>
        </w:tc>
        <w:tc>
          <w:tcPr>
            <w:tcW w:w="735" w:type="dxa"/>
            <w:noWrap w:val="0"/>
            <w:vAlign w:val="top"/>
          </w:tcPr>
          <w:p>
            <w:pPr>
              <w:jc w:val="center"/>
              <w:rPr>
                <w:rFonts w:ascii="宋体" w:hAnsi="宋体"/>
                <w:color w:val="auto"/>
                <w:highlight w:val="none"/>
              </w:rPr>
            </w:pPr>
            <w:r>
              <w:rPr>
                <w:rFonts w:hint="eastAsia" w:ascii="宋体" w:hAnsi="宋体"/>
                <w:color w:val="auto"/>
                <w:highlight w:val="none"/>
              </w:rPr>
              <w:t>随机配件</w:t>
            </w:r>
          </w:p>
        </w:tc>
        <w:tc>
          <w:tcPr>
            <w:tcW w:w="751" w:type="dxa"/>
            <w:noWrap w:val="0"/>
            <w:vAlign w:val="top"/>
          </w:tcPr>
          <w:p>
            <w:pPr>
              <w:jc w:val="center"/>
              <w:rPr>
                <w:rFonts w:ascii="宋体" w:hAnsi="宋体"/>
                <w:color w:val="auto"/>
                <w:highlight w:val="none"/>
              </w:rPr>
            </w:pPr>
            <w:r>
              <w:rPr>
                <w:rFonts w:hint="eastAsia" w:ascii="宋体" w:hAnsi="宋体"/>
                <w:color w:val="auto"/>
                <w:highlight w:val="none"/>
              </w:rPr>
              <w:t>交货地点</w:t>
            </w:r>
          </w:p>
        </w:tc>
        <w:tc>
          <w:tcPr>
            <w:tcW w:w="824" w:type="dxa"/>
            <w:noWrap w:val="0"/>
            <w:vAlign w:val="top"/>
          </w:tcPr>
          <w:p>
            <w:pPr>
              <w:jc w:val="center"/>
              <w:rPr>
                <w:rFonts w:ascii="宋体" w:hAnsi="宋体"/>
                <w:color w:val="auto"/>
                <w:highlight w:val="none"/>
              </w:rPr>
            </w:pPr>
            <w:r>
              <w:rPr>
                <w:rFonts w:hint="eastAsia" w:ascii="宋体" w:hAnsi="宋体"/>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787" w:type="dxa"/>
            <w:noWrap w:val="0"/>
            <w:vAlign w:val="top"/>
          </w:tcPr>
          <w:p>
            <w:pPr>
              <w:rPr>
                <w:rFonts w:hint="eastAsia" w:ascii="宋体" w:hAnsi="宋体"/>
                <w:color w:val="auto"/>
                <w:highlight w:val="none"/>
              </w:rPr>
            </w:pPr>
          </w:p>
        </w:tc>
        <w:tc>
          <w:tcPr>
            <w:tcW w:w="788"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1034" w:type="dxa"/>
            <w:noWrap w:val="0"/>
            <w:vAlign w:val="top"/>
          </w:tcPr>
          <w:p>
            <w:pPr>
              <w:rPr>
                <w:rFonts w:hint="eastAsia" w:ascii="宋体" w:hAnsi="宋体"/>
                <w:color w:val="auto"/>
                <w:highlight w:val="none"/>
              </w:rPr>
            </w:pPr>
          </w:p>
        </w:tc>
        <w:tc>
          <w:tcPr>
            <w:tcW w:w="735"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824" w:type="dxa"/>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787" w:type="dxa"/>
            <w:noWrap w:val="0"/>
            <w:vAlign w:val="top"/>
          </w:tcPr>
          <w:p>
            <w:pPr>
              <w:rPr>
                <w:rFonts w:hint="eastAsia" w:ascii="宋体" w:hAnsi="宋体"/>
                <w:color w:val="auto"/>
                <w:highlight w:val="none"/>
              </w:rPr>
            </w:pPr>
          </w:p>
        </w:tc>
        <w:tc>
          <w:tcPr>
            <w:tcW w:w="788"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1034" w:type="dxa"/>
            <w:noWrap w:val="0"/>
            <w:vAlign w:val="top"/>
          </w:tcPr>
          <w:p>
            <w:pPr>
              <w:rPr>
                <w:rFonts w:hint="eastAsia" w:ascii="宋体" w:hAnsi="宋体"/>
                <w:color w:val="auto"/>
                <w:highlight w:val="none"/>
              </w:rPr>
            </w:pPr>
          </w:p>
        </w:tc>
        <w:tc>
          <w:tcPr>
            <w:tcW w:w="735"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824" w:type="dxa"/>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787" w:type="dxa"/>
            <w:noWrap w:val="0"/>
            <w:vAlign w:val="top"/>
          </w:tcPr>
          <w:p>
            <w:pPr>
              <w:rPr>
                <w:rFonts w:hint="eastAsia" w:ascii="宋体" w:hAnsi="宋体"/>
                <w:color w:val="auto"/>
                <w:highlight w:val="none"/>
              </w:rPr>
            </w:pPr>
          </w:p>
        </w:tc>
        <w:tc>
          <w:tcPr>
            <w:tcW w:w="788"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1034" w:type="dxa"/>
            <w:noWrap w:val="0"/>
            <w:vAlign w:val="top"/>
          </w:tcPr>
          <w:p>
            <w:pPr>
              <w:rPr>
                <w:rFonts w:hint="eastAsia" w:ascii="宋体" w:hAnsi="宋体"/>
                <w:color w:val="auto"/>
                <w:highlight w:val="none"/>
              </w:rPr>
            </w:pPr>
          </w:p>
        </w:tc>
        <w:tc>
          <w:tcPr>
            <w:tcW w:w="735"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824" w:type="dxa"/>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787" w:type="dxa"/>
            <w:noWrap w:val="0"/>
            <w:vAlign w:val="top"/>
          </w:tcPr>
          <w:p>
            <w:pPr>
              <w:rPr>
                <w:rFonts w:hint="eastAsia" w:ascii="宋体" w:hAnsi="宋体"/>
                <w:color w:val="auto"/>
                <w:highlight w:val="none"/>
              </w:rPr>
            </w:pPr>
          </w:p>
        </w:tc>
        <w:tc>
          <w:tcPr>
            <w:tcW w:w="788"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1034" w:type="dxa"/>
            <w:noWrap w:val="0"/>
            <w:vAlign w:val="top"/>
          </w:tcPr>
          <w:p>
            <w:pPr>
              <w:rPr>
                <w:rFonts w:hint="eastAsia" w:ascii="宋体" w:hAnsi="宋体"/>
                <w:color w:val="auto"/>
                <w:highlight w:val="none"/>
              </w:rPr>
            </w:pPr>
          </w:p>
        </w:tc>
        <w:tc>
          <w:tcPr>
            <w:tcW w:w="735"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824" w:type="dxa"/>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1260" w:type="dxa"/>
            <w:noWrap w:val="0"/>
            <w:vAlign w:val="top"/>
          </w:tcPr>
          <w:p>
            <w:pPr>
              <w:rPr>
                <w:rFonts w:hint="eastAsia" w:ascii="宋体" w:hAnsi="宋体"/>
                <w:color w:val="auto"/>
                <w:highlight w:val="none"/>
              </w:rPr>
            </w:pPr>
          </w:p>
        </w:tc>
        <w:tc>
          <w:tcPr>
            <w:tcW w:w="787" w:type="dxa"/>
            <w:noWrap w:val="0"/>
            <w:vAlign w:val="top"/>
          </w:tcPr>
          <w:p>
            <w:pPr>
              <w:rPr>
                <w:rFonts w:hint="eastAsia" w:ascii="宋体" w:hAnsi="宋体"/>
                <w:color w:val="auto"/>
                <w:highlight w:val="none"/>
              </w:rPr>
            </w:pPr>
          </w:p>
        </w:tc>
        <w:tc>
          <w:tcPr>
            <w:tcW w:w="788"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1034" w:type="dxa"/>
            <w:noWrap w:val="0"/>
            <w:vAlign w:val="top"/>
          </w:tcPr>
          <w:p>
            <w:pPr>
              <w:rPr>
                <w:rFonts w:hint="eastAsia" w:ascii="宋体" w:hAnsi="宋体"/>
                <w:color w:val="auto"/>
                <w:highlight w:val="none"/>
              </w:rPr>
            </w:pPr>
          </w:p>
        </w:tc>
        <w:tc>
          <w:tcPr>
            <w:tcW w:w="735" w:type="dxa"/>
            <w:noWrap w:val="0"/>
            <w:vAlign w:val="top"/>
          </w:tcPr>
          <w:p>
            <w:pPr>
              <w:rPr>
                <w:rFonts w:hint="eastAsia" w:ascii="宋体" w:hAnsi="宋体"/>
                <w:color w:val="auto"/>
                <w:highlight w:val="none"/>
              </w:rPr>
            </w:pPr>
          </w:p>
        </w:tc>
        <w:tc>
          <w:tcPr>
            <w:tcW w:w="751" w:type="dxa"/>
            <w:noWrap w:val="0"/>
            <w:vAlign w:val="top"/>
          </w:tcPr>
          <w:p>
            <w:pPr>
              <w:rPr>
                <w:rFonts w:hint="eastAsia" w:ascii="宋体" w:hAnsi="宋体"/>
                <w:color w:val="auto"/>
                <w:highlight w:val="none"/>
              </w:rPr>
            </w:pPr>
          </w:p>
        </w:tc>
        <w:tc>
          <w:tcPr>
            <w:tcW w:w="824" w:type="dxa"/>
            <w:noWrap w:val="0"/>
            <w:vAlign w:val="top"/>
          </w:tcPr>
          <w:p>
            <w:pPr>
              <w:rPr>
                <w:rFonts w:hint="eastAsia" w:ascii="宋体" w:hAnsi="宋体"/>
                <w:color w:val="auto"/>
                <w:highlight w:val="none"/>
              </w:rPr>
            </w:pPr>
          </w:p>
        </w:tc>
      </w:tr>
    </w:tbl>
    <w:p>
      <w:pPr>
        <w:ind w:firstLine="420" w:firstLineChars="200"/>
        <w:rPr>
          <w:rFonts w:hint="eastAsia" w:ascii="宋体" w:hAnsi="宋体"/>
          <w:color w:val="auto"/>
          <w:highlight w:val="none"/>
        </w:rPr>
      </w:pPr>
    </w:p>
    <w:p>
      <w:pPr>
        <w:spacing w:line="360" w:lineRule="auto"/>
        <w:rPr>
          <w:rFonts w:hint="eastAsia" w:ascii="宋体" w:hAnsi="宋体"/>
          <w:b/>
          <w:bCs/>
          <w:color w:val="auto"/>
          <w:sz w:val="24"/>
          <w:highlight w:val="none"/>
        </w:rPr>
      </w:pPr>
      <w:r>
        <w:rPr>
          <w:rFonts w:ascii="宋体" w:hAnsi="宋体"/>
          <w:b/>
          <w:bCs/>
          <w:color w:val="auto"/>
          <w:sz w:val="24"/>
          <w:highlight w:val="none"/>
        </w:rPr>
        <w:t xml:space="preserve"> </w:t>
      </w:r>
      <w:r>
        <w:rPr>
          <w:rFonts w:hint="eastAsia" w:ascii="宋体" w:hAnsi="宋体"/>
          <w:b/>
          <w:bCs/>
          <w:color w:val="auto"/>
          <w:sz w:val="24"/>
          <w:highlight w:val="none"/>
        </w:rPr>
        <w:t>2. 合同总价</w:t>
      </w:r>
    </w:p>
    <w:p>
      <w:pPr>
        <w:spacing w:line="360" w:lineRule="auto"/>
        <w:ind w:left="315" w:leftChars="150"/>
        <w:rPr>
          <w:rFonts w:hint="eastAsia" w:ascii="宋体" w:hAnsi="宋体"/>
          <w:color w:val="auto"/>
          <w:highlight w:val="none"/>
        </w:rPr>
      </w:pPr>
      <w:r>
        <w:rPr>
          <w:rFonts w:hint="eastAsia" w:ascii="宋体" w:hAnsi="宋体"/>
          <w:color w:val="auto"/>
          <w:highlight w:val="none"/>
        </w:rPr>
        <w:t>总价为：</w:t>
      </w:r>
      <w:r>
        <w:rPr>
          <w:rFonts w:hint="eastAsia" w:ascii="宋体" w:hAnsi="宋体"/>
          <w:color w:val="auto"/>
          <w:highlight w:val="none"/>
          <w:u w:val="single"/>
        </w:rPr>
        <w:t xml:space="preserve">           </w:t>
      </w:r>
      <w:r>
        <w:rPr>
          <w:rFonts w:hint="eastAsia" w:ascii="宋体" w:hAnsi="宋体"/>
          <w:color w:val="auto"/>
          <w:highlight w:val="none"/>
        </w:rPr>
        <w:t>（大写） ，即RMB￥</w:t>
      </w:r>
      <w:r>
        <w:rPr>
          <w:rFonts w:hint="eastAsia" w:ascii="宋体" w:hAnsi="宋体"/>
          <w:color w:val="auto"/>
          <w:highlight w:val="none"/>
          <w:u w:val="single"/>
        </w:rPr>
        <w:t xml:space="preserve">     </w:t>
      </w:r>
      <w:r>
        <w:rPr>
          <w:rFonts w:hint="eastAsia" w:ascii="宋体" w:hAnsi="宋体"/>
          <w:color w:val="auto"/>
          <w:highlight w:val="none"/>
        </w:rPr>
        <w:t>元，该合同总金额是设计、设备制造、包装、仓储、运输、安装及验收合格之前及保修期与备品备件发生的所有含税费用。本合同执行期间合同总金额不变。</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3、结算方式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甲方按下述进度以转账方式支付相应款项。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完成合同金额60%的工作量并经甲方确认，甲方按合同金额向乙方支付至50%的款项；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的95%，余下5%作为本项目质保金，质保期到期后无责免息支付给乙方。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（三）乙方向甲方申请支付货款时需提供：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（3）验收调试报告加盖甲方公章；</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（4）中标通知书。</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4. 合同组成</w:t>
      </w:r>
    </w:p>
    <w:p>
      <w:pPr>
        <w:spacing w:line="360" w:lineRule="auto"/>
        <w:ind w:left="420" w:leftChars="200"/>
        <w:rPr>
          <w:rFonts w:hint="eastAsia" w:ascii="宋体" w:hAnsi="宋体"/>
          <w:color w:val="auto"/>
          <w:highlight w:val="none"/>
        </w:rPr>
      </w:pPr>
      <w:r>
        <w:rPr>
          <w:rFonts w:hint="eastAsia" w:ascii="宋体" w:hAnsi="宋体"/>
          <w:color w:val="auto"/>
          <w:highlight w:val="none"/>
        </w:rPr>
        <w:t>详细价格、技术说明及其它有关合同设备的特定信息由合同附件说明。所有附件及本项目的招投标文件、会议纪要、协议等均为本合同不可分割之一部分。</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5. 技术要求</w:t>
      </w:r>
    </w:p>
    <w:p>
      <w:pPr>
        <w:spacing w:line="360" w:lineRule="auto"/>
        <w:ind w:left="315" w:leftChars="150"/>
        <w:rPr>
          <w:rFonts w:hint="eastAsia" w:ascii="宋体" w:hAnsi="宋体"/>
          <w:color w:val="auto"/>
          <w:highlight w:val="none"/>
        </w:rPr>
      </w:pPr>
      <w:r>
        <w:rPr>
          <w:rFonts w:hint="eastAsia" w:ascii="宋体" w:hAnsi="宋体"/>
          <w:color w:val="auto"/>
          <w:highlight w:val="none"/>
        </w:rPr>
        <w:t>乙方所提供设备，必须符合国家有关规范和环保要求及甲方的技术要求，并提供设备的厂试测验报告。</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6、 设备包装、交货、安装、调试及验收</w:t>
      </w:r>
    </w:p>
    <w:p>
      <w:pPr>
        <w:spacing w:line="360" w:lineRule="auto"/>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.1 </w:t>
      </w:r>
      <w:r>
        <w:rPr>
          <w:rFonts w:hint="eastAsia" w:ascii="宋体" w:hAnsi="宋体"/>
          <w:color w:val="auto"/>
          <w:szCs w:val="21"/>
          <w:highlight w:val="none"/>
        </w:rPr>
        <w:t xml:space="preserve"> 合同设备的包装：</w:t>
      </w:r>
    </w:p>
    <w:p>
      <w:pPr>
        <w:spacing w:line="360" w:lineRule="auto"/>
        <w:ind w:left="630" w:leftChars="300" w:firstLine="2"/>
        <w:rPr>
          <w:rFonts w:hint="eastAsia" w:ascii="宋体" w:hAnsi="宋体"/>
          <w:color w:val="auto"/>
          <w:szCs w:val="21"/>
          <w:highlight w:val="none"/>
        </w:rPr>
      </w:pPr>
      <w:r>
        <w:rPr>
          <w:rFonts w:hint="eastAsia" w:ascii="宋体" w:hAnsi="宋体"/>
          <w:color w:val="auto"/>
          <w:szCs w:val="21"/>
          <w:highlight w:val="none"/>
        </w:rPr>
        <w:t>设备的包装均应有良好的防湿、防锈、防潮、防雨、防腐及防碰撞的措施。凡由于包装不良造成的损失和由此产生的费用均由乙方承担。</w:t>
      </w:r>
    </w:p>
    <w:p>
      <w:pPr>
        <w:spacing w:line="360" w:lineRule="auto"/>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.2 </w:t>
      </w:r>
      <w:r>
        <w:rPr>
          <w:rFonts w:hint="eastAsia" w:ascii="宋体" w:hAnsi="宋体"/>
          <w:color w:val="auto"/>
          <w:szCs w:val="21"/>
          <w:highlight w:val="none"/>
        </w:rPr>
        <w:t xml:space="preserve"> 设备的交货：</w:t>
      </w:r>
    </w:p>
    <w:p>
      <w:pPr>
        <w:numPr>
          <w:ilvl w:val="0"/>
          <w:numId w:val="12"/>
        </w:numPr>
        <w:tabs>
          <w:tab w:val="left" w:pos="945"/>
          <w:tab w:val="clear" w:pos="1352"/>
        </w:tabs>
        <w:spacing w:line="360" w:lineRule="auto"/>
        <w:ind w:left="945"/>
        <w:rPr>
          <w:rFonts w:ascii="宋体" w:hAnsi="宋体"/>
          <w:color w:val="auto"/>
          <w:szCs w:val="21"/>
          <w:highlight w:val="none"/>
        </w:rPr>
      </w:pPr>
      <w:r>
        <w:rPr>
          <w:rFonts w:hint="eastAsia" w:ascii="宋体" w:hAnsi="宋体"/>
          <w:color w:val="auto"/>
          <w:szCs w:val="21"/>
          <w:highlight w:val="none"/>
        </w:rPr>
        <w:t>乙方交付使用时间：中标</w:t>
      </w:r>
      <w:r>
        <w:rPr>
          <w:rFonts w:ascii="宋体" w:hAnsi="宋体"/>
          <w:color w:val="auto"/>
          <w:szCs w:val="21"/>
          <w:highlight w:val="none"/>
        </w:rPr>
        <w:t>人签订合同后起</w:t>
      </w:r>
      <w:r>
        <w:rPr>
          <w:rFonts w:hint="eastAsia" w:ascii="宋体" w:hAnsi="宋体"/>
          <w:color w:val="auto"/>
          <w:szCs w:val="21"/>
          <w:highlight w:val="none"/>
        </w:rPr>
        <w:t>30</w:t>
      </w:r>
      <w:r>
        <w:rPr>
          <w:rFonts w:ascii="宋体" w:hAnsi="宋体"/>
          <w:color w:val="auto"/>
          <w:szCs w:val="21"/>
          <w:highlight w:val="none"/>
        </w:rPr>
        <w:t>天内完成全部货物的安装、调试和验收</w:t>
      </w:r>
      <w:r>
        <w:rPr>
          <w:rFonts w:hint="eastAsia" w:ascii="宋体" w:hAnsi="宋体"/>
          <w:color w:val="auto"/>
          <w:szCs w:val="21"/>
          <w:highlight w:val="none"/>
        </w:rPr>
        <w:t>。</w:t>
      </w:r>
    </w:p>
    <w:p>
      <w:pPr>
        <w:numPr>
          <w:ilvl w:val="0"/>
          <w:numId w:val="12"/>
        </w:numPr>
        <w:tabs>
          <w:tab w:val="left" w:pos="945"/>
          <w:tab w:val="clear" w:pos="1352"/>
        </w:tabs>
        <w:spacing w:line="360" w:lineRule="auto"/>
        <w:ind w:hanging="827"/>
        <w:rPr>
          <w:rFonts w:hint="eastAsia" w:ascii="宋体" w:hAnsi="宋体"/>
          <w:color w:val="auto"/>
          <w:szCs w:val="21"/>
          <w:highlight w:val="none"/>
          <w:u w:val="single"/>
        </w:rPr>
      </w:pPr>
      <w:r>
        <w:rPr>
          <w:rFonts w:hint="eastAsia" w:ascii="宋体" w:hAnsi="宋体"/>
          <w:color w:val="auto"/>
          <w:szCs w:val="21"/>
          <w:highlight w:val="none"/>
        </w:rPr>
        <w:t>乙方交货地点：广州市内用户指定地点。</w:t>
      </w:r>
    </w:p>
    <w:p>
      <w:pPr>
        <w:spacing w:line="360" w:lineRule="auto"/>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.3 </w:t>
      </w:r>
      <w:r>
        <w:rPr>
          <w:rFonts w:hint="eastAsia" w:ascii="宋体" w:hAnsi="宋体"/>
          <w:color w:val="auto"/>
          <w:szCs w:val="21"/>
          <w:highlight w:val="none"/>
        </w:rPr>
        <w:t>合同设备的安装调试：</w:t>
      </w:r>
    </w:p>
    <w:p>
      <w:pPr>
        <w:numPr>
          <w:ilvl w:val="0"/>
          <w:numId w:val="13"/>
        </w:numPr>
        <w:tabs>
          <w:tab w:val="left" w:pos="945"/>
          <w:tab w:val="clear" w:pos="1215"/>
        </w:tabs>
        <w:spacing w:line="360" w:lineRule="auto"/>
        <w:ind w:hanging="690"/>
        <w:rPr>
          <w:rFonts w:hint="eastAsia" w:ascii="宋体" w:hAnsi="宋体"/>
          <w:color w:val="auto"/>
          <w:szCs w:val="21"/>
          <w:highlight w:val="none"/>
        </w:rPr>
      </w:pPr>
      <w:r>
        <w:rPr>
          <w:rFonts w:hint="eastAsia" w:ascii="宋体" w:hAnsi="宋体"/>
          <w:color w:val="auto"/>
          <w:szCs w:val="21"/>
          <w:highlight w:val="none"/>
        </w:rPr>
        <w:t>乙方负责合同项下的安装调试，一切费用由乙方负责。</w:t>
      </w:r>
    </w:p>
    <w:p>
      <w:pPr>
        <w:numPr>
          <w:ilvl w:val="0"/>
          <w:numId w:val="13"/>
        </w:numPr>
        <w:tabs>
          <w:tab w:val="left" w:pos="945"/>
          <w:tab w:val="clear" w:pos="1215"/>
        </w:tabs>
        <w:spacing w:line="360" w:lineRule="auto"/>
        <w:ind w:hanging="690"/>
        <w:rPr>
          <w:rFonts w:hint="eastAsia" w:ascii="宋体" w:hAnsi="宋体"/>
          <w:color w:val="auto"/>
          <w:szCs w:val="21"/>
          <w:highlight w:val="none"/>
        </w:rPr>
      </w:pPr>
      <w:r>
        <w:rPr>
          <w:rFonts w:hint="eastAsia" w:ascii="宋体" w:hAnsi="宋体"/>
          <w:color w:val="auto"/>
          <w:szCs w:val="21"/>
          <w:highlight w:val="none"/>
        </w:rPr>
        <w:t>乙方安装时须对各安装场地内的其它设备、设施有良好保护措施。</w:t>
      </w:r>
    </w:p>
    <w:p>
      <w:pPr>
        <w:spacing w:line="360" w:lineRule="auto"/>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.4 </w:t>
      </w:r>
      <w:r>
        <w:rPr>
          <w:rFonts w:hint="eastAsia" w:ascii="宋体" w:hAnsi="宋体"/>
          <w:color w:val="auto"/>
          <w:szCs w:val="21"/>
          <w:highlight w:val="none"/>
        </w:rPr>
        <w:t>设备的验收：</w:t>
      </w:r>
    </w:p>
    <w:p>
      <w:pPr>
        <w:numPr>
          <w:ilvl w:val="0"/>
          <w:numId w:val="14"/>
        </w:numPr>
        <w:tabs>
          <w:tab w:val="left" w:pos="945"/>
          <w:tab w:val="clear" w:pos="1215"/>
        </w:tabs>
        <w:spacing w:line="360" w:lineRule="auto"/>
        <w:ind w:left="945" w:right="-420" w:rightChars="-200"/>
        <w:rPr>
          <w:rFonts w:hint="eastAsia" w:ascii="宋体" w:hAnsi="宋体"/>
          <w:color w:val="auto"/>
          <w:szCs w:val="21"/>
          <w:highlight w:val="none"/>
        </w:rPr>
      </w:pPr>
      <w:r>
        <w:rPr>
          <w:rFonts w:hint="eastAsia" w:ascii="宋体" w:hAnsi="宋体"/>
          <w:color w:val="auto"/>
          <w:szCs w:val="21"/>
          <w:highlight w:val="none"/>
        </w:rPr>
        <w:t>合同设备安装调试完成正常工作15个工作日，验收应在甲乙双方共同参加下进行。</w:t>
      </w:r>
    </w:p>
    <w:p>
      <w:pPr>
        <w:numPr>
          <w:ilvl w:val="0"/>
          <w:numId w:val="14"/>
        </w:numPr>
        <w:tabs>
          <w:tab w:val="left" w:pos="945"/>
          <w:tab w:val="clear" w:pos="1215"/>
        </w:tabs>
        <w:spacing w:line="360" w:lineRule="auto"/>
        <w:ind w:left="945" w:right="-420" w:rightChars="-200"/>
        <w:rPr>
          <w:rFonts w:hint="eastAsia" w:ascii="宋体" w:hAnsi="宋体"/>
          <w:color w:val="auto"/>
          <w:szCs w:val="21"/>
          <w:highlight w:val="none"/>
        </w:rPr>
      </w:pPr>
      <w:r>
        <w:rPr>
          <w:rFonts w:hint="eastAsia" w:ascii="宋体" w:hAnsi="宋体"/>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numPr>
          <w:ilvl w:val="0"/>
          <w:numId w:val="14"/>
        </w:numPr>
        <w:tabs>
          <w:tab w:val="left" w:pos="945"/>
          <w:tab w:val="clear" w:pos="1215"/>
        </w:tabs>
        <w:spacing w:line="360" w:lineRule="auto"/>
        <w:ind w:left="945"/>
        <w:rPr>
          <w:rFonts w:ascii="宋体" w:hAnsi="宋体"/>
          <w:color w:val="auto"/>
          <w:szCs w:val="21"/>
          <w:highlight w:val="none"/>
        </w:rPr>
      </w:pPr>
      <w:r>
        <w:rPr>
          <w:rFonts w:hint="eastAsia" w:ascii="宋体" w:hAnsi="宋体"/>
          <w:color w:val="auto"/>
          <w:szCs w:val="21"/>
          <w:highlight w:val="none"/>
        </w:rPr>
        <w:t>如果合同设备运输和安装调试过程中因事故造成货物短缺、损坏，乙方应及时安排换装，以保证合同设备安装调试的成功完成。换货的相关费用由乙方承担。</w:t>
      </w:r>
    </w:p>
    <w:p>
      <w:pPr>
        <w:numPr>
          <w:ilvl w:val="0"/>
          <w:numId w:val="14"/>
        </w:numPr>
        <w:tabs>
          <w:tab w:val="left" w:pos="945"/>
          <w:tab w:val="clear" w:pos="1215"/>
        </w:tabs>
        <w:spacing w:line="360" w:lineRule="auto"/>
        <w:ind w:left="945"/>
        <w:rPr>
          <w:rFonts w:hint="eastAsia" w:ascii="宋体" w:hAnsi="宋体"/>
          <w:color w:val="auto"/>
          <w:szCs w:val="21"/>
          <w:highlight w:val="none"/>
        </w:rPr>
      </w:pPr>
      <w:r>
        <w:rPr>
          <w:rFonts w:hint="eastAsia" w:ascii="宋体" w:hAnsi="宋体"/>
          <w:color w:val="auto"/>
          <w:szCs w:val="21"/>
          <w:highlight w:val="none"/>
        </w:rPr>
        <w:t>国内产品或合资厂的产品必须具备出厂合格证。</w:t>
      </w:r>
    </w:p>
    <w:p>
      <w:pPr>
        <w:numPr>
          <w:ilvl w:val="0"/>
          <w:numId w:val="14"/>
        </w:numPr>
        <w:tabs>
          <w:tab w:val="left" w:pos="945"/>
          <w:tab w:val="clear" w:pos="1215"/>
        </w:tabs>
        <w:spacing w:line="360" w:lineRule="auto"/>
        <w:ind w:left="945"/>
        <w:rPr>
          <w:rFonts w:hint="eastAsia" w:ascii="宋体" w:hAnsi="宋体"/>
          <w:color w:val="auto"/>
          <w:szCs w:val="21"/>
          <w:highlight w:val="none"/>
        </w:rPr>
      </w:pPr>
      <w:r>
        <w:rPr>
          <w:rFonts w:hint="eastAsia" w:ascii="宋体" w:hAnsi="宋体"/>
          <w:color w:val="auto"/>
          <w:szCs w:val="21"/>
          <w:highlight w:val="none"/>
        </w:rPr>
        <w:t>进口产品必须具备省级（或相当于省级）商检部门的检验证明。</w:t>
      </w:r>
    </w:p>
    <w:p>
      <w:pPr>
        <w:spacing w:line="360" w:lineRule="auto"/>
        <w:ind w:left="458" w:hanging="457" w:hangingChars="218"/>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.5 </w:t>
      </w:r>
      <w:r>
        <w:rPr>
          <w:rFonts w:hint="eastAsia" w:ascii="宋体" w:hAnsi="宋体"/>
          <w:color w:val="auto"/>
          <w:szCs w:val="21"/>
          <w:highlight w:val="none"/>
        </w:rPr>
        <w:t xml:space="preserve"> 乙方保证合同项下提供的设备不侵犯任何第三方的专利、商标或版权。否则，乙方须承担对第三方的专利或版权的侵权责任并承担因此而发生的所有费用。</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7. 质量保证及售后服务</w:t>
      </w:r>
    </w:p>
    <w:p>
      <w:pPr>
        <w:numPr>
          <w:ilvl w:val="0"/>
          <w:numId w:val="15"/>
        </w:numPr>
        <w:tabs>
          <w:tab w:val="left" w:pos="540"/>
          <w:tab w:val="clear" w:pos="720"/>
        </w:tabs>
        <w:spacing w:line="360" w:lineRule="auto"/>
        <w:ind w:left="540" w:hanging="540"/>
        <w:rPr>
          <w:rFonts w:hint="eastAsia" w:ascii="宋体" w:hAnsi="宋体"/>
          <w:color w:val="auto"/>
          <w:highlight w:val="none"/>
        </w:rPr>
      </w:pPr>
      <w:r>
        <w:rPr>
          <w:rFonts w:hint="eastAsia" w:ascii="宋体" w:hAnsi="宋体"/>
          <w:color w:val="auto"/>
          <w:highlight w:val="none"/>
        </w:rPr>
        <w:t>乙方保证合同设备是全新、未曾使用过的，其质量、规格及技术特征符合合同附件的要求。保证备品配件在同机型设备停产后3年以上的供应。</w:t>
      </w:r>
    </w:p>
    <w:p>
      <w:pPr>
        <w:numPr>
          <w:ilvl w:val="0"/>
          <w:numId w:val="15"/>
        </w:numPr>
        <w:tabs>
          <w:tab w:val="left" w:pos="540"/>
          <w:tab w:val="left" w:pos="1320"/>
          <w:tab w:val="clear" w:pos="720"/>
        </w:tabs>
        <w:spacing w:line="360" w:lineRule="auto"/>
        <w:rPr>
          <w:rFonts w:hint="eastAsia" w:ascii="宋体" w:hAnsi="宋体"/>
          <w:color w:val="auto"/>
          <w:highlight w:val="none"/>
        </w:rPr>
      </w:pPr>
      <w:r>
        <w:rPr>
          <w:rFonts w:hint="eastAsia" w:ascii="宋体" w:hAnsi="宋体"/>
          <w:color w:val="auto"/>
          <w:highlight w:val="none"/>
        </w:rPr>
        <w:t>合同设备保质保用期为设备最终验收合格并经本项目有关部门验收签字之日起不少于12个月。</w:t>
      </w:r>
    </w:p>
    <w:p>
      <w:pPr>
        <w:numPr>
          <w:ilvl w:val="0"/>
          <w:numId w:val="15"/>
        </w:numPr>
        <w:tabs>
          <w:tab w:val="left" w:pos="540"/>
          <w:tab w:val="clear" w:pos="720"/>
        </w:tabs>
        <w:spacing w:line="360" w:lineRule="auto"/>
        <w:ind w:left="540" w:hanging="540"/>
        <w:rPr>
          <w:rFonts w:hint="eastAsia" w:ascii="宋体" w:hAnsi="宋体"/>
          <w:color w:val="auto"/>
          <w:highlight w:val="none"/>
        </w:rPr>
      </w:pPr>
      <w:r>
        <w:rPr>
          <w:rFonts w:hint="eastAsia" w:ascii="宋体" w:hAnsi="宋体"/>
          <w:color w:val="auto"/>
          <w:highlight w:val="none"/>
        </w:rPr>
        <w:t>保质保用期内出现产品质量及安装问题，由乙方负责包修、包换或包退，并承担因此而产生的一切费用。乙方应在收到甲方通知后24小时内派员到现场免费维修</w:t>
      </w:r>
      <w:r>
        <w:rPr>
          <w:rFonts w:ascii="宋体" w:hAnsi="宋体"/>
          <w:color w:val="auto"/>
          <w:highlight w:val="none"/>
        </w:rPr>
        <w:t>(</w:t>
      </w:r>
      <w:r>
        <w:rPr>
          <w:rFonts w:hint="eastAsia" w:ascii="宋体" w:hAnsi="宋体"/>
          <w:color w:val="auto"/>
          <w:highlight w:val="none"/>
        </w:rPr>
        <w:t>技术要求另有规定除外)。</w:t>
      </w:r>
    </w:p>
    <w:p>
      <w:pPr>
        <w:numPr>
          <w:ilvl w:val="0"/>
          <w:numId w:val="15"/>
        </w:numPr>
        <w:tabs>
          <w:tab w:val="left" w:pos="540"/>
          <w:tab w:val="clear" w:pos="720"/>
        </w:tabs>
        <w:spacing w:line="360" w:lineRule="auto"/>
        <w:ind w:left="540" w:hanging="540"/>
        <w:rPr>
          <w:rFonts w:hint="eastAsia" w:ascii="宋体" w:hAnsi="宋体"/>
          <w:color w:val="auto"/>
          <w:highlight w:val="none"/>
        </w:rPr>
      </w:pPr>
      <w:r>
        <w:rPr>
          <w:rFonts w:hint="eastAsia" w:ascii="宋体" w:hAnsi="宋体"/>
          <w:color w:val="auto"/>
          <w:highlight w:val="none"/>
        </w:rPr>
        <w:t>因设备的质量问题而发生争议，由广东省或广州市质检部门进行质量鉴定。设备符合质量标准的，鉴定费用由甲方承担；设备不符合质量标准的，鉴定费用由乙方承担。</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8、 技术服务</w:t>
      </w:r>
    </w:p>
    <w:p>
      <w:pPr>
        <w:numPr>
          <w:ilvl w:val="0"/>
          <w:numId w:val="16"/>
        </w:numPr>
        <w:tabs>
          <w:tab w:val="left" w:pos="540"/>
          <w:tab w:val="clear" w:pos="720"/>
        </w:tabs>
        <w:spacing w:line="360" w:lineRule="auto"/>
        <w:rPr>
          <w:rFonts w:hint="eastAsia" w:ascii="宋体" w:hAnsi="宋体"/>
          <w:color w:val="auto"/>
          <w:highlight w:val="none"/>
        </w:rPr>
      </w:pPr>
      <w:r>
        <w:rPr>
          <w:rFonts w:hint="eastAsia" w:ascii="宋体" w:hAnsi="宋体"/>
          <w:color w:val="auto"/>
          <w:highlight w:val="none"/>
        </w:rPr>
        <w:t>乙方应派员到甲方指定地点配合工作。</w:t>
      </w:r>
    </w:p>
    <w:p>
      <w:pPr>
        <w:numPr>
          <w:ilvl w:val="0"/>
          <w:numId w:val="16"/>
        </w:numPr>
        <w:tabs>
          <w:tab w:val="left" w:pos="540"/>
          <w:tab w:val="clear" w:pos="720"/>
        </w:tabs>
        <w:spacing w:line="360" w:lineRule="auto"/>
        <w:ind w:left="540" w:hanging="540"/>
        <w:rPr>
          <w:rFonts w:hint="eastAsia" w:ascii="宋体" w:hAnsi="宋体"/>
          <w:color w:val="auto"/>
          <w:highlight w:val="none"/>
        </w:rPr>
      </w:pPr>
      <w:r>
        <w:rPr>
          <w:rFonts w:hint="eastAsia" w:ascii="宋体" w:hAnsi="宋体"/>
          <w:color w:val="auto"/>
          <w:highlight w:val="none"/>
        </w:rPr>
        <w:t>乙方按甲方提供的合同执行进度计划，再配合甲方及有关单位，以此做好合同执行进度上的配合工作。</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9、 不可抗力</w:t>
      </w:r>
    </w:p>
    <w:p>
      <w:pPr>
        <w:spacing w:line="360" w:lineRule="auto"/>
        <w:ind w:right="-420" w:rightChars="-200"/>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 xml:space="preserve">.1 </w:t>
      </w:r>
      <w:r>
        <w:rPr>
          <w:rFonts w:hint="eastAsia" w:ascii="宋体" w:hAnsi="宋体"/>
          <w:color w:val="auto"/>
          <w:szCs w:val="21"/>
          <w:highlight w:val="none"/>
        </w:rPr>
        <w:t>不可抗力指战争、严重火灾、洪水、台风、地震等或其它双方认定的不可抗力事件。</w:t>
      </w:r>
    </w:p>
    <w:p>
      <w:pPr>
        <w:spacing w:line="360" w:lineRule="auto"/>
        <w:ind w:left="420" w:right="-200" w:hanging="420" w:hangingChars="200"/>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 xml:space="preserve">.2 </w:t>
      </w:r>
      <w:r>
        <w:rPr>
          <w:rFonts w:hint="eastAsia" w:ascii="宋体" w:hAnsi="宋体"/>
          <w:color w:val="auto"/>
          <w:szCs w:val="21"/>
          <w:highlight w:val="none"/>
        </w:rPr>
        <w:t>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ind w:left="528" w:leftChars="-57" w:hanging="648" w:hangingChars="269"/>
        <w:rPr>
          <w:rFonts w:hint="eastAsia" w:ascii="宋体" w:hAnsi="宋体"/>
          <w:b/>
          <w:bCs/>
          <w:color w:val="auto"/>
          <w:sz w:val="24"/>
          <w:highlight w:val="none"/>
        </w:rPr>
      </w:pPr>
      <w:r>
        <w:rPr>
          <w:rFonts w:hint="eastAsia" w:ascii="宋体" w:hAnsi="宋体"/>
          <w:b/>
          <w:bCs/>
          <w:color w:val="auto"/>
          <w:sz w:val="24"/>
          <w:highlight w:val="none"/>
        </w:rPr>
        <w:t>10、 索赔</w:t>
      </w:r>
    </w:p>
    <w:p>
      <w:pPr>
        <w:spacing w:line="360" w:lineRule="auto"/>
        <w:ind w:left="444" w:leftChars="-57" w:hanging="564" w:hangingChars="269"/>
        <w:rPr>
          <w:rFonts w:hint="eastAsia" w:ascii="宋体" w:hAnsi="宋体"/>
          <w:b/>
          <w:bCs/>
          <w:color w:val="auto"/>
          <w:sz w:val="24"/>
          <w:highlight w:val="none"/>
        </w:rPr>
      </w:pPr>
      <w:r>
        <w:rPr>
          <w:rFonts w:hint="eastAsia" w:ascii="宋体" w:hAnsi="宋体"/>
          <w:color w:val="auto"/>
          <w:szCs w:val="21"/>
          <w:highlight w:val="none"/>
        </w:rPr>
        <w:t>10</w:t>
      </w:r>
      <w:r>
        <w:rPr>
          <w:rFonts w:ascii="宋体" w:hAnsi="宋体"/>
          <w:color w:val="auto"/>
          <w:szCs w:val="21"/>
          <w:highlight w:val="none"/>
        </w:rPr>
        <w:t xml:space="preserve">.1 </w:t>
      </w:r>
      <w:r>
        <w:rPr>
          <w:rFonts w:hint="eastAsia" w:ascii="宋体" w:hAnsi="宋体"/>
          <w:color w:val="auto"/>
          <w:szCs w:val="21"/>
          <w:highlight w:val="none"/>
        </w:rPr>
        <w:t xml:space="preserve"> 如有异议，甲方有权根据有关政府部门的检验结果向乙方提出索赔。</w:t>
      </w:r>
    </w:p>
    <w:p>
      <w:pPr>
        <w:spacing w:line="360" w:lineRule="auto"/>
        <w:ind w:left="549" w:leftChars="-57" w:hanging="669" w:hangingChars="319"/>
        <w:rPr>
          <w:rFonts w:hint="eastAsia" w:ascii="宋体" w:hAnsi="宋体"/>
          <w:b/>
          <w:bCs/>
          <w:color w:val="auto"/>
          <w:sz w:val="24"/>
          <w:highlight w:val="none"/>
        </w:rPr>
      </w:pPr>
      <w:r>
        <w:rPr>
          <w:rFonts w:hint="eastAsia" w:ascii="宋体" w:hAnsi="宋体"/>
          <w:color w:val="auto"/>
          <w:szCs w:val="21"/>
          <w:highlight w:val="none"/>
        </w:rPr>
        <w:t>10</w:t>
      </w:r>
      <w:r>
        <w:rPr>
          <w:rFonts w:ascii="宋体" w:hAnsi="宋体"/>
          <w:color w:val="auto"/>
          <w:szCs w:val="21"/>
          <w:highlight w:val="none"/>
        </w:rPr>
        <w:t xml:space="preserve">.2 </w:t>
      </w:r>
      <w:r>
        <w:rPr>
          <w:rFonts w:hint="eastAsia" w:ascii="宋体" w:hAnsi="宋体"/>
          <w:color w:val="auto"/>
          <w:szCs w:val="21"/>
          <w:highlight w:val="none"/>
        </w:rPr>
        <w:t xml:space="preserve"> 在合同执行期间，如果乙方对甲方提出的索赔和差异负有责任，乙方应按照甲方同意的下列一种或多种方式解决索赔事宜：</w:t>
      </w:r>
    </w:p>
    <w:p>
      <w:pPr>
        <w:numPr>
          <w:ilvl w:val="0"/>
          <w:numId w:val="17"/>
        </w:numPr>
        <w:tabs>
          <w:tab w:val="clear" w:pos="1215"/>
        </w:tabs>
        <w:spacing w:line="360" w:lineRule="auto"/>
        <w:ind w:left="840" w:hanging="315"/>
        <w:rPr>
          <w:rFonts w:hint="eastAsia" w:ascii="宋体" w:hAnsi="宋体"/>
          <w:color w:val="auto"/>
          <w:szCs w:val="21"/>
          <w:highlight w:val="none"/>
        </w:rPr>
      </w:pPr>
      <w:r>
        <w:rPr>
          <w:rFonts w:hint="eastAsia" w:ascii="宋体" w:hAnsi="宋体"/>
          <w:color w:val="auto"/>
          <w:szCs w:val="21"/>
          <w:highlight w:val="none"/>
        </w:rPr>
        <w:t>乙方同意退货，并按合同规定的同种货币将货款退还给甲方，并承担由此发生的一切损失和费用。</w:t>
      </w:r>
    </w:p>
    <w:p>
      <w:pPr>
        <w:numPr>
          <w:ilvl w:val="0"/>
          <w:numId w:val="17"/>
        </w:numPr>
        <w:tabs>
          <w:tab w:val="clear" w:pos="1215"/>
        </w:tabs>
        <w:spacing w:line="360" w:lineRule="auto"/>
        <w:ind w:left="840" w:hanging="315"/>
        <w:rPr>
          <w:rFonts w:hint="eastAsia" w:ascii="宋体" w:hAnsi="宋体"/>
          <w:color w:val="auto"/>
          <w:szCs w:val="21"/>
          <w:highlight w:val="none"/>
        </w:rPr>
      </w:pPr>
      <w:r>
        <w:rPr>
          <w:rFonts w:hint="eastAsia" w:ascii="宋体" w:hAnsi="宋体"/>
          <w:color w:val="auto"/>
          <w:szCs w:val="21"/>
          <w:highlight w:val="none"/>
        </w:rPr>
        <w:t>根据货物低劣程度、损坏程度以及甲方所遭受损失的数额甲乙双方商定降低货物的价格。</w:t>
      </w:r>
    </w:p>
    <w:p>
      <w:pPr>
        <w:numPr>
          <w:ilvl w:val="0"/>
          <w:numId w:val="17"/>
        </w:numPr>
        <w:tabs>
          <w:tab w:val="clear" w:pos="1215"/>
        </w:tabs>
        <w:spacing w:line="360" w:lineRule="auto"/>
        <w:ind w:left="840" w:hanging="315"/>
        <w:rPr>
          <w:rFonts w:hint="eastAsia" w:ascii="宋体" w:hAnsi="宋体"/>
          <w:color w:val="auto"/>
          <w:szCs w:val="21"/>
          <w:highlight w:val="none"/>
        </w:rPr>
      </w:pPr>
      <w:r>
        <w:rPr>
          <w:rFonts w:hint="eastAsia" w:ascii="宋体" w:hAnsi="宋体"/>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tabs>
          <w:tab w:val="left" w:pos="540"/>
        </w:tabs>
        <w:spacing w:line="360" w:lineRule="auto"/>
        <w:ind w:left="565" w:leftChars="-85" w:hanging="743" w:hangingChars="354"/>
        <w:rPr>
          <w:rFonts w:hint="eastAsia"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.3</w:t>
      </w:r>
      <w:r>
        <w:rPr>
          <w:rFonts w:hint="eastAsia" w:ascii="宋体" w:hAnsi="宋体"/>
          <w:color w:val="auto"/>
          <w:szCs w:val="21"/>
          <w:highlight w:val="none"/>
        </w:rPr>
        <w:t xml:space="preserve">  如果在甲方发出索赔通知后</w:t>
      </w:r>
      <w:r>
        <w:rPr>
          <w:rFonts w:ascii="宋体" w:hAnsi="宋体"/>
          <w:color w:val="auto"/>
          <w:szCs w:val="21"/>
          <w:highlight w:val="none"/>
          <w:shd w:val="clear" w:color="auto" w:fill="FFFFFF"/>
        </w:rPr>
        <w:t>30</w:t>
      </w:r>
      <w:r>
        <w:rPr>
          <w:rFonts w:hint="eastAsia" w:ascii="宋体" w:hAnsi="宋体"/>
          <w:color w:val="auto"/>
          <w:szCs w:val="21"/>
          <w:highlight w:val="none"/>
        </w:rPr>
        <w:t>天内，乙方未作答复，上述索赔应视为已被乙方接受。甲方将从合同款项中扣回索赔金额。如果这些金额不足以补偿索赔金额，甲方有权向乙方提出不足部分的补偿。</w:t>
      </w:r>
    </w:p>
    <w:p>
      <w:pPr>
        <w:spacing w:line="360" w:lineRule="auto"/>
        <w:ind w:left="528" w:leftChars="-57" w:hanging="648" w:hangingChars="269"/>
        <w:rPr>
          <w:rFonts w:hint="eastAsia" w:ascii="宋体" w:hAnsi="宋体"/>
          <w:color w:val="auto"/>
          <w:sz w:val="24"/>
          <w:highlight w:val="none"/>
        </w:rPr>
      </w:pPr>
      <w:r>
        <w:rPr>
          <w:rFonts w:hint="eastAsia" w:ascii="宋体" w:hAnsi="宋体"/>
          <w:b/>
          <w:bCs/>
          <w:color w:val="auto"/>
          <w:sz w:val="24"/>
          <w:highlight w:val="none"/>
        </w:rPr>
        <w:t>11、 违约与处罚</w:t>
      </w:r>
    </w:p>
    <w:p>
      <w:pPr>
        <w:spacing w:line="360" w:lineRule="auto"/>
        <w:ind w:left="645" w:leftChars="-57" w:hanging="765" w:hangingChars="319"/>
        <w:rPr>
          <w:rFonts w:hint="eastAsia" w:ascii="宋体" w:hAnsi="宋体"/>
          <w:color w:val="auto"/>
          <w:szCs w:val="21"/>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.1</w:t>
      </w:r>
      <w:r>
        <w:rPr>
          <w:rFonts w:ascii="宋体" w:hAnsi="宋体"/>
          <w:color w:val="auto"/>
          <w:szCs w:val="21"/>
          <w:highlight w:val="none"/>
        </w:rPr>
        <w:t xml:space="preserve"> </w:t>
      </w:r>
      <w:r>
        <w:rPr>
          <w:rFonts w:hint="eastAsia" w:ascii="宋体" w:hAnsi="宋体"/>
          <w:color w:val="auto"/>
          <w:szCs w:val="21"/>
          <w:highlight w:val="none"/>
        </w:rPr>
        <w:t xml:space="preserve"> 甲方应依合同规定时间内，向乙方支付货款，每拖延一天乙方可向甲方加收合同金额的</w:t>
      </w:r>
      <w:r>
        <w:rPr>
          <w:rFonts w:ascii="宋体" w:hAnsi="宋体"/>
          <w:color w:val="auto"/>
          <w:szCs w:val="21"/>
          <w:highlight w:val="none"/>
          <w:shd w:val="clear" w:color="auto" w:fill="FFFFFF"/>
        </w:rPr>
        <w:t>3</w:t>
      </w:r>
      <w:r>
        <w:rPr>
          <w:rFonts w:hint="eastAsia" w:ascii="宋体" w:hAnsi="宋体"/>
          <w:color w:val="auto"/>
          <w:szCs w:val="21"/>
          <w:highlight w:val="none"/>
          <w:shd w:val="clear" w:color="auto" w:fill="FFFFFF"/>
        </w:rPr>
        <w:t>‰</w:t>
      </w:r>
      <w:r>
        <w:rPr>
          <w:rFonts w:hint="eastAsia" w:ascii="宋体" w:hAnsi="宋体"/>
          <w:color w:val="auto"/>
          <w:szCs w:val="21"/>
          <w:highlight w:val="none"/>
        </w:rPr>
        <w:t>的违约金。</w:t>
      </w:r>
    </w:p>
    <w:p>
      <w:pPr>
        <w:spacing w:line="360" w:lineRule="auto"/>
        <w:ind w:left="444" w:leftChars="-57" w:hanging="564" w:hangingChars="269"/>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 xml:space="preserve">.2 </w:t>
      </w:r>
      <w:r>
        <w:rPr>
          <w:rFonts w:hint="eastAsia" w:ascii="宋体" w:hAnsi="宋体"/>
          <w:color w:val="auto"/>
          <w:szCs w:val="21"/>
          <w:highlight w:val="none"/>
        </w:rPr>
        <w:t xml:space="preserve"> 乙方未能按时交货，每拖延一天，须向甲方支付合同金额的</w:t>
      </w:r>
      <w:r>
        <w:rPr>
          <w:rFonts w:ascii="宋体" w:hAnsi="宋体"/>
          <w:color w:val="auto"/>
          <w:szCs w:val="21"/>
          <w:highlight w:val="none"/>
          <w:shd w:val="clear" w:color="auto" w:fill="FFFFFF"/>
        </w:rPr>
        <w:t>3</w:t>
      </w:r>
      <w:r>
        <w:rPr>
          <w:rFonts w:hint="eastAsia" w:ascii="宋体" w:hAnsi="宋体"/>
          <w:color w:val="auto"/>
          <w:szCs w:val="21"/>
          <w:highlight w:val="none"/>
          <w:shd w:val="clear" w:color="auto" w:fill="FFFFFF"/>
        </w:rPr>
        <w:t>‰</w:t>
      </w:r>
      <w:r>
        <w:rPr>
          <w:rFonts w:hint="eastAsia" w:ascii="宋体" w:hAnsi="宋体"/>
          <w:color w:val="auto"/>
          <w:szCs w:val="21"/>
          <w:highlight w:val="none"/>
        </w:rPr>
        <w:t>的违约金。</w:t>
      </w:r>
    </w:p>
    <w:p>
      <w:pPr>
        <w:spacing w:line="360" w:lineRule="auto"/>
        <w:ind w:left="549" w:leftChars="-57" w:hanging="669" w:hangingChars="319"/>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 xml:space="preserve">.3 </w:t>
      </w:r>
      <w:r>
        <w:rPr>
          <w:rFonts w:hint="eastAsia" w:ascii="宋体" w:hAnsi="宋体"/>
          <w:color w:val="auto"/>
          <w:szCs w:val="21"/>
          <w:highlight w:val="none"/>
        </w:rPr>
        <w:t xml:space="preserve"> 乙方交付的货物不符合合同规定的，甲方有权拒收，乙方向甲方支付合同金额的</w:t>
      </w:r>
      <w:r>
        <w:rPr>
          <w:rFonts w:ascii="宋体" w:hAnsi="宋体"/>
          <w:color w:val="auto"/>
          <w:szCs w:val="21"/>
          <w:highlight w:val="none"/>
          <w:shd w:val="clear" w:color="auto" w:fill="FFFFFF"/>
        </w:rPr>
        <w:t>5%</w:t>
      </w:r>
      <w:r>
        <w:rPr>
          <w:rFonts w:hint="eastAsia" w:ascii="宋体" w:hAnsi="宋体"/>
          <w:color w:val="auto"/>
          <w:szCs w:val="21"/>
          <w:highlight w:val="none"/>
        </w:rPr>
        <w:t>的违约金。</w:t>
      </w:r>
    </w:p>
    <w:p>
      <w:pPr>
        <w:spacing w:line="360" w:lineRule="auto"/>
        <w:ind w:left="444" w:leftChars="-57" w:hanging="564" w:hangingChars="269"/>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 xml:space="preserve">.4 </w:t>
      </w:r>
      <w:r>
        <w:rPr>
          <w:rFonts w:hint="eastAsia" w:ascii="宋体" w:hAnsi="宋体"/>
          <w:color w:val="auto"/>
          <w:szCs w:val="21"/>
          <w:highlight w:val="none"/>
        </w:rPr>
        <w:t xml:space="preserve"> 甲方无正当理由拒收货物的，甲方向乙方支付合同金额的</w:t>
      </w:r>
      <w:r>
        <w:rPr>
          <w:rFonts w:ascii="宋体" w:hAnsi="宋体"/>
          <w:color w:val="auto"/>
          <w:szCs w:val="21"/>
          <w:highlight w:val="none"/>
          <w:shd w:val="clear" w:color="auto" w:fill="FFFFFF"/>
        </w:rPr>
        <w:t>5%</w:t>
      </w:r>
      <w:r>
        <w:rPr>
          <w:rFonts w:hint="eastAsia" w:ascii="宋体" w:hAnsi="宋体"/>
          <w:color w:val="auto"/>
          <w:szCs w:val="21"/>
          <w:highlight w:val="none"/>
        </w:rPr>
        <w:t>的违约金。</w:t>
      </w:r>
    </w:p>
    <w:p>
      <w:pPr>
        <w:spacing w:line="360" w:lineRule="auto"/>
        <w:ind w:left="444" w:leftChars="-57" w:hanging="564" w:hangingChars="269"/>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 xml:space="preserve">.5 </w:t>
      </w:r>
      <w:r>
        <w:rPr>
          <w:rFonts w:hint="eastAsia" w:ascii="宋体" w:hAnsi="宋体"/>
          <w:color w:val="auto"/>
          <w:szCs w:val="21"/>
          <w:highlight w:val="none"/>
        </w:rPr>
        <w:t xml:space="preserve"> 乙方未能交付货物，则向甲方支付合同金额的</w:t>
      </w:r>
      <w:r>
        <w:rPr>
          <w:rFonts w:ascii="宋体" w:hAnsi="宋体"/>
          <w:color w:val="auto"/>
          <w:szCs w:val="21"/>
          <w:highlight w:val="none"/>
          <w:shd w:val="clear" w:color="auto" w:fill="FFFFFF"/>
        </w:rPr>
        <w:t>7.5%</w:t>
      </w:r>
      <w:r>
        <w:rPr>
          <w:rFonts w:hint="eastAsia" w:ascii="宋体" w:hAnsi="宋体"/>
          <w:color w:val="auto"/>
          <w:szCs w:val="21"/>
          <w:highlight w:val="none"/>
        </w:rPr>
        <w:t>的违约金。</w:t>
      </w:r>
    </w:p>
    <w:p>
      <w:pPr>
        <w:spacing w:line="360" w:lineRule="auto"/>
        <w:rPr>
          <w:rFonts w:hint="eastAsia"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2、合同终止</w:t>
      </w:r>
    </w:p>
    <w:p>
      <w:pPr>
        <w:spacing w:line="360" w:lineRule="auto"/>
        <w:ind w:left="525" w:leftChars="250" w:firstLine="12" w:firstLineChars="6"/>
        <w:rPr>
          <w:rFonts w:hint="eastAsia" w:ascii="宋体" w:hAnsi="宋体"/>
          <w:color w:val="auto"/>
          <w:szCs w:val="21"/>
          <w:highlight w:val="none"/>
        </w:rPr>
      </w:pPr>
      <w:r>
        <w:rPr>
          <w:rFonts w:hint="eastAsia" w:ascii="宋体" w:hAnsi="宋体"/>
          <w:color w:val="auto"/>
          <w:szCs w:val="21"/>
          <w:highlight w:val="none"/>
        </w:rPr>
        <w:t>如果一方严重违反合同，并在收到对方违约通知书后在</w:t>
      </w:r>
      <w:r>
        <w:rPr>
          <w:rFonts w:ascii="宋体" w:hAnsi="宋体"/>
          <w:color w:val="auto"/>
          <w:szCs w:val="21"/>
          <w:highlight w:val="none"/>
          <w:shd w:val="clear" w:color="auto" w:fill="FFFFFF"/>
        </w:rPr>
        <w:t>30</w:t>
      </w:r>
      <w:r>
        <w:rPr>
          <w:rFonts w:hint="eastAsia" w:ascii="宋体" w:hAnsi="宋体"/>
          <w:color w:val="auto"/>
          <w:szCs w:val="21"/>
          <w:highlight w:val="none"/>
        </w:rPr>
        <w:t>天内仍未能改正违约的，另一方可立即终止本合同。</w:t>
      </w:r>
    </w:p>
    <w:p>
      <w:pPr>
        <w:spacing w:line="360" w:lineRule="auto"/>
        <w:rPr>
          <w:rFonts w:hint="eastAsia"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3、 法律诉讼</w:t>
      </w:r>
    </w:p>
    <w:p>
      <w:pPr>
        <w:spacing w:line="360" w:lineRule="auto"/>
        <w:ind w:left="630" w:leftChars="300"/>
        <w:rPr>
          <w:rFonts w:hint="eastAsia" w:ascii="宋体" w:hAnsi="宋体"/>
          <w:color w:val="auto"/>
          <w:szCs w:val="21"/>
          <w:highlight w:val="none"/>
        </w:rPr>
      </w:pPr>
      <w:r>
        <w:rPr>
          <w:rFonts w:hint="eastAsia" w:ascii="宋体" w:hAnsi="宋体"/>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spacing w:line="360" w:lineRule="auto"/>
        <w:rPr>
          <w:rFonts w:hint="eastAsia"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4、 其它</w:t>
      </w:r>
    </w:p>
    <w:p>
      <w:pPr>
        <w:spacing w:line="360" w:lineRule="auto"/>
        <w:ind w:left="600" w:hanging="600" w:hangingChars="250"/>
        <w:rPr>
          <w:rFonts w:hint="eastAsia" w:ascii="宋体" w:hAnsi="宋体"/>
          <w:color w:val="auto"/>
          <w:szCs w:val="21"/>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Cs w:val="21"/>
          <w:highlight w:val="none"/>
        </w:rPr>
        <w:t xml:space="preserve">.1 </w:t>
      </w:r>
      <w:r>
        <w:rPr>
          <w:rFonts w:hint="eastAsia" w:ascii="宋体" w:hAnsi="宋体"/>
          <w:color w:val="auto"/>
          <w:szCs w:val="21"/>
          <w:highlight w:val="none"/>
        </w:rPr>
        <w:t>本合同正本四份，具有同等法律效力，甲、乙双方各执一份，省教育装备中心一份，采购代理机构一份。合同自签字之日起即时生效。</w:t>
      </w:r>
    </w:p>
    <w:p>
      <w:pPr>
        <w:snapToGrid w:val="0"/>
        <w:spacing w:line="360" w:lineRule="auto"/>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.2</w:t>
      </w:r>
      <w:r>
        <w:rPr>
          <w:rFonts w:hint="eastAsia" w:ascii="宋体" w:hAnsi="宋体"/>
          <w:color w:val="auto"/>
          <w:szCs w:val="21"/>
          <w:highlight w:val="none"/>
        </w:rPr>
        <w:t xml:space="preserve"> 下列文件是本合同的一部分，并与本合同一起阅读和解释</w:t>
      </w:r>
    </w:p>
    <w:p>
      <w:pPr>
        <w:numPr>
          <w:ilvl w:val="0"/>
          <w:numId w:val="18"/>
        </w:numPr>
        <w:snapToGrid w:val="0"/>
        <w:spacing w:line="360" w:lineRule="auto"/>
        <w:rPr>
          <w:rFonts w:hint="eastAsia" w:ascii="宋体" w:hAnsi="宋体"/>
          <w:color w:val="auto"/>
          <w:szCs w:val="21"/>
          <w:highlight w:val="none"/>
        </w:rPr>
      </w:pPr>
      <w:r>
        <w:rPr>
          <w:rFonts w:hint="eastAsia" w:ascii="宋体" w:hAnsi="宋体"/>
          <w:color w:val="auto"/>
          <w:szCs w:val="21"/>
          <w:highlight w:val="none"/>
        </w:rPr>
        <w:t>中标人提交的投标函和投标一览表；</w:t>
      </w:r>
    </w:p>
    <w:p>
      <w:pPr>
        <w:numPr>
          <w:ilvl w:val="0"/>
          <w:numId w:val="18"/>
        </w:numPr>
        <w:snapToGrid w:val="0"/>
        <w:spacing w:line="360" w:lineRule="auto"/>
        <w:rPr>
          <w:rFonts w:hint="eastAsia" w:ascii="宋体" w:hAnsi="宋体"/>
          <w:color w:val="auto"/>
          <w:szCs w:val="21"/>
          <w:highlight w:val="none"/>
        </w:rPr>
      </w:pPr>
      <w:r>
        <w:rPr>
          <w:rFonts w:hint="eastAsia" w:ascii="宋体" w:hAnsi="宋体"/>
          <w:color w:val="auto"/>
          <w:szCs w:val="21"/>
          <w:highlight w:val="none"/>
        </w:rPr>
        <w:t>资格声明函；</w:t>
      </w:r>
    </w:p>
    <w:p>
      <w:pPr>
        <w:numPr>
          <w:ilvl w:val="0"/>
          <w:numId w:val="18"/>
        </w:numPr>
        <w:snapToGrid w:val="0"/>
        <w:spacing w:line="360" w:lineRule="auto"/>
        <w:rPr>
          <w:rFonts w:hint="eastAsia" w:ascii="宋体" w:hAnsi="宋体"/>
          <w:color w:val="auto"/>
          <w:szCs w:val="21"/>
          <w:highlight w:val="none"/>
        </w:rPr>
      </w:pPr>
      <w:r>
        <w:rPr>
          <w:rFonts w:hint="eastAsia" w:ascii="宋体" w:hAnsi="宋体"/>
          <w:color w:val="auto"/>
          <w:szCs w:val="21"/>
          <w:highlight w:val="none"/>
        </w:rPr>
        <w:t>中标通知书；</w:t>
      </w:r>
    </w:p>
    <w:p>
      <w:pPr>
        <w:numPr>
          <w:ilvl w:val="0"/>
          <w:numId w:val="18"/>
        </w:numPr>
        <w:snapToGrid w:val="0"/>
        <w:spacing w:line="360" w:lineRule="auto"/>
        <w:rPr>
          <w:rFonts w:hint="eastAsia" w:ascii="宋体" w:hAnsi="宋体"/>
          <w:color w:val="auto"/>
          <w:szCs w:val="21"/>
          <w:highlight w:val="none"/>
        </w:rPr>
      </w:pPr>
      <w:r>
        <w:rPr>
          <w:rFonts w:hint="eastAsia" w:ascii="宋体" w:hAnsi="宋体"/>
          <w:color w:val="auto"/>
          <w:szCs w:val="21"/>
          <w:highlight w:val="none"/>
        </w:rPr>
        <w:t>其他相关投标文件。</w:t>
      </w:r>
      <w:r>
        <w:rPr>
          <w:rFonts w:ascii="宋体" w:hAnsi="宋体"/>
          <w:color w:val="auto"/>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14.3  本合同未尽事宜，由双方协商处理。</w:t>
      </w:r>
    </w:p>
    <w:p>
      <w:pPr>
        <w:spacing w:line="360" w:lineRule="auto"/>
        <w:ind w:left="718" w:leftChars="342"/>
        <w:rPr>
          <w:rFonts w:hint="eastAsia" w:ascii="宋体" w:hAnsi="宋体"/>
          <w:color w:val="auto"/>
          <w:szCs w:val="21"/>
          <w:highlight w:val="none"/>
        </w:rPr>
      </w:pPr>
      <w:r>
        <w:rPr>
          <w:rFonts w:hint="eastAsia" w:ascii="宋体" w:hAnsi="宋体"/>
          <w:color w:val="auto"/>
          <w:szCs w:val="21"/>
          <w:highlight w:val="none"/>
        </w:rPr>
        <w:t xml:space="preserve">甲方：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乙方： </w:t>
      </w:r>
    </w:p>
    <w:p>
      <w:pPr>
        <w:spacing w:line="360" w:lineRule="auto"/>
        <w:ind w:left="718" w:leftChars="342"/>
        <w:rPr>
          <w:rFonts w:hint="eastAsia" w:ascii="宋体" w:hAnsi="宋体"/>
          <w:color w:val="auto"/>
          <w:szCs w:val="21"/>
          <w:highlight w:val="none"/>
        </w:rPr>
      </w:pPr>
      <w:r>
        <w:rPr>
          <w:rFonts w:hint="eastAsia" w:ascii="宋体" w:hAnsi="宋体"/>
          <w:color w:val="auto"/>
          <w:szCs w:val="21"/>
          <w:highlight w:val="none"/>
        </w:rPr>
        <w:t>签约代表：</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签约代表：</w:t>
      </w:r>
    </w:p>
    <w:p>
      <w:pPr>
        <w:spacing w:line="360" w:lineRule="auto"/>
        <w:ind w:left="718" w:leftChars="342"/>
        <w:rPr>
          <w:rFonts w:hint="eastAsia"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 xml:space="preserve">                                 </w:t>
      </w:r>
      <w:r>
        <w:rPr>
          <w:rFonts w:hint="eastAsia" w:ascii="宋体" w:hAnsi="宋体"/>
          <w:color w:val="auto"/>
          <w:szCs w:val="21"/>
          <w:highlight w:val="none"/>
        </w:rPr>
        <w:t xml:space="preserve">   地址：</w:t>
      </w:r>
    </w:p>
    <w:p>
      <w:pPr>
        <w:spacing w:line="360" w:lineRule="auto"/>
        <w:ind w:firstLine="420" w:firstLineChars="200"/>
        <w:jc w:val="left"/>
        <w:rPr>
          <w:rFonts w:ascii="宋体" w:hAnsi="宋体" w:cs="宋体"/>
          <w:color w:val="auto"/>
          <w:sz w:val="24"/>
          <w:highlight w:val="none"/>
        </w:rPr>
      </w:pPr>
      <w:r>
        <w:rPr>
          <w:rFonts w:hint="eastAsia" w:ascii="宋体" w:hAnsi="宋体"/>
          <w:color w:val="auto"/>
          <w:szCs w:val="21"/>
          <w:highlight w:val="none"/>
        </w:rPr>
        <w:t>日期：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2"/>
    <w:bookmarkEnd w:id="283"/>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84" w:name="OLE_LINK4"/>
    </w:p>
    <w:p>
      <w:pPr>
        <w:pStyle w:val="5"/>
        <w:autoSpaceDE w:val="0"/>
        <w:rPr>
          <w:b w:val="0"/>
          <w:bCs w:val="0"/>
          <w:color w:val="auto"/>
          <w:sz w:val="44"/>
          <w:highlight w:val="none"/>
        </w:rPr>
      </w:pPr>
      <w:bookmarkStart w:id="285" w:name="_Toc475104528"/>
      <w:r>
        <w:rPr>
          <w:rFonts w:hint="eastAsia"/>
          <w:color w:val="auto"/>
          <w:sz w:val="44"/>
          <w:highlight w:val="none"/>
        </w:rPr>
        <w:t>第五章 评分体系与标准</w:t>
      </w:r>
      <w:bookmarkEnd w:id="285"/>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9"/>
        </w:numPr>
        <w:autoSpaceDE w:val="0"/>
        <w:autoSpaceDN w:val="0"/>
        <w:adjustRightInd w:val="0"/>
        <w:snapToGrid w:val="0"/>
        <w:spacing w:line="360" w:lineRule="auto"/>
        <w:outlineLvl w:val="0"/>
        <w:rPr>
          <w:rFonts w:ascii="宋体" w:hAnsi="宋体"/>
          <w:bCs/>
          <w:color w:val="auto"/>
          <w:szCs w:val="21"/>
          <w:highlight w:val="none"/>
        </w:rPr>
      </w:pPr>
      <w:bookmarkStart w:id="286" w:name="_Toc475104529"/>
      <w:bookmarkStart w:id="287" w:name="_Toc264203535"/>
      <w:bookmarkStart w:id="288" w:name="_Toc98580289"/>
      <w:bookmarkStart w:id="289" w:name="_Toc42394513"/>
      <w:bookmarkStart w:id="290" w:name="_Toc42394669"/>
      <w:bookmarkStart w:id="291" w:name="_Toc101775128"/>
      <w:bookmarkStart w:id="292" w:name="_Toc101843128"/>
      <w:bookmarkStart w:id="293" w:name="_Toc101951266"/>
      <w:bookmarkStart w:id="294" w:name="_Toc98579007"/>
      <w:bookmarkStart w:id="295" w:name="_Toc98579065"/>
      <w:bookmarkStart w:id="296" w:name="_Toc50276153"/>
      <w:bookmarkStart w:id="297" w:name="_Toc101771375"/>
      <w:bookmarkStart w:id="298" w:name="_Toc98579606"/>
      <w:bookmarkStart w:id="299" w:name="_Toc41884701"/>
      <w:bookmarkStart w:id="300" w:name="_Toc42313167"/>
      <w:bookmarkStart w:id="301" w:name="_Toc41723931"/>
      <w:bookmarkStart w:id="302" w:name="_Toc125770208"/>
      <w:bookmarkStart w:id="303" w:name="_Toc138506092"/>
      <w:bookmarkStart w:id="304" w:name="_Toc150050902"/>
      <w:bookmarkStart w:id="305" w:name="_Toc108001800"/>
      <w:bookmarkStart w:id="306" w:name="_Toc138568672"/>
      <w:bookmarkStart w:id="307" w:name="_Toc28142601"/>
      <w:bookmarkStart w:id="308" w:name="_Toc101553556"/>
      <w:bookmarkStart w:id="309" w:name="_Toc124646434"/>
      <w:bookmarkStart w:id="310" w:name="_Toc68620012"/>
      <w:bookmarkStart w:id="311" w:name="_Toc104874465"/>
      <w:bookmarkStart w:id="312" w:name="_Toc95249607"/>
      <w:bookmarkStart w:id="313" w:name="_Toc124570687"/>
      <w:bookmarkStart w:id="314" w:name="_Toc108243616"/>
      <w:bookmarkStart w:id="315" w:name="_Toc169334816"/>
      <w:bookmarkStart w:id="316" w:name="_Toc148060906"/>
      <w:bookmarkStart w:id="317" w:name="_Toc102211724"/>
      <w:bookmarkStart w:id="318" w:name="_Toc124401382"/>
      <w:bookmarkStart w:id="319" w:name="_Toc28489533"/>
      <w:bookmarkStart w:id="320" w:name="_Toc95304223"/>
      <w:bookmarkStart w:id="321" w:name="_Toc113277292"/>
      <w:bookmarkStart w:id="322" w:name="_Toc66722112"/>
      <w:bookmarkStart w:id="323" w:name="_Toc101553661"/>
      <w:bookmarkStart w:id="324" w:name="_Toc131904930"/>
      <w:bookmarkStart w:id="325" w:name="_Toc104902929"/>
      <w:bookmarkStart w:id="326" w:name="_Toc34535380"/>
      <w:bookmarkStart w:id="327" w:name="_Toc131922503"/>
      <w:bookmarkStart w:id="328" w:name="_Toc35834934"/>
      <w:bookmarkStart w:id="329" w:name="_Toc148420070"/>
      <w:bookmarkStart w:id="330" w:name="_Toc67911942"/>
      <w:r>
        <w:rPr>
          <w:rFonts w:hint="eastAsia" w:ascii="宋体" w:hAnsi="宋体"/>
          <w:bCs/>
          <w:color w:val="auto"/>
          <w:szCs w:val="21"/>
          <w:highlight w:val="none"/>
        </w:rPr>
        <w:t>本评审办法采用综合评分法。</w:t>
      </w:r>
      <w:bookmarkEnd w:id="286"/>
    </w:p>
    <w:p>
      <w:pPr>
        <w:numPr>
          <w:ilvl w:val="0"/>
          <w:numId w:val="19"/>
        </w:numPr>
        <w:autoSpaceDE w:val="0"/>
        <w:autoSpaceDN w:val="0"/>
        <w:adjustRightInd w:val="0"/>
        <w:snapToGrid w:val="0"/>
        <w:spacing w:line="360" w:lineRule="auto"/>
        <w:outlineLvl w:val="0"/>
        <w:rPr>
          <w:rFonts w:ascii="宋体" w:cs="宋体"/>
          <w:color w:val="auto"/>
          <w:highlight w:val="none"/>
        </w:rPr>
      </w:pPr>
      <w:bookmarkStart w:id="331" w:name="_Toc475104530"/>
      <w:bookmarkStart w:id="332"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19"/>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31"/>
    </w:p>
    <w:bookmarkEnd w:id="287"/>
    <w:bookmarkEnd w:id="288"/>
    <w:bookmarkEnd w:id="289"/>
    <w:bookmarkEnd w:id="290"/>
    <w:bookmarkEnd w:id="291"/>
    <w:bookmarkEnd w:id="292"/>
    <w:bookmarkEnd w:id="293"/>
    <w:bookmarkEnd w:id="294"/>
    <w:bookmarkEnd w:id="295"/>
    <w:bookmarkEnd w:id="296"/>
    <w:bookmarkEnd w:id="297"/>
    <w:bookmarkEnd w:id="298"/>
    <w:bookmarkEnd w:id="332"/>
    <w:p>
      <w:pPr>
        <w:numPr>
          <w:ilvl w:val="0"/>
          <w:numId w:val="19"/>
        </w:numPr>
        <w:autoSpaceDE w:val="0"/>
        <w:autoSpaceDN w:val="0"/>
        <w:adjustRightInd w:val="0"/>
        <w:snapToGrid w:val="0"/>
        <w:spacing w:line="360" w:lineRule="auto"/>
        <w:outlineLvl w:val="0"/>
        <w:rPr>
          <w:rFonts w:ascii="宋体" w:hAnsi="宋体"/>
          <w:bCs/>
          <w:color w:val="auto"/>
          <w:szCs w:val="21"/>
          <w:highlight w:val="none"/>
        </w:rPr>
      </w:pPr>
      <w:bookmarkStart w:id="333"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9"/>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3"/>
    </w:p>
    <w:tbl>
      <w:tblPr>
        <w:tblStyle w:val="89"/>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34" w:name="_Toc333236678"/>
            <w:bookmarkStart w:id="335"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19"/>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4"/>
    <w:bookmarkEnd w:id="335"/>
    <w:p>
      <w:pPr>
        <w:numPr>
          <w:ilvl w:val="0"/>
          <w:numId w:val="19"/>
        </w:numPr>
        <w:autoSpaceDE w:val="0"/>
        <w:autoSpaceDN w:val="0"/>
        <w:adjustRightInd w:val="0"/>
        <w:snapToGrid w:val="0"/>
        <w:spacing w:line="360" w:lineRule="auto"/>
        <w:outlineLvl w:val="0"/>
        <w:rPr>
          <w:rFonts w:ascii="宋体" w:hAnsi="宋体"/>
          <w:color w:val="auto"/>
          <w:szCs w:val="21"/>
          <w:highlight w:val="none"/>
        </w:rPr>
      </w:pPr>
      <w:bookmarkStart w:id="336" w:name="_Toc333236680"/>
      <w:bookmarkStart w:id="337"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299"/>
    <w:bookmarkEnd w:id="300"/>
    <w:bookmarkEnd w:id="301"/>
    <w:bookmarkEnd w:id="336"/>
    <w:bookmarkEnd w:id="337"/>
    <w:p>
      <w:pPr>
        <w:numPr>
          <w:ilvl w:val="0"/>
          <w:numId w:val="19"/>
        </w:numPr>
        <w:autoSpaceDE w:val="0"/>
        <w:autoSpaceDN w:val="0"/>
        <w:adjustRightInd w:val="0"/>
        <w:snapToGrid w:val="0"/>
        <w:spacing w:line="360" w:lineRule="auto"/>
        <w:outlineLvl w:val="0"/>
        <w:rPr>
          <w:rFonts w:ascii="宋体" w:hAnsi="宋体"/>
          <w:color w:val="auto"/>
          <w:szCs w:val="21"/>
          <w:highlight w:val="none"/>
        </w:rPr>
      </w:pPr>
      <w:bookmarkStart w:id="338" w:name="_Toc475104535"/>
      <w:bookmarkStart w:id="339" w:name="_Toc333236685"/>
      <w:r>
        <w:rPr>
          <w:rFonts w:hint="eastAsia" w:ascii="宋体" w:hAnsi="宋体"/>
          <w:color w:val="auto"/>
          <w:szCs w:val="21"/>
          <w:highlight w:val="none"/>
        </w:rPr>
        <w:t>价格评定</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》（格式见第七章投标文件格式）。</w:t>
      </w:r>
    </w:p>
    <w:p>
      <w:pPr>
        <w:numPr>
          <w:ilvl w:val="1"/>
          <w:numId w:val="19"/>
        </w:numPr>
        <w:autoSpaceDE w:val="0"/>
        <w:autoSpaceDN w:val="0"/>
        <w:adjustRightInd w:val="0"/>
        <w:snapToGrid w:val="0"/>
        <w:spacing w:before="120"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9"/>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9"/>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9"/>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8"/>
      <w:bookmarkEnd w:id="339"/>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5"/>
        <w:rPr>
          <w:color w:val="auto"/>
          <w:sz w:val="24"/>
          <w:highlight w:val="none"/>
        </w:rPr>
      </w:pPr>
      <w:bookmarkStart w:id="340" w:name="_Toc475104536"/>
      <w:r>
        <w:rPr>
          <w:rFonts w:hint="eastAsia"/>
          <w:color w:val="auto"/>
          <w:sz w:val="24"/>
          <w:highlight w:val="none"/>
        </w:rPr>
        <w:t>资格性审查及符合性检查表</w:t>
      </w:r>
      <w:bookmarkEnd w:id="340"/>
    </w:p>
    <w:p>
      <w:pPr>
        <w:pStyle w:val="37"/>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7"/>
        <w:tabs>
          <w:tab w:val="left" w:pos="735"/>
        </w:tabs>
        <w:snapToGrid w:val="0"/>
        <w:spacing w:line="360" w:lineRule="auto"/>
        <w:ind w:left="0" w:leftChars="0"/>
        <w:rPr>
          <w:color w:val="auto"/>
          <w:szCs w:val="21"/>
          <w:highlight w:val="none"/>
        </w:rPr>
      </w:pPr>
      <w:r>
        <w:rPr>
          <w:rFonts w:hint="eastAsia" w:ascii="宋体"/>
          <w:color w:val="auto"/>
          <w:highlight w:val="none"/>
        </w:rPr>
        <w:t>项目名称：</w:t>
      </w:r>
      <w:r>
        <w:rPr>
          <w:rFonts w:hint="eastAsia" w:ascii="宋体"/>
          <w:color w:val="auto"/>
          <w:highlight w:val="none"/>
          <w:lang w:val="en-US" w:eastAsia="zh-CN"/>
        </w:rPr>
        <w:t xml:space="preserve">                                                    </w:t>
      </w:r>
      <w:r>
        <w:rPr>
          <w:rFonts w:hint="eastAsia" w:ascii="宋体"/>
          <w:color w:val="auto"/>
          <w:highlight w:val="none"/>
        </w:rPr>
        <w:t>项目编号：</w:t>
      </w:r>
    </w:p>
    <w:tbl>
      <w:tblPr>
        <w:tblStyle w:val="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ascii="宋体" w:hAnsi="宋体" w:cs="宋体"/>
                <w:color w:val="auto"/>
                <w:szCs w:val="21"/>
                <w:highlight w:val="none"/>
              </w:rPr>
              <w:t>按规定提交足够磋商保证金</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lang w:val="hr-HR"/>
              </w:rPr>
              <w:t>磋商响应文件中</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89"/>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85"/>
        <w:gridCol w:w="1500"/>
        <w:gridCol w:w="4761"/>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48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评审内容</w:t>
            </w:r>
          </w:p>
        </w:tc>
        <w:tc>
          <w:tcPr>
            <w:tcW w:w="6261" w:type="dxa"/>
            <w:gridSpan w:val="2"/>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评分细则</w:t>
            </w:r>
          </w:p>
        </w:tc>
        <w:tc>
          <w:tcPr>
            <w:tcW w:w="80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6261" w:type="dxa"/>
            <w:gridSpan w:val="2"/>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806"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485" w:type="dxa"/>
            <w:noWrap w:val="0"/>
            <w:vAlign w:val="center"/>
          </w:tcPr>
          <w:p>
            <w:pPr>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拟投入本项目人员情况</w:t>
            </w:r>
          </w:p>
        </w:tc>
        <w:tc>
          <w:tcPr>
            <w:tcW w:w="6261" w:type="dxa"/>
            <w:gridSpan w:val="2"/>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担任本项目的项目负责人为建筑工程专业二级或以上级别的注册建造师及持有在有效期内的安全培训考核合格证（B类）</w:t>
            </w:r>
            <w:r>
              <w:rPr>
                <w:rFonts w:hint="eastAsia" w:asciiTheme="minorEastAsia" w:hAnsiTheme="minorEastAsia" w:eastAsiaTheme="minorEastAsia" w:cstheme="minorEastAsia"/>
                <w:b w:val="0"/>
                <w:bCs w:val="0"/>
                <w:color w:val="auto"/>
                <w:sz w:val="21"/>
                <w:szCs w:val="21"/>
                <w:highlight w:val="none"/>
                <w:lang w:eastAsia="zh-CN"/>
              </w:rPr>
              <w:t>，得</w:t>
            </w:r>
            <w:r>
              <w:rPr>
                <w:rFonts w:hint="eastAsia" w:asciiTheme="minorEastAsia" w:hAnsiTheme="minorEastAsia" w:eastAsiaTheme="minorEastAsia" w:cstheme="minorEastAsia"/>
                <w:b w:val="0"/>
                <w:bCs w:val="0"/>
                <w:color w:val="auto"/>
                <w:sz w:val="21"/>
                <w:szCs w:val="21"/>
                <w:highlight w:val="none"/>
                <w:lang w:val="en-US" w:eastAsia="zh-CN"/>
              </w:rPr>
              <w:t>5分，其余不得分。</w:t>
            </w:r>
          </w:p>
          <w:p>
            <w:pPr>
              <w:pStyle w:val="5"/>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（需提供相关证书复印件）</w:t>
            </w:r>
          </w:p>
        </w:tc>
        <w:tc>
          <w:tcPr>
            <w:tcW w:w="8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2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noWrap w:val="0"/>
            <w:vAlign w:val="center"/>
          </w:tcPr>
          <w:p>
            <w:pPr>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供应产品技术参数性能的评价</w:t>
            </w:r>
          </w:p>
        </w:tc>
        <w:tc>
          <w:tcPr>
            <w:tcW w:w="6261" w:type="dxa"/>
            <w:gridSpan w:val="2"/>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根据供应产品的技术参数打分：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带▲号的产品技术参数有负偏离一项的扣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分，扣完为止；</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要求提供彩页或检测报告等相关证明材料的，无提供则视为不满足。</w:t>
            </w:r>
            <w:r>
              <w:rPr>
                <w:rFonts w:hint="eastAsia" w:asciiTheme="minorEastAsia" w:hAnsiTheme="minorEastAsia" w:eastAsiaTheme="minorEastAsia" w:cstheme="minorEastAsia"/>
                <w:color w:val="auto"/>
                <w:sz w:val="21"/>
                <w:szCs w:val="21"/>
                <w:highlight w:val="none"/>
                <w:lang w:eastAsia="zh-CN"/>
              </w:rPr>
              <w:t>）</w:t>
            </w:r>
          </w:p>
        </w:tc>
        <w:tc>
          <w:tcPr>
            <w:tcW w:w="8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2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485" w:type="dxa"/>
            <w:noWrap w:val="0"/>
            <w:vAlign w:val="center"/>
          </w:tcPr>
          <w:p>
            <w:pPr>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项目组织方案</w:t>
            </w:r>
          </w:p>
        </w:tc>
        <w:tc>
          <w:tcPr>
            <w:tcW w:w="6261" w:type="dxa"/>
            <w:gridSpan w:val="2"/>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（1）技术措施及实施方法考虑全面、具体，可操作性高，针对性强，对特殊使用需求的质量措施有保障的，得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（2）技术措施及实施方法考虑较全面、可操作性及针对性较好，对特殊使用需求的质量措施可行，得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（3）技术措施及实施方法简单、可操作性及针对性一般，对特殊使用需求的质量措施一般，得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（4）技术措施及实施方法较差或没有描述的，得0分。</w:t>
            </w:r>
          </w:p>
        </w:tc>
        <w:tc>
          <w:tcPr>
            <w:tcW w:w="8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2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485" w:type="dxa"/>
            <w:noWrap w:val="0"/>
            <w:vAlign w:val="center"/>
          </w:tcPr>
          <w:p>
            <w:pPr>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项目进度、质量保证计划、安全文明施工措施</w:t>
            </w:r>
          </w:p>
        </w:tc>
        <w:tc>
          <w:tcPr>
            <w:tcW w:w="6261" w:type="dxa"/>
            <w:gridSpan w:val="2"/>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（1）对安全文明施工措施、质量保证计划、进度计划合理、描述清晰、详细、完整可行的，得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（2）对安全文明施工措施、质量保证计划、进度计划基本合理，描述内容简单，对关键线路、关键节点、质量保证的描述含糊，得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（3）对关键线路、关键节点、质量保证的描述不准确的，得1分；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（4）没有描述的，得0分。</w:t>
            </w:r>
          </w:p>
        </w:tc>
        <w:tc>
          <w:tcPr>
            <w:tcW w:w="8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485"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w:t>
            </w:r>
          </w:p>
          <w:p>
            <w:pPr>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c>
          <w:tcPr>
            <w:tcW w:w="1500" w:type="dxa"/>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服务的便利性</w:t>
            </w:r>
          </w:p>
        </w:tc>
        <w:tc>
          <w:tcPr>
            <w:tcW w:w="4761" w:type="dxa"/>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承诺能为采购人</w:t>
            </w:r>
            <w:r>
              <w:rPr>
                <w:rFonts w:hint="eastAsia" w:asciiTheme="minorEastAsia" w:hAnsiTheme="minorEastAsia" w:eastAsiaTheme="minorEastAsia" w:cstheme="minorEastAsia"/>
                <w:color w:val="auto"/>
                <w:sz w:val="21"/>
                <w:szCs w:val="21"/>
                <w:highlight w:val="none"/>
              </w:rPr>
              <w:t>提供便捷的服务</w:t>
            </w:r>
            <w:r>
              <w:rPr>
                <w:rFonts w:hint="eastAsia" w:asciiTheme="minorEastAsia" w:hAnsiTheme="minorEastAsia" w:eastAsiaTheme="minorEastAsia" w:cstheme="minorEastAsia"/>
                <w:color w:val="auto"/>
                <w:sz w:val="21"/>
                <w:szCs w:val="21"/>
                <w:highlight w:val="none"/>
                <w:lang w:eastAsia="zh-CN"/>
              </w:rPr>
              <w:t>：</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在出现问题情况时，投标人</w:t>
            </w:r>
            <w:r>
              <w:rPr>
                <w:rFonts w:hint="eastAsia" w:asciiTheme="minorEastAsia" w:hAnsiTheme="minorEastAsia" w:eastAsiaTheme="minorEastAsia" w:cstheme="minorEastAsia"/>
                <w:color w:val="auto"/>
                <w:sz w:val="21"/>
                <w:szCs w:val="21"/>
                <w:highlight w:val="none"/>
                <w:lang w:eastAsia="zh-CN"/>
              </w:rPr>
              <w:t>承诺</w:t>
            </w:r>
            <w:r>
              <w:rPr>
                <w:rFonts w:hint="eastAsia" w:asciiTheme="minorEastAsia" w:hAnsiTheme="minorEastAsia" w:eastAsiaTheme="minorEastAsia" w:cstheme="minorEastAsia"/>
                <w:color w:val="auto"/>
                <w:sz w:val="21"/>
                <w:szCs w:val="21"/>
                <w:highlight w:val="none"/>
              </w:rPr>
              <w:t>能1小时内响应，2小时内到达现场</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分，不能满足得0分。</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（需提供相关承诺证明文件）</w:t>
            </w:r>
          </w:p>
        </w:tc>
        <w:tc>
          <w:tcPr>
            <w:tcW w:w="8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vMerge w:val="continue"/>
            <w:noWrap w:val="0"/>
            <w:vAlign w:val="center"/>
          </w:tcPr>
          <w:p>
            <w:pPr>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noWrap w:val="0"/>
            <w:vAlign w:val="center"/>
          </w:tcPr>
          <w:p>
            <w:pPr>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c>
          <w:tcPr>
            <w:tcW w:w="1500" w:type="dxa"/>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4761" w:type="dxa"/>
            <w:noWrap w:val="0"/>
            <w:vAlign w:val="center"/>
          </w:tcPr>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服务承诺</w:t>
            </w:r>
            <w:r>
              <w:rPr>
                <w:rFonts w:hint="eastAsia" w:asciiTheme="minorEastAsia" w:hAnsiTheme="minorEastAsia" w:eastAsiaTheme="minorEastAsia" w:cstheme="minorEastAsia"/>
                <w:color w:val="auto"/>
                <w:sz w:val="21"/>
                <w:szCs w:val="21"/>
                <w:highlight w:val="none"/>
                <w:lang w:eastAsia="zh-CN"/>
              </w:rPr>
              <w:t>完善的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服务承诺一般</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pPr>
              <w:pageBreakBefore w:val="0"/>
              <w:widowControl/>
              <w:kinsoku/>
              <w:wordWrap/>
              <w:overflowPunct/>
              <w:topLinePunct w:val="0"/>
              <w:autoSpaceDE/>
              <w:autoSpaceDN/>
              <w:bidi w:val="0"/>
              <w:adjustRightInd/>
              <w:snapToGrid/>
              <w:spacing w:line="240" w:lineRule="auto"/>
              <w:ind w:right="134" w:rightChars="6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服务承诺最差</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得0分。</w:t>
            </w:r>
          </w:p>
        </w:tc>
        <w:tc>
          <w:tcPr>
            <w:tcW w:w="8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72" w:type="dxa"/>
            <w:gridSpan w:val="4"/>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80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r>
    </w:tbl>
    <w:p>
      <w:pPr>
        <w:snapToGrid w:val="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评委签名：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日期：   年  月  日</w:t>
      </w:r>
    </w:p>
    <w:p>
      <w:pPr>
        <w:tabs>
          <w:tab w:val="left" w:pos="720"/>
        </w:tabs>
        <w:snapToGrid w:val="0"/>
        <w:ind w:firstLine="210" w:firstLineChars="100"/>
        <w:rPr>
          <w:rFonts w:ascii="宋体" w:hAnsi="宋体" w:cs="宋体"/>
          <w:bCs/>
          <w:color w:val="auto"/>
          <w:szCs w:val="21"/>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46"/>
        <w:gridCol w:w="517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评审内容</w:t>
            </w:r>
          </w:p>
        </w:tc>
        <w:tc>
          <w:tcPr>
            <w:tcW w:w="5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评分细则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同类项目业绩</w:t>
            </w:r>
          </w:p>
        </w:tc>
        <w:tc>
          <w:tcPr>
            <w:tcW w:w="5174" w:type="dxa"/>
            <w:tcBorders>
              <w:top w:val="single" w:color="auto" w:sz="4" w:space="0"/>
              <w:left w:val="single" w:color="auto" w:sz="4" w:space="0"/>
              <w:right w:val="single" w:color="auto" w:sz="4" w:space="0"/>
            </w:tcBorders>
            <w:noWrap w:val="0"/>
            <w:vAlign w:val="center"/>
          </w:tcPr>
          <w:p>
            <w:pPr>
              <w:spacing w:line="276" w:lineRule="auto"/>
              <w:rPr>
                <w:rFonts w:hint="eastAsia"/>
                <w:color w:val="auto"/>
                <w:highlight w:val="none"/>
              </w:rPr>
            </w:pPr>
            <w:r>
              <w:rPr>
                <w:rFonts w:hint="eastAsia" w:asciiTheme="minorEastAsia" w:hAnsiTheme="minorEastAsia" w:eastAsiaTheme="minorEastAsia" w:cstheme="minorEastAsia"/>
                <w:bCs/>
                <w:color w:val="auto"/>
                <w:sz w:val="21"/>
                <w:szCs w:val="21"/>
                <w:highlight w:val="none"/>
              </w:rPr>
              <w:t>201</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eastAsia="zh-CN"/>
              </w:rPr>
              <w:t>至今</w:t>
            </w:r>
            <w:r>
              <w:rPr>
                <w:rFonts w:hint="eastAsia" w:asciiTheme="minorEastAsia" w:hAnsiTheme="minorEastAsia" w:eastAsiaTheme="minorEastAsia" w:cstheme="minorEastAsia"/>
                <w:bCs/>
                <w:color w:val="auto"/>
                <w:sz w:val="21"/>
                <w:szCs w:val="21"/>
                <w:highlight w:val="none"/>
              </w:rPr>
              <w:t>完成的同类项目业绩</w:t>
            </w:r>
            <w:r>
              <w:rPr>
                <w:rFonts w:hint="eastAsia" w:asciiTheme="minorEastAsia" w:hAnsiTheme="minorEastAsia" w:eastAsiaTheme="minorEastAsia" w:cstheme="minorEastAsia"/>
                <w:bCs/>
                <w:color w:val="auto"/>
                <w:sz w:val="21"/>
                <w:szCs w:val="21"/>
                <w:highlight w:val="none"/>
                <w:lang w:eastAsia="zh-CN"/>
              </w:rPr>
              <w:t>，</w:t>
            </w:r>
            <w:r>
              <w:rPr>
                <w:rFonts w:hint="eastAsia"/>
                <w:color w:val="auto"/>
                <w:highlight w:val="none"/>
              </w:rPr>
              <w:t>每提供一份业绩得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6</w:t>
            </w:r>
            <w:r>
              <w:rPr>
                <w:rFonts w:hint="eastAsia"/>
                <w:color w:val="auto"/>
                <w:highlight w:val="none"/>
              </w:rPr>
              <w:t>分。</w:t>
            </w:r>
          </w:p>
          <w:p>
            <w:pPr>
              <w:pStyle w:val="96"/>
              <w:rPr>
                <w:rFonts w:hint="eastAsia"/>
                <w:color w:val="auto"/>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需</w:t>
            </w:r>
            <w:r>
              <w:rPr>
                <w:rFonts w:hint="eastAsia" w:asciiTheme="minorEastAsia" w:hAnsiTheme="minorEastAsia" w:eastAsiaTheme="minorEastAsia" w:cstheme="minorEastAsia"/>
                <w:bCs/>
                <w:color w:val="auto"/>
                <w:sz w:val="21"/>
                <w:szCs w:val="21"/>
                <w:highlight w:val="none"/>
              </w:rPr>
              <w:t>提供合同复印件）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守合同重信用                       </w:t>
            </w:r>
          </w:p>
        </w:tc>
        <w:tc>
          <w:tcPr>
            <w:tcW w:w="5174" w:type="dxa"/>
            <w:tcBorders>
              <w:top w:val="single" w:color="auto" w:sz="4" w:space="0"/>
              <w:left w:val="single" w:color="auto" w:sz="4" w:space="0"/>
              <w:right w:val="single" w:color="auto" w:sz="4" w:space="0"/>
            </w:tcBorders>
            <w:noWrap w:val="0"/>
            <w:vAlign w:val="center"/>
          </w:tcPr>
          <w:p>
            <w:pPr>
              <w:spacing w:line="276" w:lineRule="auto"/>
              <w:rPr>
                <w:rFonts w:hint="default" w:eastAsia="宋体"/>
                <w:color w:val="auto"/>
                <w:highlight w:val="none"/>
                <w:lang w:val="en-US" w:eastAsia="zh-CN"/>
              </w:rPr>
            </w:pPr>
            <w:r>
              <w:rPr>
                <w:rFonts w:hint="eastAsia"/>
                <w:color w:val="auto"/>
                <w:highlight w:val="none"/>
              </w:rPr>
              <w:t>获得工商行政管理部门颁发的“守合同重信用证书”</w:t>
            </w:r>
            <w:r>
              <w:rPr>
                <w:rFonts w:hint="eastAsia"/>
                <w:color w:val="auto"/>
                <w:highlight w:val="none"/>
                <w:lang w:eastAsia="zh-CN"/>
              </w:rPr>
              <w:t>的，得</w:t>
            </w:r>
            <w:r>
              <w:rPr>
                <w:rFonts w:hint="eastAsia"/>
                <w:color w:val="auto"/>
                <w:highlight w:val="none"/>
                <w:lang w:val="en-US" w:eastAsia="zh-CN"/>
              </w:rPr>
              <w:t>3分，</w:t>
            </w:r>
            <w:r>
              <w:rPr>
                <w:rFonts w:hint="eastAsia"/>
                <w:color w:val="auto"/>
                <w:highlight w:val="none"/>
              </w:rPr>
              <w:t>无或其他为0分。</w:t>
            </w:r>
          </w:p>
          <w:p>
            <w:pPr>
              <w:pStyle w:val="96"/>
              <w:rPr>
                <w:rFonts w:hint="eastAsia"/>
                <w:color w:val="auto"/>
                <w:highlight w:val="none"/>
              </w:rPr>
            </w:pPr>
            <w:r>
              <w:rPr>
                <w:rFonts w:hint="eastAsia" w:asciiTheme="minorEastAsia" w:hAnsiTheme="minorEastAsia" w:eastAsiaTheme="minorEastAsia" w:cstheme="minorEastAsia"/>
                <w:bCs/>
                <w:color w:val="auto"/>
                <w:sz w:val="21"/>
                <w:szCs w:val="21"/>
                <w:highlight w:val="none"/>
              </w:rPr>
              <w:t>（投标人须提供所在地工商行政</w:t>
            </w:r>
            <w:r>
              <w:rPr>
                <w:rFonts w:hint="eastAsia" w:asciiTheme="minorEastAsia" w:hAnsiTheme="minorEastAsia" w:eastAsiaTheme="minorEastAsia" w:cstheme="minorEastAsia"/>
                <w:color w:val="auto"/>
                <w:sz w:val="21"/>
                <w:szCs w:val="21"/>
                <w:highlight w:val="none"/>
              </w:rPr>
              <w:t>部门</w:t>
            </w:r>
            <w:r>
              <w:rPr>
                <w:rFonts w:hint="eastAsia" w:asciiTheme="minorEastAsia" w:hAnsiTheme="minorEastAsia" w:eastAsiaTheme="minorEastAsia" w:cstheme="minorEastAsia"/>
                <w:bCs/>
                <w:color w:val="auto"/>
                <w:sz w:val="21"/>
                <w:szCs w:val="21"/>
                <w:highlight w:val="none"/>
              </w:rPr>
              <w:t>颁发的证书复印件</w:t>
            </w:r>
            <w:r>
              <w:rPr>
                <w:rFonts w:hint="eastAsia" w:asciiTheme="minorEastAsia" w:hAnsiTheme="minorEastAsia" w:eastAsiaTheme="minorEastAsia" w:cstheme="minorEastAsia"/>
                <w:b/>
                <w:color w:val="auto"/>
                <w:sz w:val="21"/>
                <w:szCs w:val="21"/>
                <w:highlight w:val="none"/>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75"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646"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认证证书</w:t>
            </w:r>
          </w:p>
        </w:tc>
        <w:tc>
          <w:tcPr>
            <w:tcW w:w="5174" w:type="dxa"/>
            <w:tcBorders>
              <w:top w:val="single" w:color="auto" w:sz="4" w:space="0"/>
              <w:left w:val="single" w:color="auto" w:sz="4" w:space="0"/>
              <w:right w:val="single" w:color="auto" w:sz="4" w:space="0"/>
            </w:tcBorders>
            <w:noWrap w:val="0"/>
            <w:vAlign w:val="center"/>
          </w:tcPr>
          <w:p>
            <w:pPr>
              <w:spacing w:line="276" w:lineRule="auto"/>
              <w:rPr>
                <w:rFonts w:hint="eastAsia"/>
                <w:color w:val="auto"/>
                <w:highlight w:val="none"/>
              </w:rPr>
            </w:pPr>
            <w:r>
              <w:rPr>
                <w:rFonts w:hint="eastAsia"/>
                <w:color w:val="auto"/>
                <w:highlight w:val="none"/>
              </w:rPr>
              <w:t>投标人提供有效的质量管理体系认证的，得</w:t>
            </w:r>
            <w:r>
              <w:rPr>
                <w:rFonts w:hint="eastAsia"/>
                <w:color w:val="auto"/>
                <w:highlight w:val="none"/>
                <w:lang w:val="en-US" w:eastAsia="zh-CN"/>
              </w:rPr>
              <w:t>1</w:t>
            </w:r>
            <w:r>
              <w:rPr>
                <w:rFonts w:hint="eastAsia"/>
                <w:color w:val="auto"/>
                <w:highlight w:val="none"/>
              </w:rPr>
              <w:t>分，无0分；</w:t>
            </w:r>
          </w:p>
          <w:p>
            <w:pPr>
              <w:spacing w:line="276" w:lineRule="auto"/>
              <w:rPr>
                <w:rFonts w:hint="eastAsia"/>
                <w:color w:val="auto"/>
                <w:highlight w:val="none"/>
              </w:rPr>
            </w:pPr>
            <w:r>
              <w:rPr>
                <w:rFonts w:hint="eastAsia"/>
                <w:color w:val="auto"/>
                <w:highlight w:val="none"/>
              </w:rPr>
              <w:t>投标人提供有效的职业健康安全管理体系认证的，得</w:t>
            </w:r>
            <w:r>
              <w:rPr>
                <w:rFonts w:hint="eastAsia"/>
                <w:color w:val="auto"/>
                <w:highlight w:val="none"/>
                <w:lang w:val="en-US" w:eastAsia="zh-CN"/>
              </w:rPr>
              <w:t>1</w:t>
            </w:r>
            <w:r>
              <w:rPr>
                <w:rFonts w:hint="eastAsia"/>
                <w:color w:val="auto"/>
                <w:highlight w:val="none"/>
              </w:rPr>
              <w:t>分，无0分；</w:t>
            </w:r>
          </w:p>
          <w:p>
            <w:pPr>
              <w:spacing w:line="276" w:lineRule="auto"/>
              <w:rPr>
                <w:rFonts w:hint="eastAsia"/>
                <w:color w:val="auto"/>
                <w:highlight w:val="none"/>
              </w:rPr>
            </w:pPr>
            <w:r>
              <w:rPr>
                <w:rFonts w:hint="eastAsia"/>
                <w:color w:val="auto"/>
                <w:highlight w:val="none"/>
              </w:rPr>
              <w:t>投标人提供有效的环境管理体系认证的，得</w:t>
            </w:r>
            <w:r>
              <w:rPr>
                <w:rFonts w:hint="eastAsia"/>
                <w:color w:val="auto"/>
                <w:highlight w:val="none"/>
                <w:lang w:val="en-US" w:eastAsia="zh-CN"/>
              </w:rPr>
              <w:t>1</w:t>
            </w:r>
            <w:r>
              <w:rPr>
                <w:rFonts w:hint="eastAsia"/>
                <w:color w:val="auto"/>
                <w:highlight w:val="none"/>
              </w:rPr>
              <w:t>分，无0分。</w:t>
            </w:r>
          </w:p>
          <w:p>
            <w:pPr>
              <w:spacing w:line="276" w:lineRule="auto"/>
              <w:rPr>
                <w:rFonts w:hint="eastAsia"/>
                <w:color w:val="auto"/>
                <w:highlight w:val="none"/>
              </w:rPr>
            </w:pPr>
            <w:r>
              <w:rPr>
                <w:rFonts w:hint="eastAsia"/>
                <w:color w:val="auto"/>
                <w:highlight w:val="none"/>
              </w:rPr>
              <w:t>具有一项得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3</w:t>
            </w:r>
            <w:r>
              <w:rPr>
                <w:rFonts w:hint="eastAsia"/>
                <w:color w:val="auto"/>
                <w:highlight w:val="none"/>
              </w:rPr>
              <w:t>分，无或其他为0分。</w:t>
            </w:r>
          </w:p>
          <w:p>
            <w:pPr>
              <w:pStyle w:val="96"/>
              <w:rPr>
                <w:rFonts w:hint="eastAsia"/>
                <w:color w:val="auto"/>
                <w:highlight w:val="none"/>
              </w:rPr>
            </w:pPr>
            <w:r>
              <w:rPr>
                <w:rFonts w:hint="eastAsia" w:asciiTheme="minorEastAsia" w:hAnsiTheme="minorEastAsia" w:eastAsiaTheme="minorEastAsia" w:cstheme="minorEastAsia"/>
                <w:color w:val="auto"/>
                <w:sz w:val="21"/>
                <w:szCs w:val="21"/>
                <w:highlight w:val="none"/>
              </w:rPr>
              <w:t>（提供有效期内的相关证书复印件</w:t>
            </w:r>
            <w:r>
              <w:rPr>
                <w:rFonts w:hint="eastAsia" w:asciiTheme="minorEastAsia" w:hAnsiTheme="minorEastAsia" w:eastAsiaTheme="minorEastAsia" w:cstheme="minorEastAsia"/>
                <w:b/>
                <w:color w:val="auto"/>
                <w:sz w:val="21"/>
                <w:szCs w:val="21"/>
                <w:highlight w:val="none"/>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75"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646" w:type="dxa"/>
            <w:tcBorders>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自主研究开发能力</w:t>
            </w:r>
          </w:p>
        </w:tc>
        <w:tc>
          <w:tcPr>
            <w:tcW w:w="5174" w:type="dxa"/>
            <w:tcBorders>
              <w:top w:val="single" w:color="auto" w:sz="4" w:space="0"/>
              <w:left w:val="single" w:color="auto" w:sz="4" w:space="0"/>
              <w:right w:val="single" w:color="auto" w:sz="4" w:space="0"/>
            </w:tcBorders>
            <w:noWrap w:val="0"/>
            <w:vAlign w:val="center"/>
          </w:tcPr>
          <w:p>
            <w:pPr>
              <w:spacing w:line="276" w:lineRule="auto"/>
              <w:rPr>
                <w:rFonts w:hint="eastAsia" w:cs="Times New Roman"/>
                <w:color w:val="auto"/>
                <w:highlight w:val="none"/>
              </w:rPr>
            </w:pPr>
            <w:r>
              <w:rPr>
                <w:rFonts w:hint="eastAsia" w:cs="Times New Roman"/>
                <w:color w:val="auto"/>
                <w:highlight w:val="none"/>
                <w:lang w:eastAsia="zh-CN"/>
              </w:rPr>
              <w:t>投标人所投产品</w:t>
            </w:r>
            <w:r>
              <w:rPr>
                <w:rFonts w:hint="eastAsia" w:cs="Times New Roman"/>
                <w:color w:val="auto"/>
                <w:highlight w:val="none"/>
              </w:rPr>
              <w:t>获得</w:t>
            </w:r>
            <w:r>
              <w:rPr>
                <w:rFonts w:hint="eastAsia" w:cs="Times New Roman"/>
                <w:color w:val="auto"/>
                <w:highlight w:val="none"/>
                <w:lang w:eastAsia="zh-CN"/>
              </w:rPr>
              <w:t>与产品相关的实验室发明专利权证书或实用新型专利权证书或软件著作权证书的，每具有一个</w:t>
            </w:r>
            <w:r>
              <w:rPr>
                <w:rFonts w:hint="eastAsia" w:cs="Times New Roman"/>
                <w:color w:val="auto"/>
                <w:highlight w:val="none"/>
              </w:rPr>
              <w:t>得</w:t>
            </w:r>
            <w:r>
              <w:rPr>
                <w:rFonts w:hint="eastAsia" w:cs="Times New Roman"/>
                <w:color w:val="auto"/>
                <w:highlight w:val="none"/>
                <w:lang w:val="en-US" w:eastAsia="zh-CN"/>
              </w:rPr>
              <w:t>2</w:t>
            </w:r>
            <w:r>
              <w:rPr>
                <w:rFonts w:hint="eastAsia" w:cs="Times New Roman"/>
                <w:color w:val="auto"/>
                <w:highlight w:val="none"/>
              </w:rPr>
              <w:t>分</w:t>
            </w:r>
            <w:r>
              <w:rPr>
                <w:rFonts w:hint="eastAsia" w:cs="Times New Roman"/>
                <w:color w:val="auto"/>
                <w:highlight w:val="none"/>
                <w:lang w:eastAsia="zh-CN"/>
              </w:rPr>
              <w:t>，满分</w:t>
            </w:r>
            <w:r>
              <w:rPr>
                <w:rFonts w:hint="eastAsia" w:cs="Times New Roman"/>
                <w:color w:val="auto"/>
                <w:highlight w:val="none"/>
                <w:lang w:val="en-US" w:eastAsia="zh-CN"/>
              </w:rPr>
              <w:t>10分</w:t>
            </w:r>
            <w:r>
              <w:rPr>
                <w:rFonts w:hint="eastAsia" w:cs="Times New Roman"/>
                <w:color w:val="auto"/>
                <w:highlight w:val="none"/>
              </w:rPr>
              <w:t>；没有得0分。</w:t>
            </w:r>
          </w:p>
          <w:p>
            <w:pPr>
              <w:spacing w:line="276" w:lineRule="auto"/>
              <w:rPr>
                <w:rFonts w:hint="eastAsia"/>
                <w:color w:val="auto"/>
                <w:highlight w:val="none"/>
              </w:rPr>
            </w:pPr>
            <w:r>
              <w:rPr>
                <w:rFonts w:hint="eastAsia" w:cs="Times New Roman"/>
                <w:color w:val="auto"/>
                <w:highlight w:val="none"/>
              </w:rPr>
              <w:t>（</w:t>
            </w:r>
            <w:r>
              <w:rPr>
                <w:rFonts w:hint="eastAsia" w:cs="Times New Roman"/>
                <w:color w:val="auto"/>
                <w:highlight w:val="none"/>
                <w:lang w:eastAsia="zh-CN"/>
              </w:rPr>
              <w:t>须</w:t>
            </w:r>
            <w:r>
              <w:rPr>
                <w:rFonts w:hint="eastAsia" w:cs="Times New Roman"/>
                <w:color w:val="auto"/>
                <w:highlight w:val="none"/>
              </w:rPr>
              <w:t>提供</w:t>
            </w:r>
            <w:r>
              <w:rPr>
                <w:rFonts w:hint="eastAsia" w:cs="Times New Roman"/>
                <w:color w:val="auto"/>
                <w:highlight w:val="none"/>
                <w:lang w:eastAsia="zh-CN"/>
              </w:rPr>
              <w:t>证书</w:t>
            </w:r>
            <w:r>
              <w:rPr>
                <w:rFonts w:hint="eastAsia" w:cs="Times New Roman"/>
                <w:color w:val="auto"/>
                <w:highlight w:val="none"/>
              </w:rPr>
              <w:t>复印件</w:t>
            </w:r>
            <w:r>
              <w:rPr>
                <w:rFonts w:hint="eastAsia" w:cs="Times New Roman"/>
                <w:color w:val="auto"/>
                <w:highlight w:val="none"/>
                <w:lang w:eastAsia="zh-CN"/>
              </w:rPr>
              <w:t>且</w:t>
            </w:r>
            <w:r>
              <w:rPr>
                <w:rFonts w:hint="eastAsia" w:cs="Times New Roman"/>
                <w:color w:val="auto"/>
                <w:highlight w:val="none"/>
              </w:rPr>
              <w:t>证书须在有效期内）</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5"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2646" w:type="dxa"/>
            <w:tcBorders>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资质</w:t>
            </w:r>
            <w:r>
              <w:rPr>
                <w:rFonts w:hint="eastAsia" w:asciiTheme="minorEastAsia" w:hAnsiTheme="minorEastAsia" w:eastAsiaTheme="minorEastAsia" w:cstheme="minorEastAsia"/>
                <w:color w:val="auto"/>
                <w:sz w:val="21"/>
                <w:szCs w:val="21"/>
                <w:highlight w:val="none"/>
                <w:lang w:eastAsia="zh-CN"/>
              </w:rPr>
              <w:t>情况</w:t>
            </w:r>
          </w:p>
          <w:p>
            <w:pPr>
              <w:spacing w:line="276" w:lineRule="auto"/>
              <w:jc w:val="center"/>
              <w:rPr>
                <w:rFonts w:hint="eastAsia" w:asciiTheme="minorEastAsia" w:hAnsiTheme="minorEastAsia" w:eastAsiaTheme="minorEastAsia" w:cstheme="minorEastAsia"/>
                <w:color w:val="auto"/>
                <w:sz w:val="21"/>
                <w:szCs w:val="21"/>
                <w:highlight w:val="none"/>
              </w:rPr>
            </w:pPr>
          </w:p>
        </w:tc>
        <w:tc>
          <w:tcPr>
            <w:tcW w:w="5174" w:type="dxa"/>
            <w:tcBorders>
              <w:top w:val="single" w:color="auto" w:sz="4" w:space="0"/>
              <w:left w:val="single" w:color="auto" w:sz="4" w:space="0"/>
              <w:right w:val="single" w:color="auto" w:sz="4" w:space="0"/>
            </w:tcBorders>
            <w:noWrap w:val="0"/>
            <w:vAlign w:val="center"/>
          </w:tcPr>
          <w:p>
            <w:pPr>
              <w:spacing w:line="276" w:lineRule="auto"/>
              <w:rPr>
                <w:rFonts w:hint="eastAsia"/>
                <w:color w:val="auto"/>
                <w:highlight w:val="none"/>
              </w:rPr>
            </w:pPr>
            <w:r>
              <w:rPr>
                <w:rFonts w:hint="eastAsia"/>
                <w:color w:val="auto"/>
                <w:highlight w:val="none"/>
              </w:rPr>
              <w:t>供应商具有</w:t>
            </w:r>
            <w:r>
              <w:rPr>
                <w:rFonts w:hint="eastAsia"/>
                <w:color w:val="auto"/>
                <w:highlight w:val="none"/>
                <w:lang w:eastAsia="zh-CN"/>
              </w:rPr>
              <w:t>建筑装修装饰工程专业三级</w:t>
            </w:r>
            <w:r>
              <w:rPr>
                <w:rFonts w:hint="eastAsia"/>
                <w:color w:val="auto"/>
                <w:highlight w:val="none"/>
              </w:rPr>
              <w:t>或以上</w:t>
            </w:r>
            <w:r>
              <w:rPr>
                <w:rFonts w:hint="eastAsia"/>
                <w:color w:val="auto"/>
                <w:highlight w:val="none"/>
                <w:lang w:eastAsia="zh-CN"/>
              </w:rPr>
              <w:t>级别</w:t>
            </w:r>
            <w:r>
              <w:rPr>
                <w:rFonts w:hint="eastAsia"/>
                <w:color w:val="auto"/>
                <w:highlight w:val="none"/>
              </w:rPr>
              <w:t>资质</w:t>
            </w:r>
            <w:r>
              <w:rPr>
                <w:rFonts w:hint="eastAsia"/>
                <w:color w:val="auto"/>
                <w:highlight w:val="none"/>
                <w:lang w:eastAsia="zh-CN"/>
              </w:rPr>
              <w:t>的</w:t>
            </w:r>
            <w:r>
              <w:rPr>
                <w:rFonts w:hint="eastAsia"/>
                <w:color w:val="auto"/>
                <w:highlight w:val="none"/>
                <w:lang w:val="hr-HR"/>
              </w:rPr>
              <w:t>得</w:t>
            </w:r>
            <w:r>
              <w:rPr>
                <w:rFonts w:hint="eastAsia"/>
                <w:color w:val="auto"/>
                <w:highlight w:val="none"/>
                <w:lang w:val="en-US" w:eastAsia="zh-CN"/>
              </w:rPr>
              <w:t>5</w:t>
            </w:r>
            <w:r>
              <w:rPr>
                <w:rFonts w:hint="eastAsia"/>
                <w:color w:val="auto"/>
                <w:highlight w:val="none"/>
              </w:rPr>
              <w:t>分，无或其他为0分。</w:t>
            </w:r>
          </w:p>
          <w:p>
            <w:pPr>
              <w:pStyle w:val="96"/>
              <w:rPr>
                <w:rFonts w:hint="eastAsia"/>
                <w:color w:val="auto"/>
                <w:highlight w:val="none"/>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eastAsia="zh-CN"/>
              </w:rPr>
              <w:t>相关</w:t>
            </w:r>
            <w:r>
              <w:rPr>
                <w:rFonts w:hint="eastAsia" w:asciiTheme="minorEastAsia" w:hAnsiTheme="minorEastAsia" w:eastAsiaTheme="minorEastAsia" w:cstheme="minorEastAsia"/>
                <w:color w:val="auto"/>
                <w:sz w:val="21"/>
                <w:szCs w:val="21"/>
                <w:highlight w:val="none"/>
              </w:rPr>
              <w:t>证书复印件）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5" w:type="dxa"/>
            <w:tcBorders>
              <w:left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2646" w:type="dxa"/>
            <w:tcBorders>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技术支持能力</w:t>
            </w:r>
          </w:p>
        </w:tc>
        <w:tc>
          <w:tcPr>
            <w:tcW w:w="5174" w:type="dxa"/>
            <w:tcBorders>
              <w:top w:val="single" w:color="auto" w:sz="4" w:space="0"/>
              <w:left w:val="single" w:color="auto" w:sz="4" w:space="0"/>
              <w:right w:val="single" w:color="auto" w:sz="4" w:space="0"/>
            </w:tcBorders>
            <w:noWrap w:val="0"/>
            <w:vAlign w:val="center"/>
          </w:tcPr>
          <w:p>
            <w:pPr>
              <w:pStyle w:val="96"/>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投标人拟投入人员具有洁净室技术专业工程师中级或以上级别的得</w:t>
            </w:r>
            <w:r>
              <w:rPr>
                <w:rFonts w:hint="eastAsia" w:asciiTheme="minorEastAsia" w:hAnsiTheme="minorEastAsia" w:eastAsiaTheme="minorEastAsia" w:cstheme="minorEastAsia"/>
                <w:color w:val="auto"/>
                <w:sz w:val="21"/>
                <w:szCs w:val="21"/>
                <w:highlight w:val="none"/>
                <w:lang w:val="en-US" w:eastAsia="zh-CN"/>
              </w:rPr>
              <w:t>3分，无或其他为0分。</w:t>
            </w:r>
          </w:p>
          <w:p>
            <w:pPr>
              <w:pStyle w:val="96"/>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（需提供相关证书复印件）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r>
    </w:tbl>
    <w:p>
      <w:pPr>
        <w:snapToGrid w:val="0"/>
        <w:rPr>
          <w:rFonts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color w:val="auto"/>
          <w:highlight w:val="none"/>
        </w:rPr>
        <w:t xml:space="preserve">  </w:t>
      </w:r>
    </w:p>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pStyle w:val="96"/>
        <w:rPr>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5"/>
        <w:autoSpaceDE w:val="0"/>
        <w:rPr>
          <w:color w:val="auto"/>
          <w:sz w:val="44"/>
          <w:highlight w:val="none"/>
        </w:rPr>
      </w:pPr>
      <w:bookmarkStart w:id="341" w:name="_Toc320515058"/>
      <w:bookmarkStart w:id="342" w:name="_Toc475104537"/>
    </w:p>
    <w:p>
      <w:pPr>
        <w:pStyle w:val="5"/>
        <w:autoSpaceDE w:val="0"/>
        <w:rPr>
          <w:color w:val="auto"/>
          <w:sz w:val="44"/>
          <w:highlight w:val="none"/>
        </w:rPr>
      </w:pPr>
    </w:p>
    <w:p>
      <w:pPr>
        <w:pStyle w:val="5"/>
        <w:autoSpaceDE w:val="0"/>
        <w:rPr>
          <w:color w:val="auto"/>
          <w:sz w:val="44"/>
          <w:highlight w:val="none"/>
        </w:rPr>
      </w:pPr>
    </w:p>
    <w:p>
      <w:pPr>
        <w:pStyle w:val="5"/>
        <w:autoSpaceDE w:val="0"/>
        <w:rPr>
          <w:color w:val="auto"/>
          <w:sz w:val="44"/>
          <w:highlight w:val="none"/>
        </w:rPr>
      </w:pPr>
    </w:p>
    <w:p>
      <w:pPr>
        <w:pStyle w:val="5"/>
        <w:autoSpaceDE w:val="0"/>
        <w:rPr>
          <w:color w:val="auto"/>
          <w:sz w:val="44"/>
          <w:highlight w:val="none"/>
        </w:rPr>
      </w:pPr>
    </w:p>
    <w:p>
      <w:pPr>
        <w:pStyle w:val="5"/>
        <w:autoSpaceDE w:val="0"/>
        <w:rPr>
          <w:color w:val="auto"/>
          <w:sz w:val="44"/>
          <w:highlight w:val="none"/>
        </w:rPr>
      </w:pPr>
      <w:r>
        <w:rPr>
          <w:rFonts w:hint="eastAsia"/>
          <w:color w:val="auto"/>
          <w:sz w:val="44"/>
          <w:highlight w:val="none"/>
        </w:rPr>
        <w:t>第六章 附  件（格式）</w:t>
      </w:r>
      <w:bookmarkEnd w:id="341"/>
      <w:bookmarkEnd w:id="342"/>
    </w:p>
    <w:p>
      <w:pPr>
        <w:spacing w:line="360" w:lineRule="auto"/>
        <w:rPr>
          <w:rFonts w:ascii="宋体" w:hAnsi="宋体"/>
          <w:bCs/>
          <w:color w:val="auto"/>
          <w:sz w:val="28"/>
          <w:highlight w:val="none"/>
        </w:rPr>
      </w:pPr>
      <w:bookmarkStart w:id="343" w:name="_Toc34535358"/>
      <w:bookmarkStart w:id="344" w:name="_Toc35834912"/>
      <w:bookmarkStart w:id="345" w:name="_Toc28489496"/>
      <w:bookmarkStart w:id="346" w:name="_Toc109467908"/>
      <w:bookmarkStart w:id="347"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pStyle w:val="6"/>
        <w:numPr>
          <w:ilvl w:val="0"/>
          <w:numId w:val="20"/>
        </w:numPr>
        <w:tabs>
          <w:tab w:val="left" w:pos="630"/>
          <w:tab w:val="clear" w:pos="420"/>
        </w:tabs>
        <w:autoSpaceDE w:val="0"/>
        <w:adjustRightInd/>
        <w:spacing w:before="48" w:after="48"/>
        <w:ind w:left="630" w:hanging="630"/>
        <w:jc w:val="left"/>
        <w:textAlignment w:val="auto"/>
        <w:rPr>
          <w:color w:val="auto"/>
          <w:szCs w:val="30"/>
          <w:highlight w:val="none"/>
        </w:rPr>
      </w:pPr>
      <w:bookmarkStart w:id="348" w:name="_Toc163481918"/>
      <w:r>
        <w:rPr>
          <w:rFonts w:hint="eastAsia"/>
          <w:color w:val="auto"/>
          <w:szCs w:val="30"/>
          <w:highlight w:val="none"/>
        </w:rPr>
        <w:t>磋商响应文件格式</w:t>
      </w:r>
      <w:bookmarkEnd w:id="34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89"/>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color w:val="auto"/>
                <w:szCs w:val="20"/>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ascii="宋体" w:hAnsi="宋体"/>
                <w:color w:val="auto"/>
                <w:sz w:val="22"/>
                <w:szCs w:val="22"/>
                <w:highlight w:val="none"/>
              </w:rPr>
              <w:t>同类</w:t>
            </w:r>
            <w:r>
              <w:rPr>
                <w:rFonts w:hint="eastAsia" w:ascii="宋体" w:hAnsi="宋体"/>
                <w:color w:val="auto"/>
                <w:sz w:val="22"/>
                <w:szCs w:val="22"/>
                <w:highlight w:val="none"/>
              </w:rPr>
              <w:t>项目业绩一</w:t>
            </w:r>
            <w:r>
              <w:rPr>
                <w:rFonts w:hint="eastAsia" w:ascii="宋体" w:hAnsi="宋体"/>
                <w:color w:val="auto"/>
                <w:szCs w:val="21"/>
                <w:highlight w:val="none"/>
              </w:rPr>
              <w:t>览表</w:t>
            </w:r>
            <w:r>
              <w:rPr>
                <w:rFonts w:hint="eastAsia" w:ascii="宋体" w:hAnsi="宋体" w:cs="宋体"/>
                <w:color w:val="auto"/>
                <w:kern w:val="0"/>
                <w:szCs w:val="21"/>
                <w:highlight w:val="none"/>
              </w:rPr>
              <w:t>(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磋商保证金汇款声明函(附件19)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政府采购投标担保函（附件20）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pStyle w:val="6"/>
        <w:numPr>
          <w:ilvl w:val="0"/>
          <w:numId w:val="20"/>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hint="eastAsia"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hint="eastAsia" w:ascii="宋体" w:hAnsi="宋体"/>
          <w:bCs/>
          <w:color w:val="auto"/>
          <w:szCs w:val="21"/>
          <w:highlight w:val="none"/>
        </w:rPr>
      </w:pPr>
      <w:r>
        <w:rPr>
          <w:rFonts w:hint="eastAsia" w:ascii="宋体" w:hAnsi="宋体" w:cs="宋体"/>
          <w:bCs/>
          <w:color w:val="auto"/>
          <w:szCs w:val="21"/>
          <w:highlight w:val="none"/>
        </w:rPr>
        <w:t>（3）磋商保证金汇款声明函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r>
        <w:rPr>
          <w:rFonts w:hint="eastAsia" w:ascii="宋体" w:hAnsi="宋体"/>
          <w:color w:val="auto"/>
          <w:highlight w:val="none"/>
        </w:rPr>
        <w:br w:type="page"/>
      </w:r>
      <w:bookmarkStart w:id="349" w:name="_Toc109467909"/>
      <w:bookmarkStart w:id="350" w:name="_Toc34535359"/>
      <w:bookmarkStart w:id="351" w:name="_Toc35834913"/>
      <w:bookmarkStart w:id="352" w:name="_Toc55816096"/>
      <w:bookmarkStart w:id="353" w:name="_Toc25224019"/>
      <w:bookmarkStart w:id="354" w:name="_Toc28489497"/>
      <w:bookmarkStart w:id="355" w:name="_Toc14450839"/>
      <w:bookmarkStart w:id="356" w:name="_Toc86065029"/>
      <w:bookmarkStart w:id="357" w:name="_Toc4144835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2"/>
        <w:spacing w:line="360" w:lineRule="auto"/>
        <w:rPr>
          <w:rFonts w:hAnsi="宋体"/>
          <w:color w:val="auto"/>
          <w:szCs w:val="21"/>
          <w:highlight w:val="none"/>
        </w:rPr>
      </w:pPr>
      <w:bookmarkStart w:id="358" w:name="_Toc223939105"/>
      <w:r>
        <w:rPr>
          <w:rFonts w:hint="eastAsia" w:hAnsi="宋体"/>
          <w:color w:val="auto"/>
          <w:szCs w:val="21"/>
          <w:highlight w:val="none"/>
        </w:rPr>
        <w:t>现任我单位职务，为法定代表人，特此证明。</w:t>
      </w:r>
      <w:bookmarkEnd w:id="358"/>
      <w:bookmarkStart w:id="359" w:name="_Toc223939106"/>
    </w:p>
    <w:p>
      <w:pPr>
        <w:pStyle w:val="2"/>
        <w:spacing w:line="360" w:lineRule="auto"/>
        <w:rPr>
          <w:rFonts w:hAnsi="宋体"/>
          <w:color w:val="auto"/>
          <w:szCs w:val="21"/>
          <w:highlight w:val="none"/>
          <w:u w:val="single"/>
        </w:rPr>
      </w:pPr>
      <w:r>
        <w:rPr>
          <w:rFonts w:hint="eastAsia" w:hAnsi="宋体"/>
          <w:color w:val="auto"/>
          <w:szCs w:val="21"/>
          <w:highlight w:val="none"/>
        </w:rPr>
        <w:t>有效期限：</w:t>
      </w:r>
      <w:bookmarkEnd w:id="359"/>
      <w:bookmarkStart w:id="360" w:name="_Toc223939107"/>
    </w:p>
    <w:p>
      <w:pPr>
        <w:pStyle w:val="2"/>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0"/>
      <w:bookmarkStart w:id="361" w:name="_Toc223939108"/>
    </w:p>
    <w:p>
      <w:pPr>
        <w:pStyle w:val="2"/>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2"/>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_                     _</w:t>
      </w:r>
      <w:bookmarkEnd w:id="361"/>
      <w:bookmarkStart w:id="362" w:name="_Toc223939109"/>
    </w:p>
    <w:p>
      <w:pPr>
        <w:pStyle w:val="2"/>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2"/>
    </w:p>
    <w:p>
      <w:pPr>
        <w:pStyle w:val="2"/>
        <w:spacing w:line="360" w:lineRule="auto"/>
        <w:jc w:val="center"/>
        <w:rPr>
          <w:rFonts w:hAnsi="宋体"/>
          <w:color w:val="auto"/>
          <w:szCs w:val="21"/>
          <w:highlight w:val="none"/>
        </w:rPr>
      </w:pP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2"/>
              <w:spacing w:line="360" w:lineRule="auto"/>
              <w:jc w:val="center"/>
              <w:rPr>
                <w:rFonts w:hAnsi="宋体"/>
                <w:color w:val="auto"/>
                <w:szCs w:val="21"/>
                <w:highlight w:val="none"/>
              </w:rPr>
            </w:pPr>
          </w:p>
          <w:p>
            <w:pPr>
              <w:pStyle w:val="2"/>
              <w:spacing w:line="360" w:lineRule="auto"/>
              <w:jc w:val="center"/>
              <w:rPr>
                <w:rFonts w:hAnsi="宋体"/>
                <w:color w:val="auto"/>
                <w:szCs w:val="21"/>
                <w:highlight w:val="none"/>
              </w:rPr>
            </w:pPr>
          </w:p>
          <w:p>
            <w:pPr>
              <w:pStyle w:val="2"/>
              <w:spacing w:line="360" w:lineRule="auto"/>
              <w:jc w:val="center"/>
              <w:rPr>
                <w:rFonts w:hAnsi="宋体"/>
                <w:b/>
                <w:color w:val="auto"/>
                <w:szCs w:val="21"/>
                <w:highlight w:val="none"/>
              </w:rPr>
            </w:pPr>
          </w:p>
          <w:p>
            <w:pPr>
              <w:pStyle w:val="2"/>
              <w:spacing w:line="360" w:lineRule="auto"/>
              <w:jc w:val="center"/>
              <w:rPr>
                <w:rFonts w:hAnsi="宋体"/>
                <w:b/>
                <w:color w:val="auto"/>
                <w:szCs w:val="21"/>
                <w:highlight w:val="none"/>
              </w:rPr>
            </w:pPr>
          </w:p>
          <w:p>
            <w:pPr>
              <w:pStyle w:val="2"/>
              <w:spacing w:line="360" w:lineRule="auto"/>
              <w:jc w:val="center"/>
              <w:rPr>
                <w:rFonts w:hAnsi="宋体"/>
                <w:b/>
                <w:color w:val="auto"/>
                <w:szCs w:val="21"/>
                <w:highlight w:val="none"/>
              </w:rPr>
            </w:pPr>
          </w:p>
          <w:p>
            <w:pPr>
              <w:pStyle w:val="2"/>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2"/>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2"/>
              <w:spacing w:line="360" w:lineRule="auto"/>
              <w:jc w:val="center"/>
              <w:rPr>
                <w:rFonts w:hAnsi="宋体"/>
                <w:b/>
                <w:color w:val="auto"/>
                <w:szCs w:val="21"/>
                <w:highlight w:val="none"/>
              </w:rPr>
            </w:pPr>
            <w:r>
              <w:rPr>
                <w:rFonts w:hint="eastAsia" w:hAnsi="宋体"/>
                <w:b/>
                <w:color w:val="auto"/>
                <w:szCs w:val="21"/>
                <w:highlight w:val="none"/>
              </w:rPr>
              <w:t>（正反面）</w:t>
            </w:r>
          </w:p>
          <w:p>
            <w:pPr>
              <w:pStyle w:val="2"/>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2"/>
        <w:spacing w:line="360" w:lineRule="auto"/>
        <w:jc w:val="left"/>
        <w:rPr>
          <w:rFonts w:hAnsi="宋体"/>
          <w:b/>
          <w:color w:val="auto"/>
          <w:sz w:val="24"/>
          <w:szCs w:val="24"/>
          <w:highlight w:val="none"/>
        </w:rPr>
      </w:pPr>
    </w:p>
    <w:p>
      <w:pPr>
        <w:pStyle w:val="2"/>
        <w:spacing w:line="360" w:lineRule="auto"/>
        <w:jc w:val="left"/>
        <w:rPr>
          <w:rFonts w:hAnsi="宋体"/>
          <w:b/>
          <w:color w:val="auto"/>
          <w:sz w:val="24"/>
          <w:szCs w:val="24"/>
          <w:highlight w:val="none"/>
        </w:rPr>
      </w:pPr>
    </w:p>
    <w:p>
      <w:pPr>
        <w:pStyle w:val="2"/>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2"/>
        <w:spacing w:line="360" w:lineRule="auto"/>
        <w:ind w:firstLine="420" w:firstLineChars="200"/>
        <w:jc w:val="left"/>
        <w:rPr>
          <w:rFonts w:hAnsi="宋体"/>
          <w:color w:val="auto"/>
          <w:szCs w:val="21"/>
          <w:highlight w:val="none"/>
        </w:rPr>
      </w:pPr>
    </w:p>
    <w:p>
      <w:pPr>
        <w:pStyle w:val="2"/>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2"/>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本授权书于  </w:t>
      </w:r>
      <w:r>
        <w:rPr>
          <w:rFonts w:hint="eastAsia" w:ascii="宋体" w:hAnsi="宋体"/>
          <w:color w:val="auto"/>
          <w:szCs w:val="21"/>
          <w:highlight w:val="none"/>
          <w:lang w:eastAsia="zh-CN"/>
        </w:rPr>
        <w:t>2020</w:t>
      </w:r>
      <w:r>
        <w:rPr>
          <w:rFonts w:hint="eastAsia" w:ascii="宋体" w:hAnsi="宋体"/>
          <w:color w:val="auto"/>
          <w:szCs w:val="21"/>
          <w:highlight w:val="none"/>
        </w:rPr>
        <w:t xml:space="preserve">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2"/>
              <w:spacing w:line="360" w:lineRule="auto"/>
              <w:jc w:val="left"/>
              <w:rPr>
                <w:rFonts w:hAnsi="宋体"/>
                <w:b/>
                <w:color w:val="auto"/>
                <w:szCs w:val="21"/>
                <w:highlight w:val="none"/>
              </w:rPr>
            </w:pPr>
          </w:p>
          <w:p>
            <w:pPr>
              <w:pStyle w:val="2"/>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2"/>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2"/>
              <w:spacing w:line="360" w:lineRule="auto"/>
              <w:jc w:val="center"/>
              <w:rPr>
                <w:rFonts w:hAnsi="宋体"/>
                <w:b/>
                <w:color w:val="auto"/>
                <w:szCs w:val="21"/>
                <w:highlight w:val="none"/>
              </w:rPr>
            </w:pPr>
            <w:r>
              <w:rPr>
                <w:rFonts w:hint="eastAsia" w:hAnsi="宋体"/>
                <w:b/>
                <w:color w:val="auto"/>
                <w:szCs w:val="21"/>
                <w:highlight w:val="none"/>
              </w:rPr>
              <w:t>（正反面）</w:t>
            </w:r>
          </w:p>
          <w:p>
            <w:pPr>
              <w:pStyle w:val="2"/>
              <w:spacing w:line="360" w:lineRule="auto"/>
              <w:jc w:val="left"/>
              <w:rPr>
                <w:rFonts w:hAnsi="宋体"/>
                <w:color w:val="auto"/>
                <w:szCs w:val="21"/>
                <w:highlight w:val="none"/>
              </w:rPr>
            </w:pPr>
          </w:p>
        </w:tc>
      </w:tr>
    </w:tbl>
    <w:p>
      <w:pPr>
        <w:pStyle w:val="2"/>
        <w:spacing w:line="360" w:lineRule="auto"/>
        <w:ind w:firstLine="422"/>
        <w:jc w:val="left"/>
        <w:rPr>
          <w:rFonts w:hAnsi="宋体"/>
          <w:b/>
          <w:color w:val="auto"/>
          <w:szCs w:val="21"/>
          <w:highlight w:val="none"/>
        </w:rPr>
      </w:pPr>
    </w:p>
    <w:p>
      <w:pPr>
        <w:pStyle w:val="2"/>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2"/>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2"/>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2"/>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eastAsia="zh-CN"/>
        </w:rPr>
        <w:t>2020</w:t>
      </w:r>
      <w:r>
        <w:rPr>
          <w:rFonts w:hint="eastAsia" w:ascii="宋体" w:hAnsi="宋体"/>
          <w:color w:val="auto"/>
          <w:szCs w:val="21"/>
          <w:highlight w:val="none"/>
          <w:u w:val="single"/>
        </w:rPr>
        <w:t>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2"/>
        <w:spacing w:line="360" w:lineRule="auto"/>
        <w:ind w:right="480"/>
        <w:jc w:val="left"/>
        <w:rPr>
          <w:rFonts w:hAnsi="宋体"/>
          <w:color w:val="auto"/>
          <w:highlight w:val="none"/>
        </w:rPr>
      </w:pPr>
    </w:p>
    <w:p>
      <w:pPr>
        <w:pStyle w:val="2"/>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2"/>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2"/>
        <w:spacing w:line="360" w:lineRule="auto"/>
        <w:ind w:right="482"/>
        <w:jc w:val="left"/>
        <w:rPr>
          <w:rFonts w:hAnsi="宋体" w:cs="宋体"/>
          <w:color w:val="auto"/>
          <w:szCs w:val="21"/>
          <w:highlight w:val="none"/>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完全按照竞争性磋商文件要求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2"/>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2.供应商报价高于采购项目预算金额和垃圾处理单价的报价响应无效；</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hAnsi="宋体"/>
          <w:b/>
          <w:color w:val="auto"/>
          <w:szCs w:val="21"/>
          <w:highlight w:val="none"/>
        </w:rPr>
      </w:pPr>
      <w:r>
        <w:rPr>
          <w:rFonts w:hint="eastAsia" w:ascii="宋体" w:hAnsi="宋体"/>
          <w:b/>
          <w:color w:val="auto"/>
          <w:szCs w:val="21"/>
          <w:highlight w:val="none"/>
        </w:rPr>
        <w:t>4.本表格须附在正副的响应文件中，并另封装一份在 “唱标信封”内。</w:t>
      </w:r>
    </w:p>
    <w:p>
      <w:pPr>
        <w:pStyle w:val="2"/>
        <w:tabs>
          <w:tab w:val="left" w:pos="3960"/>
        </w:tabs>
        <w:spacing w:line="360" w:lineRule="auto"/>
        <w:ind w:firstLine="4330" w:firstLineChars="2062"/>
        <w:jc w:val="left"/>
        <w:rPr>
          <w:rFonts w:hAnsi="宋体"/>
          <w:color w:val="auto"/>
          <w:szCs w:val="21"/>
          <w:highlight w:val="none"/>
        </w:rPr>
      </w:pPr>
    </w:p>
    <w:p>
      <w:pPr>
        <w:pStyle w:val="2"/>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ind w:firstLine="4330" w:firstLineChars="2062"/>
        <w:rPr>
          <w:rFonts w:hAnsi="宋体"/>
          <w:color w:val="auto"/>
          <w:highlight w:val="none"/>
        </w:rPr>
      </w:pPr>
    </w:p>
    <w:p>
      <w:pPr>
        <w:pStyle w:val="2"/>
        <w:tabs>
          <w:tab w:val="left" w:pos="3960"/>
        </w:tabs>
        <w:spacing w:line="360" w:lineRule="auto"/>
        <w:rPr>
          <w:rFonts w:hAnsi="宋体"/>
          <w:color w:val="auto"/>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磋商分项报价表（如有）</w:t>
      </w:r>
    </w:p>
    <w:p>
      <w:pPr>
        <w:spacing w:line="360" w:lineRule="auto"/>
        <w:jc w:val="left"/>
        <w:rPr>
          <w:rFonts w:ascii="宋体" w:hAnsi="宋体"/>
          <w:bCs/>
          <w:color w:val="auto"/>
          <w:sz w:val="28"/>
          <w:szCs w:val="28"/>
          <w:highlight w:val="none"/>
        </w:rPr>
      </w:pPr>
    </w:p>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项目编号：</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04"/>
        <w:gridCol w:w="1980"/>
        <w:gridCol w:w="908"/>
        <w:gridCol w:w="908"/>
        <w:gridCol w:w="925"/>
        <w:gridCol w:w="1328"/>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分项名称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具体内容</w:t>
            </w: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单位</w:t>
            </w: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数量</w:t>
            </w:r>
          </w:p>
        </w:tc>
        <w:tc>
          <w:tcPr>
            <w:tcW w:w="925"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单价</w:t>
            </w:r>
          </w:p>
        </w:tc>
        <w:tc>
          <w:tcPr>
            <w:tcW w:w="13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合计（元）</w:t>
            </w: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总计</w:t>
            </w:r>
          </w:p>
        </w:tc>
        <w:tc>
          <w:tcPr>
            <w:tcW w:w="8561" w:type="dxa"/>
            <w:gridSpan w:val="7"/>
            <w:tcBorders>
              <w:top w:val="single" w:color="auto" w:sz="4" w:space="0"/>
              <w:left w:val="single" w:color="auto" w:sz="4" w:space="0"/>
              <w:bottom w:val="single" w:color="auto" w:sz="4" w:space="0"/>
              <w:right w:val="single" w:color="auto" w:sz="4" w:space="0"/>
            </w:tcBorders>
            <w:vAlign w:val="center"/>
          </w:tcPr>
          <w:p>
            <w:pPr>
              <w:pStyle w:val="2"/>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￥：大写：</w:t>
            </w:r>
          </w:p>
        </w:tc>
      </w:tr>
    </w:tbl>
    <w:p>
      <w:pPr>
        <w:pStyle w:val="2"/>
        <w:spacing w:line="360" w:lineRule="auto"/>
        <w:ind w:left="720" w:hanging="720"/>
        <w:jc w:val="left"/>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pStyle w:val="2"/>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4" w:type="default"/>
          <w:footerReference r:id="rId15" w:type="default"/>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22"/>
        </w:numPr>
        <w:tabs>
          <w:tab w:val="left" w:pos="0"/>
        </w:tabs>
        <w:spacing w:line="360" w:lineRule="auto"/>
        <w:ind w:left="0" w:right="84" w:rightChars="40" w:firstLine="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7"/>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4"/>
          <w:rFonts w:hint="eastAsia" w:ascii="宋体" w:hAnsi="宋体"/>
          <w:color w:val="auto"/>
          <w:szCs w:val="21"/>
          <w:highlight w:val="none"/>
        </w:rPr>
        <w:t>http://hzs.nd</w:t>
      </w:r>
      <w:r>
        <w:rPr>
          <w:rStyle w:val="94"/>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7"/>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7"/>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说明：监狱企业参加政府采购活动时，应当提供由省级以上监狱管理局、戒毒管理局（含新疆生产建设兵团）出具的属于监狱企业的证明文件。</w:t>
      </w:r>
    </w:p>
    <w:p>
      <w:pPr>
        <w:pStyle w:val="7"/>
        <w:ind w:firstLine="482" w:firstLineChars="200"/>
        <w:rPr>
          <w:color w:val="auto"/>
          <w:sz w:val="24"/>
          <w:szCs w:val="24"/>
          <w:highlight w:val="none"/>
        </w:rPr>
      </w:pPr>
      <w:bookmarkStart w:id="363" w:name="OLE_LINK14"/>
      <w:bookmarkStart w:id="364" w:name="OLE_LINK13"/>
    </w:p>
    <w:p>
      <w:pPr>
        <w:pStyle w:val="7"/>
        <w:rPr>
          <w:color w:val="auto"/>
          <w:sz w:val="24"/>
          <w:szCs w:val="24"/>
          <w:highlight w:val="none"/>
        </w:rPr>
      </w:pPr>
    </w:p>
    <w:p>
      <w:pPr>
        <w:pStyle w:val="7"/>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7"/>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7"/>
        <w:rPr>
          <w:color w:val="auto"/>
          <w:sz w:val="24"/>
          <w:szCs w:val="24"/>
          <w:highlight w:val="none"/>
        </w:rPr>
      </w:pPr>
      <w:r>
        <w:rPr>
          <w:rFonts w:hint="eastAsia"/>
          <w:b w:val="0"/>
          <w:bCs/>
          <w:color w:val="auto"/>
          <w:sz w:val="21"/>
          <w:szCs w:val="21"/>
          <w:highlight w:val="none"/>
        </w:rPr>
        <w:t xml:space="preserve">日    期： </w:t>
      </w:r>
      <w:r>
        <w:rPr>
          <w:rFonts w:hint="eastAsia"/>
          <w:b w:val="0"/>
          <w:bCs/>
          <w:color w:val="auto"/>
          <w:sz w:val="21"/>
          <w:szCs w:val="21"/>
          <w:highlight w:val="none"/>
          <w:lang w:eastAsia="zh-CN"/>
        </w:rPr>
        <w:t>2020</w:t>
      </w:r>
      <w:r>
        <w:rPr>
          <w:rFonts w:hint="eastAsia"/>
          <w:b w:val="0"/>
          <w:bCs/>
          <w:color w:val="auto"/>
          <w:sz w:val="21"/>
          <w:szCs w:val="21"/>
          <w:highlight w:val="none"/>
        </w:rPr>
        <w:t>年  月  日</w:t>
      </w:r>
      <w:r>
        <w:rPr>
          <w:rFonts w:hint="eastAsia"/>
          <w:color w:val="auto"/>
          <w:sz w:val="24"/>
          <w:szCs w:val="24"/>
          <w:highlight w:val="none"/>
        </w:rPr>
        <w:br w:type="page"/>
      </w:r>
      <w:bookmarkStart w:id="365" w:name="_Toc512331248"/>
    </w:p>
    <w:p>
      <w:pPr>
        <w:pStyle w:val="7"/>
        <w:rPr>
          <w:bCs/>
          <w:color w:val="auto"/>
          <w:szCs w:val="28"/>
          <w:highlight w:val="none"/>
        </w:rPr>
      </w:pPr>
      <w:r>
        <w:rPr>
          <w:rFonts w:hint="eastAsia"/>
          <w:bCs/>
          <w:color w:val="auto"/>
          <w:szCs w:val="28"/>
          <w:highlight w:val="none"/>
        </w:rPr>
        <w:t>附件12 残疾人福利性单位声明函（如适用）</w:t>
      </w:r>
      <w:bookmarkEnd w:id="365"/>
    </w:p>
    <w:p>
      <w:pPr>
        <w:rPr>
          <w:color w:val="auto"/>
          <w:highlight w:val="none"/>
        </w:rPr>
      </w:pPr>
    </w:p>
    <w:bookmarkEnd w:id="363"/>
    <w:bookmarkEnd w:id="364"/>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p>
    <w:p>
      <w:pPr>
        <w:tabs>
          <w:tab w:val="left" w:pos="4860"/>
        </w:tabs>
        <w:spacing w:line="360" w:lineRule="auto"/>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单位名称（盖章）：</w:t>
      </w:r>
      <w:r>
        <w:rPr>
          <w:rFonts w:hint="eastAsia" w:ascii="宋体" w:hAnsi="宋体"/>
          <w:color w:val="auto"/>
          <w:spacing w:val="6"/>
          <w:sz w:val="24"/>
          <w:highlight w:val="none"/>
          <w:u w:val="single"/>
        </w:rPr>
        <w:t xml:space="preserve">                     </w:t>
      </w:r>
    </w:p>
    <w:p>
      <w:pPr>
        <w:tabs>
          <w:tab w:val="left" w:pos="4860"/>
        </w:tabs>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3、注册资金：                     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s="ZWAdobeF"/>
          <w:color w:val="auto"/>
          <w:sz w:val="2"/>
          <w:szCs w:val="2"/>
          <w:highlight w:val="none"/>
        </w:rPr>
        <w:t>UUUU</w:t>
      </w:r>
      <w:r>
        <w:rPr>
          <w:rFonts w:hint="eastAsia" w:ascii="宋体" w:hAnsi="宋体"/>
          <w:color w:val="auto"/>
          <w:szCs w:val="21"/>
          <w:highlight w:val="none"/>
        </w:rPr>
        <w:t xml:space="preserve">5、公司规模（综合实力等）：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66" w:name="_Toc109467914"/>
      <w:bookmarkStart w:id="367"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2"/>
        <w:spacing w:line="360" w:lineRule="auto"/>
        <w:ind w:right="482"/>
        <w:rPr>
          <w:rFonts w:hAnsi="宋体"/>
          <w:color w:val="auto"/>
          <w:szCs w:val="21"/>
          <w:highlight w:val="none"/>
        </w:rPr>
      </w:pPr>
    </w:p>
    <w:p>
      <w:pPr>
        <w:pStyle w:val="2"/>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2"/>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89"/>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8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66"/>
    <w:bookmarkEnd w:id="367"/>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2"/>
        <w:spacing w:line="360" w:lineRule="auto"/>
        <w:ind w:right="482"/>
        <w:rPr>
          <w:rFonts w:hAnsi="宋体"/>
          <w:color w:val="auto"/>
          <w:szCs w:val="21"/>
          <w:highlight w:val="none"/>
        </w:rPr>
      </w:pPr>
    </w:p>
    <w:p>
      <w:pPr>
        <w:pStyle w:val="2"/>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2"/>
        <w:spacing w:line="360" w:lineRule="auto"/>
        <w:ind w:right="482"/>
        <w:rPr>
          <w:rFonts w:hAnsi="宋体"/>
          <w:color w:val="auto"/>
          <w:szCs w:val="21"/>
          <w:highlight w:val="none"/>
        </w:rPr>
      </w:pPr>
      <w:r>
        <w:rPr>
          <w:rFonts w:hint="eastAsia" w:hAnsi="宋体"/>
          <w:color w:val="auto"/>
          <w:szCs w:val="21"/>
          <w:highlight w:val="none"/>
        </w:rPr>
        <w:t>项目名称：</w:t>
      </w:r>
    </w:p>
    <w:p>
      <w:pPr>
        <w:pStyle w:val="2"/>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618" w:hanging="618"/>
        <w:rPr>
          <w:rFonts w:ascii="宋体" w:hAnsi="宋体"/>
          <w:bCs/>
          <w:color w:val="auto"/>
          <w:szCs w:val="21"/>
          <w:highlight w:val="none"/>
        </w:rPr>
      </w:pPr>
    </w:p>
    <w:p>
      <w:pPr>
        <w:numPr>
          <w:ilvl w:val="0"/>
          <w:numId w:val="23"/>
        </w:numPr>
        <w:spacing w:line="360" w:lineRule="auto"/>
        <w:ind w:left="420" w:leftChars="200" w:firstLine="105" w:firstLineChars="50"/>
        <w:rPr>
          <w:rFonts w:hint="eastAsia" w:ascii="宋体" w:hAnsi="宋体"/>
          <w:bCs/>
          <w:color w:val="auto"/>
          <w:szCs w:val="21"/>
          <w:highlight w:val="none"/>
        </w:rPr>
      </w:pPr>
      <w:r>
        <w:rPr>
          <w:rFonts w:hint="eastAsia" w:ascii="宋体" w:hAnsi="宋体"/>
          <w:bCs/>
          <w:color w:val="auto"/>
          <w:szCs w:val="21"/>
          <w:highlight w:val="none"/>
        </w:rPr>
        <w:t>拟投入本项目人员情况；</w:t>
      </w:r>
    </w:p>
    <w:p>
      <w:pPr>
        <w:numPr>
          <w:ilvl w:val="0"/>
          <w:numId w:val="23"/>
        </w:numPr>
        <w:spacing w:line="360" w:lineRule="auto"/>
        <w:ind w:left="420" w:leftChars="200" w:firstLine="105" w:firstLineChars="50"/>
        <w:rPr>
          <w:rFonts w:hint="eastAsia" w:ascii="宋体" w:hAnsi="宋体"/>
          <w:bCs/>
          <w:color w:val="auto"/>
          <w:szCs w:val="21"/>
          <w:highlight w:val="none"/>
        </w:rPr>
      </w:pPr>
      <w:r>
        <w:rPr>
          <w:rFonts w:hint="eastAsia" w:ascii="宋体" w:hAnsi="宋体"/>
          <w:bCs/>
          <w:color w:val="auto"/>
          <w:szCs w:val="21"/>
          <w:highlight w:val="none"/>
        </w:rPr>
        <w:t>供应产品技术参数性能的评价；</w:t>
      </w:r>
    </w:p>
    <w:p>
      <w:pPr>
        <w:numPr>
          <w:ilvl w:val="0"/>
          <w:numId w:val="23"/>
        </w:numPr>
        <w:spacing w:line="360" w:lineRule="auto"/>
        <w:ind w:left="420" w:leftChars="200" w:firstLine="105" w:firstLineChars="50"/>
        <w:rPr>
          <w:rFonts w:hint="eastAsia" w:ascii="宋体" w:hAnsi="宋体"/>
          <w:bCs/>
          <w:color w:val="auto"/>
          <w:szCs w:val="21"/>
          <w:highlight w:val="none"/>
        </w:rPr>
      </w:pPr>
      <w:r>
        <w:rPr>
          <w:rFonts w:hint="eastAsia" w:ascii="宋体" w:hAnsi="宋体"/>
          <w:bCs/>
          <w:color w:val="auto"/>
          <w:szCs w:val="21"/>
          <w:highlight w:val="none"/>
        </w:rPr>
        <w:t>项目组织方案；</w:t>
      </w:r>
    </w:p>
    <w:p>
      <w:pPr>
        <w:numPr>
          <w:ilvl w:val="0"/>
          <w:numId w:val="23"/>
        </w:numPr>
        <w:spacing w:line="360" w:lineRule="auto"/>
        <w:ind w:left="420" w:leftChars="200" w:firstLine="105" w:firstLineChars="50"/>
        <w:rPr>
          <w:rFonts w:hint="eastAsia" w:ascii="宋体" w:hAnsi="宋体"/>
          <w:bCs/>
          <w:color w:val="auto"/>
          <w:szCs w:val="21"/>
          <w:highlight w:val="none"/>
        </w:rPr>
      </w:pPr>
      <w:r>
        <w:rPr>
          <w:rFonts w:hint="eastAsia" w:ascii="宋体" w:hAnsi="宋体"/>
          <w:bCs/>
          <w:color w:val="auto"/>
          <w:szCs w:val="21"/>
          <w:highlight w:val="none"/>
        </w:rPr>
        <w:t>项目进度、质量保证计划、安全文明施工措施；</w:t>
      </w:r>
    </w:p>
    <w:p>
      <w:pPr>
        <w:numPr>
          <w:ilvl w:val="0"/>
          <w:numId w:val="23"/>
        </w:numPr>
        <w:spacing w:line="360" w:lineRule="auto"/>
        <w:ind w:left="420" w:leftChars="200" w:firstLine="105" w:firstLineChars="50"/>
        <w:rPr>
          <w:rFonts w:hint="eastAsia" w:ascii="宋体" w:hAnsi="宋体"/>
          <w:bCs/>
          <w:color w:val="auto"/>
          <w:szCs w:val="21"/>
          <w:highlight w:val="none"/>
        </w:rPr>
      </w:pPr>
      <w:r>
        <w:rPr>
          <w:rFonts w:hint="eastAsia" w:ascii="宋体" w:hAnsi="宋体"/>
          <w:bCs/>
          <w:color w:val="auto"/>
          <w:szCs w:val="21"/>
          <w:highlight w:val="none"/>
        </w:rPr>
        <w:t>售后服务。</w:t>
      </w:r>
    </w:p>
    <w:p>
      <w:pPr>
        <w:spacing w:line="360" w:lineRule="auto"/>
        <w:ind w:left="420" w:leftChars="200" w:firstLine="105" w:firstLineChars="50"/>
        <w:rPr>
          <w:rFonts w:hint="eastAsia" w:ascii="宋体" w:hAnsi="宋体"/>
          <w:bCs/>
          <w:color w:val="auto"/>
          <w:szCs w:val="21"/>
          <w:highlight w:val="none"/>
        </w:rPr>
      </w:pPr>
    </w:p>
    <w:p>
      <w:pPr>
        <w:spacing w:line="360" w:lineRule="auto"/>
        <w:ind w:firstLine="480"/>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firstLine="4935" w:firstLineChars="2350"/>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w:t>
      </w:r>
      <w:r>
        <w:rPr>
          <w:rFonts w:hint="eastAsia" w:ascii="宋体" w:hAnsi="宋体" w:cs="宋体"/>
          <w:color w:val="auto"/>
          <w:szCs w:val="21"/>
          <w:highlight w:val="none"/>
        </w:rPr>
        <w:t>按上述承诺金额的200％在我方磋商保证金中抵扣，不足部分在采购人与我方签订的采购合同款项中扣付，</w:t>
      </w:r>
      <w:r>
        <w:rPr>
          <w:rFonts w:hint="eastAsia" w:ascii="宋体" w:hAnsi="宋体"/>
          <w:color w:val="auto"/>
          <w:szCs w:val="21"/>
          <w:highlight w:val="none"/>
        </w:rPr>
        <w:t>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pStyle w:val="2"/>
        <w:spacing w:line="360" w:lineRule="auto"/>
        <w:jc w:val="right"/>
        <w:rPr>
          <w:rFonts w:hAnsi="宋体"/>
          <w:bCs/>
          <w:color w:val="auto"/>
          <w:szCs w:val="21"/>
          <w:highlight w:val="none"/>
        </w:rPr>
      </w:pPr>
    </w:p>
    <w:p>
      <w:pPr>
        <w:pStyle w:val="2"/>
        <w:spacing w:line="360" w:lineRule="auto"/>
        <w:rPr>
          <w:rFonts w:hAnsi="宋体"/>
          <w:bCs/>
          <w:color w:val="auto"/>
          <w:szCs w:val="21"/>
          <w:highlight w:val="none"/>
        </w:rPr>
      </w:pPr>
    </w:p>
    <w:p>
      <w:pPr>
        <w:pStyle w:val="2"/>
        <w:spacing w:line="360" w:lineRule="auto"/>
        <w:rPr>
          <w:rFonts w:hAnsi="宋体"/>
          <w:bCs/>
          <w:color w:val="auto"/>
          <w:szCs w:val="21"/>
          <w:highlight w:val="none"/>
        </w:rPr>
      </w:pPr>
    </w:p>
    <w:p>
      <w:pPr>
        <w:pStyle w:val="2"/>
        <w:spacing w:line="360" w:lineRule="auto"/>
        <w:rPr>
          <w:rFonts w:hAnsi="宋体"/>
          <w:bCs/>
          <w:color w:val="auto"/>
          <w:highlight w:val="none"/>
        </w:rPr>
      </w:pPr>
    </w:p>
    <w:p>
      <w:pPr>
        <w:pStyle w:val="2"/>
        <w:spacing w:line="360" w:lineRule="auto"/>
        <w:rPr>
          <w:rFonts w:hAnsi="宋体"/>
          <w:bCs/>
          <w:color w:val="auto"/>
          <w:highlight w:val="none"/>
        </w:rPr>
      </w:pPr>
    </w:p>
    <w:p>
      <w:pPr>
        <w:pStyle w:val="2"/>
        <w:spacing w:line="360" w:lineRule="auto"/>
        <w:rPr>
          <w:rFonts w:hAnsi="宋体"/>
          <w:bCs/>
          <w:color w:val="auto"/>
          <w:highlight w:val="none"/>
        </w:rPr>
      </w:pPr>
    </w:p>
    <w:p>
      <w:pPr>
        <w:pStyle w:val="2"/>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hint="eastAsia" w:ascii="宋体" w:hAnsi="宋体" w:cs="宋体"/>
          <w:b/>
          <w:bCs/>
          <w:color w:val="auto"/>
          <w:szCs w:val="21"/>
          <w:highlight w:val="none"/>
        </w:rPr>
      </w:pPr>
      <w:r>
        <w:rPr>
          <w:rFonts w:hint="eastAsia" w:ascii="宋体" w:hAnsi="宋体" w:cs="宋体"/>
          <w:b/>
          <w:bCs/>
          <w:color w:val="auto"/>
          <w:kern w:val="0"/>
          <w:sz w:val="24"/>
          <w:highlight w:val="none"/>
        </w:rPr>
        <w:t xml:space="preserve">附件19  磋商保证金汇款声明函 </w:t>
      </w:r>
      <w:r>
        <w:rPr>
          <w:rFonts w:hint="eastAsia" w:ascii="宋体" w:hAnsi="宋体" w:cs="宋体"/>
          <w:b/>
          <w:bCs/>
          <w:color w:val="auto"/>
          <w:kern w:val="0"/>
          <w:szCs w:val="21"/>
          <w:highlight w:val="non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致：广州市信怡招标代理有限公司</w:t>
      </w:r>
    </w:p>
    <w:p>
      <w:pPr>
        <w:tabs>
          <w:tab w:val="left" w:pos="1560"/>
        </w:tabs>
        <w:rPr>
          <w:rFonts w:hint="eastAsia" w:ascii="宋体" w:hAnsi="宋体" w:cs="宋体"/>
          <w:color w:val="auto"/>
          <w:szCs w:val="21"/>
          <w:highlight w:val="none"/>
        </w:rPr>
      </w:pPr>
      <w:r>
        <w:rPr>
          <w:rFonts w:hint="eastAsia"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项目（项目编号：</w:t>
      </w:r>
      <w:r>
        <w:rPr>
          <w:rFonts w:hint="eastAsia" w:ascii="宋体" w:hAnsi="宋体" w:cs="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hAnsi="宋体" w:cs="宋体"/>
          <w:color w:val="auto"/>
          <w:szCs w:val="21"/>
          <w:highlight w:val="none"/>
        </w:rPr>
        <w:t>）递交公开招标保证金人民币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日以</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支票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汇票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本票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金融机构出具的保函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担保机构出具的保函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其他</w:t>
      </w:r>
      <w:r>
        <w:rPr>
          <w:rFonts w:hint="eastAsia" w:ascii="宋体" w:hAnsi="宋体" w:cs="宋体"/>
          <w:color w:val="auto"/>
          <w:szCs w:val="21"/>
          <w:highlight w:val="none"/>
        </w:rPr>
        <w:t>等非现金形式提交。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退还保证金时请按以下内容划入我方账户。若因内容不全、错误、字迹潦草模糊导致该项目保证金未能及时退还或退还过程中发生错误，我方将自行承担全部责任和损失。</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11"/>
        <w:gridCol w:w="4097"/>
        <w:gridCol w:w="108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restart"/>
            <w:noWrap w:val="0"/>
            <w:textDirection w:val="tbRlV"/>
            <w:vAlign w:val="center"/>
          </w:tcPr>
          <w:p>
            <w:pPr>
              <w:ind w:left="113" w:right="113"/>
              <w:jc w:val="center"/>
              <w:rPr>
                <w:rFonts w:hint="eastAsia" w:ascii="宋体" w:hAnsi="宋体" w:cs="宋体"/>
                <w:color w:val="auto"/>
                <w:szCs w:val="21"/>
                <w:highlight w:val="none"/>
              </w:rPr>
            </w:pPr>
            <w:r>
              <w:rPr>
                <w:rFonts w:hint="eastAsia" w:ascii="宋体" w:hAnsi="宋体" w:cs="宋体"/>
                <w:color w:val="auto"/>
                <w:szCs w:val="21"/>
                <w:highlight w:val="none"/>
              </w:rPr>
              <w:t>收 款 人</w:t>
            </w: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收款人名称</w:t>
            </w:r>
          </w:p>
        </w:tc>
        <w:tc>
          <w:tcPr>
            <w:tcW w:w="6701" w:type="dxa"/>
            <w:gridSpan w:val="3"/>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收款人地址</w:t>
            </w:r>
          </w:p>
        </w:tc>
        <w:tc>
          <w:tcPr>
            <w:tcW w:w="6701" w:type="dxa"/>
            <w:gridSpan w:val="3"/>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rPr>
              <w:br w:type="textWrapping"/>
            </w:r>
            <w:r>
              <w:rPr>
                <w:rFonts w:hint="eastAsia" w:ascii="宋体" w:hAnsi="宋体" w:cs="宋体"/>
                <w:color w:val="auto"/>
                <w:szCs w:val="21"/>
                <w:highlight w:val="none"/>
              </w:rPr>
              <w:t>（含汇入地点）</w:t>
            </w:r>
          </w:p>
        </w:tc>
        <w:tc>
          <w:tcPr>
            <w:tcW w:w="4097" w:type="dxa"/>
            <w:noWrap w:val="0"/>
            <w:vAlign w:val="center"/>
          </w:tcPr>
          <w:p>
            <w:pPr>
              <w:jc w:val="center"/>
              <w:rPr>
                <w:rFonts w:hint="eastAsia" w:ascii="宋体" w:hAnsi="宋体" w:cs="宋体"/>
                <w:color w:val="auto"/>
                <w:szCs w:val="21"/>
                <w:highlight w:val="none"/>
              </w:rPr>
            </w:pPr>
          </w:p>
        </w:tc>
        <w:tc>
          <w:tcPr>
            <w:tcW w:w="10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52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4097" w:type="dxa"/>
            <w:noWrap w:val="0"/>
            <w:vAlign w:val="center"/>
          </w:tcPr>
          <w:p>
            <w:pPr>
              <w:jc w:val="center"/>
              <w:rPr>
                <w:rFonts w:hint="eastAsia" w:ascii="宋体" w:hAnsi="宋体" w:cs="宋体"/>
                <w:color w:val="auto"/>
                <w:szCs w:val="21"/>
                <w:highlight w:val="none"/>
              </w:rPr>
            </w:pPr>
          </w:p>
        </w:tc>
        <w:tc>
          <w:tcPr>
            <w:tcW w:w="10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524"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vanish/>
          <w:color w:val="auto"/>
          <w:highlight w:val="none"/>
        </w:rPr>
      </w:pPr>
    </w:p>
    <w:tbl>
      <w:tblPr>
        <w:tblStyle w:val="89"/>
        <w:tblpPr w:leftFromText="180" w:rightFromText="180" w:vertAnchor="text" w:horzAnchor="margin" w:tblpXSpec="center" w:tblpY="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9236" w:type="dxa"/>
            <w:noWrap w:val="0"/>
            <w:vAlign w:val="top"/>
          </w:tcPr>
          <w:p>
            <w:pPr>
              <w:spacing w:line="360" w:lineRule="auto"/>
              <w:rPr>
                <w:rFonts w:hint="eastAsia" w:ascii="宋体" w:hAnsi="宋体" w:cs="宋体"/>
                <w:b/>
                <w:color w:val="auto"/>
                <w:szCs w:val="21"/>
                <w:highlight w:val="none"/>
              </w:rPr>
            </w:pPr>
          </w:p>
          <w:p>
            <w:pPr>
              <w:spacing w:line="360" w:lineRule="auto"/>
              <w:ind w:firstLine="3373" w:firstLineChars="1600"/>
              <w:jc w:val="center"/>
              <w:rPr>
                <w:rFonts w:hint="eastAsia" w:ascii="宋体" w:hAnsi="宋体" w:cs="宋体"/>
                <w:b/>
                <w:color w:val="auto"/>
                <w:szCs w:val="21"/>
                <w:highlight w:val="none"/>
              </w:rPr>
            </w:pPr>
          </w:p>
          <w:p>
            <w:pPr>
              <w:spacing w:line="360" w:lineRule="auto"/>
              <w:ind w:firstLine="2165" w:firstLineChars="1027"/>
              <w:rPr>
                <w:rFonts w:hint="eastAsia" w:ascii="宋体" w:hAnsi="宋体" w:cs="宋体"/>
                <w:b/>
                <w:color w:val="auto"/>
                <w:szCs w:val="21"/>
                <w:highlight w:val="none"/>
              </w:rPr>
            </w:pPr>
            <w:r>
              <w:rPr>
                <w:rFonts w:hint="eastAsia" w:ascii="宋体" w:hAnsi="宋体" w:cs="宋体"/>
                <w:b/>
                <w:color w:val="auto"/>
                <w:szCs w:val="21"/>
                <w:highlight w:val="none"/>
              </w:rPr>
              <w:t>磋商保证金提交凭证复印件粘贴处</w:t>
            </w:r>
          </w:p>
          <w:p>
            <w:pPr>
              <w:spacing w:line="360" w:lineRule="auto"/>
              <w:ind w:firstLine="4498"/>
              <w:rPr>
                <w:rFonts w:hint="eastAsia" w:ascii="宋体" w:hAnsi="宋体" w:cs="宋体"/>
                <w:b/>
                <w:color w:val="auto"/>
                <w:szCs w:val="21"/>
                <w:highlight w:val="none"/>
              </w:rPr>
            </w:pPr>
          </w:p>
        </w:tc>
      </w:tr>
    </w:tbl>
    <w:p>
      <w:pPr>
        <w:spacing w:line="360" w:lineRule="auto"/>
        <w:ind w:firstLine="3373" w:firstLineChars="1600"/>
        <w:rPr>
          <w:rFonts w:hint="eastAsia" w:ascii="宋体" w:hAnsi="宋体" w:cs="宋体"/>
          <w:b/>
          <w:color w:val="auto"/>
          <w:szCs w:val="21"/>
          <w:highlight w:val="none"/>
        </w:rPr>
      </w:pPr>
    </w:p>
    <w:p>
      <w:pPr>
        <w:spacing w:line="360" w:lineRule="auto"/>
        <w:ind w:firstLine="3373" w:firstLineChars="1600"/>
        <w:rPr>
          <w:rFonts w:hint="eastAsia" w:ascii="宋体" w:hAnsi="宋体" w:cs="宋体"/>
          <w:b/>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投标人全称（加盖公章）：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法定代表或其授权代表</w:t>
      </w:r>
      <w:r>
        <w:rPr>
          <w:rFonts w:hint="eastAsia" w:ascii="宋体" w:hAnsi="宋体" w:cs="宋体"/>
          <w:bCs/>
          <w:color w:val="auto"/>
          <w:szCs w:val="21"/>
          <w:highlight w:val="none"/>
        </w:rPr>
        <w:t>(</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r>
        <w:rPr>
          <w:rFonts w:hint="eastAsia" w:ascii="宋体" w:hAnsi="宋体" w:cs="宋体"/>
          <w:color w:val="auto"/>
          <w:szCs w:val="21"/>
          <w:highlight w:val="none"/>
        </w:rPr>
        <w:t>：</w:t>
      </w:r>
    </w:p>
    <w:p>
      <w:pPr>
        <w:tabs>
          <w:tab w:val="left" w:pos="3885"/>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p>
    <w:p>
      <w:pPr>
        <w:tabs>
          <w:tab w:val="left" w:pos="3885"/>
        </w:tabs>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年        月      日</w:t>
      </w:r>
    </w:p>
    <w:p>
      <w:pPr>
        <w:pStyle w:val="2"/>
        <w:outlineLvl w:val="0"/>
        <w:rPr>
          <w:rFonts w:hint="eastAsia" w:hAnsi="宋体" w:cs="宋体"/>
          <w:bCs/>
          <w:color w:val="auto"/>
          <w:kern w:val="0"/>
          <w:szCs w:val="21"/>
          <w:highlight w:val="none"/>
        </w:rPr>
      </w:pPr>
      <w:bookmarkStart w:id="368" w:name="_Toc333236687"/>
      <w:bookmarkStart w:id="369" w:name="_Toc322680391"/>
      <w:bookmarkStart w:id="370" w:name="_Toc323111024"/>
      <w:r>
        <w:rPr>
          <w:rFonts w:hint="eastAsia" w:hAnsi="宋体" w:cs="宋体"/>
          <w:b/>
          <w:color w:val="auto"/>
          <w:szCs w:val="21"/>
          <w:highlight w:val="none"/>
        </w:rPr>
        <w:t>注：供应商应详细填写本文件，并按要求粘贴凭证复印件。</w:t>
      </w:r>
      <w:bookmarkEnd w:id="368"/>
      <w:bookmarkEnd w:id="369"/>
      <w:bookmarkEnd w:id="370"/>
      <w:r>
        <w:rPr>
          <w:rFonts w:hint="eastAsia" w:hAnsi="宋体" w:cs="宋体"/>
          <w:b/>
          <w:color w:val="auto"/>
          <w:szCs w:val="21"/>
          <w:highlight w:val="none"/>
        </w:rPr>
        <w:t>本表格须附在正副的投标文件中，并另封装一份在 “唱标信封”内。</w:t>
      </w:r>
    </w:p>
    <w:p>
      <w:pPr>
        <w:rPr>
          <w:rFonts w:hint="eastAsia" w:ascii="宋体" w:hAnsi="宋体" w:cs="宋体"/>
          <w:b/>
          <w:bCs/>
          <w:color w:val="auto"/>
          <w:kern w:val="0"/>
          <w:sz w:val="24"/>
          <w:highlight w:val="none"/>
        </w:rPr>
      </w:pPr>
    </w:p>
    <w:p>
      <w:pPr>
        <w:pStyle w:val="2"/>
        <w:jc w:val="left"/>
        <w:outlineLvl w:val="0"/>
        <w:rPr>
          <w:rFonts w:hint="eastAsia" w:hAnsi="宋体" w:cs="宋体"/>
          <w:b/>
          <w:bCs/>
          <w:color w:val="auto"/>
          <w:kern w:val="0"/>
          <w:sz w:val="24"/>
          <w:highlight w:val="none"/>
        </w:rPr>
      </w:pPr>
      <w:r>
        <w:rPr>
          <w:rFonts w:hint="eastAsia" w:hAnsi="宋体" w:cs="宋体"/>
          <w:b/>
          <w:bCs/>
          <w:color w:val="auto"/>
          <w:kern w:val="0"/>
          <w:sz w:val="24"/>
          <w:highlight w:val="none"/>
        </w:rPr>
        <w:br w:type="page"/>
      </w:r>
      <w:r>
        <w:rPr>
          <w:rFonts w:hint="eastAsia" w:hAnsi="宋体" w:cs="宋体"/>
          <w:b/>
          <w:bCs/>
          <w:color w:val="auto"/>
          <w:kern w:val="0"/>
          <w:sz w:val="24"/>
          <w:highlight w:val="none"/>
        </w:rPr>
        <w:t>附件20                         政府采购投标担保函</w:t>
      </w:r>
    </w:p>
    <w:p>
      <w:pPr>
        <w:pStyle w:val="2"/>
        <w:jc w:val="center"/>
        <w:outlineLvl w:val="0"/>
        <w:rPr>
          <w:rFonts w:hint="eastAsia" w:hAnsi="宋体" w:cs="宋体"/>
          <w:bCs/>
          <w:color w:val="auto"/>
          <w:kern w:val="0"/>
          <w:szCs w:val="21"/>
          <w:highlight w:val="none"/>
        </w:rPr>
      </w:pPr>
    </w:p>
    <w:p>
      <w:pPr>
        <w:pStyle w:val="2"/>
        <w:jc w:val="center"/>
        <w:outlineLvl w:val="0"/>
        <w:rPr>
          <w:rFonts w:hint="eastAsia" w:hAnsi="宋体" w:cs="宋体"/>
          <w:b/>
          <w:bCs/>
          <w:color w:val="auto"/>
          <w:kern w:val="0"/>
          <w:sz w:val="24"/>
          <w:highlight w:val="none"/>
        </w:rPr>
      </w:pPr>
      <w:r>
        <w:rPr>
          <w:rFonts w:hint="eastAsia" w:hAnsi="宋体" w:cs="宋体"/>
          <w:b/>
          <w:bCs/>
          <w:color w:val="auto"/>
          <w:kern w:val="0"/>
          <w:sz w:val="24"/>
          <w:highlight w:val="none"/>
        </w:rPr>
        <w:t>（若用其他方式缴纳磋商保证金，可不递交该投标担保函）</w:t>
      </w:r>
    </w:p>
    <w:p>
      <w:pPr>
        <w:spacing w:line="276" w:lineRule="auto"/>
        <w:rPr>
          <w:rFonts w:hint="eastAsia" w:ascii="宋体" w:hAnsi="宋体" w:cs="宋体"/>
          <w:color w:val="auto"/>
          <w:highlight w:val="none"/>
        </w:rPr>
      </w:pPr>
      <w:r>
        <w:rPr>
          <w:rFonts w:hint="eastAsia" w:ascii="宋体" w:hAnsi="宋体" w:cs="宋体"/>
          <w:color w:val="auto"/>
          <w:highlight w:val="none"/>
        </w:rPr>
        <w:t>（采购人或采购代理机构）：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鉴于（以下简称‘投标人’）拟参加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   ）（以下简称‘本项目’）投标，根据本项目采购文件，供应商参加投标时应向你方缴纳磋商保证金，且可以投标担保函的形式缴纳磋商保证金。应供应商的申请，我方以保证的方式向你方提供如下磋商保证金担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1．中标后投标人无正当理由不与采购人或者采购代理机构签订《政府采购合同》；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2．采购文件规定的投标人应当缴纳保证金的其他情形。</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（二）我方承担保证责任的最高金额为人民币元（大写），即本项目的磋商保证金金额。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我方的保证期间为：自本保函生效之日起个月止。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1．依照法律规定或你方与投标人的另行约定，全部或者部分免除投标人磋商保证金义务时，我方亦免除相应的保证责任。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4．你方或其他有权机关对采购文件进行任何澄清或修改，加重我方保证责任的，我方对加重部分不承担保证责任，但该澄清或修改经我方事先书面同意的除外。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因本保函发生的纠纷，由你我双方协商解决，协商不成的，通过诉讼程序解决，诉讼管辖地法院为法院。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ind w:firstLine="5565" w:firstLineChars="2650"/>
        <w:rPr>
          <w:rFonts w:hint="eastAsia" w:ascii="宋体" w:hAnsi="宋体" w:cs="宋体"/>
          <w:color w:val="auto"/>
          <w:szCs w:val="21"/>
          <w:highlight w:val="none"/>
        </w:rPr>
      </w:pPr>
    </w:p>
    <w:p>
      <w:pPr>
        <w:spacing w:line="360" w:lineRule="auto"/>
        <w:ind w:firstLine="5565" w:firstLineChars="2650"/>
        <w:rPr>
          <w:rFonts w:hint="eastAsia" w:ascii="宋体" w:hAnsi="宋体" w:cs="宋体"/>
          <w:color w:val="auto"/>
          <w:szCs w:val="21"/>
          <w:highlight w:val="none"/>
        </w:rPr>
      </w:pPr>
      <w:r>
        <w:rPr>
          <w:rFonts w:hint="eastAsia" w:ascii="宋体" w:hAnsi="宋体" w:cs="宋体"/>
          <w:color w:val="auto"/>
          <w:szCs w:val="21"/>
          <w:highlight w:val="none"/>
        </w:rPr>
        <w:t>保证人：（公章）</w:t>
      </w:r>
    </w:p>
    <w:p>
      <w:pPr>
        <w:widowControl/>
        <w:jc w:val="left"/>
        <w:rPr>
          <w:rFonts w:ascii="宋体" w:hAnsi="宋体"/>
          <w:b/>
          <w:bCs/>
          <w:color w:val="auto"/>
          <w:kern w:val="0"/>
          <w:sz w:val="28"/>
          <w:szCs w:val="28"/>
          <w:highlight w:val="none"/>
        </w:rPr>
      </w:pPr>
      <w:r>
        <w:rPr>
          <w:rFonts w:hint="eastAsia" w:hAnsi="宋体" w:cs="宋体"/>
          <w:color w:val="auto"/>
          <w:szCs w:val="21"/>
          <w:highlight w:val="none"/>
        </w:rPr>
        <w:t xml:space="preserve">            年     月      日</w:t>
      </w: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21</w:t>
      </w:r>
      <w:r>
        <w:rPr>
          <w:rFonts w:hint="eastAsia" w:ascii="宋体" w:hAnsi="宋体"/>
          <w:b/>
          <w:bCs/>
          <w:color w:val="auto"/>
          <w:kern w:val="0"/>
          <w:sz w:val="28"/>
          <w:szCs w:val="28"/>
          <w:highlight w:val="none"/>
        </w:rPr>
        <w:t xml:space="preserve"> 拟派本项目负责人及主要人员情况表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pStyle w:val="2"/>
        <w:spacing w:line="360" w:lineRule="auto"/>
        <w:rPr>
          <w:bCs/>
          <w:color w:val="auto"/>
          <w:szCs w:val="21"/>
          <w:highlight w:val="none"/>
        </w:rPr>
      </w:pPr>
      <w:r>
        <w:rPr>
          <w:rFonts w:hint="eastAsia" w:cs="Tahoma"/>
          <w:color w:val="auto"/>
          <w:szCs w:val="21"/>
          <w:highlight w:val="none"/>
        </w:rPr>
        <w:t>项目编号：</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imes New Roman" w:hAnsi="Times New Roman" w:eastAsia="宋体"/>
                <w:color w:val="auto"/>
                <w:kern w:val="2"/>
                <w:highlight w:val="none"/>
              </w:rPr>
            </w:pPr>
            <w:r>
              <w:rPr>
                <w:rFonts w:ascii="Times New Roman" w:hAnsi="Times New Roman" w:eastAsia="宋体"/>
                <w:color w:val="auto"/>
                <w:kern w:val="2"/>
                <w:highlight w:val="none"/>
              </w:rPr>
              <w:t>从事</w:t>
            </w:r>
            <w:r>
              <w:rPr>
                <w:rFonts w:ascii="宋体" w:eastAsia="宋体"/>
                <w:color w:val="auto"/>
                <w:highlight w:val="none"/>
              </w:rPr>
              <w:t>同类</w:t>
            </w:r>
            <w:r>
              <w:rPr>
                <w:rFonts w:ascii="Times New Roman" w:hAnsi="Times New Roman" w:eastAsia="宋体"/>
                <w:color w:val="auto"/>
                <w:kern w:val="2"/>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已完成的部分</w:t>
            </w:r>
            <w:r>
              <w:rPr>
                <w:rFonts w:hint="eastAsia" w:ascii="宋体" w:hAnsi="宋体"/>
                <w:color w:val="auto"/>
                <w:sz w:val="24"/>
                <w:highlight w:val="none"/>
              </w:rPr>
              <w:t>同类项目</w:t>
            </w:r>
            <w:r>
              <w:rPr>
                <w:rFonts w:hint="eastAsia"/>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w:t>
            </w:r>
          </w:p>
          <w:p>
            <w:pPr>
              <w:spacing w:line="360" w:lineRule="auto"/>
              <w:jc w:val="center"/>
              <w:rPr>
                <w:color w:val="auto"/>
                <w:sz w:val="24"/>
                <w:highlight w:val="none"/>
              </w:rPr>
            </w:pPr>
            <w:r>
              <w:rPr>
                <w:rFonts w:hint="eastAsia"/>
                <w:color w:val="auto"/>
                <w:sz w:val="24"/>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成果质量</w:t>
            </w:r>
          </w:p>
          <w:p>
            <w:pPr>
              <w:spacing w:line="360" w:lineRule="auto"/>
              <w:jc w:val="center"/>
              <w:rPr>
                <w:color w:val="auto"/>
                <w:sz w:val="24"/>
                <w:highlight w:val="none"/>
              </w:rPr>
            </w:pPr>
            <w:r>
              <w:rPr>
                <w:rFonts w:hint="eastAsia"/>
                <w:color w:val="auto"/>
                <w:sz w:val="24"/>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ascii="宋体" w:hAnsi="宋体"/>
                <w:color w:val="auto"/>
                <w:sz w:val="24"/>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pPr>
        <w:pStyle w:val="2"/>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2.需附上上表所列人员的相关证书复印件。</w:t>
      </w: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4952" w:type="dxa"/>
            <w:tcBorders>
              <w:left w:val="single" w:color="000000" w:sz="4" w:space="0"/>
            </w:tcBorders>
          </w:tcPr>
          <w:p>
            <w:pPr>
              <w:spacing w:line="360" w:lineRule="auto"/>
              <w:rPr>
                <w:rFonts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4"/>
      <w:bookmarkEnd w:id="343"/>
      <w:bookmarkEnd w:id="344"/>
      <w:bookmarkEnd w:id="345"/>
      <w:bookmarkEnd w:id="346"/>
      <w:bookmarkEnd w:id="347"/>
      <w:bookmarkEnd w:id="349"/>
      <w:bookmarkEnd w:id="350"/>
      <w:bookmarkEnd w:id="351"/>
      <w:bookmarkEnd w:id="352"/>
      <w:bookmarkEnd w:id="353"/>
      <w:bookmarkEnd w:id="354"/>
      <w:bookmarkEnd w:id="355"/>
      <w:bookmarkEnd w:id="356"/>
      <w:bookmarkEnd w:id="357"/>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附件21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附件22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Courier New">
    <w:panose1 w:val="020703090202050204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DAqpFPs&#10;AQAAugMAAA4AAAAAAAAAAQAgAAAAHgEAAGRycy9lMm9Eb2MueG1sUEsFBgAAAAAGAAYAWQEAAHwF&#10;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3810" r="1905"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AVcUKh8A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BVxQqHwAQAAuAMAAA4AAAAAAAAAAQAgAAAAIAEAAGRycy9lMm9Eb2MueG1sUEsFBgAAAAAGAAYA&#10;WQEAAIIFA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ERoV9fwAQAAuAMAAA4AAAAAAAAAAQAgAAAAIAEAAGRycy9lMm9Eb2MueG1sUEsFBgAAAAAGAAYA&#10;WQEAAIIFA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HJfoz3s&#10;AQAAugMAAA4AAAAAAAAAAQAgAAAAHgEAAGRycy9lMm9Eb2MueG1sUEsFBgAAAAAGAAYAWQEAAHwF&#10;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firstLine="90" w:firstLineChars="50"/>
      <w:jc w:val="center"/>
      <w:rPr>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2"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4384;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jOVg48Q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V&#10;ppjRAAAAAwEAAA8AAAAAAAAAAQAgAAAAIgAAAGRycy9kb3ducmV2LnhtbFBLAQIUABQAAAAIAIdO&#10;4kDjOVg48QEAALgDAAAOAAAAAAAAAAEAIAAAACABAABkcnMvZTJvRG9jLnhtbFBLBQYAAAAABgAG&#10;AFkBAACDBQ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fldChar w:fldCharType="begin"/>
    </w:r>
    <w:r>
      <w:rPr>
        <w:rStyle w:val="93"/>
      </w:rPr>
      <w:instrText xml:space="preserve"> PAGE </w:instrText>
    </w:r>
    <w:r>
      <w:fldChar w:fldCharType="separate"/>
    </w:r>
    <w:r>
      <w:rPr>
        <w:rStyle w:val="93"/>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3360" behindDoc="0" locked="0" layoutInCell="1" allowOverlap="1">
              <wp:simplePos x="0" y="0"/>
              <wp:positionH relativeFrom="margin">
                <wp:posOffset>2709545</wp:posOffset>
              </wp:positionH>
              <wp:positionV relativeFrom="paragraph">
                <wp:posOffset>-9525</wp:posOffset>
              </wp:positionV>
              <wp:extent cx="58420" cy="152400"/>
              <wp:effectExtent l="1905" t="381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6"/>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3.35pt;margin-top:-0.75pt;height:12pt;width:4.6pt;mso-position-horizontal-relative:margin;mso-wrap-style:none;z-index:251663360;mso-width-relative:page;mso-height-relative:page;" filled="f" stroked="f" coordsize="21600,21600" o:gfxdata="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MVY+1wAAAAkBAAAPAAAAAAAAAAEAIAAAACIAAABkcnMvZG93bnJldi54bWxQSwECFAAUAAAA&#10;CACHTuJAJrnITe8BAAC3AwAADgAAAAAAAAABACAAAAAmAQAAZHJzL2Uyb0RvYy54bWxQSwUGAAAA&#10;AAYABgBZAQAAhwUAAAAA&#10;">
              <v:fill on="f" focussize="0,0"/>
              <v:stroke on="f"/>
              <v:imagedata o:title=""/>
              <o:lock v:ext="edit" aspectratio="f"/>
              <v:textbox inset="0mm,0mm,0mm,0mm" style="mso-fit-shape-to-text:t;">
                <w:txbxContent>
                  <w:p>
                    <w:pPr>
                      <w:pStyle w:val="56"/>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635" b="4445"/>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F&#10;zu7RAAAAAwEAAA8AAAAAAAAAAQAgAAAAIgAAAGRycy9kb3ducmV2LnhtbFBLAQIUABQAAAAIAIdO&#10;4kCYmory8QEAALgDAAAOAAAAAAAAAAEAIAAAACABAABkcnMvZTJvRG9jLnhtbFBLBQYAAAAABgAG&#10;AFkBAACDBQAAAAA=&#10;">
              <v:fill on="f" focussize="0,0"/>
              <v:stroke on="f"/>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BEDB4"/>
    <w:multiLevelType w:val="singleLevel"/>
    <w:tmpl w:val="8F9BEDB4"/>
    <w:lvl w:ilvl="0" w:tentative="0">
      <w:start w:val="2"/>
      <w:numFmt w:val="decimal"/>
      <w:suff w:val="nothing"/>
      <w:lvlText w:val="（%1）"/>
      <w:lvlJc w:val="left"/>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tabs>
          <w:tab w:val="left" w:pos="420"/>
        </w:tabs>
        <w:ind w:left="420" w:hanging="420"/>
      </w:pPr>
    </w:lvl>
    <w:lvl w:ilvl="1" w:tentative="0">
      <w:start w:val="1"/>
      <w:numFmt w:val="chineseCountingThousand"/>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4">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D0B7790"/>
    <w:multiLevelType w:val="multilevel"/>
    <w:tmpl w:val="1D0B7790"/>
    <w:lvl w:ilvl="0" w:tentative="0">
      <w:start w:val="1"/>
      <w:numFmt w:val="decimal"/>
      <w:lvlText w:val="8.%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2084352"/>
    <w:multiLevelType w:val="multilevel"/>
    <w:tmpl w:val="22084352"/>
    <w:lvl w:ilvl="0" w:tentative="0">
      <w:start w:val="1"/>
      <w:numFmt w:val="decimal"/>
      <w:lvlText w:val="%1."/>
      <w:lvlJc w:val="left"/>
      <w:pPr>
        <w:tabs>
          <w:tab w:val="left" w:pos="1264"/>
        </w:tabs>
        <w:ind w:left="1264"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11">
    <w:nsid w:val="33BB5A99"/>
    <w:multiLevelType w:val="multilevel"/>
    <w:tmpl w:val="33BB5A99"/>
    <w:lvl w:ilvl="0" w:tentative="0">
      <w:start w:val="1"/>
      <w:numFmt w:val="chineseCountingThousand"/>
      <w:lvlText w:val="%1、"/>
      <w:lvlJc w:val="left"/>
      <w:pPr>
        <w:tabs>
          <w:tab w:val="left" w:pos="420"/>
        </w:tabs>
        <w:ind w:left="420" w:hanging="420"/>
      </w:pPr>
      <w:rPr>
        <w:rFonts w:hint="eastAsia"/>
        <w:b w:val="0"/>
        <w:i w:val="0"/>
        <w:color w:val="auto"/>
        <w:sz w:val="21"/>
        <w:szCs w:val="21"/>
      </w:rPr>
    </w:lvl>
    <w:lvl w:ilvl="1" w:tentative="0">
      <w:start w:val="1"/>
      <w:numFmt w:val="lowerLetter"/>
      <w:lvlText w:val="%2)"/>
      <w:lvlJc w:val="left"/>
      <w:pPr>
        <w:tabs>
          <w:tab w:val="left" w:pos="-46"/>
        </w:tabs>
        <w:ind w:left="-46" w:hanging="420"/>
      </w:pPr>
    </w:lvl>
    <w:lvl w:ilvl="2" w:tentative="0">
      <w:start w:val="1"/>
      <w:numFmt w:val="lowerRoman"/>
      <w:lvlText w:val="%3."/>
      <w:lvlJc w:val="right"/>
      <w:pPr>
        <w:tabs>
          <w:tab w:val="left" w:pos="374"/>
        </w:tabs>
        <w:ind w:left="374" w:hanging="420"/>
      </w:pPr>
    </w:lvl>
    <w:lvl w:ilvl="3" w:tentative="0">
      <w:start w:val="1"/>
      <w:numFmt w:val="decimal"/>
      <w:lvlText w:val="%4."/>
      <w:lvlJc w:val="left"/>
      <w:pPr>
        <w:tabs>
          <w:tab w:val="left" w:pos="794"/>
        </w:tabs>
        <w:ind w:left="794" w:hanging="420"/>
      </w:pPr>
    </w:lvl>
    <w:lvl w:ilvl="4" w:tentative="0">
      <w:start w:val="1"/>
      <w:numFmt w:val="lowerLetter"/>
      <w:lvlText w:val="%5)"/>
      <w:lvlJc w:val="left"/>
      <w:pPr>
        <w:tabs>
          <w:tab w:val="left" w:pos="1214"/>
        </w:tabs>
        <w:ind w:left="1214" w:hanging="420"/>
      </w:pPr>
    </w:lvl>
    <w:lvl w:ilvl="5" w:tentative="0">
      <w:start w:val="1"/>
      <w:numFmt w:val="lowerRoman"/>
      <w:lvlText w:val="%6."/>
      <w:lvlJc w:val="right"/>
      <w:pPr>
        <w:tabs>
          <w:tab w:val="left" w:pos="1634"/>
        </w:tabs>
        <w:ind w:left="1634" w:hanging="420"/>
      </w:pPr>
    </w:lvl>
    <w:lvl w:ilvl="6" w:tentative="0">
      <w:start w:val="1"/>
      <w:numFmt w:val="decimal"/>
      <w:lvlText w:val="%7."/>
      <w:lvlJc w:val="left"/>
      <w:pPr>
        <w:tabs>
          <w:tab w:val="left" w:pos="2054"/>
        </w:tabs>
        <w:ind w:left="2054" w:hanging="420"/>
      </w:pPr>
    </w:lvl>
    <w:lvl w:ilvl="7" w:tentative="0">
      <w:start w:val="1"/>
      <w:numFmt w:val="lowerLetter"/>
      <w:lvlText w:val="%8)"/>
      <w:lvlJc w:val="left"/>
      <w:pPr>
        <w:tabs>
          <w:tab w:val="left" w:pos="2474"/>
        </w:tabs>
        <w:ind w:left="2474" w:hanging="420"/>
      </w:pPr>
    </w:lvl>
    <w:lvl w:ilvl="8" w:tentative="0">
      <w:start w:val="1"/>
      <w:numFmt w:val="lowerRoman"/>
      <w:lvlText w:val="%9."/>
      <w:lvlJc w:val="right"/>
      <w:pPr>
        <w:tabs>
          <w:tab w:val="left" w:pos="2894"/>
        </w:tabs>
        <w:ind w:left="2894" w:hanging="420"/>
      </w:pPr>
    </w:lvl>
  </w:abstractNum>
  <w:abstractNum w:abstractNumId="12">
    <w:nsid w:val="396B058F"/>
    <w:multiLevelType w:val="singleLevel"/>
    <w:tmpl w:val="396B058F"/>
    <w:lvl w:ilvl="0" w:tentative="0">
      <w:start w:val="1"/>
      <w:numFmt w:val="decimal"/>
      <w:suff w:val="nothing"/>
      <w:lvlText w:val="（%1）"/>
      <w:lvlJc w:val="left"/>
    </w:lvl>
  </w:abstractNum>
  <w:abstractNum w:abstractNumId="13">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2F42418"/>
    <w:multiLevelType w:val="multilevel"/>
    <w:tmpl w:val="52F42418"/>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decimal"/>
      <w:lvlText w:val="%2、"/>
      <w:lvlJc w:val="left"/>
      <w:pPr>
        <w:tabs>
          <w:tab w:val="left" w:pos="885"/>
        </w:tabs>
        <w:ind w:left="885" w:hanging="360"/>
      </w:pPr>
      <w:rPr>
        <w:rFonts w:hint="default" w:cs="Arial"/>
        <w:b w:val="0"/>
        <w:color w:val="auto"/>
        <w:sz w:val="21"/>
        <w:szCs w:val="21"/>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5">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56DFFC1F"/>
    <w:multiLevelType w:val="singleLevel"/>
    <w:tmpl w:val="56DFFC1F"/>
    <w:lvl w:ilvl="0" w:tentative="0">
      <w:start w:val="1"/>
      <w:numFmt w:val="decimal"/>
      <w:suff w:val="space"/>
      <w:lvlText w:val="(%1)"/>
      <w:lvlJc w:val="left"/>
    </w:lvl>
  </w:abstractNum>
  <w:abstractNum w:abstractNumId="17">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59F803EB"/>
    <w:multiLevelType w:val="singleLevel"/>
    <w:tmpl w:val="59F803EB"/>
    <w:lvl w:ilvl="0" w:tentative="0">
      <w:start w:val="3"/>
      <w:numFmt w:val="chineseCounting"/>
      <w:suff w:val="nothing"/>
      <w:lvlText w:val="（%1）"/>
      <w:lvlJc w:val="left"/>
    </w:lvl>
  </w:abstractNum>
  <w:abstractNum w:abstractNumId="19">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9E4400"/>
    <w:multiLevelType w:val="multilevel"/>
    <w:tmpl w:val="779E4400"/>
    <w:lvl w:ilvl="0" w:tentative="0">
      <w:start w:val="1"/>
      <w:numFmt w:val="decimal"/>
      <w:lvlText w:val="7.%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19"/>
  </w:num>
  <w:num w:numId="7">
    <w:abstractNumId w:val="17"/>
  </w:num>
  <w:num w:numId="8">
    <w:abstractNumId w:val="13"/>
  </w:num>
  <w:num w:numId="9">
    <w:abstractNumId w:val="2"/>
  </w:num>
  <w:num w:numId="10">
    <w:abstractNumId w:val="0"/>
  </w:num>
  <w:num w:numId="11">
    <w:abstractNumId w:val="12"/>
  </w:num>
  <w:num w:numId="12">
    <w:abstractNumId w:val="10"/>
  </w:num>
  <w:num w:numId="13">
    <w:abstractNumId w:val="22"/>
  </w:num>
  <w:num w:numId="14">
    <w:abstractNumId w:val="4"/>
  </w:num>
  <w:num w:numId="15">
    <w:abstractNumId w:val="20"/>
  </w:num>
  <w:num w:numId="16">
    <w:abstractNumId w:val="7"/>
  </w:num>
  <w:num w:numId="17">
    <w:abstractNumId w:val="15"/>
  </w:num>
  <w:num w:numId="18">
    <w:abstractNumId w:val="5"/>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73FB"/>
    <w:rsid w:val="001D6D92"/>
    <w:rsid w:val="001F053A"/>
    <w:rsid w:val="002075A9"/>
    <w:rsid w:val="00422C1A"/>
    <w:rsid w:val="00542854"/>
    <w:rsid w:val="006E4DAE"/>
    <w:rsid w:val="007A5220"/>
    <w:rsid w:val="007C756C"/>
    <w:rsid w:val="00801945"/>
    <w:rsid w:val="00822326"/>
    <w:rsid w:val="008E4121"/>
    <w:rsid w:val="009F7297"/>
    <w:rsid w:val="00C86501"/>
    <w:rsid w:val="00D71D8C"/>
    <w:rsid w:val="00FA526C"/>
    <w:rsid w:val="0E294FAB"/>
    <w:rsid w:val="13015EAF"/>
    <w:rsid w:val="199B7D6D"/>
    <w:rsid w:val="1B4670A6"/>
    <w:rsid w:val="213C08B7"/>
    <w:rsid w:val="2CC3315B"/>
    <w:rsid w:val="2E086DFA"/>
    <w:rsid w:val="348E0D5D"/>
    <w:rsid w:val="42C639B2"/>
    <w:rsid w:val="4AB976CE"/>
    <w:rsid w:val="4CAE4443"/>
    <w:rsid w:val="4EFD621C"/>
    <w:rsid w:val="508274EA"/>
    <w:rsid w:val="51B37FE0"/>
    <w:rsid w:val="580D1D0A"/>
    <w:rsid w:val="5AE23360"/>
    <w:rsid w:val="5DA219B8"/>
    <w:rsid w:val="7779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6">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7">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8">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10">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1">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2">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3">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08"/>
    <w:qFormat/>
    <w:uiPriority w:val="0"/>
    <w:rPr>
      <w:rFonts w:ascii="宋体" w:hAnsi="Courier New" w:cstheme="minorBidi"/>
      <w:szCs w:val="22"/>
    </w:rPr>
  </w:style>
  <w:style w:type="paragraph" w:customStyle="1" w:styleId="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1260"/>
      <w:jc w:val="left"/>
    </w:pPr>
    <w:rPr>
      <w:sz w:val="18"/>
      <w:szCs w:val="18"/>
    </w:rPr>
  </w:style>
  <w:style w:type="paragraph" w:styleId="16">
    <w:name w:val="List Number 2"/>
    <w:basedOn w:val="1"/>
    <w:qFormat/>
    <w:uiPriority w:val="0"/>
    <w:pPr>
      <w:tabs>
        <w:tab w:val="left" w:pos="780"/>
      </w:tabs>
      <w:ind w:left="780" w:hanging="360"/>
    </w:pPr>
  </w:style>
  <w:style w:type="paragraph" w:styleId="17">
    <w:name w:val="table of authorities"/>
    <w:basedOn w:val="1"/>
    <w:next w:val="1"/>
    <w:semiHidden/>
    <w:qFormat/>
    <w:uiPriority w:val="0"/>
    <w:pPr>
      <w:ind w:left="420" w:leftChars="200"/>
    </w:pPr>
  </w:style>
  <w:style w:type="paragraph" w:styleId="18">
    <w:name w:val="Note Heading"/>
    <w:basedOn w:val="1"/>
    <w:next w:val="1"/>
    <w:link w:val="143"/>
    <w:qFormat/>
    <w:uiPriority w:val="0"/>
    <w:pPr>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link w:val="154"/>
    <w:qFormat/>
    <w:uiPriority w:val="0"/>
  </w:style>
  <w:style w:type="paragraph" w:styleId="22">
    <w:name w:val="List Number"/>
    <w:basedOn w:val="1"/>
    <w:qFormat/>
    <w:uiPriority w:val="0"/>
    <w:pPr>
      <w:tabs>
        <w:tab w:val="left" w:pos="360"/>
      </w:tabs>
      <w:ind w:left="360" w:hanging="360"/>
    </w:pPr>
  </w:style>
  <w:style w:type="paragraph" w:styleId="23">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4">
    <w:name w:val="caption"/>
    <w:basedOn w:val="1"/>
    <w:next w:val="1"/>
    <w:qFormat/>
    <w:uiPriority w:val="0"/>
    <w:rPr>
      <w:rFonts w:ascii="Arial" w:hAnsi="Arial" w:eastAsia="黑体" w:cs="Arial"/>
      <w:sz w:val="20"/>
      <w:szCs w:val="20"/>
    </w:rPr>
  </w:style>
  <w:style w:type="paragraph" w:styleId="25">
    <w:name w:val="index 5"/>
    <w:basedOn w:val="1"/>
    <w:next w:val="1"/>
    <w:semiHidden/>
    <w:qFormat/>
    <w:uiPriority w:val="0"/>
    <w:pPr>
      <w:ind w:left="800" w:leftChars="800"/>
    </w:pPr>
  </w:style>
  <w:style w:type="paragraph" w:styleId="26">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7">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8">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9">
    <w:name w:val="toa heading"/>
    <w:basedOn w:val="1"/>
    <w:next w:val="1"/>
    <w:semiHidden/>
    <w:qFormat/>
    <w:uiPriority w:val="0"/>
    <w:pPr>
      <w:spacing w:before="120"/>
    </w:pPr>
    <w:rPr>
      <w:rFonts w:ascii="Arial" w:hAnsi="Arial" w:cs="Arial"/>
      <w:sz w:val="24"/>
    </w:rPr>
  </w:style>
  <w:style w:type="paragraph" w:styleId="30">
    <w:name w:val="annotation text"/>
    <w:basedOn w:val="1"/>
    <w:link w:val="113"/>
    <w:semiHidden/>
    <w:qFormat/>
    <w:uiPriority w:val="0"/>
    <w:pPr>
      <w:jc w:val="left"/>
    </w:pPr>
    <w:rPr>
      <w:rFonts w:asciiTheme="minorHAnsi" w:hAnsiTheme="minorHAnsi" w:cstheme="minorBidi"/>
    </w:rPr>
  </w:style>
  <w:style w:type="paragraph" w:styleId="31">
    <w:name w:val="index 6"/>
    <w:basedOn w:val="1"/>
    <w:next w:val="1"/>
    <w:semiHidden/>
    <w:qFormat/>
    <w:uiPriority w:val="0"/>
    <w:pPr>
      <w:ind w:left="1000" w:leftChars="1000"/>
    </w:pPr>
  </w:style>
  <w:style w:type="paragraph" w:styleId="32">
    <w:name w:val="Salutation"/>
    <w:basedOn w:val="1"/>
    <w:next w:val="1"/>
    <w:link w:val="131"/>
    <w:qFormat/>
    <w:uiPriority w:val="0"/>
  </w:style>
  <w:style w:type="paragraph" w:styleId="33">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4">
    <w:name w:val="Closing"/>
    <w:basedOn w:val="1"/>
    <w:link w:val="142"/>
    <w:qFormat/>
    <w:uiPriority w:val="0"/>
    <w:pPr>
      <w:ind w:left="100" w:leftChars="2100"/>
    </w:pPr>
  </w:style>
  <w:style w:type="paragraph" w:styleId="35">
    <w:name w:val="List Bullet 3"/>
    <w:basedOn w:val="1"/>
    <w:qFormat/>
    <w:uiPriority w:val="0"/>
    <w:pPr>
      <w:tabs>
        <w:tab w:val="left" w:pos="905"/>
      </w:tabs>
      <w:ind w:left="905" w:hanging="425"/>
    </w:pPr>
    <w:rPr>
      <w:sz w:val="24"/>
      <w:szCs w:val="20"/>
    </w:rPr>
  </w:style>
  <w:style w:type="paragraph" w:styleId="36">
    <w:name w:val="Body Text"/>
    <w:basedOn w:val="1"/>
    <w:link w:val="109"/>
    <w:qFormat/>
    <w:uiPriority w:val="0"/>
    <w:pPr>
      <w:spacing w:after="120"/>
    </w:pPr>
    <w:rPr>
      <w:rFonts w:asciiTheme="minorHAnsi" w:hAnsiTheme="minorHAnsi" w:cstheme="minorBidi"/>
    </w:rPr>
  </w:style>
  <w:style w:type="paragraph" w:styleId="37">
    <w:name w:val="Body Text Indent"/>
    <w:basedOn w:val="1"/>
    <w:link w:val="126"/>
    <w:unhideWhenUsed/>
    <w:qFormat/>
    <w:uiPriority w:val="0"/>
    <w:pPr>
      <w:spacing w:after="120"/>
      <w:ind w:left="420" w:leftChars="200"/>
    </w:pPr>
  </w:style>
  <w:style w:type="paragraph" w:styleId="38">
    <w:name w:val="List Number 3"/>
    <w:basedOn w:val="1"/>
    <w:qFormat/>
    <w:uiPriority w:val="0"/>
    <w:pPr>
      <w:tabs>
        <w:tab w:val="left" w:pos="1200"/>
      </w:tabs>
      <w:ind w:left="1200" w:hanging="360"/>
    </w:pPr>
  </w:style>
  <w:style w:type="paragraph" w:styleId="39">
    <w:name w:val="List 2"/>
    <w:basedOn w:val="1"/>
    <w:qFormat/>
    <w:uiPriority w:val="0"/>
    <w:pPr>
      <w:ind w:left="100" w:leftChars="200" w:hanging="200" w:hangingChars="200"/>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tabs>
        <w:tab w:val="left" w:pos="780"/>
      </w:tabs>
      <w:ind w:left="780" w:hanging="360"/>
    </w:pPr>
  </w:style>
  <w:style w:type="paragraph" w:styleId="43">
    <w:name w:val="HTML Address"/>
    <w:basedOn w:val="1"/>
    <w:link w:val="135"/>
    <w:qFormat/>
    <w:uiPriority w:val="0"/>
    <w:rPr>
      <w:i/>
      <w:iCs/>
    </w:rPr>
  </w:style>
  <w:style w:type="paragraph" w:styleId="44">
    <w:name w:val="index 4"/>
    <w:basedOn w:val="1"/>
    <w:next w:val="1"/>
    <w:semiHidden/>
    <w:qFormat/>
    <w:uiPriority w:val="0"/>
    <w:pPr>
      <w:ind w:left="600" w:leftChars="600"/>
    </w:pPr>
  </w:style>
  <w:style w:type="paragraph" w:styleId="45">
    <w:name w:val="toc 5"/>
    <w:basedOn w:val="1"/>
    <w:next w:val="1"/>
    <w:qFormat/>
    <w:uiPriority w:val="0"/>
    <w:pPr>
      <w:ind w:left="840"/>
      <w:jc w:val="left"/>
    </w:pPr>
    <w:rPr>
      <w:sz w:val="18"/>
      <w:szCs w:val="18"/>
    </w:rPr>
  </w:style>
  <w:style w:type="paragraph" w:styleId="46">
    <w:name w:val="toc 3"/>
    <w:basedOn w:val="1"/>
    <w:next w:val="1"/>
    <w:qFormat/>
    <w:uiPriority w:val="0"/>
    <w:pPr>
      <w:ind w:left="420"/>
      <w:jc w:val="left"/>
    </w:pPr>
    <w:rPr>
      <w:i/>
      <w:iCs/>
      <w:sz w:val="20"/>
      <w:szCs w:val="20"/>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18"/>
    </w:rPr>
  </w:style>
  <w:style w:type="paragraph" w:styleId="50">
    <w:name w:val="index 3"/>
    <w:basedOn w:val="1"/>
    <w:next w:val="1"/>
    <w:semiHidden/>
    <w:qFormat/>
    <w:uiPriority w:val="0"/>
    <w:pPr>
      <w:ind w:left="400" w:leftChars="400"/>
    </w:pPr>
  </w:style>
  <w:style w:type="paragraph" w:styleId="51">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2">
    <w:name w:val="Body Text Indent 2"/>
    <w:basedOn w:val="1"/>
    <w:link w:val="134"/>
    <w:qFormat/>
    <w:uiPriority w:val="0"/>
    <w:pPr>
      <w:spacing w:line="360" w:lineRule="auto"/>
      <w:ind w:left="718" w:leftChars="342"/>
    </w:pPr>
    <w:rPr>
      <w:rFonts w:ascii="宋体" w:hAnsi="宋体"/>
      <w:sz w:val="24"/>
    </w:rPr>
  </w:style>
  <w:style w:type="paragraph" w:styleId="53">
    <w:name w:val="endnote text"/>
    <w:basedOn w:val="1"/>
    <w:link w:val="141"/>
    <w:semiHidden/>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14"/>
    <w:qFormat/>
    <w:uiPriority w:val="0"/>
    <w:rPr>
      <w:rFonts w:asciiTheme="minorHAnsi" w:hAnsiTheme="minorHAnsi" w:eastAsiaTheme="minorEastAsia" w:cstheme="minorBidi"/>
      <w:sz w:val="18"/>
      <w:szCs w:val="18"/>
    </w:rPr>
  </w:style>
  <w:style w:type="paragraph" w:styleId="56">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7">
    <w:name w:val="envelope return"/>
    <w:basedOn w:val="1"/>
    <w:qFormat/>
    <w:uiPriority w:val="0"/>
    <w:pPr>
      <w:snapToGrid w:val="0"/>
    </w:pPr>
    <w:rPr>
      <w:rFonts w:ascii="Arial" w:hAnsi="Arial" w:cs="Arial"/>
    </w:rPr>
  </w:style>
  <w:style w:type="paragraph" w:styleId="58">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9">
    <w:name w:val="Signature"/>
    <w:basedOn w:val="1"/>
    <w:link w:val="146"/>
    <w:qFormat/>
    <w:uiPriority w:val="0"/>
    <w:pPr>
      <w:ind w:left="100" w:leftChars="2100"/>
    </w:pPr>
  </w:style>
  <w:style w:type="paragraph" w:styleId="60">
    <w:name w:val="toc 1"/>
    <w:basedOn w:val="1"/>
    <w:next w:val="1"/>
    <w:qFormat/>
    <w:uiPriority w:val="39"/>
    <w:pPr>
      <w:spacing w:before="120" w:after="120"/>
      <w:jc w:val="left"/>
    </w:pPr>
    <w:rPr>
      <w:b/>
      <w:bCs/>
      <w:caps/>
      <w:sz w:val="20"/>
      <w:szCs w:val="2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semiHidden/>
    <w:qFormat/>
    <w:uiPriority w:val="0"/>
  </w:style>
  <w:style w:type="paragraph" w:styleId="65">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tabs>
        <w:tab w:val="left" w:pos="360"/>
        <w:tab w:val="left" w:pos="709"/>
      </w:tabs>
      <w:spacing w:line="300" w:lineRule="auto"/>
      <w:ind w:left="363" w:hanging="170"/>
    </w:pPr>
    <w:rPr>
      <w:spacing w:val="20"/>
      <w:szCs w:val="20"/>
    </w:rPr>
  </w:style>
  <w:style w:type="paragraph" w:styleId="68">
    <w:name w:val="footnote text"/>
    <w:basedOn w:val="1"/>
    <w:link w:val="156"/>
    <w:semiHidden/>
    <w:qFormat/>
    <w:uiPriority w:val="0"/>
    <w:pPr>
      <w:snapToGrid w:val="0"/>
      <w:jc w:val="left"/>
    </w:pPr>
    <w:rPr>
      <w:sz w:val="18"/>
      <w:szCs w:val="18"/>
    </w:rPr>
  </w:style>
  <w:style w:type="paragraph" w:styleId="69">
    <w:name w:val="toc 6"/>
    <w:basedOn w:val="1"/>
    <w:next w:val="1"/>
    <w:qFormat/>
    <w:uiPriority w:val="0"/>
    <w:pPr>
      <w:ind w:left="105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157"/>
    <w:qFormat/>
    <w:uiPriority w:val="0"/>
    <w:pPr>
      <w:spacing w:line="360" w:lineRule="auto"/>
      <w:ind w:firstLine="480" w:firstLineChars="200"/>
    </w:pPr>
    <w:rPr>
      <w:rFonts w:ascii="宋体" w:hAnsi="宋体"/>
      <w:sz w:val="24"/>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ind w:left="200" w:leftChars="200" w:hanging="200" w:hangingChars="200"/>
    </w:pPr>
  </w:style>
  <w:style w:type="paragraph" w:styleId="75">
    <w:name w:val="toc 2"/>
    <w:basedOn w:val="1"/>
    <w:next w:val="1"/>
    <w:qFormat/>
    <w:uiPriority w:val="0"/>
    <w:pPr>
      <w:ind w:left="210"/>
      <w:jc w:val="left"/>
    </w:pPr>
    <w:rPr>
      <w:smallCaps/>
      <w:sz w:val="20"/>
      <w:szCs w:val="20"/>
    </w:rPr>
  </w:style>
  <w:style w:type="paragraph" w:styleId="76">
    <w:name w:val="toc 9"/>
    <w:basedOn w:val="1"/>
    <w:next w:val="1"/>
    <w:qFormat/>
    <w:uiPriority w:val="0"/>
    <w:pPr>
      <w:ind w:left="1680"/>
      <w:jc w:val="left"/>
    </w:pPr>
    <w:rPr>
      <w:sz w:val="18"/>
      <w:szCs w:val="18"/>
    </w:rPr>
  </w:style>
  <w:style w:type="paragraph" w:styleId="77">
    <w:name w:val="Body Text 2"/>
    <w:basedOn w:val="1"/>
    <w:link w:val="119"/>
    <w:qFormat/>
    <w:uiPriority w:val="0"/>
    <w:rPr>
      <w:rFonts w:asciiTheme="minorHAnsi" w:hAnsiTheme="minorHAnsi" w:eastAsiaTheme="minorEastAsia" w:cstheme="minorBidi"/>
      <w:sz w:val="18"/>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ind w:left="200" w:leftChars="200"/>
    </w:pPr>
  </w:style>
  <w:style w:type="paragraph" w:styleId="85">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6">
    <w:name w:val="annotation subject"/>
    <w:basedOn w:val="30"/>
    <w:next w:val="30"/>
    <w:link w:val="116"/>
    <w:qFormat/>
    <w:uiPriority w:val="0"/>
    <w:rPr>
      <w:rFonts w:eastAsiaTheme="minorEastAsia"/>
      <w:b/>
      <w:bCs/>
    </w:rPr>
  </w:style>
  <w:style w:type="paragraph" w:styleId="87">
    <w:name w:val="Body Text First Indent"/>
    <w:basedOn w:val="36"/>
    <w:link w:val="117"/>
    <w:qFormat/>
    <w:uiPriority w:val="0"/>
    <w:pPr>
      <w:widowControl/>
      <w:ind w:firstLine="420" w:firstLineChars="100"/>
      <w:jc w:val="left"/>
    </w:pPr>
    <w:rPr>
      <w:rFonts w:ascii="楷体_GB2312" w:eastAsia="楷体_GB2312"/>
      <w:b/>
      <w:sz w:val="30"/>
    </w:rPr>
  </w:style>
  <w:style w:type="paragraph" w:styleId="88">
    <w:name w:val="Body Text First Indent 2"/>
    <w:basedOn w:val="37"/>
    <w:link w:val="127"/>
    <w:qFormat/>
    <w:uiPriority w:val="0"/>
    <w:pPr>
      <w:ind w:firstLine="420" w:firstLineChars="200"/>
    </w:pPr>
    <w:rPr>
      <w:rFonts w:ascii="Times New Roman" w:hAnsi="Times New Roman"/>
    </w:rPr>
  </w:style>
  <w:style w:type="table" w:styleId="90">
    <w:name w:val="Table Grid"/>
    <w:basedOn w:val="8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qFormat/>
    <w:uiPriority w:val="0"/>
    <w:rPr>
      <w:rFonts w:eastAsia="黑体"/>
      <w:b/>
      <w:bCs/>
      <w:sz w:val="44"/>
    </w:rPr>
  </w:style>
  <w:style w:type="character" w:styleId="93">
    <w:name w:val="page number"/>
    <w:basedOn w:val="91"/>
    <w:qFormat/>
    <w:uiPriority w:val="0"/>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样式 宋体 小四 行距: 1.5 倍行距"/>
    <w:basedOn w:val="1"/>
    <w:qFormat/>
    <w:uiPriority w:val="0"/>
    <w:rPr>
      <w:rFonts w:ascii="宋体" w:hAnsi="宋体" w:cs="宋体"/>
      <w:sz w:val="28"/>
    </w:rPr>
  </w:style>
  <w:style w:type="character" w:customStyle="1" w:styleId="97">
    <w:name w:val="标题 1 Char"/>
    <w:basedOn w:val="91"/>
    <w:link w:val="5"/>
    <w:qFormat/>
    <w:uiPriority w:val="0"/>
    <w:rPr>
      <w:rFonts w:ascii="宋体" w:hAnsi="宋体" w:eastAsia="宋体" w:cs="Times New Roman"/>
      <w:b/>
      <w:bCs/>
      <w:sz w:val="48"/>
      <w:szCs w:val="24"/>
    </w:rPr>
  </w:style>
  <w:style w:type="character" w:customStyle="1" w:styleId="98">
    <w:name w:val="标题 2 Char"/>
    <w:basedOn w:val="91"/>
    <w:link w:val="6"/>
    <w:qFormat/>
    <w:uiPriority w:val="0"/>
    <w:rPr>
      <w:rFonts w:ascii="宋体" w:hAnsi="宋体" w:eastAsia="宋体" w:cs="Times New Roman"/>
      <w:b/>
      <w:kern w:val="0"/>
      <w:sz w:val="30"/>
      <w:szCs w:val="20"/>
    </w:rPr>
  </w:style>
  <w:style w:type="character" w:customStyle="1" w:styleId="99">
    <w:name w:val="标题 3 Char"/>
    <w:basedOn w:val="91"/>
    <w:link w:val="7"/>
    <w:qFormat/>
    <w:uiPriority w:val="0"/>
    <w:rPr>
      <w:rFonts w:ascii="宋体" w:hAnsi="宋体" w:eastAsia="宋体" w:cs="Times New Roman"/>
      <w:b/>
      <w:kern w:val="0"/>
      <w:sz w:val="28"/>
      <w:szCs w:val="20"/>
    </w:rPr>
  </w:style>
  <w:style w:type="character" w:customStyle="1" w:styleId="100">
    <w:name w:val="标题 4 Char"/>
    <w:basedOn w:val="91"/>
    <w:link w:val="8"/>
    <w:qFormat/>
    <w:uiPriority w:val="0"/>
    <w:rPr>
      <w:rFonts w:ascii="Arial" w:hAnsi="Arial" w:eastAsia="黑体" w:cs="Times New Roman"/>
      <w:b/>
      <w:bCs/>
      <w:sz w:val="28"/>
      <w:szCs w:val="28"/>
    </w:rPr>
  </w:style>
  <w:style w:type="character" w:customStyle="1" w:styleId="101">
    <w:name w:val="标题 5 Char"/>
    <w:basedOn w:val="91"/>
    <w:link w:val="9"/>
    <w:qFormat/>
    <w:uiPriority w:val="0"/>
    <w:rPr>
      <w:rFonts w:ascii="Arial" w:hAnsi="Arial" w:eastAsia="宋体" w:cs="Times New Roman"/>
      <w:kern w:val="0"/>
      <w:sz w:val="22"/>
      <w:szCs w:val="20"/>
    </w:rPr>
  </w:style>
  <w:style w:type="character" w:customStyle="1" w:styleId="102">
    <w:name w:val="标题 6 Char"/>
    <w:basedOn w:val="91"/>
    <w:link w:val="10"/>
    <w:qFormat/>
    <w:uiPriority w:val="0"/>
    <w:rPr>
      <w:rFonts w:ascii="Calibri" w:hAnsi="Arial" w:eastAsia="宋体" w:cs="Times New Roman"/>
      <w:i/>
      <w:kern w:val="0"/>
      <w:sz w:val="22"/>
      <w:szCs w:val="20"/>
    </w:rPr>
  </w:style>
  <w:style w:type="character" w:customStyle="1" w:styleId="103">
    <w:name w:val="标题 7 Char"/>
    <w:basedOn w:val="91"/>
    <w:link w:val="11"/>
    <w:qFormat/>
    <w:uiPriority w:val="0"/>
    <w:rPr>
      <w:rFonts w:ascii="Arial" w:hAnsi="Arial" w:eastAsia="宋体" w:cs="Times New Roman"/>
      <w:kern w:val="0"/>
      <w:sz w:val="20"/>
      <w:szCs w:val="20"/>
    </w:rPr>
  </w:style>
  <w:style w:type="character" w:customStyle="1" w:styleId="104">
    <w:name w:val="标题 8 Char"/>
    <w:basedOn w:val="91"/>
    <w:link w:val="12"/>
    <w:qFormat/>
    <w:uiPriority w:val="0"/>
    <w:rPr>
      <w:rFonts w:ascii="Arial" w:hAnsi="Arial" w:eastAsia="宋体" w:cs="Times New Roman"/>
      <w:i/>
      <w:kern w:val="0"/>
      <w:sz w:val="20"/>
      <w:szCs w:val="20"/>
    </w:rPr>
  </w:style>
  <w:style w:type="character" w:customStyle="1" w:styleId="105">
    <w:name w:val="标题 9 Char"/>
    <w:basedOn w:val="91"/>
    <w:link w:val="13"/>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2"/>
    <w:qFormat/>
    <w:locked/>
    <w:uiPriority w:val="0"/>
    <w:rPr>
      <w:rFonts w:ascii="宋体" w:hAnsi="Courier New" w:eastAsia="宋体"/>
    </w:rPr>
  </w:style>
  <w:style w:type="character" w:customStyle="1" w:styleId="109">
    <w:name w:val="正文文本 Char"/>
    <w:link w:val="36"/>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6"/>
    <w:qFormat/>
    <w:uiPriority w:val="0"/>
    <w:rPr>
      <w:sz w:val="18"/>
    </w:rPr>
  </w:style>
  <w:style w:type="character" w:customStyle="1" w:styleId="112">
    <w:name w:val="页眉 Char"/>
    <w:link w:val="58"/>
    <w:qFormat/>
    <w:uiPriority w:val="0"/>
    <w:rPr>
      <w:sz w:val="18"/>
      <w:szCs w:val="18"/>
    </w:rPr>
  </w:style>
  <w:style w:type="character" w:customStyle="1" w:styleId="113">
    <w:name w:val="批注文字 Char"/>
    <w:link w:val="30"/>
    <w:semiHidden/>
    <w:qFormat/>
    <w:uiPriority w:val="0"/>
    <w:rPr>
      <w:rFonts w:eastAsia="宋体"/>
      <w:szCs w:val="24"/>
    </w:rPr>
  </w:style>
  <w:style w:type="character" w:customStyle="1" w:styleId="114">
    <w:name w:val="批注框文本 Char"/>
    <w:link w:val="55"/>
    <w:qFormat/>
    <w:uiPriority w:val="0"/>
    <w:rPr>
      <w:sz w:val="18"/>
      <w:szCs w:val="18"/>
    </w:rPr>
  </w:style>
  <w:style w:type="character" w:customStyle="1" w:styleId="115">
    <w:name w:val="文档结构图 Char"/>
    <w:link w:val="28"/>
    <w:qFormat/>
    <w:uiPriority w:val="0"/>
    <w:rPr>
      <w:szCs w:val="24"/>
      <w:shd w:val="clear" w:color="auto" w:fill="000080"/>
    </w:rPr>
  </w:style>
  <w:style w:type="character" w:customStyle="1" w:styleId="116">
    <w:name w:val="批注主题 Char"/>
    <w:link w:val="86"/>
    <w:qFormat/>
    <w:uiPriority w:val="0"/>
    <w:rPr>
      <w:b/>
      <w:bCs/>
      <w:szCs w:val="24"/>
    </w:rPr>
  </w:style>
  <w:style w:type="character" w:customStyle="1" w:styleId="117">
    <w:name w:val="正文首行缩进 Char"/>
    <w:link w:val="87"/>
    <w:qFormat/>
    <w:uiPriority w:val="0"/>
    <w:rPr>
      <w:rFonts w:ascii="楷体_GB2312" w:eastAsia="楷体_GB2312"/>
      <w:b/>
      <w:sz w:val="30"/>
      <w:szCs w:val="24"/>
    </w:rPr>
  </w:style>
  <w:style w:type="character" w:customStyle="1" w:styleId="118">
    <w:name w:val="正文文本 3 Char"/>
    <w:link w:val="33"/>
    <w:qFormat/>
    <w:uiPriority w:val="0"/>
    <w:rPr>
      <w:sz w:val="24"/>
    </w:rPr>
  </w:style>
  <w:style w:type="character" w:customStyle="1" w:styleId="119">
    <w:name w:val="正文文本 2 Char"/>
    <w:link w:val="77"/>
    <w:qFormat/>
    <w:uiPriority w:val="0"/>
    <w:rPr>
      <w:sz w:val="18"/>
      <w:szCs w:val="24"/>
    </w:rPr>
  </w:style>
  <w:style w:type="character" w:customStyle="1" w:styleId="120">
    <w:name w:val="正文缩进 Char"/>
    <w:link w:val="23"/>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5"/>
    <w:qFormat/>
    <w:uiPriority w:val="0"/>
    <w:rPr>
      <w:rFonts w:ascii="Arial" w:hAnsi="Arial"/>
      <w:b/>
      <w:bCs/>
      <w:sz w:val="32"/>
      <w:szCs w:val="32"/>
    </w:rPr>
  </w:style>
  <w:style w:type="character" w:customStyle="1" w:styleId="124">
    <w:name w:val="页眉 Char1"/>
    <w:basedOn w:val="91"/>
    <w:semiHidden/>
    <w:qFormat/>
    <w:uiPriority w:val="99"/>
    <w:rPr>
      <w:rFonts w:ascii="Calibri" w:hAnsi="Calibri" w:eastAsia="宋体" w:cs="Times New Roman"/>
      <w:sz w:val="18"/>
      <w:szCs w:val="18"/>
    </w:rPr>
  </w:style>
  <w:style w:type="character" w:customStyle="1" w:styleId="125">
    <w:name w:val="HTML 预设格式 Char"/>
    <w:basedOn w:val="91"/>
    <w:link w:val="81"/>
    <w:qFormat/>
    <w:uiPriority w:val="0"/>
    <w:rPr>
      <w:rFonts w:ascii="黑体" w:hAnsi="Courier New" w:eastAsia="黑体" w:cs="Courier New"/>
      <w:kern w:val="0"/>
      <w:sz w:val="20"/>
      <w:szCs w:val="20"/>
    </w:rPr>
  </w:style>
  <w:style w:type="character" w:customStyle="1" w:styleId="126">
    <w:name w:val="正文文本缩进 Char1"/>
    <w:basedOn w:val="91"/>
    <w:link w:val="37"/>
    <w:semiHidden/>
    <w:qFormat/>
    <w:uiPriority w:val="99"/>
    <w:rPr>
      <w:rFonts w:ascii="Calibri" w:hAnsi="Calibri" w:eastAsia="宋体" w:cs="Times New Roman"/>
      <w:szCs w:val="24"/>
    </w:rPr>
  </w:style>
  <w:style w:type="character" w:customStyle="1" w:styleId="127">
    <w:name w:val="正文首行缩进 2 Char"/>
    <w:basedOn w:val="126"/>
    <w:link w:val="88"/>
    <w:qFormat/>
    <w:uiPriority w:val="0"/>
    <w:rPr>
      <w:rFonts w:ascii="Times New Roman" w:hAnsi="Times New Roman" w:eastAsia="宋体" w:cs="Times New Roman"/>
      <w:szCs w:val="24"/>
    </w:rPr>
  </w:style>
  <w:style w:type="character" w:customStyle="1" w:styleId="128">
    <w:name w:val="正文文本 3 Char1"/>
    <w:basedOn w:val="91"/>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1"/>
    <w:semiHidden/>
    <w:qFormat/>
    <w:uiPriority w:val="99"/>
    <w:rPr>
      <w:rFonts w:ascii="Calibri" w:hAnsi="Calibri" w:eastAsia="宋体" w:cs="Times New Roman"/>
      <w:szCs w:val="24"/>
    </w:rPr>
  </w:style>
  <w:style w:type="character" w:customStyle="1" w:styleId="131">
    <w:name w:val="称呼 Char"/>
    <w:basedOn w:val="91"/>
    <w:link w:val="32"/>
    <w:qFormat/>
    <w:uiPriority w:val="0"/>
    <w:rPr>
      <w:rFonts w:ascii="Calibri" w:hAnsi="Calibri" w:eastAsia="宋体" w:cs="Times New Roman"/>
      <w:szCs w:val="24"/>
    </w:rPr>
  </w:style>
  <w:style w:type="character" w:customStyle="1" w:styleId="132">
    <w:name w:val="正文文本 2 Char1"/>
    <w:basedOn w:val="91"/>
    <w:semiHidden/>
    <w:qFormat/>
    <w:uiPriority w:val="99"/>
    <w:rPr>
      <w:rFonts w:ascii="Calibri" w:hAnsi="Calibri" w:eastAsia="宋体" w:cs="Times New Roman"/>
      <w:szCs w:val="24"/>
    </w:rPr>
  </w:style>
  <w:style w:type="character" w:customStyle="1" w:styleId="133">
    <w:name w:val="副标题 Char"/>
    <w:basedOn w:val="91"/>
    <w:link w:val="65"/>
    <w:qFormat/>
    <w:uiPriority w:val="0"/>
    <w:rPr>
      <w:rFonts w:ascii="Arial" w:hAnsi="Arial" w:eastAsia="宋体" w:cs="Arial"/>
      <w:b/>
      <w:bCs/>
      <w:kern w:val="28"/>
      <w:sz w:val="32"/>
      <w:szCs w:val="32"/>
    </w:rPr>
  </w:style>
  <w:style w:type="character" w:customStyle="1" w:styleId="134">
    <w:name w:val="正文文本缩进 2 Char"/>
    <w:basedOn w:val="91"/>
    <w:link w:val="52"/>
    <w:qFormat/>
    <w:uiPriority w:val="0"/>
    <w:rPr>
      <w:rFonts w:ascii="宋体" w:hAnsi="宋体" w:eastAsia="宋体" w:cs="Times New Roman"/>
      <w:sz w:val="24"/>
      <w:szCs w:val="24"/>
    </w:rPr>
  </w:style>
  <w:style w:type="character" w:customStyle="1" w:styleId="135">
    <w:name w:val="HTML 地址 Char"/>
    <w:basedOn w:val="91"/>
    <w:link w:val="43"/>
    <w:qFormat/>
    <w:uiPriority w:val="0"/>
    <w:rPr>
      <w:rFonts w:ascii="Calibri" w:hAnsi="Calibri" w:eastAsia="宋体" w:cs="Times New Roman"/>
      <w:i/>
      <w:iCs/>
      <w:szCs w:val="24"/>
    </w:rPr>
  </w:style>
  <w:style w:type="character" w:customStyle="1" w:styleId="136">
    <w:name w:val="批注文字 Char1"/>
    <w:basedOn w:val="91"/>
    <w:semiHidden/>
    <w:qFormat/>
    <w:uiPriority w:val="99"/>
    <w:rPr>
      <w:rFonts w:ascii="Calibri" w:hAnsi="Calibri" w:eastAsia="宋体" w:cs="Times New Roman"/>
      <w:szCs w:val="24"/>
    </w:rPr>
  </w:style>
  <w:style w:type="character" w:customStyle="1" w:styleId="137">
    <w:name w:val="日期 Char"/>
    <w:basedOn w:val="91"/>
    <w:link w:val="51"/>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1"/>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8"/>
    <w:qFormat/>
    <w:uiPriority w:val="0"/>
    <w:rPr>
      <w:szCs w:val="20"/>
    </w:rPr>
  </w:style>
  <w:style w:type="character" w:customStyle="1" w:styleId="141">
    <w:name w:val="尾注文本 Char"/>
    <w:basedOn w:val="91"/>
    <w:link w:val="53"/>
    <w:semiHidden/>
    <w:qFormat/>
    <w:uiPriority w:val="0"/>
    <w:rPr>
      <w:rFonts w:ascii="Calibri" w:hAnsi="Calibri" w:eastAsia="宋体" w:cs="Times New Roman"/>
      <w:szCs w:val="24"/>
    </w:rPr>
  </w:style>
  <w:style w:type="character" w:customStyle="1" w:styleId="142">
    <w:name w:val="结束语 Char"/>
    <w:basedOn w:val="91"/>
    <w:link w:val="34"/>
    <w:qFormat/>
    <w:uiPriority w:val="0"/>
    <w:rPr>
      <w:rFonts w:ascii="Calibri" w:hAnsi="Calibri" w:eastAsia="宋体" w:cs="Times New Roman"/>
      <w:szCs w:val="24"/>
    </w:rPr>
  </w:style>
  <w:style w:type="character" w:customStyle="1" w:styleId="143">
    <w:name w:val="注释标题 Char"/>
    <w:basedOn w:val="91"/>
    <w:link w:val="18"/>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1"/>
    <w:qFormat/>
    <w:uiPriority w:val="10"/>
    <w:rPr>
      <w:rFonts w:eastAsia="宋体" w:asciiTheme="majorHAnsi" w:hAnsiTheme="majorHAnsi" w:cstheme="majorBidi"/>
      <w:b/>
      <w:bCs/>
      <w:sz w:val="32"/>
      <w:szCs w:val="32"/>
    </w:rPr>
  </w:style>
  <w:style w:type="character" w:customStyle="1" w:styleId="146">
    <w:name w:val="签名 Char"/>
    <w:basedOn w:val="91"/>
    <w:link w:val="59"/>
    <w:qFormat/>
    <w:uiPriority w:val="0"/>
    <w:rPr>
      <w:rFonts w:ascii="Calibri" w:hAnsi="Calibri" w:eastAsia="宋体" w:cs="Times New Roman"/>
      <w:szCs w:val="24"/>
    </w:rPr>
  </w:style>
  <w:style w:type="character" w:customStyle="1" w:styleId="147">
    <w:name w:val="信息标题 Char"/>
    <w:basedOn w:val="91"/>
    <w:link w:val="80"/>
    <w:qFormat/>
    <w:uiPriority w:val="0"/>
    <w:rPr>
      <w:rFonts w:ascii="Arial" w:hAnsi="Arial" w:eastAsia="宋体" w:cs="Arial"/>
      <w:sz w:val="24"/>
      <w:szCs w:val="24"/>
      <w:shd w:val="pct20" w:color="auto" w:fill="auto"/>
    </w:rPr>
  </w:style>
  <w:style w:type="character" w:customStyle="1" w:styleId="148">
    <w:name w:val="批注框文本 Char1"/>
    <w:basedOn w:val="91"/>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1"/>
    <w:link w:val="4"/>
    <w:semiHidden/>
    <w:qFormat/>
    <w:uiPriority w:val="0"/>
    <w:rPr>
      <w:rFonts w:ascii="Courier New" w:hAnsi="Courier New" w:eastAsia="宋体" w:cs="Courier New"/>
      <w:sz w:val="24"/>
      <w:szCs w:val="24"/>
    </w:rPr>
  </w:style>
  <w:style w:type="character" w:customStyle="1" w:styleId="151">
    <w:name w:val="页脚 Char1"/>
    <w:basedOn w:val="91"/>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1"/>
    <w:semiHidden/>
    <w:qFormat/>
    <w:uiPriority w:val="99"/>
    <w:rPr>
      <w:rFonts w:ascii="宋体" w:hAnsi="Courier New" w:eastAsia="宋体" w:cs="Courier New"/>
      <w:szCs w:val="21"/>
    </w:rPr>
  </w:style>
  <w:style w:type="character" w:customStyle="1" w:styleId="154">
    <w:name w:val="电子邮件签名 Char"/>
    <w:basedOn w:val="91"/>
    <w:link w:val="21"/>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1"/>
    <w:link w:val="68"/>
    <w:semiHidden/>
    <w:qFormat/>
    <w:uiPriority w:val="0"/>
    <w:rPr>
      <w:rFonts w:ascii="Calibri" w:hAnsi="Calibri" w:eastAsia="宋体" w:cs="Times New Roman"/>
      <w:sz w:val="18"/>
      <w:szCs w:val="18"/>
    </w:rPr>
  </w:style>
  <w:style w:type="character" w:customStyle="1" w:styleId="157">
    <w:name w:val="正文文本缩进 3 Char"/>
    <w:basedOn w:val="91"/>
    <w:link w:val="71"/>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7"/>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6"/>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kern w:val="0"/>
      <w:sz w:val="24"/>
      <w:szCs w:val="20"/>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7"/>
    <w:next w:val="67"/>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8"/>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8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89"/>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Revision"/>
    <w:hidden/>
    <w:semiHidden/>
    <w:qFormat/>
    <w:uiPriority w:val="99"/>
    <w:rPr>
      <w:rFonts w:ascii="Calibri" w:hAnsi="Calibri" w:eastAsia="宋体" w:cs="Times New Roman"/>
      <w:kern w:val="2"/>
      <w:sz w:val="21"/>
      <w:szCs w:val="24"/>
      <w:lang w:val="en-US" w:eastAsia="zh-CN" w:bidi="ar-SA"/>
    </w:rPr>
  </w:style>
  <w:style w:type="paragraph" w:customStyle="1" w:styleId="21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189</Pages>
  <Words>26882</Words>
  <Characters>153228</Characters>
  <Lines>1276</Lines>
  <Paragraphs>359</Paragraphs>
  <TotalTime>87</TotalTime>
  <ScaleCrop>false</ScaleCrop>
  <LinksUpToDate>false</LinksUpToDate>
  <CharactersWithSpaces>179751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2020-01-07T05:08:00Z</cp:lastPrinted>
  <dcterms:modified xsi:type="dcterms:W3CDTF">2020-01-08T06:18:32Z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